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center"/>
        <w:rPr>
          <w:rFonts w:hint="eastAsia" w:asciiTheme="minorEastAsia" w:hAnsiTheme="minorEastAsia" w:eastAsiaTheme="minorEastAsia" w:cstheme="minorEastAsia"/>
          <w:b/>
          <w:color w:val="auto"/>
          <w:sz w:val="48"/>
          <w:szCs w:val="48"/>
          <w:highlight w:val="none"/>
          <w:lang w:eastAsia="zh-CN"/>
        </w:rPr>
      </w:pPr>
      <w:r>
        <w:rPr>
          <w:rFonts w:hint="eastAsia" w:asciiTheme="minorEastAsia" w:hAnsiTheme="minorEastAsia" w:eastAsiaTheme="minorEastAsia" w:cstheme="minorEastAsia"/>
          <w:b/>
          <w:color w:val="auto"/>
          <w:sz w:val="48"/>
          <w:szCs w:val="48"/>
          <w:highlight w:val="none"/>
          <w:lang w:eastAsia="zh-CN"/>
        </w:rPr>
        <w:t>东阳市鑫盛工程咨询有限公司关于三单乡三单村一事一议财政奖补支持打造共富</w:t>
      </w:r>
    </w:p>
    <w:p>
      <w:pPr>
        <w:spacing w:line="360" w:lineRule="auto"/>
        <w:jc w:val="center"/>
        <w:rPr>
          <w:rFonts w:hint="eastAsia" w:ascii="宋体" w:hAnsi="宋体" w:cs="宋体" w:eastAsiaTheme="minorEastAsia"/>
          <w:color w:val="auto"/>
          <w:sz w:val="48"/>
          <w:szCs w:val="48"/>
          <w:highlight w:val="none"/>
          <w:lang w:eastAsia="zh-CN"/>
        </w:rPr>
      </w:pPr>
      <w:r>
        <w:rPr>
          <w:rFonts w:hint="eastAsia" w:asciiTheme="minorEastAsia" w:hAnsiTheme="minorEastAsia" w:eastAsiaTheme="minorEastAsia" w:cstheme="minorEastAsia"/>
          <w:b/>
          <w:color w:val="auto"/>
          <w:sz w:val="48"/>
          <w:szCs w:val="48"/>
          <w:highlight w:val="none"/>
          <w:lang w:eastAsia="zh-CN"/>
        </w:rPr>
        <w:t>乡村试点项目软装工程</w:t>
      </w:r>
    </w:p>
    <w:p>
      <w:pPr>
        <w:pStyle w:val="51"/>
        <w:rPr>
          <w:rFonts w:ascii="宋体" w:hAnsi="宋体" w:cs="宋体"/>
          <w:color w:val="auto"/>
          <w:sz w:val="40"/>
          <w:szCs w:val="40"/>
          <w:highlight w:val="none"/>
        </w:rPr>
      </w:pPr>
    </w:p>
    <w:p>
      <w:pPr>
        <w:pStyle w:val="28"/>
        <w:rPr>
          <w:color w:val="auto"/>
          <w:highlight w:val="none"/>
        </w:rPr>
      </w:pPr>
    </w:p>
    <w:p>
      <w:pPr>
        <w:pStyle w:val="28"/>
        <w:rPr>
          <w:rFonts w:ascii="宋体" w:hAnsi="宋体" w:cs="宋体"/>
          <w:color w:val="auto"/>
          <w:sz w:val="40"/>
          <w:szCs w:val="40"/>
          <w:highlight w:val="none"/>
        </w:rPr>
      </w:pPr>
    </w:p>
    <w:p>
      <w:pPr>
        <w:pStyle w:val="28"/>
        <w:rPr>
          <w:rFonts w:ascii="宋体" w:hAnsi="宋体" w:cs="宋体"/>
          <w:color w:val="auto"/>
          <w:sz w:val="24"/>
          <w:szCs w:val="24"/>
          <w:highlight w:val="none"/>
        </w:rPr>
      </w:pPr>
    </w:p>
    <w:p>
      <w:pPr>
        <w:pStyle w:val="23"/>
        <w:rPr>
          <w:color w:val="auto"/>
          <w:highlight w:val="none"/>
        </w:rPr>
      </w:pPr>
    </w:p>
    <w:p>
      <w:pPr>
        <w:rPr>
          <w:color w:val="auto"/>
          <w:highlight w:val="none"/>
        </w:rPr>
      </w:pPr>
    </w:p>
    <w:p>
      <w:pPr>
        <w:pStyle w:val="23"/>
        <w:rPr>
          <w:color w:val="auto"/>
          <w:highlight w:val="none"/>
        </w:rPr>
      </w:pPr>
    </w:p>
    <w:p>
      <w:pPr>
        <w:rPr>
          <w:rFonts w:ascii="宋体" w:hAnsi="宋体" w:cs="宋体"/>
          <w:color w:val="auto"/>
          <w:sz w:val="24"/>
          <w:highlight w:val="none"/>
        </w:rPr>
      </w:pPr>
    </w:p>
    <w:p>
      <w:pPr>
        <w:pStyle w:val="19"/>
        <w:jc w:val="center"/>
        <w:rPr>
          <w:color w:val="auto"/>
          <w:highlight w:val="none"/>
        </w:rPr>
      </w:pPr>
      <w:r>
        <w:rPr>
          <w:rFonts w:hint="eastAsia" w:ascii="宋体" w:hAnsi="宋体" w:cs="宋体"/>
          <w:b/>
          <w:bCs/>
          <w:color w:val="auto"/>
          <w:sz w:val="72"/>
          <w:szCs w:val="72"/>
          <w:highlight w:val="none"/>
          <w:lang w:val="en-US" w:eastAsia="zh-CN"/>
        </w:rPr>
        <w:t>竞争性磋商文件</w:t>
      </w:r>
    </w:p>
    <w:p>
      <w:pPr>
        <w:rPr>
          <w:color w:val="auto"/>
          <w:highlight w:val="none"/>
        </w:rPr>
      </w:pPr>
    </w:p>
    <w:p>
      <w:pPr>
        <w:rPr>
          <w:rFonts w:ascii="宋体" w:hAnsi="宋体" w:cs="宋体"/>
          <w:color w:val="auto"/>
          <w:sz w:val="24"/>
          <w:highlight w:val="none"/>
        </w:rPr>
      </w:pPr>
    </w:p>
    <w:p>
      <w:pPr>
        <w:pStyle w:val="13"/>
        <w:rPr>
          <w:color w:val="auto"/>
          <w:highlight w:val="none"/>
        </w:rPr>
      </w:pPr>
    </w:p>
    <w:p>
      <w:pPr>
        <w:pStyle w:val="14"/>
        <w:rPr>
          <w:color w:val="auto"/>
          <w:highlight w:val="none"/>
        </w:rPr>
      </w:pPr>
    </w:p>
    <w:p>
      <w:pPr>
        <w:pStyle w:val="14"/>
        <w:rPr>
          <w:color w:val="auto"/>
          <w:highlight w:val="none"/>
        </w:rPr>
      </w:pPr>
    </w:p>
    <w:p>
      <w:pPr>
        <w:pStyle w:val="14"/>
        <w:rPr>
          <w:color w:val="auto"/>
          <w:highlight w:val="none"/>
        </w:rPr>
      </w:pPr>
    </w:p>
    <w:p>
      <w:pPr>
        <w:pStyle w:val="14"/>
        <w:rPr>
          <w:color w:val="auto"/>
          <w:highlight w:val="none"/>
        </w:rPr>
      </w:pPr>
    </w:p>
    <w:p>
      <w:pPr>
        <w:rPr>
          <w:rFonts w:ascii="宋体" w:hAnsi="宋体" w:cs="宋体"/>
          <w:color w:val="auto"/>
          <w:sz w:val="24"/>
          <w:highlight w:val="none"/>
        </w:rPr>
      </w:pPr>
    </w:p>
    <w:p>
      <w:pPr>
        <w:spacing w:line="480" w:lineRule="auto"/>
        <w:ind w:firstLine="643" w:firstLineChars="200"/>
        <w:jc w:val="left"/>
        <w:rPr>
          <w:rFonts w:hint="eastAsia" w:ascii="宋体" w:hAnsi="宋体" w:eastAsia="宋体" w:cs="宋体"/>
          <w:b/>
          <w:bCs/>
          <w:color w:val="auto"/>
          <w:sz w:val="32"/>
          <w:szCs w:val="32"/>
          <w:highlight w:val="none"/>
          <w:lang w:eastAsia="zh-CN"/>
        </w:rPr>
      </w:pPr>
      <w:r>
        <w:rPr>
          <w:rFonts w:hint="eastAsia" w:ascii="宋体" w:hAnsi="宋体" w:cs="宋体"/>
          <w:b/>
          <w:bCs/>
          <w:color w:val="auto"/>
          <w:kern w:val="0"/>
          <w:sz w:val="32"/>
          <w:szCs w:val="32"/>
          <w:highlight w:val="none"/>
        </w:rPr>
        <w:t>磋商编号：</w:t>
      </w:r>
      <w:r>
        <w:rPr>
          <w:rFonts w:hint="eastAsia" w:ascii="宋体" w:hAnsi="宋体" w:cs="宋体"/>
          <w:b/>
          <w:bCs/>
          <w:color w:val="auto"/>
          <w:sz w:val="32"/>
          <w:szCs w:val="32"/>
          <w:highlight w:val="none"/>
          <w:lang w:eastAsia="zh-CN"/>
        </w:rPr>
        <w:t>XSZFCGDZ2024-CS-101</w:t>
      </w:r>
    </w:p>
    <w:p>
      <w:pPr>
        <w:spacing w:line="480" w:lineRule="auto"/>
        <w:ind w:left="2244" w:leftChars="304" w:hanging="1606" w:hangingChars="500"/>
        <w:jc w:val="left"/>
        <w:rPr>
          <w:rFonts w:hint="eastAsia" w:ascii="宋体" w:hAnsi="宋体" w:cs="宋体"/>
          <w:b/>
          <w:bCs/>
          <w:color w:val="auto"/>
          <w:kern w:val="0"/>
          <w:sz w:val="32"/>
          <w:szCs w:val="32"/>
          <w:highlight w:val="none"/>
          <w:lang w:eastAsia="zh-CN"/>
        </w:rPr>
      </w:pPr>
      <w:r>
        <w:rPr>
          <w:rFonts w:hint="eastAsia" w:ascii="宋体" w:hAnsi="宋体" w:cs="宋体"/>
          <w:b/>
          <w:bCs/>
          <w:color w:val="auto"/>
          <w:kern w:val="0"/>
          <w:sz w:val="32"/>
          <w:szCs w:val="32"/>
          <w:highlight w:val="none"/>
        </w:rPr>
        <w:t>项目名称：</w:t>
      </w:r>
      <w:r>
        <w:rPr>
          <w:rFonts w:hint="eastAsia" w:ascii="宋体" w:hAnsi="宋体" w:cs="宋体"/>
          <w:b/>
          <w:bCs/>
          <w:color w:val="auto"/>
          <w:kern w:val="0"/>
          <w:sz w:val="32"/>
          <w:szCs w:val="32"/>
          <w:highlight w:val="none"/>
          <w:lang w:eastAsia="zh-CN"/>
        </w:rPr>
        <w:t>三单乡三单村一事一议财政奖补支持打造共富乡村试点项目软装工程</w:t>
      </w:r>
    </w:p>
    <w:p>
      <w:pPr>
        <w:spacing w:line="480" w:lineRule="auto"/>
        <w:ind w:firstLine="643" w:firstLineChars="200"/>
        <w:jc w:val="left"/>
        <w:rPr>
          <w:rFonts w:hint="eastAsia" w:ascii="宋体" w:hAnsi="宋体" w:eastAsia="宋体" w:cs="宋体"/>
          <w:b/>
          <w:bCs/>
          <w:color w:val="auto"/>
          <w:kern w:val="0"/>
          <w:sz w:val="32"/>
          <w:szCs w:val="32"/>
          <w:highlight w:val="none"/>
          <w:lang w:eastAsia="zh-CN"/>
        </w:rPr>
      </w:pPr>
      <w:r>
        <w:rPr>
          <w:rFonts w:hint="eastAsia" w:ascii="宋体" w:hAnsi="宋体" w:cs="宋体"/>
          <w:b/>
          <w:bCs/>
          <w:color w:val="auto"/>
          <w:kern w:val="0"/>
          <w:sz w:val="32"/>
          <w:szCs w:val="32"/>
          <w:highlight w:val="none"/>
        </w:rPr>
        <w:t>采购单位：</w:t>
      </w:r>
      <w:r>
        <w:rPr>
          <w:rFonts w:hint="eastAsia" w:ascii="宋体" w:hAnsi="宋体" w:cs="宋体"/>
          <w:b/>
          <w:bCs/>
          <w:color w:val="auto"/>
          <w:kern w:val="0"/>
          <w:sz w:val="32"/>
          <w:szCs w:val="32"/>
          <w:highlight w:val="none"/>
          <w:lang w:eastAsia="zh-CN"/>
        </w:rPr>
        <w:t xml:space="preserve">东阳市三单乡人民政府 </w:t>
      </w:r>
    </w:p>
    <w:p>
      <w:pPr>
        <w:spacing w:line="480" w:lineRule="auto"/>
        <w:ind w:firstLine="643" w:firstLineChars="200"/>
        <w:jc w:val="left"/>
        <w:rPr>
          <w:rFonts w:hint="eastAsia" w:ascii="宋体" w:hAnsi="宋体" w:cs="宋体"/>
          <w:b/>
          <w:bCs/>
          <w:color w:val="auto"/>
          <w:w w:val="95"/>
          <w:sz w:val="30"/>
          <w:szCs w:val="30"/>
          <w:highlight w:val="none"/>
        </w:rPr>
      </w:pPr>
      <w:r>
        <w:rPr>
          <w:rFonts w:hint="eastAsia" w:ascii="宋体" w:hAnsi="宋体" w:cs="宋体"/>
          <w:b/>
          <w:bCs/>
          <w:color w:val="auto"/>
          <w:kern w:val="0"/>
          <w:sz w:val="32"/>
          <w:szCs w:val="32"/>
          <w:highlight w:val="none"/>
        </w:rPr>
        <w:t>招标机构：东阳市鑫盛工程咨询有限公司</w:t>
      </w:r>
    </w:p>
    <w:p>
      <w:pPr>
        <w:pStyle w:val="22"/>
        <w:spacing w:line="480" w:lineRule="auto"/>
        <w:jc w:val="center"/>
        <w:rPr>
          <w:rFonts w:ascii="宋体" w:hAnsi="宋体" w:cs="宋体"/>
          <w:b/>
          <w:color w:val="auto"/>
          <w:sz w:val="32"/>
          <w:szCs w:val="32"/>
          <w:highlight w:val="none"/>
        </w:rPr>
      </w:pPr>
      <w:r>
        <w:rPr>
          <w:rFonts w:hint="eastAsia" w:ascii="宋体" w:hAnsi="宋体" w:cs="宋体"/>
          <w:b/>
          <w:bCs/>
          <w:color w:val="auto"/>
          <w:w w:val="95"/>
          <w:sz w:val="30"/>
          <w:szCs w:val="30"/>
          <w:highlight w:val="none"/>
        </w:rPr>
        <w:t>202</w:t>
      </w:r>
      <w:r>
        <w:rPr>
          <w:rFonts w:hint="eastAsia" w:ascii="宋体" w:hAnsi="宋体" w:cs="宋体"/>
          <w:b/>
          <w:bCs/>
          <w:color w:val="auto"/>
          <w:w w:val="95"/>
          <w:sz w:val="30"/>
          <w:szCs w:val="30"/>
          <w:highlight w:val="none"/>
          <w:lang w:val="en-US" w:eastAsia="zh-CN"/>
        </w:rPr>
        <w:t>4</w:t>
      </w:r>
      <w:r>
        <w:rPr>
          <w:rFonts w:hint="eastAsia" w:ascii="宋体" w:hAnsi="宋体" w:cs="宋体"/>
          <w:b/>
          <w:bCs/>
          <w:color w:val="auto"/>
          <w:w w:val="95"/>
          <w:sz w:val="30"/>
          <w:szCs w:val="30"/>
          <w:highlight w:val="none"/>
        </w:rPr>
        <w:t>年</w:t>
      </w:r>
      <w:r>
        <w:rPr>
          <w:rFonts w:hint="eastAsia" w:ascii="宋体" w:hAnsi="宋体" w:cs="宋体"/>
          <w:b/>
          <w:bCs/>
          <w:color w:val="auto"/>
          <w:w w:val="95"/>
          <w:sz w:val="30"/>
          <w:szCs w:val="30"/>
          <w:highlight w:val="none"/>
          <w:lang w:val="en-US" w:eastAsia="zh-CN"/>
        </w:rPr>
        <w:t>3</w:t>
      </w:r>
      <w:r>
        <w:rPr>
          <w:rFonts w:hint="eastAsia" w:ascii="宋体" w:hAnsi="宋体" w:cs="宋体"/>
          <w:b/>
          <w:bCs/>
          <w:color w:val="auto"/>
          <w:w w:val="95"/>
          <w:sz w:val="30"/>
          <w:szCs w:val="30"/>
          <w:highlight w:val="none"/>
        </w:rPr>
        <w:t>月</w:t>
      </w:r>
    </w:p>
    <w:p>
      <w:pPr>
        <w:pStyle w:val="22"/>
        <w:pageBreakBefore/>
        <w:spacing w:line="276" w:lineRule="auto"/>
        <w:jc w:val="center"/>
        <w:rPr>
          <w:rFonts w:ascii="宋体" w:hAnsi="宋体" w:cs="宋体"/>
          <w:b/>
          <w:color w:val="auto"/>
          <w:szCs w:val="24"/>
          <w:highlight w:val="none"/>
        </w:rPr>
      </w:pPr>
      <w:r>
        <w:rPr>
          <w:rFonts w:hint="eastAsia" w:ascii="宋体" w:hAnsi="宋体" w:cs="宋体"/>
          <w:b/>
          <w:color w:val="auto"/>
          <w:szCs w:val="24"/>
          <w:highlight w:val="none"/>
        </w:rPr>
        <w:t>目    录</w:t>
      </w:r>
    </w:p>
    <w:p>
      <w:pPr>
        <w:pStyle w:val="30"/>
        <w:tabs>
          <w:tab w:val="right" w:leader="dot" w:pos="9127"/>
        </w:tabs>
      </w:pPr>
      <w:r>
        <w:rPr>
          <w:rFonts w:hint="eastAsia" w:ascii="宋体" w:hAnsi="宋体" w:cs="宋体"/>
          <w:color w:val="auto"/>
          <w:sz w:val="24"/>
          <w:highlight w:val="none"/>
        </w:rPr>
        <w:fldChar w:fldCharType="begin"/>
      </w:r>
      <w:r>
        <w:rPr>
          <w:rFonts w:hint="eastAsia" w:ascii="宋体" w:hAnsi="宋体" w:cs="宋体"/>
          <w:color w:val="auto"/>
          <w:sz w:val="24"/>
          <w:highlight w:val="none"/>
        </w:rPr>
        <w:instrText xml:space="preserve"> TOC \o "1-2" \h \z \u </w:instrText>
      </w:r>
      <w:r>
        <w:rPr>
          <w:rFonts w:hint="eastAsia" w:ascii="宋体" w:hAnsi="宋体" w:cs="宋体"/>
          <w:color w:val="auto"/>
          <w:sz w:val="24"/>
          <w:highlight w:val="none"/>
        </w:rPr>
        <w:fldChar w:fldCharType="separate"/>
      </w:r>
      <w:r>
        <w:rPr>
          <w:rFonts w:hint="eastAsia" w:ascii="宋体" w:hAnsi="宋体" w:cs="宋体"/>
          <w:color w:val="auto"/>
          <w:highlight w:val="none"/>
        </w:rPr>
        <w:fldChar w:fldCharType="begin"/>
      </w:r>
      <w:r>
        <w:rPr>
          <w:rFonts w:hint="eastAsia" w:ascii="宋体" w:hAnsi="宋体" w:cs="宋体"/>
          <w:highlight w:val="none"/>
        </w:rPr>
        <w:instrText xml:space="preserve"> HYPERLINK \l _Toc18776 </w:instrText>
      </w:r>
      <w:r>
        <w:rPr>
          <w:rFonts w:hint="eastAsia" w:ascii="宋体" w:hAnsi="宋体" w:cs="宋体"/>
          <w:highlight w:val="none"/>
        </w:rPr>
        <w:fldChar w:fldCharType="separate"/>
      </w:r>
      <w:r>
        <w:rPr>
          <w:rFonts w:hint="eastAsia" w:ascii="宋体" w:hAnsi="宋体" w:cs="宋体"/>
          <w:highlight w:val="none"/>
        </w:rPr>
        <w:t>第一章  竞争性磋商公告</w:t>
      </w:r>
      <w:r>
        <w:tab/>
      </w:r>
      <w:r>
        <w:fldChar w:fldCharType="begin"/>
      </w:r>
      <w:r>
        <w:instrText xml:space="preserve"> PAGEREF _Toc18776 \h </w:instrText>
      </w:r>
      <w:r>
        <w:fldChar w:fldCharType="separate"/>
      </w:r>
      <w:r>
        <w:t>3</w:t>
      </w:r>
      <w:r>
        <w:fldChar w:fldCharType="end"/>
      </w:r>
      <w:r>
        <w:rPr>
          <w:rFonts w:hint="eastAsia" w:ascii="宋体" w:hAnsi="宋体" w:cs="宋体"/>
          <w:color w:val="auto"/>
          <w:highlight w:val="none"/>
        </w:rPr>
        <w:fldChar w:fldCharType="end"/>
      </w:r>
    </w:p>
    <w:p>
      <w:pPr>
        <w:pStyle w:val="30"/>
        <w:tabs>
          <w:tab w:val="right" w:leader="dot" w:pos="9127"/>
        </w:tabs>
      </w:pPr>
      <w:r>
        <w:rPr>
          <w:rFonts w:hint="eastAsia" w:ascii="宋体" w:hAnsi="宋体" w:cs="宋体"/>
          <w:color w:val="auto"/>
          <w:highlight w:val="none"/>
        </w:rPr>
        <w:fldChar w:fldCharType="begin"/>
      </w:r>
      <w:r>
        <w:rPr>
          <w:rFonts w:hint="eastAsia" w:ascii="宋体" w:hAnsi="宋体" w:cs="宋体"/>
          <w:highlight w:val="none"/>
        </w:rPr>
        <w:instrText xml:space="preserve"> HYPERLINK \l _Toc31431 </w:instrText>
      </w:r>
      <w:r>
        <w:rPr>
          <w:rFonts w:hint="eastAsia" w:ascii="宋体" w:hAnsi="宋体" w:cs="宋体"/>
          <w:highlight w:val="none"/>
        </w:rPr>
        <w:fldChar w:fldCharType="separate"/>
      </w:r>
      <w:r>
        <w:rPr>
          <w:rFonts w:hint="eastAsia" w:ascii="宋体" w:hAnsi="宋体" w:cs="宋体"/>
          <w:szCs w:val="24"/>
          <w:highlight w:val="none"/>
        </w:rPr>
        <w:t>第二章  招标需求</w:t>
      </w:r>
      <w:r>
        <w:tab/>
      </w:r>
      <w:r>
        <w:fldChar w:fldCharType="begin"/>
      </w:r>
      <w:r>
        <w:instrText xml:space="preserve"> PAGEREF _Toc31431 \h </w:instrText>
      </w:r>
      <w:r>
        <w:fldChar w:fldCharType="separate"/>
      </w:r>
      <w:r>
        <w:t>8</w:t>
      </w:r>
      <w:r>
        <w:fldChar w:fldCharType="end"/>
      </w:r>
      <w:r>
        <w:rPr>
          <w:rFonts w:hint="eastAsia" w:ascii="宋体" w:hAnsi="宋体" w:cs="宋体"/>
          <w:color w:val="auto"/>
          <w:highlight w:val="none"/>
        </w:rPr>
        <w:fldChar w:fldCharType="end"/>
      </w:r>
    </w:p>
    <w:p>
      <w:pPr>
        <w:pStyle w:val="30"/>
        <w:tabs>
          <w:tab w:val="right" w:leader="dot" w:pos="9127"/>
        </w:tabs>
      </w:pPr>
      <w:r>
        <w:rPr>
          <w:rFonts w:hint="eastAsia" w:ascii="宋体" w:hAnsi="宋体" w:cs="宋体"/>
          <w:color w:val="auto"/>
          <w:highlight w:val="none"/>
        </w:rPr>
        <w:fldChar w:fldCharType="begin"/>
      </w:r>
      <w:r>
        <w:rPr>
          <w:rFonts w:hint="eastAsia" w:ascii="宋体" w:hAnsi="宋体" w:cs="宋体"/>
          <w:highlight w:val="none"/>
        </w:rPr>
        <w:instrText xml:space="preserve"> HYPERLINK \l _Toc1011 </w:instrText>
      </w:r>
      <w:r>
        <w:rPr>
          <w:rFonts w:hint="eastAsia" w:ascii="宋体" w:hAnsi="宋体" w:cs="宋体"/>
          <w:highlight w:val="none"/>
        </w:rPr>
        <w:fldChar w:fldCharType="separate"/>
      </w:r>
      <w:r>
        <w:rPr>
          <w:rFonts w:hint="eastAsia" w:ascii="宋体" w:hAnsi="宋体" w:cs="宋体"/>
          <w:szCs w:val="24"/>
          <w:highlight w:val="none"/>
        </w:rPr>
        <w:t>第三章   供应商须知</w:t>
      </w:r>
      <w:r>
        <w:tab/>
      </w:r>
      <w:r>
        <w:fldChar w:fldCharType="begin"/>
      </w:r>
      <w:r>
        <w:instrText xml:space="preserve"> PAGEREF _Toc1011 \h </w:instrText>
      </w:r>
      <w:r>
        <w:fldChar w:fldCharType="separate"/>
      </w:r>
      <w:r>
        <w:t>10</w:t>
      </w:r>
      <w:r>
        <w:fldChar w:fldCharType="end"/>
      </w:r>
      <w:r>
        <w:rPr>
          <w:rFonts w:hint="eastAsia" w:ascii="宋体" w:hAnsi="宋体" w:cs="宋体"/>
          <w:color w:val="auto"/>
          <w:highlight w:val="none"/>
        </w:rPr>
        <w:fldChar w:fldCharType="end"/>
      </w:r>
    </w:p>
    <w:p>
      <w:pPr>
        <w:pStyle w:val="23"/>
        <w:tabs>
          <w:tab w:val="right" w:leader="dot" w:pos="9127"/>
        </w:tabs>
      </w:pPr>
      <w:r>
        <w:rPr>
          <w:rFonts w:hint="eastAsia" w:ascii="宋体" w:hAnsi="宋体" w:cs="宋体"/>
          <w:color w:val="auto"/>
          <w:highlight w:val="none"/>
        </w:rPr>
        <w:fldChar w:fldCharType="begin"/>
      </w:r>
      <w:r>
        <w:rPr>
          <w:rFonts w:hint="eastAsia" w:ascii="宋体" w:hAnsi="宋体" w:cs="宋体"/>
          <w:highlight w:val="none"/>
        </w:rPr>
        <w:instrText xml:space="preserve"> HYPERLINK \l _Toc21362 </w:instrText>
      </w:r>
      <w:r>
        <w:rPr>
          <w:rFonts w:hint="eastAsia" w:ascii="宋体" w:hAnsi="宋体" w:cs="宋体"/>
          <w:highlight w:val="none"/>
        </w:rPr>
        <w:fldChar w:fldCharType="separate"/>
      </w:r>
      <w:r>
        <w:rPr>
          <w:rFonts w:hint="eastAsia" w:ascii="宋体" w:hAnsi="宋体" w:cs="宋体"/>
          <w:szCs w:val="24"/>
          <w:highlight w:val="none"/>
        </w:rPr>
        <w:t>前附表</w:t>
      </w:r>
      <w:r>
        <w:tab/>
      </w:r>
      <w:r>
        <w:fldChar w:fldCharType="begin"/>
      </w:r>
      <w:r>
        <w:instrText xml:space="preserve"> PAGEREF _Toc21362 \h </w:instrText>
      </w:r>
      <w:r>
        <w:fldChar w:fldCharType="separate"/>
      </w:r>
      <w:r>
        <w:t>10</w:t>
      </w:r>
      <w:r>
        <w:fldChar w:fldCharType="end"/>
      </w:r>
      <w:r>
        <w:rPr>
          <w:rFonts w:hint="eastAsia" w:ascii="宋体" w:hAnsi="宋体" w:cs="宋体"/>
          <w:color w:val="auto"/>
          <w:highlight w:val="none"/>
        </w:rPr>
        <w:fldChar w:fldCharType="end"/>
      </w:r>
    </w:p>
    <w:p>
      <w:pPr>
        <w:pStyle w:val="23"/>
        <w:tabs>
          <w:tab w:val="right" w:leader="dot" w:pos="9127"/>
        </w:tabs>
      </w:pPr>
      <w:r>
        <w:rPr>
          <w:rFonts w:hint="eastAsia" w:ascii="宋体" w:hAnsi="宋体" w:cs="宋体"/>
          <w:color w:val="auto"/>
          <w:highlight w:val="none"/>
        </w:rPr>
        <w:fldChar w:fldCharType="begin"/>
      </w:r>
      <w:r>
        <w:rPr>
          <w:rFonts w:hint="eastAsia" w:ascii="宋体" w:hAnsi="宋体" w:cs="宋体"/>
          <w:highlight w:val="none"/>
        </w:rPr>
        <w:instrText xml:space="preserve"> HYPERLINK \l _Toc6560 </w:instrText>
      </w:r>
      <w:r>
        <w:rPr>
          <w:rFonts w:hint="eastAsia" w:ascii="宋体" w:hAnsi="宋体" w:cs="宋体"/>
          <w:highlight w:val="none"/>
        </w:rPr>
        <w:fldChar w:fldCharType="separate"/>
      </w:r>
      <w:r>
        <w:rPr>
          <w:rFonts w:hint="default" w:ascii="宋体" w:hAnsi="宋体" w:cs="宋体"/>
          <w:szCs w:val="24"/>
        </w:rPr>
        <w:t xml:space="preserve">一、 </w:t>
      </w:r>
      <w:r>
        <w:rPr>
          <w:rFonts w:hint="eastAsia" w:ascii="宋体" w:hAnsi="宋体" w:cs="宋体"/>
          <w:szCs w:val="24"/>
          <w:highlight w:val="none"/>
        </w:rPr>
        <w:t>总则</w:t>
      </w:r>
      <w:r>
        <w:tab/>
      </w:r>
      <w:r>
        <w:fldChar w:fldCharType="begin"/>
      </w:r>
      <w:r>
        <w:instrText xml:space="preserve"> PAGEREF _Toc6560 \h </w:instrText>
      </w:r>
      <w:r>
        <w:fldChar w:fldCharType="separate"/>
      </w:r>
      <w:r>
        <w:t>15</w:t>
      </w:r>
      <w:r>
        <w:fldChar w:fldCharType="end"/>
      </w:r>
      <w:r>
        <w:rPr>
          <w:rFonts w:hint="eastAsia" w:ascii="宋体" w:hAnsi="宋体" w:cs="宋体"/>
          <w:color w:val="auto"/>
          <w:highlight w:val="none"/>
        </w:rPr>
        <w:fldChar w:fldCharType="end"/>
      </w:r>
    </w:p>
    <w:p>
      <w:pPr>
        <w:pStyle w:val="23"/>
        <w:tabs>
          <w:tab w:val="right" w:leader="dot" w:pos="9127"/>
        </w:tabs>
      </w:pPr>
      <w:r>
        <w:rPr>
          <w:rFonts w:hint="eastAsia" w:ascii="宋体" w:hAnsi="宋体" w:cs="宋体"/>
          <w:color w:val="auto"/>
          <w:highlight w:val="none"/>
        </w:rPr>
        <w:fldChar w:fldCharType="begin"/>
      </w:r>
      <w:r>
        <w:rPr>
          <w:rFonts w:hint="eastAsia" w:ascii="宋体" w:hAnsi="宋体" w:cs="宋体"/>
          <w:highlight w:val="none"/>
        </w:rPr>
        <w:instrText xml:space="preserve"> HYPERLINK \l _Toc2052 </w:instrText>
      </w:r>
      <w:r>
        <w:rPr>
          <w:rFonts w:hint="eastAsia" w:ascii="宋体" w:hAnsi="宋体" w:cs="宋体"/>
          <w:highlight w:val="none"/>
        </w:rPr>
        <w:fldChar w:fldCharType="separate"/>
      </w:r>
      <w:r>
        <w:rPr>
          <w:rFonts w:hint="eastAsia" w:ascii="宋体" w:hAnsi="宋体" w:eastAsia="宋体" w:cs="宋体"/>
          <w:szCs w:val="24"/>
          <w:highlight w:val="none"/>
        </w:rPr>
        <w:t>二、磋商文件</w:t>
      </w:r>
      <w:r>
        <w:tab/>
      </w:r>
      <w:r>
        <w:fldChar w:fldCharType="begin"/>
      </w:r>
      <w:r>
        <w:instrText xml:space="preserve"> PAGEREF _Toc2052 \h </w:instrText>
      </w:r>
      <w:r>
        <w:fldChar w:fldCharType="separate"/>
      </w:r>
      <w:r>
        <w:t>18</w:t>
      </w:r>
      <w:r>
        <w:fldChar w:fldCharType="end"/>
      </w:r>
      <w:r>
        <w:rPr>
          <w:rFonts w:hint="eastAsia" w:ascii="宋体" w:hAnsi="宋体" w:cs="宋体"/>
          <w:color w:val="auto"/>
          <w:highlight w:val="none"/>
        </w:rPr>
        <w:fldChar w:fldCharType="end"/>
      </w:r>
    </w:p>
    <w:p>
      <w:pPr>
        <w:pStyle w:val="23"/>
        <w:tabs>
          <w:tab w:val="right" w:leader="dot" w:pos="9127"/>
        </w:tabs>
      </w:pPr>
      <w:r>
        <w:rPr>
          <w:rFonts w:hint="eastAsia" w:ascii="宋体" w:hAnsi="宋体" w:cs="宋体"/>
          <w:color w:val="auto"/>
          <w:highlight w:val="none"/>
        </w:rPr>
        <w:fldChar w:fldCharType="begin"/>
      </w:r>
      <w:r>
        <w:rPr>
          <w:rFonts w:hint="eastAsia" w:ascii="宋体" w:hAnsi="宋体" w:cs="宋体"/>
          <w:highlight w:val="none"/>
        </w:rPr>
        <w:instrText xml:space="preserve"> HYPERLINK \l _Toc7484 </w:instrText>
      </w:r>
      <w:r>
        <w:rPr>
          <w:rFonts w:hint="eastAsia" w:ascii="宋体" w:hAnsi="宋体" w:cs="宋体"/>
          <w:highlight w:val="none"/>
        </w:rPr>
        <w:fldChar w:fldCharType="separate"/>
      </w:r>
      <w:r>
        <w:rPr>
          <w:rFonts w:hint="eastAsia" w:ascii="宋体" w:hAnsi="宋体" w:eastAsia="宋体" w:cs="宋体"/>
          <w:szCs w:val="24"/>
          <w:highlight w:val="none"/>
        </w:rPr>
        <w:t>三、磋商响应文件的编制</w:t>
      </w:r>
      <w:r>
        <w:tab/>
      </w:r>
      <w:r>
        <w:fldChar w:fldCharType="begin"/>
      </w:r>
      <w:r>
        <w:instrText xml:space="preserve"> PAGEREF _Toc7484 \h </w:instrText>
      </w:r>
      <w:r>
        <w:fldChar w:fldCharType="separate"/>
      </w:r>
      <w:r>
        <w:t>20</w:t>
      </w:r>
      <w:r>
        <w:fldChar w:fldCharType="end"/>
      </w:r>
      <w:r>
        <w:rPr>
          <w:rFonts w:hint="eastAsia" w:ascii="宋体" w:hAnsi="宋体" w:cs="宋体"/>
          <w:color w:val="auto"/>
          <w:highlight w:val="none"/>
        </w:rPr>
        <w:fldChar w:fldCharType="end"/>
      </w:r>
    </w:p>
    <w:p>
      <w:pPr>
        <w:pStyle w:val="23"/>
        <w:tabs>
          <w:tab w:val="right" w:leader="dot" w:pos="9127"/>
        </w:tabs>
      </w:pPr>
      <w:r>
        <w:rPr>
          <w:rFonts w:hint="eastAsia" w:ascii="宋体" w:hAnsi="宋体" w:cs="宋体"/>
          <w:color w:val="auto"/>
          <w:highlight w:val="none"/>
        </w:rPr>
        <w:fldChar w:fldCharType="begin"/>
      </w:r>
      <w:r>
        <w:rPr>
          <w:rFonts w:hint="eastAsia" w:ascii="宋体" w:hAnsi="宋体" w:cs="宋体"/>
          <w:highlight w:val="none"/>
        </w:rPr>
        <w:instrText xml:space="preserve"> HYPERLINK \l _Toc4828 </w:instrText>
      </w:r>
      <w:r>
        <w:rPr>
          <w:rFonts w:hint="eastAsia" w:ascii="宋体" w:hAnsi="宋体" w:cs="宋体"/>
          <w:highlight w:val="none"/>
        </w:rPr>
        <w:fldChar w:fldCharType="separate"/>
      </w:r>
      <w:r>
        <w:rPr>
          <w:rFonts w:hint="eastAsia" w:ascii="宋体" w:hAnsi="宋体" w:eastAsia="宋体" w:cs="宋体"/>
          <w:szCs w:val="24"/>
          <w:highlight w:val="none"/>
        </w:rPr>
        <w:t>四、开标</w:t>
      </w:r>
      <w:r>
        <w:tab/>
      </w:r>
      <w:r>
        <w:fldChar w:fldCharType="begin"/>
      </w:r>
      <w:r>
        <w:instrText xml:space="preserve"> PAGEREF _Toc4828 \h </w:instrText>
      </w:r>
      <w:r>
        <w:fldChar w:fldCharType="separate"/>
      </w:r>
      <w:r>
        <w:t>26</w:t>
      </w:r>
      <w:r>
        <w:fldChar w:fldCharType="end"/>
      </w:r>
      <w:r>
        <w:rPr>
          <w:rFonts w:hint="eastAsia" w:ascii="宋体" w:hAnsi="宋体" w:cs="宋体"/>
          <w:color w:val="auto"/>
          <w:highlight w:val="none"/>
        </w:rPr>
        <w:fldChar w:fldCharType="end"/>
      </w:r>
    </w:p>
    <w:p>
      <w:pPr>
        <w:pStyle w:val="23"/>
        <w:tabs>
          <w:tab w:val="right" w:leader="dot" w:pos="9127"/>
        </w:tabs>
      </w:pPr>
      <w:r>
        <w:rPr>
          <w:rFonts w:hint="eastAsia" w:ascii="宋体" w:hAnsi="宋体" w:cs="宋体"/>
          <w:color w:val="auto"/>
          <w:highlight w:val="none"/>
        </w:rPr>
        <w:fldChar w:fldCharType="begin"/>
      </w:r>
      <w:r>
        <w:rPr>
          <w:rFonts w:hint="eastAsia" w:ascii="宋体" w:hAnsi="宋体" w:cs="宋体"/>
          <w:highlight w:val="none"/>
        </w:rPr>
        <w:instrText xml:space="preserve"> HYPERLINK \l _Toc20183 </w:instrText>
      </w:r>
      <w:r>
        <w:rPr>
          <w:rFonts w:hint="eastAsia" w:ascii="宋体" w:hAnsi="宋体" w:cs="宋体"/>
          <w:highlight w:val="none"/>
        </w:rPr>
        <w:fldChar w:fldCharType="separate"/>
      </w:r>
      <w:r>
        <w:rPr>
          <w:rFonts w:hint="eastAsia" w:ascii="宋体" w:hAnsi="宋体" w:eastAsia="宋体" w:cs="宋体"/>
          <w:szCs w:val="24"/>
          <w:highlight w:val="none"/>
        </w:rPr>
        <w:t>五、磋商</w:t>
      </w:r>
      <w:r>
        <w:tab/>
      </w:r>
      <w:r>
        <w:fldChar w:fldCharType="begin"/>
      </w:r>
      <w:r>
        <w:instrText xml:space="preserve"> PAGEREF _Toc20183 \h </w:instrText>
      </w:r>
      <w:r>
        <w:fldChar w:fldCharType="separate"/>
      </w:r>
      <w:r>
        <w:t>27</w:t>
      </w:r>
      <w:r>
        <w:fldChar w:fldCharType="end"/>
      </w:r>
      <w:r>
        <w:rPr>
          <w:rFonts w:hint="eastAsia" w:ascii="宋体" w:hAnsi="宋体" w:cs="宋体"/>
          <w:color w:val="auto"/>
          <w:highlight w:val="none"/>
        </w:rPr>
        <w:fldChar w:fldCharType="end"/>
      </w:r>
    </w:p>
    <w:p>
      <w:pPr>
        <w:pStyle w:val="23"/>
        <w:tabs>
          <w:tab w:val="right" w:leader="dot" w:pos="9127"/>
        </w:tabs>
      </w:pPr>
      <w:r>
        <w:rPr>
          <w:rFonts w:hint="eastAsia" w:ascii="宋体" w:hAnsi="宋体" w:cs="宋体"/>
          <w:color w:val="auto"/>
          <w:highlight w:val="none"/>
        </w:rPr>
        <w:fldChar w:fldCharType="begin"/>
      </w:r>
      <w:r>
        <w:rPr>
          <w:rFonts w:hint="eastAsia" w:ascii="宋体" w:hAnsi="宋体" w:cs="宋体"/>
          <w:highlight w:val="none"/>
        </w:rPr>
        <w:instrText xml:space="preserve"> HYPERLINK \l _Toc20040 </w:instrText>
      </w:r>
      <w:r>
        <w:rPr>
          <w:rFonts w:hint="eastAsia" w:ascii="宋体" w:hAnsi="宋体" w:cs="宋体"/>
          <w:highlight w:val="none"/>
        </w:rPr>
        <w:fldChar w:fldCharType="separate"/>
      </w:r>
      <w:r>
        <w:rPr>
          <w:rFonts w:hint="eastAsia" w:ascii="宋体" w:hAnsi="宋体" w:eastAsia="宋体" w:cs="宋体"/>
          <w:szCs w:val="24"/>
          <w:highlight w:val="none"/>
        </w:rPr>
        <w:t>六、定标</w:t>
      </w:r>
      <w:r>
        <w:tab/>
      </w:r>
      <w:r>
        <w:fldChar w:fldCharType="begin"/>
      </w:r>
      <w:r>
        <w:instrText xml:space="preserve"> PAGEREF _Toc20040 \h </w:instrText>
      </w:r>
      <w:r>
        <w:fldChar w:fldCharType="separate"/>
      </w:r>
      <w:r>
        <w:t>31</w:t>
      </w:r>
      <w:r>
        <w:fldChar w:fldCharType="end"/>
      </w:r>
      <w:r>
        <w:rPr>
          <w:rFonts w:hint="eastAsia" w:ascii="宋体" w:hAnsi="宋体" w:cs="宋体"/>
          <w:color w:val="auto"/>
          <w:highlight w:val="none"/>
        </w:rPr>
        <w:fldChar w:fldCharType="end"/>
      </w:r>
    </w:p>
    <w:p>
      <w:pPr>
        <w:pStyle w:val="23"/>
        <w:tabs>
          <w:tab w:val="right" w:leader="dot" w:pos="9127"/>
        </w:tabs>
      </w:pPr>
      <w:r>
        <w:rPr>
          <w:rFonts w:hint="eastAsia" w:ascii="宋体" w:hAnsi="宋体" w:cs="宋体"/>
          <w:color w:val="auto"/>
          <w:highlight w:val="none"/>
        </w:rPr>
        <w:fldChar w:fldCharType="begin"/>
      </w:r>
      <w:r>
        <w:rPr>
          <w:rFonts w:hint="eastAsia" w:ascii="宋体" w:hAnsi="宋体" w:cs="宋体"/>
          <w:highlight w:val="none"/>
        </w:rPr>
        <w:instrText xml:space="preserve"> HYPERLINK \l _Toc22523 </w:instrText>
      </w:r>
      <w:r>
        <w:rPr>
          <w:rFonts w:hint="eastAsia" w:ascii="宋体" w:hAnsi="宋体" w:cs="宋体"/>
          <w:highlight w:val="none"/>
        </w:rPr>
        <w:fldChar w:fldCharType="separate"/>
      </w:r>
      <w:r>
        <w:rPr>
          <w:rFonts w:hint="eastAsia" w:ascii="宋体" w:hAnsi="宋体" w:eastAsia="宋体" w:cs="宋体"/>
          <w:szCs w:val="24"/>
          <w:highlight w:val="none"/>
        </w:rPr>
        <w:t>七、合同授予</w:t>
      </w:r>
      <w:r>
        <w:tab/>
      </w:r>
      <w:r>
        <w:fldChar w:fldCharType="begin"/>
      </w:r>
      <w:r>
        <w:instrText xml:space="preserve"> PAGEREF _Toc22523 \h </w:instrText>
      </w:r>
      <w:r>
        <w:fldChar w:fldCharType="separate"/>
      </w:r>
      <w:r>
        <w:t>32</w:t>
      </w:r>
      <w:r>
        <w:fldChar w:fldCharType="end"/>
      </w:r>
      <w:r>
        <w:rPr>
          <w:rFonts w:hint="eastAsia" w:ascii="宋体" w:hAnsi="宋体" w:cs="宋体"/>
          <w:color w:val="auto"/>
          <w:highlight w:val="none"/>
        </w:rPr>
        <w:fldChar w:fldCharType="end"/>
      </w:r>
    </w:p>
    <w:p>
      <w:pPr>
        <w:pStyle w:val="30"/>
        <w:tabs>
          <w:tab w:val="right" w:leader="dot" w:pos="9127"/>
        </w:tabs>
      </w:pPr>
      <w:r>
        <w:rPr>
          <w:rFonts w:hint="eastAsia" w:ascii="宋体" w:hAnsi="宋体" w:cs="宋体"/>
          <w:color w:val="auto"/>
          <w:highlight w:val="none"/>
        </w:rPr>
        <w:fldChar w:fldCharType="begin"/>
      </w:r>
      <w:r>
        <w:rPr>
          <w:rFonts w:hint="eastAsia" w:ascii="宋体" w:hAnsi="宋体" w:cs="宋体"/>
          <w:highlight w:val="none"/>
        </w:rPr>
        <w:instrText xml:space="preserve"> HYPERLINK \l _Toc31805 </w:instrText>
      </w:r>
      <w:r>
        <w:rPr>
          <w:rFonts w:hint="eastAsia" w:ascii="宋体" w:hAnsi="宋体" w:cs="宋体"/>
          <w:highlight w:val="none"/>
        </w:rPr>
        <w:fldChar w:fldCharType="separate"/>
      </w:r>
      <w:r>
        <w:rPr>
          <w:rFonts w:hint="eastAsia" w:ascii="宋体" w:hAnsi="宋体" w:cs="宋体"/>
          <w:szCs w:val="24"/>
          <w:highlight w:val="none"/>
        </w:rPr>
        <w:t>第四章  磋商办法及评分标准</w:t>
      </w:r>
      <w:r>
        <w:tab/>
      </w:r>
      <w:r>
        <w:fldChar w:fldCharType="begin"/>
      </w:r>
      <w:r>
        <w:instrText xml:space="preserve"> PAGEREF _Toc31805 \h </w:instrText>
      </w:r>
      <w:r>
        <w:fldChar w:fldCharType="separate"/>
      </w:r>
      <w:r>
        <w:t>33</w:t>
      </w:r>
      <w:r>
        <w:fldChar w:fldCharType="end"/>
      </w:r>
      <w:r>
        <w:rPr>
          <w:rFonts w:hint="eastAsia" w:ascii="宋体" w:hAnsi="宋体" w:cs="宋体"/>
          <w:color w:val="auto"/>
          <w:highlight w:val="none"/>
        </w:rPr>
        <w:fldChar w:fldCharType="end"/>
      </w:r>
    </w:p>
    <w:p>
      <w:pPr>
        <w:pStyle w:val="30"/>
        <w:tabs>
          <w:tab w:val="right" w:leader="dot" w:pos="9127"/>
        </w:tabs>
      </w:pPr>
      <w:r>
        <w:rPr>
          <w:rFonts w:hint="eastAsia" w:ascii="宋体" w:hAnsi="宋体" w:cs="宋体"/>
          <w:color w:val="auto"/>
          <w:highlight w:val="none"/>
        </w:rPr>
        <w:fldChar w:fldCharType="begin"/>
      </w:r>
      <w:r>
        <w:rPr>
          <w:rFonts w:hint="eastAsia" w:ascii="宋体" w:hAnsi="宋体" w:cs="宋体"/>
          <w:highlight w:val="none"/>
        </w:rPr>
        <w:instrText xml:space="preserve"> HYPERLINK \l _Toc32539 </w:instrText>
      </w:r>
      <w:r>
        <w:rPr>
          <w:rFonts w:hint="eastAsia" w:ascii="宋体" w:hAnsi="宋体" w:cs="宋体"/>
          <w:highlight w:val="none"/>
        </w:rPr>
        <w:fldChar w:fldCharType="separate"/>
      </w:r>
      <w:r>
        <w:rPr>
          <w:rFonts w:hint="eastAsia" w:ascii="宋体" w:hAnsi="宋体" w:cs="宋体"/>
          <w:bCs w:val="0"/>
          <w:szCs w:val="32"/>
        </w:rPr>
        <w:t xml:space="preserve">第五章 </w:t>
      </w:r>
      <w:r>
        <w:rPr>
          <w:rFonts w:hint="eastAsia" w:ascii="宋体" w:hAnsi="宋体" w:cs="宋体"/>
          <w:bCs w:val="0"/>
          <w:szCs w:val="32"/>
          <w:highlight w:val="none"/>
        </w:rPr>
        <w:t>合同主要条款</w:t>
      </w:r>
      <w:r>
        <w:tab/>
      </w:r>
      <w:r>
        <w:fldChar w:fldCharType="begin"/>
      </w:r>
      <w:r>
        <w:instrText xml:space="preserve"> PAGEREF _Toc32539 \h </w:instrText>
      </w:r>
      <w:r>
        <w:fldChar w:fldCharType="separate"/>
      </w:r>
      <w:r>
        <w:t>37</w:t>
      </w:r>
      <w:r>
        <w:fldChar w:fldCharType="end"/>
      </w:r>
      <w:r>
        <w:rPr>
          <w:rFonts w:hint="eastAsia" w:ascii="宋体" w:hAnsi="宋体" w:cs="宋体"/>
          <w:color w:val="auto"/>
          <w:highlight w:val="none"/>
        </w:rPr>
        <w:fldChar w:fldCharType="end"/>
      </w:r>
    </w:p>
    <w:p>
      <w:pPr>
        <w:pStyle w:val="23"/>
        <w:tabs>
          <w:tab w:val="right" w:leader="dot" w:pos="9127"/>
        </w:tabs>
      </w:pPr>
      <w:r>
        <w:rPr>
          <w:rFonts w:hint="eastAsia" w:ascii="宋体" w:hAnsi="宋体" w:cs="宋体"/>
          <w:color w:val="auto"/>
          <w:highlight w:val="none"/>
        </w:rPr>
        <w:fldChar w:fldCharType="begin"/>
      </w:r>
      <w:r>
        <w:rPr>
          <w:rFonts w:hint="eastAsia" w:ascii="宋体" w:hAnsi="宋体" w:cs="宋体"/>
          <w:highlight w:val="none"/>
        </w:rPr>
        <w:instrText xml:space="preserve"> HYPERLINK \l _Toc19588 </w:instrText>
      </w:r>
      <w:r>
        <w:rPr>
          <w:rFonts w:hint="eastAsia" w:ascii="宋体" w:hAnsi="宋体" w:cs="宋体"/>
          <w:highlight w:val="none"/>
        </w:rPr>
        <w:fldChar w:fldCharType="separate"/>
      </w:r>
      <w:r>
        <w:rPr>
          <w:rFonts w:hint="eastAsia" w:ascii="宋体" w:hAnsi="宋体" w:eastAsia="宋体"/>
          <w:bCs w:val="0"/>
          <w:szCs w:val="24"/>
          <w:highlight w:val="none"/>
        </w:rPr>
        <w:t>东阳市政府采购合同（样本）</w:t>
      </w:r>
      <w:r>
        <w:tab/>
      </w:r>
      <w:r>
        <w:fldChar w:fldCharType="begin"/>
      </w:r>
      <w:r>
        <w:instrText xml:space="preserve"> PAGEREF _Toc19588 \h </w:instrText>
      </w:r>
      <w:r>
        <w:fldChar w:fldCharType="separate"/>
      </w:r>
      <w:r>
        <w:t>37</w:t>
      </w:r>
      <w:r>
        <w:fldChar w:fldCharType="end"/>
      </w:r>
      <w:r>
        <w:rPr>
          <w:rFonts w:hint="eastAsia" w:ascii="宋体" w:hAnsi="宋体" w:cs="宋体"/>
          <w:color w:val="auto"/>
          <w:highlight w:val="none"/>
        </w:rPr>
        <w:fldChar w:fldCharType="end"/>
      </w:r>
    </w:p>
    <w:p>
      <w:pPr>
        <w:pStyle w:val="30"/>
        <w:tabs>
          <w:tab w:val="right" w:leader="dot" w:pos="9127"/>
        </w:tabs>
      </w:pPr>
      <w:r>
        <w:rPr>
          <w:rFonts w:hint="eastAsia" w:ascii="宋体" w:hAnsi="宋体" w:cs="宋体"/>
          <w:color w:val="auto"/>
          <w:highlight w:val="none"/>
        </w:rPr>
        <w:fldChar w:fldCharType="begin"/>
      </w:r>
      <w:r>
        <w:rPr>
          <w:rFonts w:hint="eastAsia" w:ascii="宋体" w:hAnsi="宋体" w:cs="宋体"/>
          <w:highlight w:val="none"/>
        </w:rPr>
        <w:instrText xml:space="preserve"> HYPERLINK \l _Toc13168 </w:instrText>
      </w:r>
      <w:r>
        <w:rPr>
          <w:rFonts w:hint="eastAsia" w:ascii="宋体" w:hAnsi="宋体" w:cs="宋体"/>
          <w:highlight w:val="none"/>
        </w:rPr>
        <w:fldChar w:fldCharType="separate"/>
      </w:r>
      <w:r>
        <w:rPr>
          <w:rFonts w:hint="eastAsia" w:ascii="宋体" w:hAnsi="宋体" w:cs="宋体"/>
          <w:szCs w:val="24"/>
          <w:highlight w:val="none"/>
        </w:rPr>
        <w:t>第六章　磋商响应文件组成内容及格式</w:t>
      </w:r>
      <w:r>
        <w:tab/>
      </w:r>
      <w:r>
        <w:fldChar w:fldCharType="begin"/>
      </w:r>
      <w:r>
        <w:instrText xml:space="preserve"> PAGEREF _Toc13168 \h </w:instrText>
      </w:r>
      <w:r>
        <w:fldChar w:fldCharType="separate"/>
      </w:r>
      <w:r>
        <w:t>43</w:t>
      </w:r>
      <w:r>
        <w:fldChar w:fldCharType="end"/>
      </w:r>
      <w:r>
        <w:rPr>
          <w:rFonts w:hint="eastAsia" w:ascii="宋体" w:hAnsi="宋体" w:cs="宋体"/>
          <w:color w:val="auto"/>
          <w:highlight w:val="none"/>
        </w:rPr>
        <w:fldChar w:fldCharType="end"/>
      </w:r>
    </w:p>
    <w:p>
      <w:pPr>
        <w:pStyle w:val="23"/>
        <w:tabs>
          <w:tab w:val="right" w:leader="dot" w:pos="9127"/>
        </w:tabs>
      </w:pPr>
      <w:r>
        <w:rPr>
          <w:rFonts w:hint="eastAsia" w:ascii="宋体" w:hAnsi="宋体" w:cs="宋体"/>
          <w:color w:val="auto"/>
          <w:highlight w:val="none"/>
        </w:rPr>
        <w:fldChar w:fldCharType="begin"/>
      </w:r>
      <w:r>
        <w:rPr>
          <w:rFonts w:hint="eastAsia" w:ascii="宋体" w:hAnsi="宋体" w:cs="宋体"/>
          <w:highlight w:val="none"/>
        </w:rPr>
        <w:instrText xml:space="preserve"> HYPERLINK \l _Toc23972 </w:instrText>
      </w:r>
      <w:r>
        <w:rPr>
          <w:rFonts w:hint="eastAsia" w:ascii="宋体" w:hAnsi="宋体" w:cs="宋体"/>
          <w:highlight w:val="none"/>
        </w:rPr>
        <w:fldChar w:fldCharType="separate"/>
      </w:r>
      <w:r>
        <w:rPr>
          <w:rFonts w:hint="eastAsia" w:ascii="宋体" w:hAnsi="宋体" w:eastAsia="宋体" w:cs="宋体"/>
          <w:szCs w:val="24"/>
          <w:highlight w:val="none"/>
        </w:rPr>
        <w:t>附件一：磋商声明书</w:t>
      </w:r>
      <w:r>
        <w:tab/>
      </w:r>
      <w:r>
        <w:fldChar w:fldCharType="begin"/>
      </w:r>
      <w:r>
        <w:instrText xml:space="preserve"> PAGEREF _Toc23972 \h </w:instrText>
      </w:r>
      <w:r>
        <w:fldChar w:fldCharType="separate"/>
      </w:r>
      <w:r>
        <w:t>46</w:t>
      </w:r>
      <w:r>
        <w:fldChar w:fldCharType="end"/>
      </w:r>
      <w:r>
        <w:rPr>
          <w:rFonts w:hint="eastAsia" w:ascii="宋体" w:hAnsi="宋体" w:cs="宋体"/>
          <w:color w:val="auto"/>
          <w:highlight w:val="none"/>
        </w:rPr>
        <w:fldChar w:fldCharType="end"/>
      </w:r>
    </w:p>
    <w:p>
      <w:pPr>
        <w:pStyle w:val="23"/>
        <w:tabs>
          <w:tab w:val="right" w:leader="dot" w:pos="9127"/>
        </w:tabs>
      </w:pPr>
      <w:r>
        <w:rPr>
          <w:rFonts w:hint="eastAsia" w:ascii="宋体" w:hAnsi="宋体" w:cs="宋体"/>
          <w:color w:val="auto"/>
          <w:highlight w:val="none"/>
        </w:rPr>
        <w:fldChar w:fldCharType="begin"/>
      </w:r>
      <w:r>
        <w:rPr>
          <w:rFonts w:hint="eastAsia" w:ascii="宋体" w:hAnsi="宋体" w:cs="宋体"/>
          <w:highlight w:val="none"/>
        </w:rPr>
        <w:instrText xml:space="preserve"> HYPERLINK \l _Toc7379 </w:instrText>
      </w:r>
      <w:r>
        <w:rPr>
          <w:rFonts w:hint="eastAsia" w:ascii="宋体" w:hAnsi="宋体" w:cs="宋体"/>
          <w:highlight w:val="none"/>
        </w:rPr>
        <w:fldChar w:fldCharType="separate"/>
      </w:r>
      <w:r>
        <w:rPr>
          <w:rFonts w:hint="eastAsia" w:ascii="宋体" w:hAnsi="宋体" w:eastAsia="宋体" w:cs="宋体"/>
          <w:bCs w:val="0"/>
          <w:szCs w:val="24"/>
          <w:highlight w:val="none"/>
        </w:rPr>
        <w:t>附件二：符合参加政府采购活动应当具备的一般条件的承诺函</w:t>
      </w:r>
      <w:r>
        <w:tab/>
      </w:r>
      <w:r>
        <w:fldChar w:fldCharType="begin"/>
      </w:r>
      <w:r>
        <w:instrText xml:space="preserve"> PAGEREF _Toc7379 \h </w:instrText>
      </w:r>
      <w:r>
        <w:fldChar w:fldCharType="separate"/>
      </w:r>
      <w:r>
        <w:t>47</w:t>
      </w:r>
      <w:r>
        <w:fldChar w:fldCharType="end"/>
      </w:r>
      <w:r>
        <w:rPr>
          <w:rFonts w:hint="eastAsia" w:ascii="宋体" w:hAnsi="宋体" w:cs="宋体"/>
          <w:color w:val="auto"/>
          <w:highlight w:val="none"/>
        </w:rPr>
        <w:fldChar w:fldCharType="end"/>
      </w:r>
    </w:p>
    <w:p>
      <w:pPr>
        <w:pStyle w:val="23"/>
        <w:tabs>
          <w:tab w:val="right" w:leader="dot" w:pos="9127"/>
        </w:tabs>
      </w:pPr>
      <w:r>
        <w:rPr>
          <w:rFonts w:hint="eastAsia" w:ascii="宋体" w:hAnsi="宋体" w:cs="宋体"/>
          <w:color w:val="auto"/>
          <w:highlight w:val="none"/>
        </w:rPr>
        <w:fldChar w:fldCharType="begin"/>
      </w:r>
      <w:r>
        <w:rPr>
          <w:rFonts w:hint="eastAsia" w:ascii="宋体" w:hAnsi="宋体" w:cs="宋体"/>
          <w:highlight w:val="none"/>
        </w:rPr>
        <w:instrText xml:space="preserve"> HYPERLINK \l _Toc21972 </w:instrText>
      </w:r>
      <w:r>
        <w:rPr>
          <w:rFonts w:hint="eastAsia" w:ascii="宋体" w:hAnsi="宋体" w:cs="宋体"/>
          <w:highlight w:val="none"/>
        </w:rPr>
        <w:fldChar w:fldCharType="separate"/>
      </w:r>
      <w:r>
        <w:rPr>
          <w:rFonts w:hint="eastAsia" w:ascii="宋体" w:hAnsi="宋体" w:eastAsia="宋体" w:cs="宋体"/>
          <w:bCs w:val="0"/>
          <w:szCs w:val="24"/>
          <w:highlight w:val="none"/>
        </w:rPr>
        <w:t>附件三：政府采购活动现场确认声明书</w:t>
      </w:r>
      <w:r>
        <w:tab/>
      </w:r>
      <w:r>
        <w:fldChar w:fldCharType="begin"/>
      </w:r>
      <w:r>
        <w:instrText xml:space="preserve"> PAGEREF _Toc21972 \h </w:instrText>
      </w:r>
      <w:r>
        <w:fldChar w:fldCharType="separate"/>
      </w:r>
      <w:r>
        <w:t>48</w:t>
      </w:r>
      <w:r>
        <w:fldChar w:fldCharType="end"/>
      </w:r>
      <w:r>
        <w:rPr>
          <w:rFonts w:hint="eastAsia" w:ascii="宋体" w:hAnsi="宋体" w:cs="宋体"/>
          <w:color w:val="auto"/>
          <w:highlight w:val="none"/>
        </w:rPr>
        <w:fldChar w:fldCharType="end"/>
      </w:r>
    </w:p>
    <w:p>
      <w:pPr>
        <w:pStyle w:val="23"/>
        <w:tabs>
          <w:tab w:val="right" w:leader="dot" w:pos="9127"/>
        </w:tabs>
      </w:pPr>
      <w:r>
        <w:rPr>
          <w:rFonts w:hint="eastAsia" w:ascii="宋体" w:hAnsi="宋体" w:cs="宋体"/>
          <w:color w:val="auto"/>
          <w:highlight w:val="none"/>
        </w:rPr>
        <w:fldChar w:fldCharType="begin"/>
      </w:r>
      <w:r>
        <w:rPr>
          <w:rFonts w:hint="eastAsia" w:ascii="宋体" w:hAnsi="宋体" w:cs="宋体"/>
          <w:highlight w:val="none"/>
        </w:rPr>
        <w:instrText xml:space="preserve"> HYPERLINK \l _Toc30548 </w:instrText>
      </w:r>
      <w:r>
        <w:rPr>
          <w:rFonts w:hint="eastAsia" w:ascii="宋体" w:hAnsi="宋体" w:cs="宋体"/>
          <w:highlight w:val="none"/>
        </w:rPr>
        <w:fldChar w:fldCharType="separate"/>
      </w:r>
      <w:r>
        <w:rPr>
          <w:rFonts w:hint="eastAsia" w:ascii="宋体" w:hAnsi="宋体" w:eastAsia="宋体" w:cs="宋体"/>
          <w:szCs w:val="24"/>
          <w:highlight w:val="none"/>
        </w:rPr>
        <w:t>附件四：法定代表人授权委托书</w:t>
      </w:r>
      <w:r>
        <w:tab/>
      </w:r>
      <w:r>
        <w:fldChar w:fldCharType="begin"/>
      </w:r>
      <w:r>
        <w:instrText xml:space="preserve"> PAGEREF _Toc30548 \h </w:instrText>
      </w:r>
      <w:r>
        <w:fldChar w:fldCharType="separate"/>
      </w:r>
      <w:r>
        <w:t>49</w:t>
      </w:r>
      <w:r>
        <w:fldChar w:fldCharType="end"/>
      </w:r>
      <w:r>
        <w:rPr>
          <w:rFonts w:hint="eastAsia" w:ascii="宋体" w:hAnsi="宋体" w:cs="宋体"/>
          <w:color w:val="auto"/>
          <w:highlight w:val="none"/>
        </w:rPr>
        <w:fldChar w:fldCharType="end"/>
      </w:r>
    </w:p>
    <w:p>
      <w:pPr>
        <w:pStyle w:val="23"/>
        <w:tabs>
          <w:tab w:val="right" w:leader="dot" w:pos="9127"/>
        </w:tabs>
      </w:pPr>
      <w:r>
        <w:rPr>
          <w:rFonts w:hint="eastAsia" w:ascii="宋体" w:hAnsi="宋体" w:cs="宋体"/>
          <w:color w:val="auto"/>
          <w:highlight w:val="none"/>
        </w:rPr>
        <w:fldChar w:fldCharType="begin"/>
      </w:r>
      <w:r>
        <w:rPr>
          <w:rFonts w:hint="eastAsia" w:ascii="宋体" w:hAnsi="宋体" w:cs="宋体"/>
          <w:highlight w:val="none"/>
        </w:rPr>
        <w:instrText xml:space="preserve"> HYPERLINK \l _Toc23734 </w:instrText>
      </w:r>
      <w:r>
        <w:rPr>
          <w:rFonts w:hint="eastAsia" w:ascii="宋体" w:hAnsi="宋体" w:cs="宋体"/>
          <w:highlight w:val="none"/>
        </w:rPr>
        <w:fldChar w:fldCharType="separate"/>
      </w:r>
      <w:r>
        <w:rPr>
          <w:rFonts w:hint="eastAsia" w:ascii="宋体" w:hAnsi="宋体" w:eastAsia="宋体" w:cs="宋体"/>
          <w:szCs w:val="24"/>
          <w:highlight w:val="none"/>
        </w:rPr>
        <w:t>附件五：联合体协议</w:t>
      </w:r>
      <w:r>
        <w:tab/>
      </w:r>
      <w:r>
        <w:fldChar w:fldCharType="begin"/>
      </w:r>
      <w:r>
        <w:instrText xml:space="preserve"> PAGEREF _Toc23734 \h </w:instrText>
      </w:r>
      <w:r>
        <w:fldChar w:fldCharType="separate"/>
      </w:r>
      <w:r>
        <w:t>50</w:t>
      </w:r>
      <w:r>
        <w:fldChar w:fldCharType="end"/>
      </w:r>
      <w:r>
        <w:rPr>
          <w:rFonts w:hint="eastAsia" w:ascii="宋体" w:hAnsi="宋体" w:cs="宋体"/>
          <w:color w:val="auto"/>
          <w:highlight w:val="none"/>
        </w:rPr>
        <w:fldChar w:fldCharType="end"/>
      </w:r>
    </w:p>
    <w:p>
      <w:pPr>
        <w:pStyle w:val="23"/>
        <w:tabs>
          <w:tab w:val="right" w:leader="dot" w:pos="9127"/>
        </w:tabs>
      </w:pPr>
      <w:r>
        <w:rPr>
          <w:rFonts w:hint="eastAsia" w:ascii="宋体" w:hAnsi="宋体" w:cs="宋体"/>
          <w:color w:val="auto"/>
          <w:highlight w:val="none"/>
        </w:rPr>
        <w:fldChar w:fldCharType="begin"/>
      </w:r>
      <w:r>
        <w:rPr>
          <w:rFonts w:hint="eastAsia" w:ascii="宋体" w:hAnsi="宋体" w:cs="宋体"/>
          <w:highlight w:val="none"/>
        </w:rPr>
        <w:instrText xml:space="preserve"> HYPERLINK \l _Toc160 </w:instrText>
      </w:r>
      <w:r>
        <w:rPr>
          <w:rFonts w:hint="eastAsia" w:ascii="宋体" w:hAnsi="宋体" w:cs="宋体"/>
          <w:highlight w:val="none"/>
        </w:rPr>
        <w:fldChar w:fldCharType="separate"/>
      </w:r>
      <w:r>
        <w:rPr>
          <w:rFonts w:hint="eastAsia" w:ascii="宋体" w:hAnsi="宋体" w:eastAsia="宋体" w:cs="宋体"/>
          <w:szCs w:val="24"/>
          <w:highlight w:val="none"/>
        </w:rPr>
        <w:t>附件六：分包意向协议</w:t>
      </w:r>
      <w:r>
        <w:tab/>
      </w:r>
      <w:r>
        <w:fldChar w:fldCharType="begin"/>
      </w:r>
      <w:r>
        <w:instrText xml:space="preserve"> PAGEREF _Toc160 \h </w:instrText>
      </w:r>
      <w:r>
        <w:fldChar w:fldCharType="separate"/>
      </w:r>
      <w:r>
        <w:t>51</w:t>
      </w:r>
      <w:r>
        <w:fldChar w:fldCharType="end"/>
      </w:r>
      <w:r>
        <w:rPr>
          <w:rFonts w:hint="eastAsia" w:ascii="宋体" w:hAnsi="宋体" w:cs="宋体"/>
          <w:color w:val="auto"/>
          <w:highlight w:val="none"/>
        </w:rPr>
        <w:fldChar w:fldCharType="end"/>
      </w:r>
    </w:p>
    <w:p>
      <w:pPr>
        <w:pStyle w:val="23"/>
        <w:tabs>
          <w:tab w:val="right" w:leader="dot" w:pos="9127"/>
        </w:tabs>
      </w:pPr>
      <w:r>
        <w:rPr>
          <w:rFonts w:hint="eastAsia" w:ascii="宋体" w:hAnsi="宋体" w:cs="宋体"/>
          <w:color w:val="auto"/>
          <w:highlight w:val="none"/>
        </w:rPr>
        <w:fldChar w:fldCharType="begin"/>
      </w:r>
      <w:r>
        <w:rPr>
          <w:rFonts w:hint="eastAsia" w:ascii="宋体" w:hAnsi="宋体" w:cs="宋体"/>
          <w:highlight w:val="none"/>
        </w:rPr>
        <w:instrText xml:space="preserve"> HYPERLINK \l _Toc17320 </w:instrText>
      </w:r>
      <w:r>
        <w:rPr>
          <w:rFonts w:hint="eastAsia" w:ascii="宋体" w:hAnsi="宋体" w:cs="宋体"/>
          <w:highlight w:val="none"/>
        </w:rPr>
        <w:fldChar w:fldCharType="separate"/>
      </w:r>
      <w:r>
        <w:rPr>
          <w:rFonts w:hint="eastAsia" w:ascii="宋体" w:hAnsi="宋体" w:eastAsia="宋体" w:cs="宋体"/>
          <w:szCs w:val="24"/>
          <w:highlight w:val="none"/>
        </w:rPr>
        <w:t>附件七：供应商资信商务、技术自评得分表</w:t>
      </w:r>
      <w:r>
        <w:tab/>
      </w:r>
      <w:r>
        <w:fldChar w:fldCharType="begin"/>
      </w:r>
      <w:r>
        <w:instrText xml:space="preserve"> PAGEREF _Toc17320 \h </w:instrText>
      </w:r>
      <w:r>
        <w:fldChar w:fldCharType="separate"/>
      </w:r>
      <w:r>
        <w:t>52</w:t>
      </w:r>
      <w:r>
        <w:fldChar w:fldCharType="end"/>
      </w:r>
      <w:r>
        <w:rPr>
          <w:rFonts w:hint="eastAsia" w:ascii="宋体" w:hAnsi="宋体" w:cs="宋体"/>
          <w:color w:val="auto"/>
          <w:highlight w:val="none"/>
        </w:rPr>
        <w:fldChar w:fldCharType="end"/>
      </w:r>
    </w:p>
    <w:p>
      <w:pPr>
        <w:pStyle w:val="23"/>
        <w:tabs>
          <w:tab w:val="right" w:leader="dot" w:pos="9127"/>
        </w:tabs>
      </w:pPr>
      <w:r>
        <w:rPr>
          <w:rFonts w:hint="eastAsia" w:ascii="宋体" w:hAnsi="宋体" w:cs="宋体"/>
          <w:color w:val="auto"/>
          <w:highlight w:val="none"/>
        </w:rPr>
        <w:fldChar w:fldCharType="begin"/>
      </w:r>
      <w:r>
        <w:rPr>
          <w:rFonts w:hint="eastAsia" w:ascii="宋体" w:hAnsi="宋体" w:cs="宋体"/>
          <w:highlight w:val="none"/>
        </w:rPr>
        <w:instrText xml:space="preserve"> HYPERLINK \l _Toc11629 </w:instrText>
      </w:r>
      <w:r>
        <w:rPr>
          <w:rFonts w:hint="eastAsia" w:ascii="宋体" w:hAnsi="宋体" w:cs="宋体"/>
          <w:highlight w:val="none"/>
        </w:rPr>
        <w:fldChar w:fldCharType="separate"/>
      </w:r>
      <w:r>
        <w:rPr>
          <w:rFonts w:hint="eastAsia" w:ascii="宋体" w:hAnsi="宋体" w:eastAsia="宋体" w:cs="宋体"/>
          <w:szCs w:val="24"/>
          <w:highlight w:val="none"/>
        </w:rPr>
        <w:t>附件八：商务响应表</w:t>
      </w:r>
      <w:r>
        <w:tab/>
      </w:r>
      <w:r>
        <w:fldChar w:fldCharType="begin"/>
      </w:r>
      <w:r>
        <w:instrText xml:space="preserve"> PAGEREF _Toc11629 \h </w:instrText>
      </w:r>
      <w:r>
        <w:fldChar w:fldCharType="separate"/>
      </w:r>
      <w:r>
        <w:t>53</w:t>
      </w:r>
      <w:r>
        <w:fldChar w:fldCharType="end"/>
      </w:r>
      <w:r>
        <w:rPr>
          <w:rFonts w:hint="eastAsia" w:ascii="宋体" w:hAnsi="宋体" w:cs="宋体"/>
          <w:color w:val="auto"/>
          <w:highlight w:val="none"/>
        </w:rPr>
        <w:fldChar w:fldCharType="end"/>
      </w:r>
    </w:p>
    <w:p>
      <w:pPr>
        <w:pStyle w:val="23"/>
        <w:tabs>
          <w:tab w:val="right" w:leader="dot" w:pos="9127"/>
        </w:tabs>
      </w:pPr>
      <w:r>
        <w:rPr>
          <w:rFonts w:hint="eastAsia" w:ascii="宋体" w:hAnsi="宋体" w:cs="宋体"/>
          <w:color w:val="auto"/>
          <w:highlight w:val="none"/>
        </w:rPr>
        <w:fldChar w:fldCharType="begin"/>
      </w:r>
      <w:r>
        <w:rPr>
          <w:rFonts w:hint="eastAsia" w:ascii="宋体" w:hAnsi="宋体" w:cs="宋体"/>
          <w:highlight w:val="none"/>
        </w:rPr>
        <w:instrText xml:space="preserve"> HYPERLINK \l _Toc23026 </w:instrText>
      </w:r>
      <w:r>
        <w:rPr>
          <w:rFonts w:hint="eastAsia" w:ascii="宋体" w:hAnsi="宋体" w:cs="宋体"/>
          <w:highlight w:val="none"/>
        </w:rPr>
        <w:fldChar w:fldCharType="separate"/>
      </w:r>
      <w:r>
        <w:rPr>
          <w:rFonts w:hint="eastAsia" w:ascii="宋体" w:hAnsi="宋体" w:eastAsia="宋体" w:cs="宋体"/>
          <w:bCs w:val="0"/>
          <w:szCs w:val="24"/>
          <w:highlight w:val="none"/>
        </w:rPr>
        <w:t>附件九：技术响应表</w:t>
      </w:r>
      <w:r>
        <w:tab/>
      </w:r>
      <w:r>
        <w:fldChar w:fldCharType="begin"/>
      </w:r>
      <w:r>
        <w:instrText xml:space="preserve"> PAGEREF _Toc23026 \h </w:instrText>
      </w:r>
      <w:r>
        <w:fldChar w:fldCharType="separate"/>
      </w:r>
      <w:r>
        <w:t>54</w:t>
      </w:r>
      <w:r>
        <w:fldChar w:fldCharType="end"/>
      </w:r>
      <w:r>
        <w:rPr>
          <w:rFonts w:hint="eastAsia" w:ascii="宋体" w:hAnsi="宋体" w:cs="宋体"/>
          <w:color w:val="auto"/>
          <w:highlight w:val="none"/>
        </w:rPr>
        <w:fldChar w:fldCharType="end"/>
      </w:r>
    </w:p>
    <w:p>
      <w:pPr>
        <w:pStyle w:val="23"/>
        <w:tabs>
          <w:tab w:val="right" w:leader="dot" w:pos="9127"/>
        </w:tabs>
      </w:pPr>
      <w:r>
        <w:rPr>
          <w:rFonts w:hint="eastAsia" w:ascii="宋体" w:hAnsi="宋体" w:cs="宋体"/>
          <w:color w:val="auto"/>
          <w:highlight w:val="none"/>
        </w:rPr>
        <w:fldChar w:fldCharType="begin"/>
      </w:r>
      <w:r>
        <w:rPr>
          <w:rFonts w:hint="eastAsia" w:ascii="宋体" w:hAnsi="宋体" w:cs="宋体"/>
          <w:highlight w:val="none"/>
        </w:rPr>
        <w:instrText xml:space="preserve"> HYPERLINK \l _Toc20368 </w:instrText>
      </w:r>
      <w:r>
        <w:rPr>
          <w:rFonts w:hint="eastAsia" w:ascii="宋体" w:hAnsi="宋体" w:cs="宋体"/>
          <w:highlight w:val="none"/>
        </w:rPr>
        <w:fldChar w:fldCharType="separate"/>
      </w:r>
      <w:r>
        <w:rPr>
          <w:rFonts w:hint="eastAsia" w:ascii="宋体" w:hAnsi="宋体" w:eastAsia="宋体" w:cs="宋体"/>
          <w:bCs w:val="0"/>
          <w:szCs w:val="24"/>
          <w:highlight w:val="none"/>
        </w:rPr>
        <w:t>附件</w:t>
      </w:r>
      <w:r>
        <w:rPr>
          <w:rFonts w:hint="eastAsia" w:ascii="宋体" w:hAnsi="宋体" w:eastAsia="宋体" w:cs="宋体"/>
          <w:bCs w:val="0"/>
          <w:szCs w:val="24"/>
          <w:highlight w:val="none"/>
          <w:lang w:val="en-US" w:eastAsia="zh-CN"/>
        </w:rPr>
        <w:t>十</w:t>
      </w:r>
      <w:r>
        <w:rPr>
          <w:rFonts w:hint="eastAsia" w:ascii="宋体" w:hAnsi="宋体" w:eastAsia="宋体" w:cs="宋体"/>
          <w:bCs w:val="0"/>
          <w:szCs w:val="24"/>
          <w:highlight w:val="none"/>
        </w:rPr>
        <w:t>：安全生产及其他承诺函</w:t>
      </w:r>
      <w:r>
        <w:tab/>
      </w:r>
      <w:r>
        <w:fldChar w:fldCharType="begin"/>
      </w:r>
      <w:r>
        <w:instrText xml:space="preserve"> PAGEREF _Toc20368 \h </w:instrText>
      </w:r>
      <w:r>
        <w:fldChar w:fldCharType="separate"/>
      </w:r>
      <w:r>
        <w:t>55</w:t>
      </w:r>
      <w:r>
        <w:fldChar w:fldCharType="end"/>
      </w:r>
      <w:r>
        <w:rPr>
          <w:rFonts w:hint="eastAsia" w:ascii="宋体" w:hAnsi="宋体" w:cs="宋体"/>
          <w:color w:val="auto"/>
          <w:highlight w:val="none"/>
        </w:rPr>
        <w:fldChar w:fldCharType="end"/>
      </w:r>
    </w:p>
    <w:p>
      <w:pPr>
        <w:pStyle w:val="23"/>
        <w:tabs>
          <w:tab w:val="right" w:leader="dot" w:pos="9127"/>
        </w:tabs>
      </w:pPr>
      <w:r>
        <w:rPr>
          <w:rFonts w:hint="eastAsia" w:ascii="宋体" w:hAnsi="宋体" w:cs="宋体"/>
          <w:color w:val="auto"/>
          <w:highlight w:val="none"/>
        </w:rPr>
        <w:fldChar w:fldCharType="begin"/>
      </w:r>
      <w:r>
        <w:rPr>
          <w:rFonts w:hint="eastAsia" w:ascii="宋体" w:hAnsi="宋体" w:cs="宋体"/>
          <w:highlight w:val="none"/>
        </w:rPr>
        <w:instrText xml:space="preserve"> HYPERLINK \l _Toc4897 </w:instrText>
      </w:r>
      <w:r>
        <w:rPr>
          <w:rFonts w:hint="eastAsia" w:ascii="宋体" w:hAnsi="宋体" w:cs="宋体"/>
          <w:highlight w:val="none"/>
        </w:rPr>
        <w:fldChar w:fldCharType="separate"/>
      </w:r>
      <w:r>
        <w:rPr>
          <w:rFonts w:hint="eastAsia" w:ascii="宋体" w:hAnsi="宋体" w:eastAsia="宋体" w:cs="宋体"/>
          <w:bCs w:val="0"/>
          <w:szCs w:val="24"/>
          <w:highlight w:val="none"/>
        </w:rPr>
        <w:t>附件十</w:t>
      </w:r>
      <w:r>
        <w:rPr>
          <w:rFonts w:hint="eastAsia" w:ascii="宋体" w:hAnsi="宋体" w:eastAsia="宋体" w:cs="宋体"/>
          <w:bCs w:val="0"/>
          <w:szCs w:val="24"/>
          <w:highlight w:val="none"/>
          <w:lang w:val="en-US" w:eastAsia="zh-CN"/>
        </w:rPr>
        <w:t>一</w:t>
      </w:r>
      <w:r>
        <w:rPr>
          <w:rFonts w:hint="eastAsia" w:ascii="宋体" w:hAnsi="宋体" w:eastAsia="宋体" w:cs="宋体"/>
          <w:bCs w:val="0"/>
          <w:szCs w:val="24"/>
          <w:highlight w:val="none"/>
        </w:rPr>
        <w:t>：拟投入本项目人员一览表</w:t>
      </w:r>
      <w:r>
        <w:tab/>
      </w:r>
      <w:r>
        <w:fldChar w:fldCharType="begin"/>
      </w:r>
      <w:r>
        <w:instrText xml:space="preserve"> PAGEREF _Toc4897 \h </w:instrText>
      </w:r>
      <w:r>
        <w:fldChar w:fldCharType="separate"/>
      </w:r>
      <w:r>
        <w:t>56</w:t>
      </w:r>
      <w:r>
        <w:fldChar w:fldCharType="end"/>
      </w:r>
      <w:r>
        <w:rPr>
          <w:rFonts w:hint="eastAsia" w:ascii="宋体" w:hAnsi="宋体" w:cs="宋体"/>
          <w:color w:val="auto"/>
          <w:highlight w:val="none"/>
        </w:rPr>
        <w:fldChar w:fldCharType="end"/>
      </w:r>
    </w:p>
    <w:p>
      <w:pPr>
        <w:pStyle w:val="23"/>
        <w:tabs>
          <w:tab w:val="right" w:leader="dot" w:pos="9127"/>
        </w:tabs>
      </w:pPr>
      <w:r>
        <w:rPr>
          <w:rFonts w:hint="eastAsia" w:ascii="宋体" w:hAnsi="宋体" w:cs="宋体"/>
          <w:color w:val="auto"/>
          <w:highlight w:val="none"/>
        </w:rPr>
        <w:fldChar w:fldCharType="begin"/>
      </w:r>
      <w:r>
        <w:rPr>
          <w:rFonts w:hint="eastAsia" w:ascii="宋体" w:hAnsi="宋体" w:cs="宋体"/>
          <w:highlight w:val="none"/>
        </w:rPr>
        <w:instrText xml:space="preserve"> HYPERLINK \l _Toc22881 </w:instrText>
      </w:r>
      <w:r>
        <w:rPr>
          <w:rFonts w:hint="eastAsia" w:ascii="宋体" w:hAnsi="宋体" w:cs="宋体"/>
          <w:highlight w:val="none"/>
        </w:rPr>
        <w:fldChar w:fldCharType="separate"/>
      </w:r>
      <w:r>
        <w:rPr>
          <w:rFonts w:hint="eastAsia" w:ascii="宋体" w:hAnsi="宋体" w:eastAsia="宋体" w:cs="宋体"/>
          <w:kern w:val="0"/>
          <w:szCs w:val="20"/>
          <w:highlight w:val="none"/>
        </w:rPr>
        <w:t>附件十</w:t>
      </w:r>
      <w:r>
        <w:rPr>
          <w:rFonts w:hint="eastAsia" w:ascii="宋体" w:hAnsi="宋体" w:eastAsia="宋体" w:cs="宋体"/>
          <w:kern w:val="0"/>
          <w:szCs w:val="20"/>
          <w:highlight w:val="none"/>
          <w:lang w:val="en-US" w:eastAsia="zh-CN"/>
        </w:rPr>
        <w:t>二</w:t>
      </w:r>
      <w:r>
        <w:rPr>
          <w:rFonts w:hint="eastAsia" w:ascii="宋体" w:hAnsi="宋体" w:eastAsia="宋体" w:cs="宋体"/>
          <w:kern w:val="0"/>
          <w:szCs w:val="20"/>
          <w:highlight w:val="none"/>
        </w:rPr>
        <w:t>：同类项目业绩</w:t>
      </w:r>
      <w:r>
        <w:tab/>
      </w:r>
      <w:r>
        <w:fldChar w:fldCharType="begin"/>
      </w:r>
      <w:r>
        <w:instrText xml:space="preserve"> PAGEREF _Toc22881 \h </w:instrText>
      </w:r>
      <w:r>
        <w:fldChar w:fldCharType="separate"/>
      </w:r>
      <w:r>
        <w:t>57</w:t>
      </w:r>
      <w:r>
        <w:fldChar w:fldCharType="end"/>
      </w:r>
      <w:r>
        <w:rPr>
          <w:rFonts w:hint="eastAsia" w:ascii="宋体" w:hAnsi="宋体" w:cs="宋体"/>
          <w:color w:val="auto"/>
          <w:highlight w:val="none"/>
        </w:rPr>
        <w:fldChar w:fldCharType="end"/>
      </w:r>
    </w:p>
    <w:p>
      <w:pPr>
        <w:pStyle w:val="23"/>
        <w:tabs>
          <w:tab w:val="right" w:leader="dot" w:pos="9127"/>
        </w:tabs>
      </w:pPr>
      <w:r>
        <w:rPr>
          <w:rFonts w:hint="eastAsia" w:ascii="宋体" w:hAnsi="宋体" w:cs="宋体"/>
          <w:color w:val="auto"/>
          <w:highlight w:val="none"/>
        </w:rPr>
        <w:fldChar w:fldCharType="begin"/>
      </w:r>
      <w:r>
        <w:rPr>
          <w:rFonts w:hint="eastAsia" w:ascii="宋体" w:hAnsi="宋体" w:cs="宋体"/>
          <w:highlight w:val="none"/>
        </w:rPr>
        <w:instrText xml:space="preserve"> HYPERLINK \l _Toc6458 </w:instrText>
      </w:r>
      <w:r>
        <w:rPr>
          <w:rFonts w:hint="eastAsia" w:ascii="宋体" w:hAnsi="宋体" w:cs="宋体"/>
          <w:highlight w:val="none"/>
        </w:rPr>
        <w:fldChar w:fldCharType="separate"/>
      </w:r>
      <w:r>
        <w:rPr>
          <w:rFonts w:hint="eastAsia" w:ascii="宋体" w:hAnsi="宋体" w:cs="宋体"/>
          <w:bCs/>
          <w:highlight w:val="none"/>
        </w:rPr>
        <w:t>附件十</w:t>
      </w:r>
      <w:r>
        <w:rPr>
          <w:rFonts w:hint="eastAsia" w:ascii="宋体" w:hAnsi="宋体" w:cs="宋体"/>
          <w:bCs/>
          <w:highlight w:val="none"/>
          <w:lang w:val="en-US" w:eastAsia="zh-CN"/>
        </w:rPr>
        <w:t>三</w:t>
      </w:r>
      <w:r>
        <w:rPr>
          <w:rFonts w:hint="eastAsia" w:ascii="宋体" w:hAnsi="宋体" w:cs="宋体"/>
          <w:bCs/>
          <w:highlight w:val="none"/>
        </w:rPr>
        <w:t>：服务费承诺书</w:t>
      </w:r>
      <w:r>
        <w:tab/>
      </w:r>
      <w:r>
        <w:fldChar w:fldCharType="begin"/>
      </w:r>
      <w:r>
        <w:instrText xml:space="preserve"> PAGEREF _Toc6458 \h </w:instrText>
      </w:r>
      <w:r>
        <w:fldChar w:fldCharType="separate"/>
      </w:r>
      <w:r>
        <w:t>58</w:t>
      </w:r>
      <w:r>
        <w:fldChar w:fldCharType="end"/>
      </w:r>
      <w:r>
        <w:rPr>
          <w:rFonts w:hint="eastAsia" w:ascii="宋体" w:hAnsi="宋体" w:cs="宋体"/>
          <w:color w:val="auto"/>
          <w:highlight w:val="none"/>
        </w:rPr>
        <w:fldChar w:fldCharType="end"/>
      </w:r>
    </w:p>
    <w:p>
      <w:pPr>
        <w:pStyle w:val="23"/>
        <w:tabs>
          <w:tab w:val="right" w:leader="dot" w:pos="9127"/>
        </w:tabs>
      </w:pPr>
      <w:r>
        <w:rPr>
          <w:rFonts w:hint="eastAsia" w:ascii="宋体" w:hAnsi="宋体" w:cs="宋体"/>
          <w:color w:val="auto"/>
          <w:highlight w:val="none"/>
        </w:rPr>
        <w:fldChar w:fldCharType="begin"/>
      </w:r>
      <w:r>
        <w:rPr>
          <w:rFonts w:hint="eastAsia" w:ascii="宋体" w:hAnsi="宋体" w:cs="宋体"/>
          <w:highlight w:val="none"/>
        </w:rPr>
        <w:instrText xml:space="preserve"> HYPERLINK \l _Toc4501 </w:instrText>
      </w:r>
      <w:r>
        <w:rPr>
          <w:rFonts w:hint="eastAsia" w:ascii="宋体" w:hAnsi="宋体" w:cs="宋体"/>
          <w:highlight w:val="none"/>
        </w:rPr>
        <w:fldChar w:fldCharType="separate"/>
      </w:r>
      <w:r>
        <w:rPr>
          <w:rFonts w:hint="eastAsia" w:ascii="宋体" w:hAnsi="宋体" w:cs="宋体"/>
          <w:bCs/>
          <w:highlight w:val="none"/>
        </w:rPr>
        <w:t>附件十</w:t>
      </w:r>
      <w:r>
        <w:rPr>
          <w:rFonts w:hint="eastAsia" w:ascii="宋体" w:hAnsi="宋体" w:cs="宋体"/>
          <w:bCs/>
          <w:highlight w:val="none"/>
          <w:lang w:val="en-US" w:eastAsia="zh-CN"/>
        </w:rPr>
        <w:t>四</w:t>
      </w:r>
      <w:r>
        <w:rPr>
          <w:rFonts w:hint="eastAsia" w:ascii="宋体" w:hAnsi="宋体" w:cs="宋体"/>
          <w:bCs/>
          <w:highlight w:val="none"/>
        </w:rPr>
        <w:t>:磋商函</w:t>
      </w:r>
      <w:r>
        <w:tab/>
      </w:r>
      <w:r>
        <w:fldChar w:fldCharType="begin"/>
      </w:r>
      <w:r>
        <w:instrText xml:space="preserve"> PAGEREF _Toc4501 \h </w:instrText>
      </w:r>
      <w:r>
        <w:fldChar w:fldCharType="separate"/>
      </w:r>
      <w:r>
        <w:t>59</w:t>
      </w:r>
      <w:r>
        <w:fldChar w:fldCharType="end"/>
      </w:r>
      <w:r>
        <w:rPr>
          <w:rFonts w:hint="eastAsia" w:ascii="宋体" w:hAnsi="宋体" w:cs="宋体"/>
          <w:color w:val="auto"/>
          <w:highlight w:val="none"/>
        </w:rPr>
        <w:fldChar w:fldCharType="end"/>
      </w:r>
    </w:p>
    <w:p>
      <w:pPr>
        <w:pStyle w:val="23"/>
        <w:tabs>
          <w:tab w:val="right" w:leader="dot" w:pos="9127"/>
        </w:tabs>
      </w:pPr>
      <w:r>
        <w:rPr>
          <w:rFonts w:hint="eastAsia" w:ascii="宋体" w:hAnsi="宋体" w:cs="宋体"/>
          <w:color w:val="auto"/>
          <w:highlight w:val="none"/>
        </w:rPr>
        <w:fldChar w:fldCharType="begin"/>
      </w:r>
      <w:r>
        <w:rPr>
          <w:rFonts w:hint="eastAsia" w:ascii="宋体" w:hAnsi="宋体" w:cs="宋体"/>
          <w:highlight w:val="none"/>
        </w:rPr>
        <w:instrText xml:space="preserve"> HYPERLINK \l _Toc29118 </w:instrText>
      </w:r>
      <w:r>
        <w:rPr>
          <w:rFonts w:hint="eastAsia" w:ascii="宋体" w:hAnsi="宋体" w:cs="宋体"/>
          <w:highlight w:val="none"/>
        </w:rPr>
        <w:fldChar w:fldCharType="separate"/>
      </w:r>
      <w:r>
        <w:rPr>
          <w:rFonts w:hint="eastAsia" w:ascii="宋体" w:hAnsi="宋体"/>
          <w:bCs/>
          <w:highlight w:val="none"/>
        </w:rPr>
        <w:t>附件十</w:t>
      </w:r>
      <w:r>
        <w:rPr>
          <w:rFonts w:hint="eastAsia" w:ascii="宋体" w:hAnsi="宋体"/>
          <w:bCs/>
          <w:highlight w:val="none"/>
          <w:lang w:val="en-US" w:eastAsia="zh-CN"/>
        </w:rPr>
        <w:t>五</w:t>
      </w:r>
      <w:r>
        <w:rPr>
          <w:rFonts w:hint="eastAsia" w:ascii="宋体" w:hAnsi="宋体"/>
          <w:bCs/>
          <w:highlight w:val="none"/>
        </w:rPr>
        <w:t>：初次报价表</w:t>
      </w:r>
      <w:r>
        <w:tab/>
      </w:r>
      <w:r>
        <w:fldChar w:fldCharType="begin"/>
      </w:r>
      <w:r>
        <w:instrText xml:space="preserve"> PAGEREF _Toc29118 \h </w:instrText>
      </w:r>
      <w:r>
        <w:fldChar w:fldCharType="separate"/>
      </w:r>
      <w:r>
        <w:t>60</w:t>
      </w:r>
      <w:r>
        <w:fldChar w:fldCharType="end"/>
      </w:r>
      <w:r>
        <w:rPr>
          <w:rFonts w:hint="eastAsia" w:ascii="宋体" w:hAnsi="宋体" w:cs="宋体"/>
          <w:color w:val="auto"/>
          <w:highlight w:val="none"/>
        </w:rPr>
        <w:fldChar w:fldCharType="end"/>
      </w:r>
    </w:p>
    <w:p>
      <w:pPr>
        <w:pStyle w:val="23"/>
        <w:tabs>
          <w:tab w:val="right" w:leader="dot" w:pos="9127"/>
        </w:tabs>
      </w:pPr>
      <w:r>
        <w:rPr>
          <w:rFonts w:hint="eastAsia" w:ascii="宋体" w:hAnsi="宋体" w:cs="宋体"/>
          <w:color w:val="auto"/>
          <w:highlight w:val="none"/>
        </w:rPr>
        <w:fldChar w:fldCharType="begin"/>
      </w:r>
      <w:r>
        <w:rPr>
          <w:rFonts w:hint="eastAsia" w:ascii="宋体" w:hAnsi="宋体" w:cs="宋体"/>
          <w:highlight w:val="none"/>
        </w:rPr>
        <w:instrText xml:space="preserve"> HYPERLINK \l _Toc25288 </w:instrText>
      </w:r>
      <w:r>
        <w:rPr>
          <w:rFonts w:hint="eastAsia" w:ascii="宋体" w:hAnsi="宋体" w:cs="宋体"/>
          <w:highlight w:val="none"/>
        </w:rPr>
        <w:fldChar w:fldCharType="separate"/>
      </w:r>
      <w:r>
        <w:rPr>
          <w:rFonts w:hint="eastAsia" w:ascii="宋体" w:hAnsi="宋体"/>
          <w:bCs/>
          <w:highlight w:val="none"/>
        </w:rPr>
        <w:t>附件十</w:t>
      </w:r>
      <w:r>
        <w:rPr>
          <w:rFonts w:hint="eastAsia" w:ascii="宋体" w:hAnsi="宋体"/>
          <w:bCs/>
          <w:highlight w:val="none"/>
          <w:lang w:val="en-US" w:eastAsia="zh-CN"/>
        </w:rPr>
        <w:t>六</w:t>
      </w:r>
      <w:r>
        <w:rPr>
          <w:rFonts w:hint="eastAsia" w:ascii="宋体" w:hAnsi="宋体"/>
          <w:bCs/>
          <w:highlight w:val="none"/>
        </w:rPr>
        <w:t>：最终报价表</w:t>
      </w:r>
      <w:r>
        <w:tab/>
      </w:r>
      <w:r>
        <w:fldChar w:fldCharType="begin"/>
      </w:r>
      <w:r>
        <w:instrText xml:space="preserve"> PAGEREF _Toc25288 \h </w:instrText>
      </w:r>
      <w:r>
        <w:fldChar w:fldCharType="separate"/>
      </w:r>
      <w:r>
        <w:t>61</w:t>
      </w:r>
      <w:r>
        <w:fldChar w:fldCharType="end"/>
      </w:r>
      <w:r>
        <w:rPr>
          <w:rFonts w:hint="eastAsia" w:ascii="宋体" w:hAnsi="宋体" w:cs="宋体"/>
          <w:color w:val="auto"/>
          <w:highlight w:val="none"/>
        </w:rPr>
        <w:fldChar w:fldCharType="end"/>
      </w:r>
    </w:p>
    <w:p>
      <w:pPr>
        <w:pStyle w:val="23"/>
        <w:tabs>
          <w:tab w:val="right" w:leader="dot" w:pos="9127"/>
        </w:tabs>
      </w:pPr>
      <w:r>
        <w:rPr>
          <w:rFonts w:hint="eastAsia" w:ascii="宋体" w:hAnsi="宋体" w:cs="宋体"/>
          <w:color w:val="auto"/>
          <w:highlight w:val="none"/>
        </w:rPr>
        <w:fldChar w:fldCharType="begin"/>
      </w:r>
      <w:r>
        <w:rPr>
          <w:rFonts w:hint="eastAsia" w:ascii="宋体" w:hAnsi="宋体" w:cs="宋体"/>
          <w:highlight w:val="none"/>
        </w:rPr>
        <w:instrText xml:space="preserve"> HYPERLINK \l _Toc21391 </w:instrText>
      </w:r>
      <w:r>
        <w:rPr>
          <w:rFonts w:hint="eastAsia" w:ascii="宋体" w:hAnsi="宋体" w:cs="宋体"/>
          <w:highlight w:val="none"/>
        </w:rPr>
        <w:fldChar w:fldCharType="separate"/>
      </w:r>
      <w:r>
        <w:rPr>
          <w:rFonts w:hint="eastAsia" w:ascii="宋体" w:hAnsi="宋体" w:cs="宋体"/>
          <w:bCs/>
          <w:highlight w:val="none"/>
        </w:rPr>
        <w:t>附件十</w:t>
      </w:r>
      <w:r>
        <w:rPr>
          <w:rFonts w:hint="eastAsia" w:ascii="宋体" w:hAnsi="宋体" w:cs="宋体"/>
          <w:bCs/>
          <w:highlight w:val="none"/>
          <w:lang w:val="en-US" w:eastAsia="zh-CN"/>
        </w:rPr>
        <w:t>七</w:t>
      </w:r>
      <w:r>
        <w:rPr>
          <w:rFonts w:hint="eastAsia" w:ascii="宋体" w:hAnsi="宋体" w:cs="宋体"/>
          <w:bCs/>
          <w:highlight w:val="none"/>
        </w:rPr>
        <w:t>：中小企业声明函（工程、服务）</w:t>
      </w:r>
      <w:r>
        <w:tab/>
      </w:r>
      <w:r>
        <w:fldChar w:fldCharType="begin"/>
      </w:r>
      <w:r>
        <w:instrText xml:space="preserve"> PAGEREF _Toc21391 \h </w:instrText>
      </w:r>
      <w:r>
        <w:fldChar w:fldCharType="separate"/>
      </w:r>
      <w:r>
        <w:t>62</w:t>
      </w:r>
      <w:r>
        <w:fldChar w:fldCharType="end"/>
      </w:r>
      <w:r>
        <w:rPr>
          <w:rFonts w:hint="eastAsia" w:ascii="宋体" w:hAnsi="宋体" w:cs="宋体"/>
          <w:color w:val="auto"/>
          <w:highlight w:val="none"/>
        </w:rPr>
        <w:fldChar w:fldCharType="end"/>
      </w:r>
    </w:p>
    <w:p>
      <w:pPr>
        <w:pStyle w:val="23"/>
        <w:tabs>
          <w:tab w:val="right" w:leader="dot" w:pos="9127"/>
        </w:tabs>
      </w:pPr>
      <w:r>
        <w:rPr>
          <w:rFonts w:hint="eastAsia" w:ascii="宋体" w:hAnsi="宋体" w:cs="宋体"/>
          <w:color w:val="auto"/>
          <w:highlight w:val="none"/>
        </w:rPr>
        <w:fldChar w:fldCharType="begin"/>
      </w:r>
      <w:r>
        <w:rPr>
          <w:rFonts w:hint="eastAsia" w:ascii="宋体" w:hAnsi="宋体" w:cs="宋体"/>
          <w:highlight w:val="none"/>
        </w:rPr>
        <w:instrText xml:space="preserve"> HYPERLINK \l _Toc3126 </w:instrText>
      </w:r>
      <w:r>
        <w:rPr>
          <w:rFonts w:hint="eastAsia" w:ascii="宋体" w:hAnsi="宋体" w:cs="宋体"/>
          <w:highlight w:val="none"/>
        </w:rPr>
        <w:fldChar w:fldCharType="separate"/>
      </w:r>
      <w:r>
        <w:rPr>
          <w:rFonts w:hint="eastAsia" w:ascii="宋体" w:hAnsi="宋体" w:cs="宋体"/>
          <w:bCs/>
          <w:highlight w:val="none"/>
        </w:rPr>
        <w:t>附件十</w:t>
      </w:r>
      <w:r>
        <w:rPr>
          <w:rFonts w:hint="eastAsia" w:ascii="宋体" w:hAnsi="宋体" w:cs="宋体"/>
          <w:bCs/>
          <w:highlight w:val="none"/>
          <w:lang w:val="en-US" w:eastAsia="zh-CN"/>
        </w:rPr>
        <w:t>八</w:t>
      </w:r>
      <w:r>
        <w:rPr>
          <w:rFonts w:hint="eastAsia" w:ascii="宋体" w:hAnsi="宋体" w:cs="宋体"/>
          <w:bCs/>
          <w:highlight w:val="none"/>
        </w:rPr>
        <w:t>：东阳市采购项目验收方案</w:t>
      </w:r>
      <w:r>
        <w:tab/>
      </w:r>
      <w:r>
        <w:fldChar w:fldCharType="begin"/>
      </w:r>
      <w:r>
        <w:instrText xml:space="preserve"> PAGEREF _Toc3126 \h </w:instrText>
      </w:r>
      <w:r>
        <w:fldChar w:fldCharType="separate"/>
      </w:r>
      <w:r>
        <w:t>63</w:t>
      </w:r>
      <w:r>
        <w:fldChar w:fldCharType="end"/>
      </w:r>
      <w:r>
        <w:rPr>
          <w:rFonts w:hint="eastAsia" w:ascii="宋体" w:hAnsi="宋体" w:cs="宋体"/>
          <w:color w:val="auto"/>
          <w:highlight w:val="none"/>
        </w:rPr>
        <w:fldChar w:fldCharType="end"/>
      </w:r>
    </w:p>
    <w:p>
      <w:pPr>
        <w:pStyle w:val="23"/>
        <w:tabs>
          <w:tab w:val="right" w:leader="dot" w:pos="9127"/>
        </w:tabs>
      </w:pPr>
      <w:r>
        <w:rPr>
          <w:rFonts w:hint="eastAsia" w:ascii="宋体" w:hAnsi="宋体" w:cs="宋体"/>
          <w:color w:val="auto"/>
          <w:highlight w:val="none"/>
        </w:rPr>
        <w:fldChar w:fldCharType="begin"/>
      </w:r>
      <w:r>
        <w:rPr>
          <w:rFonts w:hint="eastAsia" w:ascii="宋体" w:hAnsi="宋体" w:cs="宋体"/>
          <w:highlight w:val="none"/>
        </w:rPr>
        <w:instrText xml:space="preserve"> HYPERLINK \l _Toc32055 </w:instrText>
      </w:r>
      <w:r>
        <w:rPr>
          <w:rFonts w:hint="eastAsia" w:ascii="宋体" w:hAnsi="宋体" w:cs="宋体"/>
          <w:highlight w:val="none"/>
        </w:rPr>
        <w:fldChar w:fldCharType="separate"/>
      </w:r>
      <w:r>
        <w:rPr>
          <w:rFonts w:hint="eastAsia" w:ascii="宋体" w:hAnsi="宋体" w:cs="宋体"/>
          <w:bCs/>
          <w:highlight w:val="none"/>
        </w:rPr>
        <w:t>附件</w:t>
      </w:r>
      <w:r>
        <w:rPr>
          <w:rFonts w:hint="eastAsia" w:ascii="宋体" w:hAnsi="宋体" w:cs="宋体"/>
          <w:bCs/>
          <w:highlight w:val="none"/>
          <w:lang w:val="en-US" w:eastAsia="zh-CN"/>
        </w:rPr>
        <w:t>十九</w:t>
      </w:r>
      <w:r>
        <w:rPr>
          <w:rFonts w:hint="eastAsia" w:ascii="宋体" w:hAnsi="宋体" w:cs="宋体"/>
          <w:bCs/>
          <w:highlight w:val="none"/>
        </w:rPr>
        <w:t>：东阳市政府采购代理机构社会评价表</w:t>
      </w:r>
      <w:r>
        <w:tab/>
      </w:r>
      <w:r>
        <w:fldChar w:fldCharType="begin"/>
      </w:r>
      <w:r>
        <w:instrText xml:space="preserve"> PAGEREF _Toc32055 \h </w:instrText>
      </w:r>
      <w:r>
        <w:fldChar w:fldCharType="separate"/>
      </w:r>
      <w:r>
        <w:t>64</w:t>
      </w:r>
      <w:r>
        <w:fldChar w:fldCharType="end"/>
      </w:r>
      <w:r>
        <w:rPr>
          <w:rFonts w:hint="eastAsia" w:ascii="宋体" w:hAnsi="宋体" w:cs="宋体"/>
          <w:color w:val="auto"/>
          <w:highlight w:val="none"/>
        </w:rPr>
        <w:fldChar w:fldCharType="end"/>
      </w:r>
    </w:p>
    <w:p>
      <w:pPr>
        <w:pStyle w:val="23"/>
        <w:tabs>
          <w:tab w:val="right" w:leader="dot" w:pos="9127"/>
        </w:tabs>
      </w:pPr>
      <w:r>
        <w:rPr>
          <w:rFonts w:hint="eastAsia" w:ascii="宋体" w:hAnsi="宋体" w:cs="宋体"/>
          <w:color w:val="auto"/>
          <w:highlight w:val="none"/>
        </w:rPr>
        <w:fldChar w:fldCharType="begin"/>
      </w:r>
      <w:r>
        <w:rPr>
          <w:rFonts w:hint="eastAsia" w:ascii="宋体" w:hAnsi="宋体" w:cs="宋体"/>
          <w:highlight w:val="none"/>
        </w:rPr>
        <w:instrText xml:space="preserve"> HYPERLINK \l _Toc25988 </w:instrText>
      </w:r>
      <w:r>
        <w:rPr>
          <w:rFonts w:hint="eastAsia" w:ascii="宋体" w:hAnsi="宋体" w:cs="宋体"/>
          <w:highlight w:val="none"/>
        </w:rPr>
        <w:fldChar w:fldCharType="separate"/>
      </w:r>
      <w:r>
        <w:rPr>
          <w:rFonts w:hint="eastAsia" w:ascii="宋体" w:hAnsi="宋体" w:eastAsia="宋体" w:cs="宋体"/>
          <w:szCs w:val="24"/>
          <w:highlight w:val="none"/>
        </w:rPr>
        <w:t>附件二十：办理保函需提供资料</w:t>
      </w:r>
      <w:r>
        <w:tab/>
      </w:r>
      <w:r>
        <w:fldChar w:fldCharType="begin"/>
      </w:r>
      <w:r>
        <w:instrText xml:space="preserve"> PAGEREF _Toc25988 \h </w:instrText>
      </w:r>
      <w:r>
        <w:fldChar w:fldCharType="separate"/>
      </w:r>
      <w:r>
        <w:t>65</w:t>
      </w:r>
      <w:r>
        <w:fldChar w:fldCharType="end"/>
      </w:r>
      <w:r>
        <w:rPr>
          <w:rFonts w:hint="eastAsia" w:ascii="宋体" w:hAnsi="宋体" w:cs="宋体"/>
          <w:color w:val="auto"/>
          <w:highlight w:val="none"/>
        </w:rPr>
        <w:fldChar w:fldCharType="end"/>
      </w:r>
    </w:p>
    <w:p>
      <w:pPr>
        <w:pStyle w:val="23"/>
        <w:tabs>
          <w:tab w:val="right" w:leader="dot" w:pos="9127"/>
        </w:tabs>
      </w:pPr>
      <w:r>
        <w:rPr>
          <w:rFonts w:hint="eastAsia" w:ascii="宋体" w:hAnsi="宋体" w:cs="宋体"/>
          <w:color w:val="auto"/>
          <w:highlight w:val="none"/>
        </w:rPr>
        <w:fldChar w:fldCharType="begin"/>
      </w:r>
      <w:r>
        <w:rPr>
          <w:rFonts w:hint="eastAsia" w:ascii="宋体" w:hAnsi="宋体" w:cs="宋体"/>
          <w:highlight w:val="none"/>
        </w:rPr>
        <w:instrText xml:space="preserve"> HYPERLINK \l _Toc5661 </w:instrText>
      </w:r>
      <w:r>
        <w:rPr>
          <w:rFonts w:hint="eastAsia" w:ascii="宋体" w:hAnsi="宋体" w:cs="宋体"/>
          <w:highlight w:val="none"/>
        </w:rPr>
        <w:fldChar w:fldCharType="separate"/>
      </w:r>
      <w:r>
        <w:rPr>
          <w:rFonts w:hint="eastAsia" w:ascii="宋体" w:hAnsi="宋体" w:eastAsia="宋体" w:cs="宋体"/>
          <w:highlight w:val="none"/>
        </w:rPr>
        <w:t>附件二十</w:t>
      </w:r>
      <w:r>
        <w:rPr>
          <w:rFonts w:hint="eastAsia" w:ascii="宋体" w:hAnsi="宋体" w:eastAsia="宋体" w:cs="宋体"/>
          <w:highlight w:val="none"/>
          <w:lang w:val="en-US" w:eastAsia="zh-CN"/>
        </w:rPr>
        <w:t>一</w:t>
      </w:r>
      <w:r>
        <w:rPr>
          <w:rFonts w:hint="eastAsia" w:ascii="宋体" w:hAnsi="宋体" w:eastAsia="宋体" w:cs="宋体"/>
          <w:highlight w:val="none"/>
        </w:rPr>
        <w:t>：质疑函范本</w:t>
      </w:r>
      <w:r>
        <w:tab/>
      </w:r>
      <w:r>
        <w:fldChar w:fldCharType="begin"/>
      </w:r>
      <w:r>
        <w:instrText xml:space="preserve"> PAGEREF _Toc5661 \h </w:instrText>
      </w:r>
      <w:r>
        <w:fldChar w:fldCharType="separate"/>
      </w:r>
      <w:r>
        <w:t>67</w:t>
      </w:r>
      <w:r>
        <w:fldChar w:fldCharType="end"/>
      </w:r>
      <w:r>
        <w:rPr>
          <w:rFonts w:hint="eastAsia" w:ascii="宋体" w:hAnsi="宋体" w:cs="宋体"/>
          <w:color w:val="auto"/>
          <w:highlight w:val="none"/>
        </w:rPr>
        <w:fldChar w:fldCharType="end"/>
      </w:r>
    </w:p>
    <w:p>
      <w:pPr>
        <w:pStyle w:val="23"/>
        <w:tabs>
          <w:tab w:val="right" w:leader="dot" w:pos="9127"/>
        </w:tabs>
      </w:pPr>
      <w:r>
        <w:rPr>
          <w:rFonts w:hint="eastAsia" w:ascii="宋体" w:hAnsi="宋体" w:cs="宋体"/>
          <w:color w:val="auto"/>
          <w:highlight w:val="none"/>
        </w:rPr>
        <w:fldChar w:fldCharType="begin"/>
      </w:r>
      <w:r>
        <w:rPr>
          <w:rFonts w:hint="eastAsia" w:ascii="宋体" w:hAnsi="宋体" w:cs="宋体"/>
          <w:highlight w:val="none"/>
        </w:rPr>
        <w:instrText xml:space="preserve"> HYPERLINK \l _Toc13701 </w:instrText>
      </w:r>
      <w:r>
        <w:rPr>
          <w:rFonts w:hint="eastAsia" w:ascii="宋体" w:hAnsi="宋体" w:cs="宋体"/>
          <w:highlight w:val="none"/>
        </w:rPr>
        <w:fldChar w:fldCharType="separate"/>
      </w:r>
      <w:r>
        <w:rPr>
          <w:rFonts w:hint="eastAsia" w:asciiTheme="minorEastAsia" w:hAnsiTheme="minorEastAsia" w:eastAsiaTheme="minorEastAsia" w:cstheme="minorEastAsia"/>
          <w:highlight w:val="none"/>
        </w:rPr>
        <w:t>附件二十</w:t>
      </w:r>
      <w:r>
        <w:rPr>
          <w:rFonts w:hint="eastAsia" w:asciiTheme="minorEastAsia" w:hAnsiTheme="minorEastAsia" w:eastAsiaTheme="minorEastAsia" w:cstheme="minorEastAsia"/>
          <w:highlight w:val="none"/>
          <w:lang w:val="en-US" w:eastAsia="zh-CN"/>
        </w:rPr>
        <w:t>二</w:t>
      </w:r>
      <w:r>
        <w:rPr>
          <w:rFonts w:hint="eastAsia" w:asciiTheme="minorEastAsia" w:hAnsiTheme="minorEastAsia" w:eastAsiaTheme="minorEastAsia" w:cstheme="minorEastAsia"/>
          <w:highlight w:val="none"/>
        </w:rPr>
        <w:t>：投诉书范本</w:t>
      </w:r>
      <w:r>
        <w:tab/>
      </w:r>
      <w:r>
        <w:fldChar w:fldCharType="begin"/>
      </w:r>
      <w:r>
        <w:instrText xml:space="preserve"> PAGEREF _Toc13701 \h </w:instrText>
      </w:r>
      <w:r>
        <w:fldChar w:fldCharType="separate"/>
      </w:r>
      <w:r>
        <w:t>69</w:t>
      </w:r>
      <w:r>
        <w:fldChar w:fldCharType="end"/>
      </w:r>
      <w:r>
        <w:rPr>
          <w:rFonts w:hint="eastAsia" w:ascii="宋体" w:hAnsi="宋体" w:cs="宋体"/>
          <w:color w:val="auto"/>
          <w:highlight w:val="none"/>
        </w:rPr>
        <w:fldChar w:fldCharType="end"/>
      </w:r>
    </w:p>
    <w:p>
      <w:pPr>
        <w:pStyle w:val="23"/>
        <w:tabs>
          <w:tab w:val="right" w:leader="dot" w:pos="9127"/>
        </w:tabs>
      </w:pPr>
      <w:r>
        <w:rPr>
          <w:rFonts w:hint="eastAsia" w:ascii="宋体" w:hAnsi="宋体" w:cs="宋体"/>
          <w:color w:val="auto"/>
          <w:highlight w:val="none"/>
        </w:rPr>
        <w:fldChar w:fldCharType="begin"/>
      </w:r>
      <w:r>
        <w:rPr>
          <w:rFonts w:hint="eastAsia" w:ascii="宋体" w:hAnsi="宋体" w:cs="宋体"/>
          <w:highlight w:val="none"/>
        </w:rPr>
        <w:instrText xml:space="preserve"> HYPERLINK \l _Toc15017 </w:instrText>
      </w:r>
      <w:r>
        <w:rPr>
          <w:rFonts w:hint="eastAsia" w:ascii="宋体" w:hAnsi="宋体" w:cs="宋体"/>
          <w:highlight w:val="none"/>
        </w:rPr>
        <w:fldChar w:fldCharType="separate"/>
      </w:r>
      <w:r>
        <w:rPr>
          <w:rFonts w:hint="eastAsia" w:asciiTheme="minorEastAsia" w:hAnsiTheme="minorEastAsia" w:eastAsiaTheme="minorEastAsia" w:cstheme="minorEastAsia"/>
          <w:highlight w:val="none"/>
        </w:rPr>
        <w:t>附件二十</w:t>
      </w:r>
      <w:r>
        <w:rPr>
          <w:rFonts w:hint="eastAsia" w:asciiTheme="minorEastAsia" w:hAnsiTheme="minorEastAsia" w:eastAsiaTheme="minorEastAsia" w:cstheme="minorEastAsia"/>
          <w:highlight w:val="none"/>
          <w:lang w:val="en-US" w:eastAsia="zh-CN"/>
        </w:rPr>
        <w:t>三</w:t>
      </w:r>
      <w:r>
        <w:rPr>
          <w:rFonts w:hint="eastAsia" w:asciiTheme="minorEastAsia" w:hAnsiTheme="minorEastAsia" w:eastAsiaTheme="minorEastAsia" w:cstheme="minorEastAsia"/>
          <w:highlight w:val="none"/>
        </w:rPr>
        <w:t>：</w:t>
      </w:r>
      <w:r>
        <w:rPr>
          <w:rFonts w:hint="eastAsia" w:asciiTheme="minorEastAsia" w:hAnsiTheme="minorEastAsia" w:eastAsiaTheme="minorEastAsia" w:cstheme="minorEastAsia"/>
          <w:highlight w:val="none"/>
          <w:lang w:val="en-US" w:eastAsia="zh-CN"/>
        </w:rPr>
        <w:t>图纸</w:t>
      </w:r>
      <w:r>
        <w:tab/>
      </w:r>
      <w:r>
        <w:fldChar w:fldCharType="begin"/>
      </w:r>
      <w:r>
        <w:instrText xml:space="preserve"> PAGEREF _Toc15017 \h </w:instrText>
      </w:r>
      <w:r>
        <w:fldChar w:fldCharType="separate"/>
      </w:r>
      <w:r>
        <w:t>71</w:t>
      </w:r>
      <w:r>
        <w:fldChar w:fldCharType="end"/>
      </w:r>
      <w:r>
        <w:rPr>
          <w:rFonts w:hint="eastAsia" w:ascii="宋体" w:hAnsi="宋体" w:cs="宋体"/>
          <w:color w:val="auto"/>
          <w:highlight w:val="none"/>
        </w:rPr>
        <w:fldChar w:fldCharType="end"/>
      </w:r>
    </w:p>
    <w:p>
      <w:pPr>
        <w:pStyle w:val="23"/>
        <w:tabs>
          <w:tab w:val="right" w:leader="dot" w:pos="9127"/>
        </w:tabs>
      </w:pPr>
      <w:r>
        <w:rPr>
          <w:rFonts w:hint="eastAsia" w:ascii="宋体" w:hAnsi="宋体" w:cs="宋体"/>
          <w:color w:val="auto"/>
          <w:highlight w:val="none"/>
        </w:rPr>
        <w:fldChar w:fldCharType="begin"/>
      </w:r>
      <w:r>
        <w:rPr>
          <w:rFonts w:hint="eastAsia" w:ascii="宋体" w:hAnsi="宋体" w:cs="宋体"/>
          <w:highlight w:val="none"/>
        </w:rPr>
        <w:instrText xml:space="preserve"> HYPERLINK \l _Toc23637 </w:instrText>
      </w:r>
      <w:r>
        <w:rPr>
          <w:rFonts w:hint="eastAsia" w:ascii="宋体" w:hAnsi="宋体" w:cs="宋体"/>
          <w:highlight w:val="none"/>
        </w:rPr>
        <w:fldChar w:fldCharType="separate"/>
      </w:r>
      <w:r>
        <w:rPr>
          <w:rFonts w:hint="eastAsia" w:ascii="宋体" w:hAnsi="宋体" w:cs="宋体"/>
          <w:bCs/>
          <w:highlight w:val="none"/>
          <w:lang w:val="en-US" w:eastAsia="zh-CN"/>
        </w:rPr>
        <w:t>附件二十四：采购清单</w:t>
      </w:r>
      <w:r>
        <w:tab/>
      </w:r>
      <w:r>
        <w:fldChar w:fldCharType="begin"/>
      </w:r>
      <w:r>
        <w:instrText xml:space="preserve"> PAGEREF _Toc23637 \h </w:instrText>
      </w:r>
      <w:r>
        <w:fldChar w:fldCharType="separate"/>
      </w:r>
      <w:r>
        <w:t>145</w:t>
      </w:r>
      <w:r>
        <w:fldChar w:fldCharType="end"/>
      </w:r>
      <w:r>
        <w:rPr>
          <w:rFonts w:hint="eastAsia" w:ascii="宋体" w:hAnsi="宋体" w:cs="宋体"/>
          <w:color w:val="auto"/>
          <w:highlight w:val="none"/>
        </w:rPr>
        <w:fldChar w:fldCharType="end"/>
      </w:r>
    </w:p>
    <w:p>
      <w:pPr>
        <w:pStyle w:val="30"/>
        <w:keepNext w:val="0"/>
        <w:keepLines w:val="0"/>
        <w:pageBreakBefore w:val="0"/>
        <w:widowControl w:val="0"/>
        <w:tabs>
          <w:tab w:val="right" w:leader="middleDot" w:pos="9127"/>
        </w:tabs>
        <w:kinsoku/>
        <w:wordWrap/>
        <w:overflowPunct/>
        <w:topLinePunct w:val="0"/>
        <w:autoSpaceDE/>
        <w:autoSpaceDN/>
        <w:bidi w:val="0"/>
        <w:adjustRightInd/>
        <w:snapToGrid/>
        <w:spacing w:line="360" w:lineRule="auto"/>
        <w:jc w:val="center"/>
        <w:textAlignment w:val="auto"/>
        <w:rPr>
          <w:rFonts w:ascii="宋体" w:hAnsi="宋体" w:cs="宋体"/>
          <w:color w:val="auto"/>
          <w:sz w:val="24"/>
          <w:highlight w:val="none"/>
        </w:rPr>
      </w:pPr>
      <w:r>
        <w:rPr>
          <w:rFonts w:hint="eastAsia" w:ascii="宋体" w:hAnsi="宋体" w:cs="宋体"/>
          <w:color w:val="auto"/>
          <w:highlight w:val="none"/>
        </w:rPr>
        <w:fldChar w:fldCharType="end"/>
      </w:r>
    </w:p>
    <w:p>
      <w:pPr>
        <w:keepNext w:val="0"/>
        <w:keepLines w:val="0"/>
        <w:pageBreakBefore w:val="0"/>
        <w:widowControl w:val="0"/>
        <w:tabs>
          <w:tab w:val="right" w:leader="middleDot" w:pos="9127"/>
        </w:tabs>
        <w:kinsoku/>
        <w:wordWrap/>
        <w:overflowPunct/>
        <w:topLinePunct w:val="0"/>
        <w:autoSpaceDE/>
        <w:autoSpaceDN/>
        <w:bidi w:val="0"/>
        <w:adjustRightInd/>
        <w:snapToGrid/>
        <w:spacing w:line="360" w:lineRule="auto"/>
        <w:textAlignment w:val="auto"/>
        <w:rPr>
          <w:rFonts w:ascii="宋体" w:hAnsi="宋体" w:cs="宋体"/>
          <w:color w:val="auto"/>
          <w:sz w:val="24"/>
          <w:highlight w:val="none"/>
        </w:rPr>
      </w:pPr>
    </w:p>
    <w:p>
      <w:pPr>
        <w:pStyle w:val="30"/>
        <w:pageBreakBefore/>
        <w:tabs>
          <w:tab w:val="right" w:leader="dot" w:pos="9402"/>
        </w:tabs>
        <w:spacing w:line="460" w:lineRule="exact"/>
        <w:jc w:val="center"/>
        <w:outlineLvl w:val="0"/>
        <w:rPr>
          <w:rFonts w:ascii="宋体" w:hAnsi="宋体" w:cs="宋体"/>
          <w:b/>
          <w:color w:val="auto"/>
          <w:sz w:val="24"/>
          <w:highlight w:val="none"/>
        </w:rPr>
      </w:pPr>
      <w:bookmarkStart w:id="0" w:name="_Toc18776"/>
      <w:r>
        <w:rPr>
          <w:rFonts w:hint="eastAsia" w:ascii="宋体" w:hAnsi="宋体" w:cs="宋体"/>
          <w:b/>
          <w:color w:val="auto"/>
          <w:sz w:val="24"/>
          <w:highlight w:val="none"/>
        </w:rPr>
        <w:t>第一章  竞争性磋商公告</w:t>
      </w:r>
      <w:bookmarkEnd w:id="0"/>
      <w:r>
        <w:rPr>
          <w:rFonts w:hint="eastAsia" w:ascii="宋体" w:hAnsi="宋体" w:cs="宋体"/>
          <w:b/>
          <w:color w:val="auto"/>
          <w:sz w:val="24"/>
          <w:highlight w:val="none"/>
        </w:rPr>
        <w:t xml:space="preserve"> </w:t>
      </w:r>
    </w:p>
    <w:p>
      <w:pPr>
        <w:keepNext w:val="0"/>
        <w:keepLines w:val="0"/>
        <w:pageBreakBefore w:val="0"/>
        <w:pBdr>
          <w:top w:val="single" w:color="auto" w:sz="4" w:space="1"/>
          <w:left w:val="single" w:color="auto" w:sz="4" w:space="4"/>
          <w:bottom w:val="single" w:color="auto" w:sz="4" w:space="1"/>
          <w:right w:val="single" w:color="auto" w:sz="4" w:space="4"/>
        </w:pBdr>
        <w:kinsoku/>
        <w:wordWrap/>
        <w:overflowPunct/>
        <w:topLinePunct w:val="0"/>
        <w:autoSpaceDE/>
        <w:autoSpaceDN/>
        <w:bidi w:val="0"/>
        <w:spacing w:line="440" w:lineRule="exact"/>
        <w:ind w:firstLine="482" w:firstLineChars="200"/>
        <w:textAlignment w:val="auto"/>
        <w:rPr>
          <w:rFonts w:ascii="宋体" w:hAnsi="宋体" w:cs="宋体"/>
          <w:b/>
          <w:bCs/>
          <w:color w:val="auto"/>
          <w:sz w:val="24"/>
          <w:highlight w:val="none"/>
        </w:rPr>
      </w:pPr>
      <w:r>
        <w:rPr>
          <w:rFonts w:hint="eastAsia" w:ascii="宋体" w:hAnsi="宋体" w:cs="宋体"/>
          <w:b/>
          <w:bCs/>
          <w:color w:val="auto"/>
          <w:sz w:val="24"/>
          <w:highlight w:val="none"/>
        </w:rPr>
        <w:t>项目概况</w:t>
      </w:r>
    </w:p>
    <w:p>
      <w:pPr>
        <w:keepNext w:val="0"/>
        <w:keepLines w:val="0"/>
        <w:pageBreakBefore w:val="0"/>
        <w:pBdr>
          <w:top w:val="single" w:color="auto" w:sz="4" w:space="1"/>
          <w:left w:val="single" w:color="auto" w:sz="4" w:space="4"/>
          <w:bottom w:val="single" w:color="auto" w:sz="4" w:space="1"/>
          <w:right w:val="single" w:color="auto" w:sz="4" w:space="4"/>
        </w:pBdr>
        <w:kinsoku/>
        <w:wordWrap/>
        <w:overflowPunct/>
        <w:topLinePunct w:val="0"/>
        <w:autoSpaceDE/>
        <w:autoSpaceDN/>
        <w:bidi w:val="0"/>
        <w:spacing w:line="440" w:lineRule="exact"/>
        <w:ind w:firstLine="482" w:firstLineChars="200"/>
        <w:textAlignment w:val="auto"/>
        <w:rPr>
          <w:rFonts w:ascii="宋体" w:hAnsi="宋体" w:cs="宋体"/>
          <w:color w:val="auto"/>
          <w:sz w:val="24"/>
          <w:highlight w:val="none"/>
        </w:rPr>
      </w:pPr>
      <w:r>
        <w:rPr>
          <w:rFonts w:hint="eastAsia" w:ascii="宋体" w:hAnsi="宋体" w:cs="宋体"/>
          <w:b/>
          <w:bCs/>
          <w:color w:val="auto"/>
          <w:sz w:val="24"/>
          <w:highlight w:val="none"/>
          <w:lang w:eastAsia="zh-CN"/>
        </w:rPr>
        <w:t>三单乡三单村一事一议财政奖补支持打造共富乡村试点项目软装工程</w:t>
      </w:r>
      <w:r>
        <w:rPr>
          <w:rFonts w:hint="eastAsia" w:ascii="宋体" w:hAnsi="宋体" w:cs="宋体"/>
          <w:color w:val="auto"/>
          <w:sz w:val="24"/>
          <w:highlight w:val="none"/>
        </w:rPr>
        <w:t>的潜在供应商应在浙江政府采购网（http://zfcg.czt.zj.gov.cn/）；东阳市公共资源交易网(http://www.dongyang.gov.cn/ggzyjy/index.html)获取（下载）磋商文件，并于202</w:t>
      </w:r>
      <w:r>
        <w:rPr>
          <w:rFonts w:hint="eastAsia" w:ascii="宋体" w:hAnsi="宋体" w:cs="宋体"/>
          <w:color w:val="auto"/>
          <w:sz w:val="24"/>
          <w:highlight w:val="none"/>
          <w:lang w:val="en-US" w:eastAsia="zh-CN"/>
        </w:rPr>
        <w:t>4</w:t>
      </w:r>
      <w:r>
        <w:rPr>
          <w:rFonts w:hint="eastAsia" w:ascii="宋体" w:hAnsi="宋体" w:cs="宋体"/>
          <w:color w:val="auto"/>
          <w:sz w:val="24"/>
          <w:highlight w:val="none"/>
        </w:rPr>
        <w:t>年</w:t>
      </w:r>
      <w:r>
        <w:rPr>
          <w:rFonts w:hint="eastAsia" w:ascii="宋体" w:hAnsi="宋体" w:cs="宋体"/>
          <w:color w:val="auto"/>
          <w:sz w:val="24"/>
          <w:highlight w:val="none"/>
          <w:lang w:val="en-US" w:eastAsia="zh-CN"/>
        </w:rPr>
        <w:t>4</w:t>
      </w:r>
      <w:r>
        <w:rPr>
          <w:rFonts w:hint="eastAsia" w:ascii="宋体" w:hAnsi="宋体" w:cs="宋体"/>
          <w:color w:val="auto"/>
          <w:sz w:val="24"/>
          <w:highlight w:val="none"/>
        </w:rPr>
        <w:t>月</w:t>
      </w:r>
      <w:r>
        <w:rPr>
          <w:rFonts w:hint="eastAsia" w:ascii="宋体" w:hAnsi="宋体" w:cs="宋体"/>
          <w:color w:val="auto"/>
          <w:sz w:val="24"/>
          <w:highlight w:val="none"/>
          <w:lang w:val="en-US" w:eastAsia="zh-CN"/>
        </w:rPr>
        <w:t>9</w:t>
      </w:r>
      <w:r>
        <w:rPr>
          <w:rFonts w:hint="eastAsia" w:ascii="宋体" w:hAnsi="宋体" w:cs="宋体"/>
          <w:color w:val="auto"/>
          <w:sz w:val="24"/>
          <w:highlight w:val="none"/>
        </w:rPr>
        <w:t>日</w:t>
      </w:r>
      <w:r>
        <w:rPr>
          <w:rFonts w:hint="eastAsia" w:ascii="宋体" w:hAnsi="宋体" w:cs="宋体"/>
          <w:color w:val="auto"/>
          <w:sz w:val="24"/>
          <w:highlight w:val="none"/>
          <w:lang w:val="en-US" w:eastAsia="zh-CN"/>
        </w:rPr>
        <w:t>8</w:t>
      </w:r>
      <w:r>
        <w:rPr>
          <w:rFonts w:hint="eastAsia" w:ascii="宋体" w:hAnsi="宋体" w:cs="宋体"/>
          <w:color w:val="auto"/>
          <w:sz w:val="24"/>
          <w:highlight w:val="none"/>
        </w:rPr>
        <w:t>时</w:t>
      </w:r>
      <w:r>
        <w:rPr>
          <w:rFonts w:hint="eastAsia" w:ascii="宋体" w:hAnsi="宋体" w:cs="宋体"/>
          <w:color w:val="auto"/>
          <w:sz w:val="24"/>
          <w:highlight w:val="none"/>
          <w:lang w:val="en-US" w:eastAsia="zh-CN"/>
        </w:rPr>
        <w:t>30</w:t>
      </w:r>
      <w:r>
        <w:rPr>
          <w:rFonts w:hint="eastAsia" w:ascii="宋体" w:hAnsi="宋体" w:cs="宋体"/>
          <w:color w:val="auto"/>
          <w:sz w:val="24"/>
          <w:highlight w:val="none"/>
        </w:rPr>
        <w:t>分（北京时间）前递交（上传）电子磋商响应文件。</w:t>
      </w:r>
    </w:p>
    <w:p>
      <w:pPr>
        <w:keepNext w:val="0"/>
        <w:keepLines w:val="0"/>
        <w:pageBreakBefore w:val="0"/>
        <w:numPr>
          <w:ilvl w:val="0"/>
          <w:numId w:val="4"/>
        </w:numPr>
        <w:kinsoku/>
        <w:wordWrap/>
        <w:overflowPunct/>
        <w:topLinePunct w:val="0"/>
        <w:autoSpaceDE/>
        <w:autoSpaceDN/>
        <w:bidi w:val="0"/>
        <w:snapToGrid w:val="0"/>
        <w:spacing w:line="440" w:lineRule="exact"/>
        <w:textAlignment w:val="auto"/>
        <w:rPr>
          <w:rFonts w:ascii="宋体" w:hAnsi="宋体" w:cs="宋体"/>
          <w:b/>
          <w:bCs/>
          <w:color w:val="auto"/>
          <w:sz w:val="24"/>
          <w:highlight w:val="none"/>
        </w:rPr>
      </w:pPr>
      <w:r>
        <w:rPr>
          <w:rFonts w:hint="eastAsia" w:ascii="宋体" w:hAnsi="宋体" w:cs="宋体"/>
          <w:b/>
          <w:bCs/>
          <w:color w:val="auto"/>
          <w:sz w:val="24"/>
          <w:highlight w:val="none"/>
        </w:rPr>
        <w:t>项目基本情况</w:t>
      </w:r>
    </w:p>
    <w:p>
      <w:pPr>
        <w:keepNext w:val="0"/>
        <w:keepLines w:val="0"/>
        <w:pageBreakBefore w:val="0"/>
        <w:kinsoku/>
        <w:wordWrap/>
        <w:overflowPunct/>
        <w:topLinePunct w:val="0"/>
        <w:autoSpaceDE/>
        <w:autoSpaceDN/>
        <w:bidi w:val="0"/>
        <w:spacing w:line="440" w:lineRule="exact"/>
        <w:textAlignment w:val="auto"/>
        <w:rPr>
          <w:rFonts w:hint="eastAsia" w:ascii="宋体" w:hAnsi="宋体" w:eastAsia="宋体" w:cs="宋体"/>
          <w:color w:val="auto"/>
          <w:sz w:val="24"/>
          <w:highlight w:val="none"/>
          <w:lang w:eastAsia="zh-CN"/>
        </w:rPr>
      </w:pPr>
      <w:r>
        <w:rPr>
          <w:rFonts w:hint="eastAsia" w:ascii="宋体" w:hAnsi="宋体" w:cs="宋体"/>
          <w:b/>
          <w:bCs/>
          <w:color w:val="auto"/>
          <w:sz w:val="24"/>
          <w:highlight w:val="none"/>
        </w:rPr>
        <w:t>项目编号：</w:t>
      </w:r>
      <w:r>
        <w:rPr>
          <w:rFonts w:hint="eastAsia" w:ascii="宋体" w:hAnsi="宋体" w:cs="宋体"/>
          <w:color w:val="auto"/>
          <w:sz w:val="24"/>
          <w:highlight w:val="none"/>
          <w:lang w:eastAsia="zh-CN"/>
        </w:rPr>
        <w:t>XSZFCGDZ2024-CS-101</w:t>
      </w:r>
    </w:p>
    <w:p>
      <w:pPr>
        <w:keepNext w:val="0"/>
        <w:keepLines w:val="0"/>
        <w:pageBreakBefore w:val="0"/>
        <w:kinsoku/>
        <w:wordWrap/>
        <w:overflowPunct/>
        <w:topLinePunct w:val="0"/>
        <w:autoSpaceDE/>
        <w:autoSpaceDN/>
        <w:bidi w:val="0"/>
        <w:spacing w:line="440" w:lineRule="exact"/>
        <w:textAlignment w:val="auto"/>
        <w:rPr>
          <w:rFonts w:hint="eastAsia" w:ascii="宋体" w:hAnsi="宋体" w:cs="宋体"/>
          <w:b/>
          <w:bCs/>
          <w:color w:val="auto"/>
          <w:sz w:val="24"/>
          <w:highlight w:val="none"/>
          <w:lang w:eastAsia="zh-CN"/>
        </w:rPr>
      </w:pPr>
      <w:r>
        <w:rPr>
          <w:rFonts w:hint="eastAsia" w:ascii="宋体" w:hAnsi="宋体" w:cs="宋体"/>
          <w:b/>
          <w:bCs/>
          <w:color w:val="auto"/>
          <w:sz w:val="24"/>
          <w:highlight w:val="none"/>
        </w:rPr>
        <w:t>项目名称：</w:t>
      </w:r>
      <w:r>
        <w:rPr>
          <w:rFonts w:hint="eastAsia" w:ascii="宋体" w:hAnsi="宋体" w:cs="宋体"/>
          <w:b/>
          <w:bCs/>
          <w:color w:val="auto"/>
          <w:sz w:val="24"/>
          <w:highlight w:val="none"/>
          <w:lang w:eastAsia="zh-CN"/>
        </w:rPr>
        <w:t>三单乡三单村一事一议财政奖补支持打造共富乡村试点项目软装工程</w:t>
      </w:r>
    </w:p>
    <w:p>
      <w:pPr>
        <w:keepNext w:val="0"/>
        <w:keepLines w:val="0"/>
        <w:pageBreakBefore w:val="0"/>
        <w:kinsoku/>
        <w:wordWrap/>
        <w:overflowPunct/>
        <w:topLinePunct w:val="0"/>
        <w:autoSpaceDE/>
        <w:autoSpaceDN/>
        <w:bidi w:val="0"/>
        <w:spacing w:line="440" w:lineRule="exact"/>
        <w:textAlignment w:val="auto"/>
        <w:rPr>
          <w:rFonts w:ascii="宋体" w:hAnsi="宋体" w:cs="宋体"/>
          <w:b/>
          <w:bCs/>
          <w:color w:val="auto"/>
          <w:sz w:val="24"/>
          <w:highlight w:val="none"/>
        </w:rPr>
      </w:pPr>
      <w:r>
        <w:rPr>
          <w:rFonts w:hint="eastAsia" w:ascii="宋体" w:hAnsi="宋体" w:cs="宋体"/>
          <w:b/>
          <w:bCs/>
          <w:color w:val="auto"/>
          <w:sz w:val="24"/>
          <w:highlight w:val="none"/>
        </w:rPr>
        <w:t>采购方式：竞争性磋商</w:t>
      </w:r>
    </w:p>
    <w:p>
      <w:pPr>
        <w:keepNext w:val="0"/>
        <w:keepLines w:val="0"/>
        <w:pageBreakBefore w:val="0"/>
        <w:kinsoku/>
        <w:wordWrap/>
        <w:overflowPunct/>
        <w:topLinePunct w:val="0"/>
        <w:autoSpaceDE/>
        <w:autoSpaceDN/>
        <w:bidi w:val="0"/>
        <w:spacing w:line="440" w:lineRule="exact"/>
        <w:textAlignment w:val="auto"/>
        <w:rPr>
          <w:rFonts w:hint="default"/>
          <w:color w:val="auto"/>
          <w:highlight w:val="none"/>
          <w:lang w:val="en-US" w:eastAsia="zh-CN"/>
        </w:rPr>
      </w:pPr>
      <w:r>
        <w:rPr>
          <w:rFonts w:hint="eastAsia" w:ascii="宋体" w:hAnsi="宋体" w:cs="宋体"/>
          <w:b/>
          <w:bCs/>
          <w:color w:val="auto"/>
          <w:sz w:val="24"/>
          <w:highlight w:val="none"/>
        </w:rPr>
        <w:t>预算金额（元）：</w:t>
      </w:r>
      <w:r>
        <w:rPr>
          <w:rFonts w:hint="eastAsia" w:ascii="宋体" w:hAnsi="宋体" w:cs="宋体"/>
          <w:b/>
          <w:bCs/>
          <w:color w:val="auto"/>
          <w:sz w:val="24"/>
          <w:highlight w:val="none"/>
          <w:lang w:val="en-US" w:eastAsia="zh-CN"/>
        </w:rPr>
        <w:t xml:space="preserve"> </w:t>
      </w:r>
      <w:r>
        <w:rPr>
          <w:rFonts w:hint="eastAsia" w:ascii="宋体" w:hAnsi="宋体" w:cs="宋体"/>
          <w:b w:val="0"/>
          <w:bCs w:val="0"/>
          <w:color w:val="auto"/>
          <w:sz w:val="24"/>
          <w:highlight w:val="none"/>
          <w:lang w:val="en-US" w:eastAsia="zh-CN"/>
        </w:rPr>
        <w:t>2470000 元；</w:t>
      </w:r>
      <w:r>
        <w:rPr>
          <w:rFonts w:hint="eastAsia" w:ascii="宋体" w:hAnsi="宋体" w:cs="宋体"/>
          <w:b/>
          <w:bCs/>
          <w:color w:val="auto"/>
          <w:sz w:val="24"/>
          <w:highlight w:val="none"/>
          <w:lang w:val="en-US" w:eastAsia="zh-CN"/>
        </w:rPr>
        <w:t xml:space="preserve">    </w:t>
      </w:r>
    </w:p>
    <w:p>
      <w:pPr>
        <w:keepNext w:val="0"/>
        <w:keepLines w:val="0"/>
        <w:pageBreakBefore w:val="0"/>
        <w:kinsoku/>
        <w:wordWrap/>
        <w:overflowPunct/>
        <w:topLinePunct w:val="0"/>
        <w:autoSpaceDE/>
        <w:autoSpaceDN/>
        <w:bidi w:val="0"/>
        <w:spacing w:line="440" w:lineRule="exact"/>
        <w:textAlignment w:val="auto"/>
        <w:rPr>
          <w:rFonts w:hint="default" w:ascii="宋体" w:hAnsi="宋体" w:eastAsia="宋体" w:cs="宋体"/>
          <w:b w:val="0"/>
          <w:bCs w:val="0"/>
          <w:color w:val="auto"/>
          <w:sz w:val="24"/>
          <w:highlight w:val="none"/>
          <w:lang w:val="en-US" w:eastAsia="zh-CN"/>
        </w:rPr>
      </w:pPr>
      <w:r>
        <w:rPr>
          <w:rFonts w:hint="eastAsia" w:ascii="宋体" w:hAnsi="宋体" w:cs="宋体"/>
          <w:b/>
          <w:bCs/>
          <w:color w:val="auto"/>
          <w:sz w:val="24"/>
          <w:highlight w:val="none"/>
        </w:rPr>
        <w:t>最高限价（元）：</w:t>
      </w:r>
      <w:r>
        <w:rPr>
          <w:rFonts w:hint="eastAsia" w:ascii="宋体" w:hAnsi="宋体" w:cs="宋体"/>
          <w:b w:val="0"/>
          <w:bCs w:val="0"/>
          <w:color w:val="auto"/>
          <w:sz w:val="24"/>
          <w:highlight w:val="none"/>
        </w:rPr>
        <w:t>2446995.5</w:t>
      </w:r>
      <w:r>
        <w:rPr>
          <w:rFonts w:hint="eastAsia" w:ascii="宋体" w:hAnsi="宋体" w:cs="宋体"/>
          <w:b w:val="0"/>
          <w:bCs w:val="0"/>
          <w:color w:val="auto"/>
          <w:sz w:val="24"/>
          <w:highlight w:val="none"/>
          <w:lang w:val="en-US" w:eastAsia="zh-CN"/>
        </w:rPr>
        <w:t>元；</w:t>
      </w:r>
    </w:p>
    <w:p>
      <w:pPr>
        <w:pStyle w:val="19"/>
        <w:keepNext w:val="0"/>
        <w:keepLines w:val="0"/>
        <w:pageBreakBefore w:val="0"/>
        <w:kinsoku/>
        <w:wordWrap/>
        <w:overflowPunct/>
        <w:topLinePunct w:val="0"/>
        <w:autoSpaceDE/>
        <w:autoSpaceDN/>
        <w:bidi w:val="0"/>
        <w:spacing w:line="440" w:lineRule="exact"/>
        <w:textAlignment w:val="auto"/>
        <w:rPr>
          <w:rFonts w:ascii="宋体" w:hAnsi="宋体" w:cs="宋体"/>
          <w:color w:val="auto"/>
          <w:sz w:val="24"/>
          <w:highlight w:val="none"/>
        </w:rPr>
      </w:pPr>
      <w:r>
        <w:rPr>
          <w:rFonts w:hint="eastAsia" w:ascii="宋体" w:hAnsi="宋体" w:cs="宋体"/>
          <w:b/>
          <w:bCs/>
          <w:color w:val="auto"/>
          <w:sz w:val="24"/>
          <w:highlight w:val="none"/>
        </w:rPr>
        <w:t>采购需求：</w:t>
      </w:r>
    </w:p>
    <w:p>
      <w:pPr>
        <w:keepNext w:val="0"/>
        <w:keepLines w:val="0"/>
        <w:pageBreakBefore w:val="0"/>
        <w:kinsoku/>
        <w:wordWrap/>
        <w:overflowPunct/>
        <w:topLinePunct w:val="0"/>
        <w:autoSpaceDE/>
        <w:autoSpaceDN/>
        <w:bidi w:val="0"/>
        <w:spacing w:line="440" w:lineRule="exact"/>
        <w:ind w:firstLine="482" w:firstLineChars="200"/>
        <w:textAlignment w:val="auto"/>
        <w:rPr>
          <w:rFonts w:ascii="宋体" w:hAnsi="宋体" w:cs="宋体"/>
          <w:b/>
          <w:bCs/>
          <w:color w:val="auto"/>
          <w:sz w:val="24"/>
          <w:highlight w:val="none"/>
        </w:rPr>
      </w:pPr>
      <w:r>
        <w:rPr>
          <w:rFonts w:hint="eastAsia" w:ascii="宋体" w:hAnsi="宋体" w:cs="宋体"/>
          <w:b/>
          <w:bCs/>
          <w:color w:val="auto"/>
          <w:sz w:val="24"/>
          <w:highlight w:val="none"/>
        </w:rPr>
        <w:t>标</w:t>
      </w:r>
      <w:r>
        <w:rPr>
          <w:rFonts w:hint="eastAsia" w:ascii="宋体" w:hAnsi="宋体" w:cs="宋体"/>
          <w:b/>
          <w:bCs/>
          <w:color w:val="auto"/>
          <w:sz w:val="24"/>
          <w:highlight w:val="none"/>
          <w:lang w:val="en-US" w:eastAsia="zh-CN"/>
        </w:rPr>
        <w:t>项</w:t>
      </w:r>
      <w:r>
        <w:rPr>
          <w:rFonts w:hint="eastAsia" w:ascii="宋体" w:hAnsi="宋体" w:cs="宋体"/>
          <w:b/>
          <w:bCs/>
          <w:color w:val="auto"/>
          <w:sz w:val="24"/>
          <w:highlight w:val="none"/>
        </w:rPr>
        <w:t>一：</w:t>
      </w:r>
    </w:p>
    <w:p>
      <w:pPr>
        <w:pStyle w:val="19"/>
        <w:keepNext w:val="0"/>
        <w:keepLines w:val="0"/>
        <w:pageBreakBefore w:val="0"/>
        <w:kinsoku/>
        <w:wordWrap/>
        <w:overflowPunct/>
        <w:topLinePunct w:val="0"/>
        <w:autoSpaceDE/>
        <w:autoSpaceDN/>
        <w:bidi w:val="0"/>
        <w:spacing w:line="440" w:lineRule="exact"/>
        <w:ind w:firstLine="480"/>
        <w:textAlignment w:val="auto"/>
        <w:rPr>
          <w:rFonts w:hint="eastAsia" w:ascii="宋体" w:hAnsi="宋体" w:cs="宋体"/>
          <w:color w:val="auto"/>
          <w:sz w:val="24"/>
          <w:highlight w:val="none"/>
          <w:lang w:eastAsia="zh-CN"/>
        </w:rPr>
      </w:pPr>
      <w:r>
        <w:rPr>
          <w:rFonts w:hint="eastAsia" w:ascii="宋体" w:hAnsi="宋体" w:cs="宋体"/>
          <w:color w:val="auto"/>
          <w:sz w:val="24"/>
          <w:highlight w:val="none"/>
        </w:rPr>
        <w:t>标项名称：</w:t>
      </w:r>
      <w:r>
        <w:rPr>
          <w:rFonts w:hint="eastAsia" w:ascii="宋体" w:hAnsi="宋体" w:cs="宋体"/>
          <w:color w:val="auto"/>
          <w:sz w:val="24"/>
          <w:highlight w:val="none"/>
          <w:lang w:eastAsia="zh-CN"/>
        </w:rPr>
        <w:t>三单乡三单村一事一议财政奖补支持打造共富乡村试点项目软装工程</w:t>
      </w:r>
    </w:p>
    <w:p>
      <w:pPr>
        <w:pStyle w:val="19"/>
        <w:keepNext w:val="0"/>
        <w:keepLines w:val="0"/>
        <w:pageBreakBefore w:val="0"/>
        <w:kinsoku/>
        <w:wordWrap/>
        <w:overflowPunct/>
        <w:topLinePunct w:val="0"/>
        <w:autoSpaceDE/>
        <w:autoSpaceDN/>
        <w:bidi w:val="0"/>
        <w:spacing w:line="440" w:lineRule="exact"/>
        <w:ind w:firstLine="480"/>
        <w:textAlignment w:val="auto"/>
        <w:rPr>
          <w:rFonts w:ascii="宋体" w:hAnsi="宋体" w:cs="宋体"/>
          <w:color w:val="auto"/>
          <w:sz w:val="24"/>
          <w:highlight w:val="none"/>
        </w:rPr>
      </w:pPr>
      <w:r>
        <w:rPr>
          <w:rFonts w:hint="eastAsia" w:ascii="宋体" w:hAnsi="宋体" w:cs="宋体"/>
          <w:color w:val="auto"/>
          <w:sz w:val="24"/>
          <w:highlight w:val="none"/>
        </w:rPr>
        <w:t>数量：1项</w:t>
      </w:r>
    </w:p>
    <w:p>
      <w:pPr>
        <w:pStyle w:val="19"/>
        <w:keepNext w:val="0"/>
        <w:keepLines w:val="0"/>
        <w:pageBreakBefore w:val="0"/>
        <w:kinsoku/>
        <w:wordWrap/>
        <w:overflowPunct/>
        <w:topLinePunct w:val="0"/>
        <w:autoSpaceDE/>
        <w:autoSpaceDN/>
        <w:bidi w:val="0"/>
        <w:spacing w:line="440" w:lineRule="exact"/>
        <w:ind w:firstLine="480"/>
        <w:textAlignment w:val="auto"/>
        <w:rPr>
          <w:rFonts w:hint="eastAsia" w:ascii="宋体" w:hAnsi="宋体" w:cs="宋体"/>
          <w:b w:val="0"/>
          <w:bCs w:val="0"/>
          <w:color w:val="auto"/>
          <w:sz w:val="24"/>
          <w:highlight w:val="none"/>
        </w:rPr>
      </w:pPr>
      <w:r>
        <w:rPr>
          <w:rFonts w:hint="eastAsia" w:ascii="宋体" w:hAnsi="宋体" w:cs="宋体"/>
          <w:color w:val="auto"/>
          <w:sz w:val="24"/>
          <w:highlight w:val="none"/>
        </w:rPr>
        <w:t>预算金额（元）：</w:t>
      </w:r>
      <w:r>
        <w:rPr>
          <w:rFonts w:hint="eastAsia" w:ascii="宋体" w:hAnsi="宋体" w:cs="宋体"/>
          <w:b w:val="0"/>
          <w:bCs w:val="0"/>
          <w:color w:val="auto"/>
          <w:sz w:val="24"/>
          <w:highlight w:val="none"/>
          <w:lang w:val="en-US" w:eastAsia="zh-CN"/>
        </w:rPr>
        <w:t xml:space="preserve">2470000 </w:t>
      </w:r>
      <w:r>
        <w:rPr>
          <w:rFonts w:hint="eastAsia" w:ascii="宋体" w:hAnsi="宋体" w:cs="宋体"/>
          <w:b w:val="0"/>
          <w:bCs w:val="0"/>
          <w:color w:val="auto"/>
          <w:sz w:val="24"/>
          <w:highlight w:val="none"/>
        </w:rPr>
        <w:t>元</w:t>
      </w:r>
    </w:p>
    <w:p>
      <w:pPr>
        <w:pStyle w:val="19"/>
        <w:keepNext w:val="0"/>
        <w:keepLines w:val="0"/>
        <w:pageBreakBefore w:val="0"/>
        <w:kinsoku/>
        <w:wordWrap/>
        <w:overflowPunct/>
        <w:topLinePunct w:val="0"/>
        <w:autoSpaceDE/>
        <w:autoSpaceDN/>
        <w:bidi w:val="0"/>
        <w:spacing w:line="440" w:lineRule="exact"/>
        <w:ind w:firstLine="480"/>
        <w:textAlignment w:val="auto"/>
        <w:rPr>
          <w:rFonts w:ascii="宋体" w:hAnsi="宋体" w:cs="宋体"/>
          <w:color w:val="auto"/>
          <w:sz w:val="24"/>
          <w:highlight w:val="none"/>
        </w:rPr>
      </w:pPr>
      <w:r>
        <w:rPr>
          <w:rFonts w:hint="eastAsia" w:ascii="宋体" w:hAnsi="宋体" w:cs="宋体"/>
          <w:color w:val="auto"/>
          <w:sz w:val="24"/>
          <w:highlight w:val="none"/>
        </w:rPr>
        <w:t>简要规格描述或项目基本概况介绍、用途：具体要求详见第</w:t>
      </w:r>
      <w:r>
        <w:rPr>
          <w:rFonts w:hint="eastAsia" w:ascii="宋体" w:hAnsi="宋体" w:cs="宋体"/>
          <w:color w:val="auto"/>
          <w:sz w:val="24"/>
          <w:highlight w:val="none"/>
          <w:lang w:val="en-US" w:eastAsia="zh-CN"/>
        </w:rPr>
        <w:t>二</w:t>
      </w:r>
      <w:r>
        <w:rPr>
          <w:rFonts w:hint="eastAsia" w:ascii="宋体" w:hAnsi="宋体" w:cs="宋体"/>
          <w:color w:val="auto"/>
          <w:sz w:val="24"/>
          <w:highlight w:val="none"/>
        </w:rPr>
        <w:t>章招标需求</w:t>
      </w:r>
    </w:p>
    <w:p>
      <w:pPr>
        <w:pStyle w:val="19"/>
        <w:keepNext w:val="0"/>
        <w:keepLines w:val="0"/>
        <w:pageBreakBefore w:val="0"/>
        <w:kinsoku/>
        <w:wordWrap/>
        <w:overflowPunct/>
        <w:topLinePunct w:val="0"/>
        <w:autoSpaceDE/>
        <w:autoSpaceDN/>
        <w:bidi w:val="0"/>
        <w:spacing w:line="440" w:lineRule="exact"/>
        <w:ind w:firstLine="480"/>
        <w:textAlignment w:val="auto"/>
        <w:rPr>
          <w:rFonts w:ascii="宋体" w:hAnsi="宋体" w:cs="宋体"/>
          <w:color w:val="auto"/>
          <w:sz w:val="24"/>
          <w:highlight w:val="none"/>
        </w:rPr>
      </w:pPr>
      <w:r>
        <w:rPr>
          <w:rFonts w:hint="eastAsia" w:ascii="宋体" w:hAnsi="宋体" w:cs="宋体"/>
          <w:color w:val="auto"/>
          <w:sz w:val="24"/>
          <w:highlight w:val="none"/>
        </w:rPr>
        <w:t>备注：</w:t>
      </w:r>
    </w:p>
    <w:p>
      <w:pPr>
        <w:pStyle w:val="19"/>
        <w:keepNext w:val="0"/>
        <w:keepLines w:val="0"/>
        <w:pageBreakBefore w:val="0"/>
        <w:kinsoku/>
        <w:wordWrap/>
        <w:overflowPunct/>
        <w:topLinePunct w:val="0"/>
        <w:autoSpaceDE/>
        <w:autoSpaceDN/>
        <w:bidi w:val="0"/>
        <w:spacing w:line="440" w:lineRule="exact"/>
        <w:ind w:firstLine="480"/>
        <w:textAlignment w:val="auto"/>
        <w:rPr>
          <w:rFonts w:ascii="宋体" w:hAnsi="宋体" w:cs="宋体"/>
          <w:color w:val="auto"/>
          <w:sz w:val="24"/>
          <w:highlight w:val="none"/>
        </w:rPr>
      </w:pPr>
      <w:r>
        <w:rPr>
          <w:rFonts w:hint="eastAsia" w:ascii="宋体" w:hAnsi="宋体" w:cs="宋体"/>
          <w:color w:val="auto"/>
          <w:sz w:val="24"/>
          <w:highlight w:val="none"/>
        </w:rPr>
        <w:t>合同履约期限：详见竞争性磋商文件</w:t>
      </w:r>
    </w:p>
    <w:p>
      <w:pPr>
        <w:pStyle w:val="19"/>
        <w:keepNext w:val="0"/>
        <w:keepLines w:val="0"/>
        <w:pageBreakBefore w:val="0"/>
        <w:kinsoku/>
        <w:wordWrap/>
        <w:overflowPunct/>
        <w:topLinePunct w:val="0"/>
        <w:autoSpaceDE/>
        <w:autoSpaceDN/>
        <w:bidi w:val="0"/>
        <w:spacing w:line="440" w:lineRule="exact"/>
        <w:ind w:firstLine="480"/>
        <w:textAlignment w:val="auto"/>
        <w:rPr>
          <w:rFonts w:hint="eastAsia" w:ascii="宋体" w:hAnsi="宋体" w:cs="宋体"/>
          <w:color w:val="auto"/>
          <w:sz w:val="24"/>
          <w:highlight w:val="none"/>
        </w:rPr>
      </w:pPr>
      <w:r>
        <w:rPr>
          <w:rFonts w:hint="eastAsia" w:ascii="宋体" w:hAnsi="宋体" w:cs="宋体"/>
          <w:color w:val="auto"/>
          <w:sz w:val="24"/>
          <w:highlight w:val="none"/>
        </w:rPr>
        <w:t xml:space="preserve">本项目（是）接受联合体投标。  </w:t>
      </w:r>
    </w:p>
    <w:p>
      <w:pPr>
        <w:keepNext w:val="0"/>
        <w:keepLines w:val="0"/>
        <w:pageBreakBefore w:val="0"/>
        <w:kinsoku/>
        <w:wordWrap/>
        <w:overflowPunct/>
        <w:topLinePunct w:val="0"/>
        <w:autoSpaceDE/>
        <w:autoSpaceDN/>
        <w:bidi w:val="0"/>
        <w:snapToGrid w:val="0"/>
        <w:spacing w:line="440" w:lineRule="exact"/>
        <w:textAlignment w:val="auto"/>
        <w:rPr>
          <w:rFonts w:ascii="宋体" w:hAnsi="宋体" w:cs="宋体"/>
          <w:b/>
          <w:bCs/>
          <w:strike/>
          <w:color w:val="auto"/>
          <w:sz w:val="24"/>
          <w:highlight w:val="none"/>
        </w:rPr>
      </w:pPr>
      <w:r>
        <w:rPr>
          <w:rFonts w:hint="eastAsia" w:ascii="宋体" w:hAnsi="宋体" w:cs="宋体"/>
          <w:b/>
          <w:bCs/>
          <w:color w:val="auto"/>
          <w:sz w:val="24"/>
          <w:highlight w:val="none"/>
        </w:rPr>
        <w:t xml:space="preserve">▲二、申请人的资格要求： </w:t>
      </w:r>
    </w:p>
    <w:p>
      <w:pPr>
        <w:pStyle w:val="19"/>
        <w:keepNext w:val="0"/>
        <w:keepLines w:val="0"/>
        <w:pageBreakBefore w:val="0"/>
        <w:kinsoku/>
        <w:wordWrap/>
        <w:overflowPunct/>
        <w:topLinePunct w:val="0"/>
        <w:autoSpaceDE/>
        <w:autoSpaceDN/>
        <w:bidi w:val="0"/>
        <w:spacing w:line="440" w:lineRule="exact"/>
        <w:ind w:firstLine="720" w:firstLineChars="300"/>
        <w:textAlignment w:val="auto"/>
        <w:rPr>
          <w:rFonts w:ascii="宋体" w:hAnsi="宋体" w:cs="宋体"/>
          <w:color w:val="auto"/>
          <w:sz w:val="24"/>
          <w:highlight w:val="none"/>
        </w:rPr>
      </w:pPr>
      <w:r>
        <w:rPr>
          <w:rFonts w:hint="eastAsia" w:ascii="宋体" w:hAnsi="宋体" w:cs="宋体"/>
          <w:color w:val="auto"/>
          <w:sz w:val="24"/>
          <w:highlight w:val="none"/>
        </w:rPr>
        <w:t>1、满足《中华人民共和国政府采购法》第二十二条规定；未被“信用中国”（www.creditchina.gov.cn)、中国政府采购网（www.ccgp.gov.cn）列入失信被执行人、重大税收违法案件当事人名单、政府采购严重违法失信行为记录名单。</w:t>
      </w:r>
    </w:p>
    <w:p>
      <w:pPr>
        <w:keepNext w:val="0"/>
        <w:keepLines w:val="0"/>
        <w:pageBreakBefore w:val="0"/>
        <w:kinsoku/>
        <w:wordWrap/>
        <w:overflowPunct/>
        <w:topLinePunct w:val="0"/>
        <w:autoSpaceDE/>
        <w:autoSpaceDN/>
        <w:bidi w:val="0"/>
        <w:spacing w:line="440" w:lineRule="exact"/>
        <w:ind w:firstLine="720" w:firstLineChars="300"/>
        <w:textAlignment w:val="auto"/>
        <w:rPr>
          <w:rFonts w:ascii="宋体" w:hAnsi="宋体" w:cs="宋体"/>
          <w:color w:val="auto"/>
          <w:sz w:val="24"/>
          <w:highlight w:val="none"/>
        </w:rPr>
      </w:pPr>
      <w:r>
        <w:rPr>
          <w:rFonts w:hint="eastAsia" w:ascii="宋体" w:hAnsi="宋体" w:cs="宋体"/>
          <w:color w:val="auto"/>
          <w:sz w:val="24"/>
          <w:highlight w:val="none"/>
        </w:rPr>
        <w:t>2、落实政府采购政策需满足的资格要求：根据《政府采购促进中小企业发展管理办法》有关规定，本项目仅面向中小型及以下企业响应磋商。</w:t>
      </w:r>
    </w:p>
    <w:p>
      <w:pPr>
        <w:keepNext w:val="0"/>
        <w:keepLines w:val="0"/>
        <w:pageBreakBefore w:val="0"/>
        <w:kinsoku/>
        <w:wordWrap/>
        <w:overflowPunct/>
        <w:topLinePunct w:val="0"/>
        <w:autoSpaceDE/>
        <w:autoSpaceDN/>
        <w:bidi w:val="0"/>
        <w:spacing w:line="440" w:lineRule="exact"/>
        <w:textAlignment w:val="auto"/>
        <w:rPr>
          <w:rFonts w:hint="eastAsia" w:ascii="宋体" w:hAnsi="宋体" w:cs="宋体"/>
          <w:b/>
          <w:bCs/>
          <w:color w:val="auto"/>
          <w:sz w:val="24"/>
          <w:highlight w:val="none"/>
        </w:rPr>
      </w:pPr>
      <w:r>
        <w:rPr>
          <w:rFonts w:hint="eastAsia" w:ascii="宋体" w:hAnsi="宋体" w:cs="宋体"/>
          <w:b/>
          <w:bCs/>
          <w:color w:val="auto"/>
          <w:sz w:val="24"/>
          <w:highlight w:val="none"/>
        </w:rPr>
        <w:t xml:space="preserve">3、本项目的特定资格要求：   </w:t>
      </w:r>
    </w:p>
    <w:p>
      <w:pPr>
        <w:pStyle w:val="19"/>
        <w:keepNext w:val="0"/>
        <w:keepLines w:val="0"/>
        <w:pageBreakBefore w:val="0"/>
        <w:kinsoku/>
        <w:wordWrap/>
        <w:overflowPunct/>
        <w:topLinePunct w:val="0"/>
        <w:autoSpaceDE/>
        <w:autoSpaceDN/>
        <w:bidi w:val="0"/>
        <w:spacing w:line="440" w:lineRule="exact"/>
        <w:ind w:firstLine="480" w:firstLineChars="200"/>
        <w:textAlignment w:val="auto"/>
        <w:rPr>
          <w:rFonts w:hint="eastAsia" w:ascii="宋体" w:hAnsi="宋体" w:eastAsia="宋体" w:cs="宋体"/>
          <w:color w:val="auto"/>
          <w:sz w:val="24"/>
          <w:highlight w:val="none"/>
          <w:lang w:eastAsia="zh-CN"/>
        </w:rPr>
      </w:pPr>
      <w:r>
        <w:rPr>
          <w:rFonts w:hint="eastAsia" w:ascii="宋体" w:hAnsi="宋体" w:cs="宋体"/>
          <w:color w:val="auto"/>
          <w:sz w:val="24"/>
          <w:highlight w:val="none"/>
        </w:rPr>
        <w:t>（1）供应商具备有效的企业营业执照，并</w:t>
      </w:r>
      <w:r>
        <w:rPr>
          <w:rFonts w:hint="eastAsia" w:ascii="宋体" w:hAnsi="宋体" w:cs="宋体"/>
          <w:color w:val="auto"/>
          <w:sz w:val="24"/>
          <w:highlight w:val="none"/>
          <w:lang w:val="en-US" w:eastAsia="zh-CN"/>
        </w:rPr>
        <w:t>承诺</w:t>
      </w:r>
      <w:r>
        <w:rPr>
          <w:rFonts w:hint="eastAsia" w:ascii="宋体" w:hAnsi="宋体" w:cs="宋体"/>
          <w:color w:val="auto"/>
          <w:sz w:val="24"/>
          <w:highlight w:val="none"/>
        </w:rPr>
        <w:t>在人员、设备、资金等方面具有相应的施工能力。</w:t>
      </w:r>
      <w:r>
        <w:rPr>
          <w:rFonts w:hint="eastAsia" w:ascii="宋体" w:hAnsi="宋体" w:cs="宋体"/>
          <w:color w:val="auto"/>
          <w:sz w:val="24"/>
          <w:highlight w:val="none"/>
          <w:lang w:eastAsia="zh-CN"/>
        </w:rPr>
        <w:t>（</w:t>
      </w:r>
      <w:r>
        <w:rPr>
          <w:rFonts w:hint="eastAsia" w:ascii="宋体" w:hAnsi="宋体" w:cs="宋体"/>
          <w:color w:val="auto"/>
          <w:sz w:val="24"/>
          <w:highlight w:val="none"/>
          <w:lang w:val="en-US" w:eastAsia="zh-CN"/>
        </w:rPr>
        <w:t>须提供承诺书</w:t>
      </w:r>
      <w:r>
        <w:rPr>
          <w:rFonts w:hint="eastAsia" w:ascii="宋体" w:hAnsi="宋体" w:cs="宋体"/>
          <w:color w:val="auto"/>
          <w:sz w:val="24"/>
          <w:highlight w:val="none"/>
          <w:lang w:eastAsia="zh-CN"/>
        </w:rPr>
        <w:t>）</w:t>
      </w:r>
    </w:p>
    <w:p>
      <w:pPr>
        <w:pStyle w:val="19"/>
        <w:keepNext w:val="0"/>
        <w:keepLines w:val="0"/>
        <w:pageBreakBefore w:val="0"/>
        <w:kinsoku/>
        <w:wordWrap/>
        <w:overflowPunct/>
        <w:topLinePunct w:val="0"/>
        <w:autoSpaceDE/>
        <w:autoSpaceDN/>
        <w:bidi w:val="0"/>
        <w:spacing w:line="440" w:lineRule="exact"/>
        <w:ind w:firstLine="480" w:firstLineChars="200"/>
        <w:textAlignment w:val="auto"/>
        <w:rPr>
          <w:rFonts w:ascii="宋体" w:hAnsi="宋体" w:cs="宋体"/>
          <w:color w:val="auto"/>
          <w:highlight w:val="none"/>
        </w:rPr>
      </w:pPr>
      <w:r>
        <w:rPr>
          <w:rFonts w:hint="eastAsia" w:ascii="宋体" w:hAnsi="宋体" w:cs="宋体"/>
          <w:color w:val="auto"/>
          <w:sz w:val="24"/>
          <w:highlight w:val="none"/>
        </w:rPr>
        <w:t>（</w:t>
      </w:r>
      <w:r>
        <w:rPr>
          <w:rFonts w:hint="eastAsia" w:ascii="宋体" w:hAnsi="宋体" w:cs="宋体"/>
          <w:color w:val="auto"/>
          <w:sz w:val="24"/>
          <w:highlight w:val="none"/>
          <w:lang w:val="en-US" w:eastAsia="zh-CN"/>
        </w:rPr>
        <w:t>2</w:t>
      </w:r>
      <w:r>
        <w:rPr>
          <w:rFonts w:hint="eastAsia" w:ascii="宋体" w:hAnsi="宋体" w:cs="宋体"/>
          <w:color w:val="auto"/>
          <w:sz w:val="24"/>
          <w:highlight w:val="none"/>
        </w:rPr>
        <w:t>）供应商须为浙江政府采购网注册的正式供应商或承诺中标后30天内注册为浙江政府采购网正式供应商。</w:t>
      </w:r>
    </w:p>
    <w:p>
      <w:pPr>
        <w:keepNext w:val="0"/>
        <w:keepLines w:val="0"/>
        <w:pageBreakBefore w:val="0"/>
        <w:kinsoku/>
        <w:wordWrap/>
        <w:overflowPunct/>
        <w:topLinePunct w:val="0"/>
        <w:autoSpaceDE/>
        <w:autoSpaceDN/>
        <w:bidi w:val="0"/>
        <w:snapToGrid w:val="0"/>
        <w:spacing w:line="440" w:lineRule="exact"/>
        <w:textAlignment w:val="auto"/>
        <w:rPr>
          <w:rFonts w:ascii="宋体" w:hAnsi="宋体" w:cs="宋体"/>
          <w:b/>
          <w:bCs/>
          <w:color w:val="auto"/>
          <w:sz w:val="24"/>
          <w:highlight w:val="none"/>
        </w:rPr>
      </w:pPr>
      <w:r>
        <w:rPr>
          <w:rFonts w:hint="eastAsia" w:ascii="宋体" w:hAnsi="宋体" w:cs="宋体"/>
          <w:b/>
          <w:bCs/>
          <w:color w:val="auto"/>
          <w:sz w:val="24"/>
          <w:highlight w:val="none"/>
        </w:rPr>
        <w:t xml:space="preserve">▲三、获取磋商文件： </w:t>
      </w:r>
    </w:p>
    <w:p>
      <w:pPr>
        <w:keepNext w:val="0"/>
        <w:keepLines w:val="0"/>
        <w:pageBreakBefore w:val="0"/>
        <w:kinsoku/>
        <w:wordWrap/>
        <w:overflowPunct/>
        <w:topLinePunct w:val="0"/>
        <w:autoSpaceDE/>
        <w:autoSpaceDN/>
        <w:bidi w:val="0"/>
        <w:spacing w:line="440" w:lineRule="exact"/>
        <w:ind w:firstLine="640"/>
        <w:textAlignment w:val="auto"/>
        <w:rPr>
          <w:rFonts w:ascii="宋体" w:hAnsi="宋体" w:cs="宋体"/>
          <w:color w:val="auto"/>
          <w:sz w:val="24"/>
          <w:highlight w:val="none"/>
        </w:rPr>
      </w:pPr>
      <w:r>
        <w:rPr>
          <w:rFonts w:hint="eastAsia" w:ascii="宋体" w:hAnsi="宋体" w:cs="宋体"/>
          <w:color w:val="auto"/>
          <w:sz w:val="24"/>
          <w:highlight w:val="none"/>
        </w:rPr>
        <w:t>时间：/至202</w:t>
      </w:r>
      <w:r>
        <w:rPr>
          <w:rFonts w:hint="eastAsia" w:ascii="宋体" w:hAnsi="宋体" w:cs="宋体"/>
          <w:color w:val="auto"/>
          <w:sz w:val="24"/>
          <w:highlight w:val="none"/>
          <w:lang w:val="en-US" w:eastAsia="zh-CN"/>
        </w:rPr>
        <w:t>4</w:t>
      </w:r>
      <w:r>
        <w:rPr>
          <w:rFonts w:hint="eastAsia" w:ascii="宋体" w:hAnsi="宋体" w:cs="宋体"/>
          <w:color w:val="auto"/>
          <w:sz w:val="24"/>
          <w:highlight w:val="none"/>
        </w:rPr>
        <w:t>年</w:t>
      </w:r>
      <w:r>
        <w:rPr>
          <w:rFonts w:hint="eastAsia" w:ascii="宋体" w:hAnsi="宋体" w:cs="宋体"/>
          <w:color w:val="auto"/>
          <w:sz w:val="24"/>
          <w:highlight w:val="none"/>
          <w:lang w:val="en-US" w:eastAsia="zh-CN"/>
        </w:rPr>
        <w:t>4</w:t>
      </w:r>
      <w:r>
        <w:rPr>
          <w:rFonts w:hint="eastAsia" w:ascii="宋体" w:hAnsi="宋体" w:cs="宋体"/>
          <w:color w:val="auto"/>
          <w:sz w:val="24"/>
          <w:highlight w:val="none"/>
        </w:rPr>
        <w:t>月</w:t>
      </w:r>
      <w:r>
        <w:rPr>
          <w:rFonts w:hint="eastAsia" w:ascii="宋体" w:hAnsi="宋体" w:cs="宋体"/>
          <w:color w:val="auto"/>
          <w:sz w:val="24"/>
          <w:highlight w:val="none"/>
          <w:lang w:val="en-US" w:eastAsia="zh-CN"/>
        </w:rPr>
        <w:t>9</w:t>
      </w:r>
      <w:r>
        <w:rPr>
          <w:rFonts w:hint="eastAsia" w:ascii="宋体" w:hAnsi="宋体" w:cs="宋体"/>
          <w:color w:val="auto"/>
          <w:sz w:val="24"/>
          <w:highlight w:val="none"/>
        </w:rPr>
        <w:t>日</w:t>
      </w:r>
      <w:r>
        <w:rPr>
          <w:rFonts w:hint="eastAsia" w:ascii="宋体" w:hAnsi="宋体" w:cs="宋体"/>
          <w:color w:val="auto"/>
          <w:sz w:val="24"/>
          <w:highlight w:val="none"/>
          <w:lang w:val="en-US" w:eastAsia="zh-CN"/>
        </w:rPr>
        <w:t>8</w:t>
      </w:r>
      <w:r>
        <w:rPr>
          <w:rFonts w:hint="eastAsia" w:ascii="宋体" w:hAnsi="宋体" w:cs="宋体"/>
          <w:color w:val="auto"/>
          <w:sz w:val="24"/>
          <w:highlight w:val="none"/>
        </w:rPr>
        <w:t>时</w:t>
      </w:r>
      <w:r>
        <w:rPr>
          <w:rFonts w:hint="eastAsia" w:ascii="宋体" w:hAnsi="宋体" w:cs="宋体"/>
          <w:color w:val="auto"/>
          <w:sz w:val="24"/>
          <w:highlight w:val="none"/>
          <w:lang w:val="en-US" w:eastAsia="zh-CN"/>
        </w:rPr>
        <w:t>30</w:t>
      </w:r>
      <w:r>
        <w:rPr>
          <w:rFonts w:hint="eastAsia" w:ascii="宋体" w:hAnsi="宋体" w:cs="宋体"/>
          <w:color w:val="auto"/>
          <w:sz w:val="24"/>
          <w:highlight w:val="none"/>
        </w:rPr>
        <w:t>分，每天上午00：00至12:00，下午12:00至23:59（北京时间，线上获取法定节假日均可，线下获取文件法定节假日除外）</w:t>
      </w:r>
    </w:p>
    <w:p>
      <w:pPr>
        <w:keepNext w:val="0"/>
        <w:keepLines w:val="0"/>
        <w:pageBreakBefore w:val="0"/>
        <w:kinsoku/>
        <w:wordWrap/>
        <w:overflowPunct/>
        <w:topLinePunct w:val="0"/>
        <w:autoSpaceDE/>
        <w:autoSpaceDN/>
        <w:bidi w:val="0"/>
        <w:spacing w:line="440" w:lineRule="exact"/>
        <w:ind w:firstLine="640"/>
        <w:textAlignment w:val="auto"/>
        <w:rPr>
          <w:rFonts w:ascii="宋体" w:hAnsi="宋体" w:cs="宋体"/>
          <w:color w:val="auto"/>
          <w:sz w:val="24"/>
          <w:highlight w:val="none"/>
        </w:rPr>
      </w:pPr>
      <w:r>
        <w:rPr>
          <w:rFonts w:hint="eastAsia" w:ascii="宋体" w:hAnsi="宋体" w:cs="宋体"/>
          <w:color w:val="auto"/>
          <w:sz w:val="24"/>
          <w:highlight w:val="none"/>
        </w:rPr>
        <w:t>地点（网址）：浙江政府采购网（http://zfcg.czt.zj.gov.cn/）； 东阳市公共资源交易网(http://www.dongyang.gov.cn/ggzyjy/index.html)</w:t>
      </w:r>
    </w:p>
    <w:p>
      <w:pPr>
        <w:keepNext w:val="0"/>
        <w:keepLines w:val="0"/>
        <w:pageBreakBefore w:val="0"/>
        <w:kinsoku/>
        <w:wordWrap/>
        <w:overflowPunct/>
        <w:topLinePunct w:val="0"/>
        <w:autoSpaceDE/>
        <w:autoSpaceDN/>
        <w:bidi w:val="0"/>
        <w:snapToGrid w:val="0"/>
        <w:spacing w:line="440" w:lineRule="exact"/>
        <w:ind w:firstLine="480" w:firstLineChars="200"/>
        <w:textAlignment w:val="auto"/>
        <w:rPr>
          <w:rFonts w:ascii="宋体" w:hAnsi="宋体" w:cs="宋体"/>
          <w:color w:val="auto"/>
          <w:sz w:val="24"/>
          <w:highlight w:val="none"/>
        </w:rPr>
      </w:pPr>
      <w:r>
        <w:rPr>
          <w:rFonts w:hint="eastAsia" w:ascii="宋体" w:hAnsi="宋体" w:cs="宋体"/>
          <w:color w:val="auto"/>
          <w:sz w:val="24"/>
          <w:highlight w:val="none"/>
        </w:rPr>
        <w:t>方式：1、由供应商通过登录浙江省政府采购网(http://zfcg.czt.zj.gov.cn/)上的政采云系统进行获取（首次参加谈判的单位应先登录浙江省政府采购网(http://zfcg.czt.zj.gov.cn/)进行账户注册，注册完毕待审核成功后方可登录政采云系统获取；注册流程见网址</w:t>
      </w:r>
    </w:p>
    <w:p>
      <w:pPr>
        <w:keepNext w:val="0"/>
        <w:keepLines w:val="0"/>
        <w:pageBreakBefore w:val="0"/>
        <w:kinsoku/>
        <w:wordWrap/>
        <w:overflowPunct/>
        <w:topLinePunct w:val="0"/>
        <w:autoSpaceDE/>
        <w:autoSpaceDN/>
        <w:bidi w:val="0"/>
        <w:snapToGrid w:val="0"/>
        <w:spacing w:line="440" w:lineRule="exact"/>
        <w:textAlignment w:val="auto"/>
        <w:rPr>
          <w:rFonts w:ascii="宋体" w:hAnsi="宋体" w:cs="宋体"/>
          <w:color w:val="auto"/>
          <w:sz w:val="24"/>
          <w:highlight w:val="none"/>
        </w:rPr>
      </w:pPr>
      <w:r>
        <w:rPr>
          <w:rFonts w:hint="eastAsia" w:ascii="宋体" w:hAnsi="宋体" w:cs="宋体"/>
          <w:color w:val="auto"/>
          <w:sz w:val="24"/>
          <w:highlight w:val="none"/>
        </w:rPr>
        <w:t>http://zfcg.czt.zj.gov.cn/register/2017-07-24/6728.html?_=2017-11-13%2011:10:28）；</w:t>
      </w:r>
    </w:p>
    <w:p>
      <w:pPr>
        <w:keepNext w:val="0"/>
        <w:keepLines w:val="0"/>
        <w:pageBreakBefore w:val="0"/>
        <w:kinsoku/>
        <w:wordWrap/>
        <w:overflowPunct/>
        <w:topLinePunct w:val="0"/>
        <w:autoSpaceDE/>
        <w:autoSpaceDN/>
        <w:bidi w:val="0"/>
        <w:snapToGrid w:val="0"/>
        <w:spacing w:line="440" w:lineRule="exact"/>
        <w:ind w:firstLine="480" w:firstLineChars="200"/>
        <w:textAlignment w:val="auto"/>
        <w:rPr>
          <w:rFonts w:ascii="宋体" w:hAnsi="宋体" w:cs="宋体"/>
          <w:color w:val="auto"/>
          <w:highlight w:val="none"/>
        </w:rPr>
      </w:pPr>
      <w:r>
        <w:rPr>
          <w:rFonts w:hint="eastAsia" w:ascii="宋体" w:hAnsi="宋体" w:cs="宋体"/>
          <w:color w:val="auto"/>
          <w:sz w:val="24"/>
          <w:highlight w:val="none"/>
        </w:rPr>
        <w:t>2、竞争性磋商文件获取流程：浙江政府采购网-政采云用户登录-用户中心-项目采购-获取采购文件管理。</w:t>
      </w:r>
    </w:p>
    <w:p>
      <w:pPr>
        <w:keepNext w:val="0"/>
        <w:keepLines w:val="0"/>
        <w:pageBreakBefore w:val="0"/>
        <w:kinsoku/>
        <w:wordWrap/>
        <w:overflowPunct/>
        <w:topLinePunct w:val="0"/>
        <w:autoSpaceDE/>
        <w:autoSpaceDN/>
        <w:bidi w:val="0"/>
        <w:snapToGrid w:val="0"/>
        <w:spacing w:line="440" w:lineRule="exact"/>
        <w:ind w:firstLine="480" w:firstLineChars="200"/>
        <w:textAlignment w:val="auto"/>
        <w:rPr>
          <w:rFonts w:ascii="宋体" w:hAnsi="宋体" w:cs="宋体"/>
          <w:color w:val="auto"/>
          <w:sz w:val="24"/>
          <w:highlight w:val="none"/>
        </w:rPr>
      </w:pPr>
      <w:r>
        <w:rPr>
          <w:rFonts w:hint="eastAsia" w:ascii="宋体" w:hAnsi="宋体" w:cs="宋体"/>
          <w:color w:val="auto"/>
          <w:sz w:val="24"/>
          <w:highlight w:val="none"/>
        </w:rPr>
        <w:t>3、浙江政府采购网上以“游客”身份获取的采购文件仅供阅览；潜在供应商应按上述方式获取采购文件；未按上述方式获取采购文件的，不得对采购文件提起质疑投诉。</w:t>
      </w:r>
    </w:p>
    <w:p>
      <w:pPr>
        <w:keepNext w:val="0"/>
        <w:keepLines w:val="0"/>
        <w:pageBreakBefore w:val="0"/>
        <w:kinsoku/>
        <w:wordWrap/>
        <w:overflowPunct/>
        <w:topLinePunct w:val="0"/>
        <w:autoSpaceDE/>
        <w:autoSpaceDN/>
        <w:bidi w:val="0"/>
        <w:snapToGrid w:val="0"/>
        <w:spacing w:line="440" w:lineRule="exact"/>
        <w:ind w:firstLine="480" w:firstLineChars="200"/>
        <w:textAlignment w:val="auto"/>
        <w:rPr>
          <w:rFonts w:ascii="宋体" w:hAnsi="宋体" w:cs="宋体"/>
          <w:color w:val="auto"/>
          <w:sz w:val="24"/>
          <w:highlight w:val="none"/>
        </w:rPr>
      </w:pPr>
      <w:r>
        <w:rPr>
          <w:rFonts w:hint="eastAsia" w:ascii="宋体" w:hAnsi="宋体" w:cs="宋体"/>
          <w:color w:val="auto"/>
          <w:sz w:val="24"/>
          <w:highlight w:val="none"/>
        </w:rPr>
        <w:t xml:space="preserve"> 售价（元）：0</w:t>
      </w:r>
    </w:p>
    <w:p>
      <w:pPr>
        <w:keepNext w:val="0"/>
        <w:keepLines w:val="0"/>
        <w:pageBreakBefore w:val="0"/>
        <w:kinsoku/>
        <w:wordWrap/>
        <w:overflowPunct/>
        <w:topLinePunct w:val="0"/>
        <w:autoSpaceDE/>
        <w:autoSpaceDN/>
        <w:bidi w:val="0"/>
        <w:snapToGrid w:val="0"/>
        <w:spacing w:line="440" w:lineRule="exact"/>
        <w:textAlignment w:val="auto"/>
        <w:rPr>
          <w:rFonts w:ascii="宋体" w:hAnsi="宋体" w:cs="宋体"/>
          <w:b/>
          <w:bCs/>
          <w:color w:val="auto"/>
          <w:sz w:val="24"/>
          <w:highlight w:val="none"/>
        </w:rPr>
      </w:pPr>
      <w:r>
        <w:rPr>
          <w:rFonts w:hint="eastAsia" w:ascii="宋体" w:hAnsi="宋体" w:cs="宋体"/>
          <w:b/>
          <w:bCs/>
          <w:color w:val="auto"/>
          <w:sz w:val="24"/>
          <w:highlight w:val="none"/>
        </w:rPr>
        <w:t>四、响应文件提交</w:t>
      </w:r>
    </w:p>
    <w:p>
      <w:pPr>
        <w:keepNext w:val="0"/>
        <w:keepLines w:val="0"/>
        <w:pageBreakBefore w:val="0"/>
        <w:kinsoku/>
        <w:wordWrap/>
        <w:overflowPunct/>
        <w:topLinePunct w:val="0"/>
        <w:autoSpaceDE/>
        <w:autoSpaceDN/>
        <w:bidi w:val="0"/>
        <w:snapToGrid w:val="0"/>
        <w:spacing w:line="440" w:lineRule="exact"/>
        <w:ind w:firstLine="480" w:firstLineChars="200"/>
        <w:textAlignment w:val="auto"/>
        <w:rPr>
          <w:rFonts w:ascii="宋体" w:hAnsi="宋体" w:cs="宋体"/>
          <w:color w:val="auto"/>
          <w:sz w:val="24"/>
          <w:highlight w:val="none"/>
        </w:rPr>
      </w:pPr>
      <w:r>
        <w:rPr>
          <w:rFonts w:hint="eastAsia" w:ascii="宋体" w:hAnsi="宋体" w:cs="宋体"/>
          <w:color w:val="auto"/>
          <w:sz w:val="24"/>
          <w:highlight w:val="none"/>
        </w:rPr>
        <w:t>截止时间：202</w:t>
      </w:r>
      <w:r>
        <w:rPr>
          <w:rFonts w:hint="eastAsia" w:ascii="宋体" w:hAnsi="宋体" w:cs="宋体"/>
          <w:color w:val="auto"/>
          <w:sz w:val="24"/>
          <w:highlight w:val="none"/>
          <w:lang w:val="en-US" w:eastAsia="zh-CN"/>
        </w:rPr>
        <w:t>4</w:t>
      </w:r>
      <w:r>
        <w:rPr>
          <w:rFonts w:hint="eastAsia" w:ascii="宋体" w:hAnsi="宋体" w:cs="宋体"/>
          <w:color w:val="auto"/>
          <w:sz w:val="24"/>
          <w:highlight w:val="none"/>
        </w:rPr>
        <w:t>年</w:t>
      </w:r>
      <w:r>
        <w:rPr>
          <w:rFonts w:hint="eastAsia" w:ascii="宋体" w:hAnsi="宋体" w:cs="宋体"/>
          <w:color w:val="auto"/>
          <w:sz w:val="24"/>
          <w:highlight w:val="none"/>
          <w:lang w:val="en-US" w:eastAsia="zh-CN"/>
        </w:rPr>
        <w:t>4</w:t>
      </w:r>
      <w:r>
        <w:rPr>
          <w:rFonts w:hint="eastAsia" w:ascii="宋体" w:hAnsi="宋体" w:cs="宋体"/>
          <w:color w:val="auto"/>
          <w:sz w:val="24"/>
          <w:highlight w:val="none"/>
        </w:rPr>
        <w:t>月</w:t>
      </w:r>
      <w:r>
        <w:rPr>
          <w:rFonts w:hint="eastAsia" w:ascii="宋体" w:hAnsi="宋体" w:cs="宋体"/>
          <w:color w:val="auto"/>
          <w:sz w:val="24"/>
          <w:highlight w:val="none"/>
          <w:lang w:val="en-US" w:eastAsia="zh-CN"/>
        </w:rPr>
        <w:t>9</w:t>
      </w:r>
      <w:r>
        <w:rPr>
          <w:rFonts w:hint="eastAsia" w:ascii="宋体" w:hAnsi="宋体" w:cs="宋体"/>
          <w:color w:val="auto"/>
          <w:sz w:val="24"/>
          <w:highlight w:val="none"/>
        </w:rPr>
        <w:t>日</w:t>
      </w:r>
      <w:r>
        <w:rPr>
          <w:rFonts w:hint="eastAsia" w:ascii="宋体" w:hAnsi="宋体" w:cs="宋体"/>
          <w:color w:val="auto"/>
          <w:sz w:val="24"/>
          <w:highlight w:val="none"/>
          <w:lang w:val="en-US" w:eastAsia="zh-CN"/>
        </w:rPr>
        <w:t>8</w:t>
      </w:r>
      <w:r>
        <w:rPr>
          <w:rFonts w:hint="eastAsia" w:ascii="宋体" w:hAnsi="宋体" w:cs="宋体"/>
          <w:color w:val="auto"/>
          <w:sz w:val="24"/>
          <w:highlight w:val="none"/>
        </w:rPr>
        <w:t>时</w:t>
      </w:r>
      <w:r>
        <w:rPr>
          <w:rFonts w:hint="eastAsia" w:ascii="宋体" w:hAnsi="宋体" w:cs="宋体"/>
          <w:color w:val="auto"/>
          <w:sz w:val="24"/>
          <w:highlight w:val="none"/>
          <w:lang w:val="en-US" w:eastAsia="zh-CN"/>
        </w:rPr>
        <w:t>30</w:t>
      </w:r>
      <w:r>
        <w:rPr>
          <w:rFonts w:hint="eastAsia" w:ascii="宋体" w:hAnsi="宋体" w:cs="宋体"/>
          <w:color w:val="auto"/>
          <w:sz w:val="24"/>
          <w:highlight w:val="none"/>
        </w:rPr>
        <w:t>分 （北京时间）</w:t>
      </w:r>
    </w:p>
    <w:p>
      <w:pPr>
        <w:keepNext w:val="0"/>
        <w:keepLines w:val="0"/>
        <w:pageBreakBefore w:val="0"/>
        <w:kinsoku/>
        <w:wordWrap/>
        <w:overflowPunct/>
        <w:topLinePunct w:val="0"/>
        <w:autoSpaceDE/>
        <w:autoSpaceDN/>
        <w:bidi w:val="0"/>
        <w:snapToGrid w:val="0"/>
        <w:spacing w:line="440" w:lineRule="exact"/>
        <w:ind w:firstLine="480" w:firstLineChars="200"/>
        <w:textAlignment w:val="auto"/>
        <w:rPr>
          <w:rFonts w:ascii="宋体" w:hAnsi="宋体" w:cs="宋体"/>
          <w:color w:val="auto"/>
          <w:sz w:val="24"/>
          <w:highlight w:val="none"/>
        </w:rPr>
      </w:pPr>
      <w:r>
        <w:rPr>
          <w:rFonts w:hint="eastAsia" w:ascii="宋体" w:hAnsi="宋体" w:cs="宋体"/>
          <w:color w:val="auto"/>
          <w:sz w:val="24"/>
          <w:highlight w:val="none"/>
        </w:rPr>
        <w:t>地点（网址）：政采云平台</w:t>
      </w:r>
    </w:p>
    <w:p>
      <w:pPr>
        <w:keepNext w:val="0"/>
        <w:keepLines w:val="0"/>
        <w:pageBreakBefore w:val="0"/>
        <w:kinsoku/>
        <w:wordWrap/>
        <w:overflowPunct/>
        <w:topLinePunct w:val="0"/>
        <w:autoSpaceDE/>
        <w:autoSpaceDN/>
        <w:bidi w:val="0"/>
        <w:snapToGrid w:val="0"/>
        <w:spacing w:line="440" w:lineRule="exact"/>
        <w:textAlignment w:val="auto"/>
        <w:rPr>
          <w:rFonts w:ascii="宋体" w:hAnsi="宋体" w:cs="宋体"/>
          <w:b/>
          <w:bCs/>
          <w:color w:val="auto"/>
          <w:sz w:val="24"/>
          <w:highlight w:val="none"/>
        </w:rPr>
      </w:pPr>
      <w:r>
        <w:rPr>
          <w:rFonts w:hint="eastAsia" w:ascii="宋体" w:hAnsi="宋体" w:cs="宋体"/>
          <w:b/>
          <w:bCs/>
          <w:color w:val="auto"/>
          <w:sz w:val="24"/>
          <w:highlight w:val="none"/>
        </w:rPr>
        <w:t>五、响应文件开启</w:t>
      </w:r>
    </w:p>
    <w:p>
      <w:pPr>
        <w:keepNext w:val="0"/>
        <w:keepLines w:val="0"/>
        <w:pageBreakBefore w:val="0"/>
        <w:kinsoku/>
        <w:wordWrap/>
        <w:overflowPunct/>
        <w:topLinePunct w:val="0"/>
        <w:autoSpaceDE/>
        <w:autoSpaceDN/>
        <w:bidi w:val="0"/>
        <w:snapToGrid w:val="0"/>
        <w:spacing w:line="440" w:lineRule="exact"/>
        <w:ind w:firstLine="482" w:firstLineChars="200"/>
        <w:textAlignment w:val="auto"/>
        <w:rPr>
          <w:rFonts w:ascii="宋体" w:hAnsi="宋体" w:cs="宋体"/>
          <w:color w:val="auto"/>
          <w:sz w:val="24"/>
          <w:highlight w:val="none"/>
        </w:rPr>
      </w:pPr>
      <w:r>
        <w:rPr>
          <w:rFonts w:hint="eastAsia" w:ascii="宋体" w:hAnsi="宋体" w:cs="宋体"/>
          <w:b/>
          <w:bCs/>
          <w:color w:val="auto"/>
          <w:sz w:val="24"/>
          <w:highlight w:val="none"/>
        </w:rPr>
        <w:t>开启时间：</w:t>
      </w:r>
      <w:r>
        <w:rPr>
          <w:rFonts w:hint="eastAsia" w:ascii="宋体" w:hAnsi="宋体" w:cs="宋体"/>
          <w:color w:val="auto"/>
          <w:sz w:val="24"/>
          <w:highlight w:val="none"/>
        </w:rPr>
        <w:t>202</w:t>
      </w:r>
      <w:r>
        <w:rPr>
          <w:rFonts w:hint="eastAsia" w:ascii="宋体" w:hAnsi="宋体" w:cs="宋体"/>
          <w:color w:val="auto"/>
          <w:sz w:val="24"/>
          <w:highlight w:val="none"/>
          <w:lang w:val="en-US" w:eastAsia="zh-CN"/>
        </w:rPr>
        <w:t>4</w:t>
      </w:r>
      <w:r>
        <w:rPr>
          <w:rFonts w:hint="eastAsia" w:ascii="宋体" w:hAnsi="宋体" w:cs="宋体"/>
          <w:color w:val="auto"/>
          <w:sz w:val="24"/>
          <w:highlight w:val="none"/>
        </w:rPr>
        <w:t>年</w:t>
      </w:r>
      <w:r>
        <w:rPr>
          <w:rFonts w:hint="eastAsia" w:ascii="宋体" w:hAnsi="宋体" w:cs="宋体"/>
          <w:color w:val="auto"/>
          <w:sz w:val="24"/>
          <w:highlight w:val="none"/>
          <w:lang w:val="en-US" w:eastAsia="zh-CN"/>
        </w:rPr>
        <w:t>4</w:t>
      </w:r>
      <w:r>
        <w:rPr>
          <w:rFonts w:hint="eastAsia" w:ascii="宋体" w:hAnsi="宋体" w:cs="宋体"/>
          <w:color w:val="auto"/>
          <w:sz w:val="24"/>
          <w:highlight w:val="none"/>
        </w:rPr>
        <w:t>月</w:t>
      </w:r>
      <w:r>
        <w:rPr>
          <w:rFonts w:hint="eastAsia" w:ascii="宋体" w:hAnsi="宋体" w:cs="宋体"/>
          <w:color w:val="auto"/>
          <w:sz w:val="24"/>
          <w:highlight w:val="none"/>
          <w:lang w:val="en-US" w:eastAsia="zh-CN"/>
        </w:rPr>
        <w:t>9</w:t>
      </w:r>
      <w:r>
        <w:rPr>
          <w:rFonts w:hint="eastAsia" w:ascii="宋体" w:hAnsi="宋体" w:cs="宋体"/>
          <w:color w:val="auto"/>
          <w:sz w:val="24"/>
          <w:highlight w:val="none"/>
        </w:rPr>
        <w:t>日</w:t>
      </w:r>
      <w:r>
        <w:rPr>
          <w:rFonts w:hint="eastAsia" w:ascii="宋体" w:hAnsi="宋体" w:cs="宋体"/>
          <w:color w:val="auto"/>
          <w:sz w:val="24"/>
          <w:highlight w:val="none"/>
          <w:lang w:val="en-US" w:eastAsia="zh-CN"/>
        </w:rPr>
        <w:t>8</w:t>
      </w:r>
      <w:r>
        <w:rPr>
          <w:rFonts w:hint="eastAsia" w:ascii="宋体" w:hAnsi="宋体" w:cs="宋体"/>
          <w:color w:val="auto"/>
          <w:sz w:val="24"/>
          <w:highlight w:val="none"/>
        </w:rPr>
        <w:t>时</w:t>
      </w:r>
      <w:r>
        <w:rPr>
          <w:rFonts w:hint="eastAsia" w:ascii="宋体" w:hAnsi="宋体" w:cs="宋体"/>
          <w:color w:val="auto"/>
          <w:sz w:val="24"/>
          <w:highlight w:val="none"/>
          <w:lang w:val="en-US" w:eastAsia="zh-CN"/>
        </w:rPr>
        <w:t>30</w:t>
      </w:r>
      <w:r>
        <w:rPr>
          <w:rFonts w:hint="eastAsia" w:ascii="宋体" w:hAnsi="宋体" w:cs="宋体"/>
          <w:color w:val="auto"/>
          <w:sz w:val="24"/>
          <w:highlight w:val="none"/>
        </w:rPr>
        <w:t>分（北京时间）</w:t>
      </w:r>
    </w:p>
    <w:p>
      <w:pPr>
        <w:keepNext w:val="0"/>
        <w:keepLines w:val="0"/>
        <w:pageBreakBefore w:val="0"/>
        <w:kinsoku/>
        <w:wordWrap/>
        <w:overflowPunct/>
        <w:topLinePunct w:val="0"/>
        <w:autoSpaceDE/>
        <w:autoSpaceDN/>
        <w:bidi w:val="0"/>
        <w:snapToGrid w:val="0"/>
        <w:spacing w:line="440" w:lineRule="exact"/>
        <w:ind w:firstLine="481"/>
        <w:textAlignment w:val="auto"/>
        <w:rPr>
          <w:rFonts w:ascii="宋体" w:hAnsi="宋体" w:cs="宋体"/>
          <w:color w:val="auto"/>
          <w:sz w:val="24"/>
          <w:highlight w:val="none"/>
        </w:rPr>
      </w:pPr>
      <w:r>
        <w:rPr>
          <w:rFonts w:hint="eastAsia" w:ascii="宋体" w:hAnsi="宋体" w:cs="宋体"/>
          <w:color w:val="auto"/>
          <w:sz w:val="24"/>
          <w:highlight w:val="none"/>
        </w:rPr>
        <w:t>地点（网址）：政采云平台</w:t>
      </w:r>
    </w:p>
    <w:p>
      <w:pPr>
        <w:keepNext w:val="0"/>
        <w:keepLines w:val="0"/>
        <w:pageBreakBefore w:val="0"/>
        <w:kinsoku/>
        <w:wordWrap/>
        <w:overflowPunct/>
        <w:topLinePunct w:val="0"/>
        <w:autoSpaceDE/>
        <w:autoSpaceDN/>
        <w:bidi w:val="0"/>
        <w:snapToGrid w:val="0"/>
        <w:spacing w:line="440" w:lineRule="exact"/>
        <w:textAlignment w:val="auto"/>
        <w:rPr>
          <w:rFonts w:ascii="宋体" w:hAnsi="宋体" w:cs="宋体"/>
          <w:b/>
          <w:bCs/>
          <w:color w:val="auto"/>
          <w:sz w:val="24"/>
          <w:highlight w:val="none"/>
        </w:rPr>
      </w:pPr>
      <w:r>
        <w:rPr>
          <w:rFonts w:hint="eastAsia" w:ascii="宋体" w:hAnsi="宋体" w:cs="宋体"/>
          <w:b/>
          <w:bCs/>
          <w:color w:val="auto"/>
          <w:sz w:val="24"/>
          <w:highlight w:val="none"/>
        </w:rPr>
        <w:t>六、采购意向公开链接</w:t>
      </w:r>
    </w:p>
    <w:p>
      <w:pPr>
        <w:keepNext w:val="0"/>
        <w:keepLines w:val="0"/>
        <w:pageBreakBefore w:val="0"/>
        <w:kinsoku/>
        <w:wordWrap/>
        <w:overflowPunct/>
        <w:topLinePunct w:val="0"/>
        <w:autoSpaceDE/>
        <w:autoSpaceDN/>
        <w:bidi w:val="0"/>
        <w:snapToGrid w:val="0"/>
        <w:spacing w:line="440" w:lineRule="exact"/>
        <w:textAlignment w:val="auto"/>
        <w:rPr>
          <w:rFonts w:hint="eastAsia" w:ascii="宋体" w:hAnsi="宋体" w:cs="宋体"/>
          <w:b/>
          <w:bCs/>
          <w:color w:val="auto"/>
          <w:sz w:val="24"/>
          <w:highlight w:val="none"/>
        </w:rPr>
      </w:pPr>
      <w:r>
        <w:rPr>
          <w:rFonts w:hint="eastAsia" w:ascii="宋体" w:hAnsi="宋体" w:cs="宋体"/>
          <w:b/>
          <w:bCs/>
          <w:color w:val="auto"/>
          <w:sz w:val="24"/>
          <w:highlight w:val="none"/>
        </w:rPr>
        <w:fldChar w:fldCharType="begin"/>
      </w:r>
      <w:r>
        <w:rPr>
          <w:rFonts w:hint="eastAsia" w:ascii="宋体" w:hAnsi="宋体" w:cs="宋体"/>
          <w:b/>
          <w:bCs/>
          <w:color w:val="auto"/>
          <w:sz w:val="24"/>
          <w:highlight w:val="none"/>
        </w:rPr>
        <w:instrText xml:space="preserve"> HYPERLINK "https://zfcg.czt.zj.gov.cn/luban/detail?parentId=600007&amp;articleId=5wbtpdUFwA6Dn2GEcX4Q3A%3D%3D&amp;utm=luban.luban-PC-37000.979-pc-websitegroup-zhejiang-secondPage-front.1.c08ac320365a11eebc79efb4a73ede2e" </w:instrText>
      </w:r>
      <w:r>
        <w:rPr>
          <w:rFonts w:hint="eastAsia" w:ascii="宋体" w:hAnsi="宋体" w:cs="宋体"/>
          <w:b/>
          <w:bCs/>
          <w:color w:val="auto"/>
          <w:sz w:val="24"/>
          <w:highlight w:val="none"/>
        </w:rPr>
        <w:fldChar w:fldCharType="separate"/>
      </w:r>
      <w:r>
        <w:rPr>
          <w:rStyle w:val="47"/>
          <w:rFonts w:hint="eastAsia" w:ascii="宋体" w:hAnsi="宋体" w:cs="宋体"/>
          <w:b/>
          <w:bCs/>
          <w:color w:val="auto"/>
          <w:sz w:val="24"/>
          <w:highlight w:val="none"/>
        </w:rPr>
        <w:t>https://zfcg.czt.zj.gov.cn/luban/detail?parentId=600007&amp;articleId=5wbtpdUFwA6Dn2GEcX4Q3A%3D%3D&amp;utm=luban.luban-PC-37000.979-pc-websitegroup-zhejiang-secondPage-front.1.c08ac320365a11eebc79efb4a73ede2e</w:t>
      </w:r>
      <w:r>
        <w:rPr>
          <w:rFonts w:hint="eastAsia" w:ascii="宋体" w:hAnsi="宋体" w:cs="宋体"/>
          <w:b/>
          <w:bCs/>
          <w:color w:val="auto"/>
          <w:sz w:val="24"/>
          <w:highlight w:val="none"/>
        </w:rPr>
        <w:fldChar w:fldCharType="end"/>
      </w:r>
    </w:p>
    <w:p>
      <w:pPr>
        <w:keepNext w:val="0"/>
        <w:keepLines w:val="0"/>
        <w:pageBreakBefore w:val="0"/>
        <w:kinsoku/>
        <w:wordWrap/>
        <w:overflowPunct/>
        <w:topLinePunct w:val="0"/>
        <w:autoSpaceDE/>
        <w:autoSpaceDN/>
        <w:bidi w:val="0"/>
        <w:snapToGrid w:val="0"/>
        <w:spacing w:line="440" w:lineRule="exact"/>
        <w:textAlignment w:val="auto"/>
        <w:rPr>
          <w:rFonts w:ascii="宋体" w:hAnsi="宋体" w:cs="宋体"/>
          <w:b/>
          <w:bCs/>
          <w:color w:val="auto"/>
          <w:sz w:val="24"/>
          <w:highlight w:val="none"/>
        </w:rPr>
      </w:pPr>
      <w:r>
        <w:rPr>
          <w:rFonts w:hint="eastAsia" w:ascii="宋体" w:hAnsi="宋体" w:cs="宋体"/>
          <w:b/>
          <w:bCs/>
          <w:color w:val="auto"/>
          <w:sz w:val="24"/>
          <w:highlight w:val="none"/>
        </w:rPr>
        <w:t>七、公告期限</w:t>
      </w:r>
    </w:p>
    <w:p>
      <w:pPr>
        <w:keepNext w:val="0"/>
        <w:keepLines w:val="0"/>
        <w:pageBreakBefore w:val="0"/>
        <w:kinsoku/>
        <w:wordWrap/>
        <w:overflowPunct/>
        <w:topLinePunct w:val="0"/>
        <w:autoSpaceDE/>
        <w:autoSpaceDN/>
        <w:bidi w:val="0"/>
        <w:snapToGrid w:val="0"/>
        <w:spacing w:line="440" w:lineRule="exact"/>
        <w:ind w:firstLine="480" w:firstLineChars="200"/>
        <w:textAlignment w:val="auto"/>
        <w:rPr>
          <w:rFonts w:ascii="宋体" w:hAnsi="宋体" w:cs="宋体"/>
          <w:color w:val="auto"/>
          <w:sz w:val="24"/>
          <w:highlight w:val="none"/>
        </w:rPr>
      </w:pPr>
      <w:r>
        <w:rPr>
          <w:rFonts w:hint="eastAsia" w:ascii="宋体" w:hAnsi="宋体" w:cs="宋体"/>
          <w:color w:val="auto"/>
          <w:sz w:val="24"/>
          <w:highlight w:val="none"/>
        </w:rPr>
        <w:t>自本公告发布之日起3个工作日</w:t>
      </w:r>
    </w:p>
    <w:p>
      <w:pPr>
        <w:keepNext w:val="0"/>
        <w:keepLines w:val="0"/>
        <w:pageBreakBefore w:val="0"/>
        <w:kinsoku/>
        <w:wordWrap/>
        <w:overflowPunct/>
        <w:topLinePunct w:val="0"/>
        <w:autoSpaceDE/>
        <w:autoSpaceDN/>
        <w:bidi w:val="0"/>
        <w:snapToGrid w:val="0"/>
        <w:spacing w:line="440" w:lineRule="exact"/>
        <w:textAlignment w:val="auto"/>
        <w:rPr>
          <w:rFonts w:ascii="宋体" w:hAnsi="宋体" w:cs="宋体"/>
          <w:b/>
          <w:bCs/>
          <w:color w:val="auto"/>
          <w:sz w:val="24"/>
          <w:highlight w:val="none"/>
        </w:rPr>
      </w:pPr>
      <w:r>
        <w:rPr>
          <w:rFonts w:hint="eastAsia" w:ascii="宋体" w:hAnsi="宋体" w:cs="宋体"/>
          <w:b/>
          <w:bCs/>
          <w:color w:val="auto"/>
          <w:sz w:val="24"/>
          <w:highlight w:val="none"/>
        </w:rPr>
        <w:t>八、其他补充事宜</w:t>
      </w:r>
    </w:p>
    <w:p>
      <w:pPr>
        <w:pStyle w:val="35"/>
        <w:keepNext w:val="0"/>
        <w:keepLines w:val="0"/>
        <w:pageBreakBefore w:val="0"/>
        <w:kinsoku/>
        <w:wordWrap/>
        <w:overflowPunct/>
        <w:topLinePunct w:val="0"/>
        <w:autoSpaceDE/>
        <w:autoSpaceDN/>
        <w:bidi w:val="0"/>
        <w:adjustRightInd w:val="0"/>
        <w:snapToGrid w:val="0"/>
        <w:spacing w:line="440" w:lineRule="exact"/>
        <w:textAlignment w:val="auto"/>
        <w:rPr>
          <w:color w:val="auto"/>
          <w:kern w:val="2"/>
          <w:highlight w:val="none"/>
        </w:rPr>
      </w:pPr>
      <w:r>
        <w:rPr>
          <w:rFonts w:hint="eastAsia"/>
          <w:color w:val="auto"/>
          <w:highlight w:val="none"/>
        </w:rPr>
        <w:t xml:space="preserve">  </w:t>
      </w:r>
      <w:r>
        <w:rPr>
          <w:rFonts w:hint="eastAsia"/>
          <w:color w:val="auto"/>
          <w:kern w:val="2"/>
          <w:highlight w:val="none"/>
        </w:rPr>
        <w:t xml:space="preserve"> 1.供应商认为采购文件使自己的权益受到损害的，可以自获取采购文件之日或者采购文件公告期限届满之日（公告期限届满后获取采购文件的，以公告期限届满之日为准）起7个工作日内，对采购文件需求的以书面形式向采购人提出质疑，对其他内容的以书面形式向采购人和采购代理机构提出质疑。质疑供应商对采购人、采购代理机构的答复不满意或者采购人、采购代理机构未在规定的时间内作出答复的，可以在答复期满后十五个工作日内向同级政府采购监督管理部门投诉。质疑函范本、投诉书范本请到浙江政府采购网下载专区下载。</w:t>
      </w:r>
    </w:p>
    <w:p>
      <w:pPr>
        <w:pStyle w:val="35"/>
        <w:keepNext w:val="0"/>
        <w:keepLines w:val="0"/>
        <w:pageBreakBefore w:val="0"/>
        <w:kinsoku/>
        <w:wordWrap/>
        <w:overflowPunct/>
        <w:topLinePunct w:val="0"/>
        <w:autoSpaceDE/>
        <w:autoSpaceDN/>
        <w:bidi w:val="0"/>
        <w:adjustRightInd w:val="0"/>
        <w:snapToGrid w:val="0"/>
        <w:spacing w:line="440" w:lineRule="exact"/>
        <w:ind w:firstLine="480" w:firstLineChars="200"/>
        <w:jc w:val="both"/>
        <w:textAlignment w:val="auto"/>
        <w:rPr>
          <w:color w:val="auto"/>
          <w:kern w:val="2"/>
          <w:highlight w:val="none"/>
        </w:rPr>
      </w:pPr>
      <w:r>
        <w:rPr>
          <w:rFonts w:hint="eastAsia"/>
          <w:color w:val="auto"/>
          <w:kern w:val="2"/>
          <w:highlight w:val="none"/>
        </w:rPr>
        <w:t>2、其他事项：1.《浙江省财政厅关于进一步发挥政府采购政策功能全力推动经济稳进提质的通知》 （浙财采监（〔2022〕3号）、《浙江省财政厅关于进一步促进政府采购公平竞争打造最优营商环境的通知》（浙财采监〔2021〕22号）、《浙江省财政厅关于进一步加大政府采购支持中小企业力度 助力扎实稳住经济的通知》（浙财采监〔2022〕8号）已分别于2022年1月29日、2022年2月1日和2022年7月1日开始实施，此前有关规定与上述文件内容不一致的，按上述文件要求执行。</w:t>
      </w:r>
    </w:p>
    <w:p>
      <w:pPr>
        <w:pStyle w:val="35"/>
        <w:keepNext w:val="0"/>
        <w:keepLines w:val="0"/>
        <w:pageBreakBefore w:val="0"/>
        <w:kinsoku/>
        <w:wordWrap/>
        <w:overflowPunct/>
        <w:topLinePunct w:val="0"/>
        <w:autoSpaceDE/>
        <w:autoSpaceDN/>
        <w:bidi w:val="0"/>
        <w:adjustRightInd w:val="0"/>
        <w:snapToGrid w:val="0"/>
        <w:spacing w:line="440" w:lineRule="exact"/>
        <w:ind w:firstLine="480" w:firstLineChars="200"/>
        <w:jc w:val="both"/>
        <w:textAlignment w:val="auto"/>
        <w:rPr>
          <w:color w:val="auto"/>
          <w:kern w:val="2"/>
          <w:highlight w:val="none"/>
        </w:rPr>
      </w:pPr>
      <w:r>
        <w:rPr>
          <w:rFonts w:hint="eastAsia"/>
          <w:color w:val="auto"/>
          <w:kern w:val="2"/>
          <w:highlight w:val="none"/>
        </w:rPr>
        <w:t>2.根据《浙江省财政厅关于进一步促进政府采购公平竞争打造最优营商环境的通知》（浙财采监（2021）22号）文件关于“健全行政裁决机制”要求，鼓励供应商在线提起询问，路径为：政采云-项目采购-询问质疑投诉-询问列表:鼓励供应商在线提起质疑，路径为：政采云-项目采购-询问质疑投诉-质疑列表。质疑供应商对在线质疑答复不满意的，可在线提起投诉，路径为：浙江政府服务网-政府采购投诉处理-在线办理。</w:t>
      </w:r>
    </w:p>
    <w:p>
      <w:pPr>
        <w:keepNext w:val="0"/>
        <w:keepLines w:val="0"/>
        <w:pageBreakBefore w:val="0"/>
        <w:kinsoku/>
        <w:wordWrap/>
        <w:overflowPunct/>
        <w:topLinePunct w:val="0"/>
        <w:autoSpaceDE/>
        <w:autoSpaceDN/>
        <w:bidi w:val="0"/>
        <w:spacing w:line="440" w:lineRule="exact"/>
        <w:ind w:firstLine="480" w:firstLineChars="200"/>
        <w:textAlignment w:val="auto"/>
        <w:rPr>
          <w:rFonts w:ascii="宋体" w:hAnsi="宋体" w:cs="宋体"/>
          <w:color w:val="auto"/>
          <w:sz w:val="24"/>
          <w:highlight w:val="none"/>
        </w:rPr>
      </w:pPr>
      <w:r>
        <w:rPr>
          <w:rFonts w:hint="eastAsia" w:ascii="宋体" w:hAnsi="宋体" w:cs="宋体"/>
          <w:color w:val="auto"/>
          <w:sz w:val="24"/>
          <w:highlight w:val="none"/>
        </w:rPr>
        <w:t>3.企业信用融资:省财政厅、浙江银监局、省金融办制定了《浙江省政府采购支持中小企业信用融资试点办法》浙财采监[2012]13号)，所称的政府采购信用融资，是指银行业金融机构(以下简称银行)以政府采购诚信考核和信用审查为基础，凭借政府采购合同，按优于一般中小企业的贷款利率直接向申请贷款的供应商发放贷款的一种融资方式。供应商可登录浙江政府采购( https://zfcg.czt.zj.gov.cn)的中小企业信用融资栏目了解相关信息。 供应商可以通过浙江政府采购网(https://zfcg. czt.zj. gov.cn/)首页的“浙江政采贷”模块进入申请，还可以通过政府采购云平台(https://www.zcygov.cn/)首页的“金融服务”模块进入申请。</w:t>
      </w:r>
    </w:p>
    <w:p>
      <w:pPr>
        <w:keepNext w:val="0"/>
        <w:keepLines w:val="0"/>
        <w:pageBreakBefore w:val="0"/>
        <w:kinsoku/>
        <w:wordWrap/>
        <w:overflowPunct/>
        <w:topLinePunct w:val="0"/>
        <w:autoSpaceDE/>
        <w:autoSpaceDN/>
        <w:bidi w:val="0"/>
        <w:snapToGrid w:val="0"/>
        <w:spacing w:line="440" w:lineRule="exact"/>
        <w:ind w:firstLine="480" w:firstLineChars="200"/>
        <w:textAlignment w:val="auto"/>
        <w:rPr>
          <w:rFonts w:ascii="宋体" w:hAnsi="宋体" w:cs="宋体"/>
          <w:color w:val="auto"/>
          <w:sz w:val="24"/>
          <w:highlight w:val="none"/>
        </w:rPr>
      </w:pPr>
      <w:r>
        <w:rPr>
          <w:rFonts w:hint="eastAsia" w:ascii="宋体" w:hAnsi="宋体" w:cs="宋体"/>
          <w:color w:val="auto"/>
          <w:sz w:val="24"/>
          <w:highlight w:val="none"/>
        </w:rPr>
        <w:t>4.根据《浙江省财政厅关于进一步加大政府采购支持中小企业力度助力扎实稳住经济的通知》（浙财采监〔2022〕8号）简化对政府采购供应商资格条件的形式审查，供应商书面承诺符合参与政府采购活动资格条件的，不需要再提供财务状况报告、依法缴纳税收和社会保障资金记录、无重大违法记录等证明材料。</w:t>
      </w:r>
    </w:p>
    <w:p>
      <w:pPr>
        <w:keepNext w:val="0"/>
        <w:keepLines w:val="0"/>
        <w:pageBreakBefore w:val="0"/>
        <w:kinsoku/>
        <w:wordWrap/>
        <w:overflowPunct/>
        <w:topLinePunct w:val="0"/>
        <w:autoSpaceDE/>
        <w:autoSpaceDN/>
        <w:bidi w:val="0"/>
        <w:snapToGrid w:val="0"/>
        <w:spacing w:line="440" w:lineRule="exact"/>
        <w:ind w:firstLine="480" w:firstLineChars="200"/>
        <w:textAlignment w:val="auto"/>
        <w:rPr>
          <w:rFonts w:ascii="宋体" w:hAnsi="宋体" w:cs="宋体"/>
          <w:color w:val="auto"/>
          <w:sz w:val="24"/>
          <w:highlight w:val="none"/>
        </w:rPr>
      </w:pPr>
      <w:r>
        <w:rPr>
          <w:rFonts w:hint="eastAsia" w:ascii="宋体" w:hAnsi="宋体" w:cs="宋体"/>
          <w:color w:val="auto"/>
          <w:sz w:val="24"/>
          <w:highlight w:val="none"/>
        </w:rPr>
        <w:t>5.本项目实行电子磋商，磋商响应文件应按照本项目竞争性磋商文件和政采云平台的要求编制、加密并递交。供应商在使用系统进行谈判的过程中遇到涉及平台使用的任何问题，可致电政采云平台技术支持热线咨询，联系方式：95763。</w:t>
      </w:r>
    </w:p>
    <w:p>
      <w:pPr>
        <w:keepNext w:val="0"/>
        <w:keepLines w:val="0"/>
        <w:pageBreakBefore w:val="0"/>
        <w:kinsoku/>
        <w:wordWrap/>
        <w:overflowPunct/>
        <w:topLinePunct w:val="0"/>
        <w:autoSpaceDE/>
        <w:autoSpaceDN/>
        <w:bidi w:val="0"/>
        <w:snapToGrid w:val="0"/>
        <w:spacing w:line="440" w:lineRule="exact"/>
        <w:ind w:firstLine="480" w:firstLineChars="200"/>
        <w:textAlignment w:val="auto"/>
        <w:rPr>
          <w:rFonts w:ascii="宋体" w:hAnsi="宋体" w:cs="宋体"/>
          <w:color w:val="auto"/>
          <w:sz w:val="24"/>
          <w:highlight w:val="none"/>
        </w:rPr>
      </w:pPr>
      <w:r>
        <w:rPr>
          <w:rFonts w:hint="eastAsia" w:ascii="宋体" w:hAnsi="宋体" w:cs="宋体"/>
          <w:color w:val="auto"/>
          <w:sz w:val="24"/>
          <w:highlight w:val="none"/>
        </w:rPr>
        <w:t>6.供应商应 在 开 标 前 完 成 CA 数 字 证 书 办 理 。 （ 办 理 流 程 详 见http://zfcg.czt.zj.gov.cn/bidClientTemplate/2019-05-27/12945.html）。完成 CA 数字证书办理预计一周左右，建议各供应商抓紧时间办理。</w:t>
      </w:r>
    </w:p>
    <w:p>
      <w:pPr>
        <w:keepNext w:val="0"/>
        <w:keepLines w:val="0"/>
        <w:pageBreakBefore w:val="0"/>
        <w:kinsoku/>
        <w:wordWrap/>
        <w:overflowPunct/>
        <w:topLinePunct w:val="0"/>
        <w:autoSpaceDE/>
        <w:autoSpaceDN/>
        <w:bidi w:val="0"/>
        <w:snapToGrid w:val="0"/>
        <w:spacing w:line="440" w:lineRule="exact"/>
        <w:ind w:firstLine="480" w:firstLineChars="200"/>
        <w:textAlignment w:val="auto"/>
        <w:rPr>
          <w:rFonts w:ascii="宋体" w:hAnsi="宋体" w:cs="宋体"/>
          <w:color w:val="auto"/>
          <w:sz w:val="24"/>
          <w:highlight w:val="none"/>
        </w:rPr>
      </w:pPr>
      <w:r>
        <w:rPr>
          <w:rFonts w:hint="eastAsia" w:ascii="宋体" w:hAnsi="宋体" w:cs="宋体"/>
          <w:color w:val="auto"/>
          <w:sz w:val="24"/>
          <w:highlight w:val="none"/>
        </w:rPr>
        <w:t>7.供应商通过政采云平台电子磋商工具制作磋商响应文件，电子磋商工具请供应商自行前往浙江省政府采购网下载并安装，（下载网址：http://zfcg.czt.zj.gov.cn/bidClientTemplate/2019-08-30/12975.html），</w:t>
      </w:r>
    </w:p>
    <w:p>
      <w:pPr>
        <w:keepNext w:val="0"/>
        <w:keepLines w:val="0"/>
        <w:pageBreakBefore w:val="0"/>
        <w:kinsoku/>
        <w:wordWrap/>
        <w:overflowPunct/>
        <w:topLinePunct w:val="0"/>
        <w:autoSpaceDE/>
        <w:autoSpaceDN/>
        <w:bidi w:val="0"/>
        <w:snapToGrid w:val="0"/>
        <w:spacing w:line="440" w:lineRule="exact"/>
        <w:textAlignment w:val="auto"/>
        <w:rPr>
          <w:rFonts w:ascii="宋体" w:hAnsi="宋体" w:cs="宋体"/>
          <w:color w:val="auto"/>
          <w:sz w:val="24"/>
          <w:highlight w:val="none"/>
        </w:rPr>
      </w:pPr>
      <w:r>
        <w:rPr>
          <w:rFonts w:hint="eastAsia" w:ascii="宋体" w:hAnsi="宋体" w:cs="宋体"/>
          <w:color w:val="auto"/>
          <w:sz w:val="24"/>
          <w:highlight w:val="none"/>
        </w:rPr>
        <w:t xml:space="preserve">（ 电 子 投 标 相 关 学 习 网 址 ： </w:t>
      </w:r>
      <w:r>
        <w:rPr>
          <w:color w:val="auto"/>
          <w:highlight w:val="none"/>
        </w:rPr>
        <w:fldChar w:fldCharType="begin"/>
      </w:r>
      <w:r>
        <w:rPr>
          <w:color w:val="auto"/>
          <w:highlight w:val="none"/>
        </w:rPr>
        <w:instrText xml:space="preserve"> HYPERLINK "https://edu.zcygov.cn/luban/e-biding?utm=a0004.2ef5001f.0001.0109.2d44db10df9111e9b92b0f36d4889416。）" </w:instrText>
      </w:r>
      <w:r>
        <w:rPr>
          <w:color w:val="auto"/>
          <w:highlight w:val="none"/>
        </w:rPr>
        <w:fldChar w:fldCharType="separate"/>
      </w:r>
      <w:r>
        <w:rPr>
          <w:rStyle w:val="47"/>
          <w:rFonts w:hint="eastAsia" w:ascii="宋体" w:hAnsi="宋体" w:cs="宋体"/>
          <w:color w:val="auto"/>
          <w:sz w:val="24"/>
          <w:highlight w:val="none"/>
        </w:rPr>
        <w:t>https://edu.zcygov.cn/luban/e-biding?utm=a0004.2ef5001f.0001.0109.2d44db10df9111e9b92b0f36d4889416。）</w:t>
      </w:r>
      <w:r>
        <w:rPr>
          <w:rStyle w:val="47"/>
          <w:rFonts w:hint="eastAsia" w:ascii="宋体" w:hAnsi="宋体" w:cs="宋体"/>
          <w:color w:val="auto"/>
          <w:sz w:val="24"/>
          <w:highlight w:val="none"/>
        </w:rPr>
        <w:fldChar w:fldCharType="end"/>
      </w:r>
    </w:p>
    <w:p>
      <w:pPr>
        <w:keepNext w:val="0"/>
        <w:keepLines w:val="0"/>
        <w:pageBreakBefore w:val="0"/>
        <w:kinsoku/>
        <w:wordWrap/>
        <w:overflowPunct/>
        <w:topLinePunct w:val="0"/>
        <w:autoSpaceDE/>
        <w:autoSpaceDN/>
        <w:bidi w:val="0"/>
        <w:spacing w:line="440" w:lineRule="exact"/>
        <w:ind w:firstLine="482" w:firstLineChars="200"/>
        <w:textAlignment w:val="auto"/>
        <w:rPr>
          <w:rFonts w:ascii="宋体" w:hAnsi="宋体" w:cs="宋体"/>
          <w:b/>
          <w:bCs/>
          <w:color w:val="auto"/>
          <w:sz w:val="24"/>
          <w:highlight w:val="none"/>
        </w:rPr>
      </w:pPr>
      <w:r>
        <w:rPr>
          <w:rFonts w:hint="eastAsia" w:ascii="宋体" w:hAnsi="宋体" w:cs="宋体"/>
          <w:b/>
          <w:bCs/>
          <w:color w:val="auto"/>
          <w:sz w:val="24"/>
          <w:highlight w:val="none"/>
        </w:rPr>
        <w:t xml:space="preserve">8.政府采购金融服务提示：为扩大政府采购金融服务面，除政采云网上金融服务合作银行外，东阳市范围内增加浙商银行金华分行东阳支行作为线下合作银行。   </w:t>
      </w:r>
    </w:p>
    <w:p>
      <w:pPr>
        <w:keepNext w:val="0"/>
        <w:keepLines w:val="0"/>
        <w:pageBreakBefore w:val="0"/>
        <w:kinsoku/>
        <w:wordWrap/>
        <w:overflowPunct/>
        <w:topLinePunct w:val="0"/>
        <w:autoSpaceDE/>
        <w:autoSpaceDN/>
        <w:bidi w:val="0"/>
        <w:spacing w:line="440" w:lineRule="exact"/>
        <w:ind w:firstLine="482" w:firstLineChars="200"/>
        <w:textAlignment w:val="auto"/>
        <w:rPr>
          <w:rFonts w:ascii="宋体" w:hAnsi="宋体" w:cs="宋体"/>
          <w:b/>
          <w:bCs/>
          <w:color w:val="auto"/>
          <w:sz w:val="24"/>
          <w:highlight w:val="none"/>
        </w:rPr>
      </w:pPr>
      <w:r>
        <w:rPr>
          <w:rFonts w:hint="eastAsia" w:ascii="宋体" w:hAnsi="宋体" w:cs="宋体"/>
          <w:b/>
          <w:bCs/>
          <w:color w:val="auto"/>
          <w:sz w:val="24"/>
          <w:highlight w:val="none"/>
        </w:rPr>
        <w:t>浙商银行金华东阳支行  联系人：许燕  联系电话：13967983441  0579-86222992</w:t>
      </w:r>
    </w:p>
    <w:p>
      <w:pPr>
        <w:keepNext w:val="0"/>
        <w:keepLines w:val="0"/>
        <w:pageBreakBefore w:val="0"/>
        <w:kinsoku/>
        <w:wordWrap/>
        <w:overflowPunct/>
        <w:topLinePunct w:val="0"/>
        <w:autoSpaceDE/>
        <w:autoSpaceDN/>
        <w:bidi w:val="0"/>
        <w:spacing w:line="440" w:lineRule="exact"/>
        <w:textAlignment w:val="auto"/>
        <w:rPr>
          <w:rFonts w:ascii="宋体" w:hAnsi="宋体" w:cs="宋体"/>
          <w:b/>
          <w:color w:val="auto"/>
          <w:sz w:val="28"/>
          <w:szCs w:val="28"/>
          <w:highlight w:val="none"/>
        </w:rPr>
      </w:pPr>
      <w:r>
        <w:rPr>
          <w:rFonts w:hint="eastAsia" w:ascii="宋体" w:hAnsi="宋体" w:cs="宋体"/>
          <w:b/>
          <w:color w:val="auto"/>
          <w:sz w:val="24"/>
          <w:highlight w:val="none"/>
        </w:rPr>
        <w:t>九、对本次采购提出询问、质疑、投诉，请按以下方式联系。</w:t>
      </w:r>
    </w:p>
    <w:p>
      <w:pPr>
        <w:keepNext w:val="0"/>
        <w:keepLines w:val="0"/>
        <w:pageBreakBefore w:val="0"/>
        <w:kinsoku/>
        <w:wordWrap/>
        <w:overflowPunct/>
        <w:topLinePunct w:val="0"/>
        <w:autoSpaceDE/>
        <w:autoSpaceDN/>
        <w:bidi w:val="0"/>
        <w:spacing w:line="440" w:lineRule="exact"/>
        <w:ind w:firstLine="723" w:firstLineChars="300"/>
        <w:textAlignment w:val="auto"/>
        <w:rPr>
          <w:rFonts w:ascii="宋体" w:hAnsi="宋体" w:cs="宋体"/>
          <w:b/>
          <w:bCs/>
          <w:color w:val="auto"/>
          <w:sz w:val="24"/>
          <w:highlight w:val="none"/>
        </w:rPr>
      </w:pPr>
      <w:r>
        <w:rPr>
          <w:rFonts w:hint="eastAsia" w:ascii="宋体" w:hAnsi="宋体" w:cs="宋体"/>
          <w:b/>
          <w:bCs/>
          <w:color w:val="auto"/>
          <w:sz w:val="24"/>
          <w:highlight w:val="none"/>
        </w:rPr>
        <w:t xml:space="preserve">1.采购人信息  </w:t>
      </w:r>
    </w:p>
    <w:p>
      <w:pPr>
        <w:keepNext w:val="0"/>
        <w:keepLines w:val="0"/>
        <w:pageBreakBefore w:val="0"/>
        <w:kinsoku/>
        <w:wordWrap/>
        <w:overflowPunct/>
        <w:topLinePunct w:val="0"/>
        <w:autoSpaceDE/>
        <w:autoSpaceDN/>
        <w:bidi w:val="0"/>
        <w:spacing w:line="440" w:lineRule="exact"/>
        <w:ind w:firstLine="720" w:firstLineChars="300"/>
        <w:textAlignment w:val="auto"/>
        <w:rPr>
          <w:rFonts w:ascii="宋体" w:hAnsi="宋体" w:cs="宋体"/>
          <w:color w:val="auto"/>
          <w:sz w:val="24"/>
          <w:highlight w:val="none"/>
        </w:rPr>
      </w:pPr>
      <w:r>
        <w:rPr>
          <w:rFonts w:hint="eastAsia" w:ascii="宋体" w:hAnsi="宋体" w:cs="宋体"/>
          <w:color w:val="auto"/>
          <w:sz w:val="24"/>
          <w:highlight w:val="none"/>
        </w:rPr>
        <w:t>名 称：</w:t>
      </w:r>
      <w:r>
        <w:rPr>
          <w:rFonts w:hint="eastAsia" w:ascii="宋体" w:hAnsi="宋体" w:cs="宋体"/>
          <w:color w:val="auto"/>
          <w:sz w:val="24"/>
          <w:highlight w:val="none"/>
          <w:lang w:eastAsia="zh-CN"/>
        </w:rPr>
        <w:t xml:space="preserve">东阳市三单乡人民政府 </w:t>
      </w:r>
      <w:r>
        <w:rPr>
          <w:rFonts w:hint="eastAsia" w:ascii="宋体" w:hAnsi="宋体" w:cs="宋体"/>
          <w:color w:val="auto"/>
          <w:sz w:val="24"/>
          <w:highlight w:val="none"/>
        </w:rPr>
        <w:t xml:space="preserve">             </w:t>
      </w:r>
    </w:p>
    <w:p>
      <w:pPr>
        <w:keepNext w:val="0"/>
        <w:keepLines w:val="0"/>
        <w:pageBreakBefore w:val="0"/>
        <w:kinsoku/>
        <w:wordWrap/>
        <w:overflowPunct/>
        <w:topLinePunct w:val="0"/>
        <w:autoSpaceDE/>
        <w:autoSpaceDN/>
        <w:bidi w:val="0"/>
        <w:spacing w:line="440" w:lineRule="exact"/>
        <w:ind w:firstLine="720" w:firstLineChars="300"/>
        <w:textAlignment w:val="auto"/>
        <w:rPr>
          <w:rFonts w:hint="eastAsia" w:ascii="宋体" w:hAnsi="宋体" w:cs="宋体"/>
          <w:color w:val="auto"/>
          <w:sz w:val="24"/>
          <w:highlight w:val="none"/>
        </w:rPr>
      </w:pPr>
      <w:r>
        <w:rPr>
          <w:rFonts w:hint="eastAsia" w:ascii="宋体" w:hAnsi="宋体" w:cs="宋体"/>
          <w:color w:val="auto"/>
          <w:sz w:val="24"/>
          <w:highlight w:val="none"/>
        </w:rPr>
        <w:t xml:space="preserve">地 址：三单乡三单村西山路一号    </w:t>
      </w:r>
    </w:p>
    <w:p>
      <w:pPr>
        <w:keepNext w:val="0"/>
        <w:keepLines w:val="0"/>
        <w:pageBreakBefore w:val="0"/>
        <w:kinsoku/>
        <w:wordWrap/>
        <w:overflowPunct/>
        <w:topLinePunct w:val="0"/>
        <w:autoSpaceDE/>
        <w:autoSpaceDN/>
        <w:bidi w:val="0"/>
        <w:spacing w:line="440" w:lineRule="exact"/>
        <w:ind w:left="718" w:leftChars="342" w:firstLine="0" w:firstLineChars="0"/>
        <w:textAlignment w:val="auto"/>
        <w:rPr>
          <w:rFonts w:hint="eastAsia" w:ascii="宋体" w:hAnsi="宋体" w:cs="宋体"/>
          <w:color w:val="auto"/>
          <w:sz w:val="24"/>
          <w:highlight w:val="none"/>
          <w:lang w:val="en-US" w:eastAsia="zh-CN"/>
        </w:rPr>
      </w:pPr>
      <w:r>
        <w:rPr>
          <w:rFonts w:hint="eastAsia" w:ascii="宋体" w:hAnsi="宋体" w:cs="宋体"/>
          <w:color w:val="auto"/>
          <w:sz w:val="24"/>
          <w:highlight w:val="none"/>
        </w:rPr>
        <w:t>项目联系人：</w:t>
      </w:r>
      <w:r>
        <w:rPr>
          <w:rFonts w:hint="eastAsia" w:ascii="宋体" w:hAnsi="宋体" w:cs="宋体"/>
          <w:color w:val="auto"/>
          <w:sz w:val="24"/>
          <w:highlight w:val="none"/>
          <w:lang w:val="en-US" w:eastAsia="zh-CN"/>
        </w:rPr>
        <w:t>单</w:t>
      </w:r>
      <w:r>
        <w:rPr>
          <w:rFonts w:hint="eastAsia" w:ascii="宋体" w:hAnsi="宋体" w:cs="宋体"/>
          <w:color w:val="auto"/>
          <w:sz w:val="24"/>
          <w:highlight w:val="none"/>
        </w:rPr>
        <w:t>先生          项目联系方式：0579</w:t>
      </w:r>
      <w:r>
        <w:rPr>
          <w:rFonts w:hint="eastAsia" w:ascii="宋体" w:hAnsi="宋体" w:cs="宋体"/>
          <w:color w:val="auto"/>
          <w:sz w:val="24"/>
          <w:highlight w:val="none"/>
          <w:lang w:val="en-US" w:eastAsia="zh-CN"/>
        </w:rPr>
        <w:t>-</w:t>
      </w:r>
      <w:r>
        <w:rPr>
          <w:rFonts w:hint="eastAsia" w:ascii="宋体" w:hAnsi="宋体" w:cs="宋体"/>
          <w:color w:val="auto"/>
          <w:sz w:val="24"/>
          <w:highlight w:val="none"/>
        </w:rPr>
        <w:t>86130103</w:t>
      </w:r>
    </w:p>
    <w:p>
      <w:pPr>
        <w:keepNext w:val="0"/>
        <w:keepLines w:val="0"/>
        <w:pageBreakBefore w:val="0"/>
        <w:kinsoku/>
        <w:wordWrap/>
        <w:overflowPunct/>
        <w:topLinePunct w:val="0"/>
        <w:autoSpaceDE/>
        <w:autoSpaceDN/>
        <w:bidi w:val="0"/>
        <w:spacing w:line="440" w:lineRule="exact"/>
        <w:ind w:left="718" w:leftChars="342" w:firstLine="0" w:firstLineChars="0"/>
        <w:textAlignment w:val="auto"/>
        <w:rPr>
          <w:rFonts w:ascii="宋体" w:hAnsi="宋体" w:cs="宋体"/>
          <w:color w:val="auto"/>
          <w:sz w:val="24"/>
          <w:highlight w:val="none"/>
        </w:rPr>
      </w:pPr>
      <w:r>
        <w:rPr>
          <w:rFonts w:hint="eastAsia" w:ascii="宋体" w:hAnsi="宋体" w:cs="宋体"/>
          <w:color w:val="auto"/>
          <w:sz w:val="24"/>
          <w:highlight w:val="none"/>
        </w:rPr>
        <w:t xml:space="preserve">质疑联系人：陈先生         </w:t>
      </w:r>
      <w:r>
        <w:rPr>
          <w:rFonts w:hint="eastAsia" w:ascii="宋体" w:hAnsi="宋体" w:cs="宋体"/>
          <w:color w:val="auto"/>
          <w:sz w:val="24"/>
          <w:highlight w:val="none"/>
          <w:lang w:val="en-US" w:eastAsia="zh-CN"/>
        </w:rPr>
        <w:t xml:space="preserve"> </w:t>
      </w:r>
      <w:r>
        <w:rPr>
          <w:rFonts w:hint="eastAsia" w:ascii="宋体" w:hAnsi="宋体" w:cs="宋体"/>
          <w:color w:val="auto"/>
          <w:sz w:val="24"/>
          <w:highlight w:val="none"/>
        </w:rPr>
        <w:t xml:space="preserve">质疑联系方式：0579-86130103 </w:t>
      </w:r>
    </w:p>
    <w:p>
      <w:pPr>
        <w:keepNext w:val="0"/>
        <w:keepLines w:val="0"/>
        <w:pageBreakBefore w:val="0"/>
        <w:kinsoku/>
        <w:wordWrap/>
        <w:overflowPunct/>
        <w:topLinePunct w:val="0"/>
        <w:autoSpaceDE/>
        <w:autoSpaceDN/>
        <w:bidi w:val="0"/>
        <w:spacing w:line="440" w:lineRule="exact"/>
        <w:ind w:firstLine="723" w:firstLineChars="300"/>
        <w:textAlignment w:val="auto"/>
        <w:rPr>
          <w:rFonts w:ascii="宋体" w:hAnsi="宋体" w:cs="宋体"/>
          <w:b/>
          <w:bCs/>
          <w:color w:val="auto"/>
          <w:sz w:val="24"/>
          <w:highlight w:val="none"/>
        </w:rPr>
      </w:pPr>
      <w:r>
        <w:rPr>
          <w:rFonts w:hint="eastAsia" w:ascii="宋体" w:hAnsi="宋体" w:cs="宋体"/>
          <w:b/>
          <w:bCs/>
          <w:color w:val="auto"/>
          <w:sz w:val="24"/>
          <w:highlight w:val="none"/>
        </w:rPr>
        <w:t>2.采购代理机构信息</w:t>
      </w:r>
    </w:p>
    <w:p>
      <w:pPr>
        <w:keepNext w:val="0"/>
        <w:keepLines w:val="0"/>
        <w:pageBreakBefore w:val="0"/>
        <w:kinsoku/>
        <w:wordWrap/>
        <w:overflowPunct/>
        <w:topLinePunct w:val="0"/>
        <w:autoSpaceDE/>
        <w:autoSpaceDN/>
        <w:bidi w:val="0"/>
        <w:spacing w:line="440" w:lineRule="exact"/>
        <w:ind w:firstLine="720" w:firstLineChars="300"/>
        <w:textAlignment w:val="auto"/>
        <w:rPr>
          <w:rFonts w:ascii="宋体" w:hAnsi="宋体" w:cs="宋体"/>
          <w:color w:val="auto"/>
          <w:sz w:val="24"/>
          <w:highlight w:val="none"/>
        </w:rPr>
      </w:pPr>
      <w:r>
        <w:rPr>
          <w:rFonts w:hint="eastAsia" w:ascii="宋体" w:hAnsi="宋体" w:cs="宋体"/>
          <w:color w:val="auto"/>
          <w:sz w:val="24"/>
          <w:highlight w:val="none"/>
        </w:rPr>
        <w:t xml:space="preserve">名 称：东阳市鑫盛工程咨询有限公司 </w:t>
      </w:r>
    </w:p>
    <w:p>
      <w:pPr>
        <w:keepNext w:val="0"/>
        <w:keepLines w:val="0"/>
        <w:pageBreakBefore w:val="0"/>
        <w:kinsoku/>
        <w:wordWrap/>
        <w:overflowPunct/>
        <w:topLinePunct w:val="0"/>
        <w:autoSpaceDE/>
        <w:autoSpaceDN/>
        <w:bidi w:val="0"/>
        <w:spacing w:line="440" w:lineRule="exact"/>
        <w:ind w:firstLine="720" w:firstLineChars="300"/>
        <w:textAlignment w:val="auto"/>
        <w:rPr>
          <w:rFonts w:ascii="宋体" w:hAnsi="宋体" w:cs="宋体"/>
          <w:color w:val="auto"/>
          <w:sz w:val="24"/>
          <w:highlight w:val="none"/>
        </w:rPr>
      </w:pPr>
      <w:r>
        <w:rPr>
          <w:rFonts w:hint="eastAsia" w:ascii="宋体" w:hAnsi="宋体" w:cs="宋体"/>
          <w:color w:val="auto"/>
          <w:sz w:val="24"/>
          <w:highlight w:val="none"/>
        </w:rPr>
        <w:t xml:space="preserve">地 址：东阳市白云街道八华南路63号    传真：0579-86633123 </w:t>
      </w:r>
    </w:p>
    <w:p>
      <w:pPr>
        <w:keepNext w:val="0"/>
        <w:keepLines w:val="0"/>
        <w:pageBreakBefore w:val="0"/>
        <w:kinsoku/>
        <w:wordWrap/>
        <w:overflowPunct/>
        <w:topLinePunct w:val="0"/>
        <w:autoSpaceDE/>
        <w:autoSpaceDN/>
        <w:bidi w:val="0"/>
        <w:spacing w:line="440" w:lineRule="exact"/>
        <w:ind w:firstLine="720" w:firstLineChars="300"/>
        <w:textAlignment w:val="auto"/>
        <w:rPr>
          <w:rFonts w:ascii="宋体" w:hAnsi="宋体" w:cs="宋体"/>
          <w:color w:val="auto"/>
          <w:sz w:val="24"/>
          <w:highlight w:val="none"/>
        </w:rPr>
      </w:pPr>
      <w:r>
        <w:rPr>
          <w:rFonts w:hint="eastAsia" w:ascii="宋体" w:hAnsi="宋体" w:cs="宋体"/>
          <w:color w:val="auto"/>
          <w:sz w:val="24"/>
          <w:highlight w:val="none"/>
        </w:rPr>
        <w:t>项目联系人（询问）：胡丹春              项目联系方式（询问）：0579-86633123</w:t>
      </w:r>
    </w:p>
    <w:p>
      <w:pPr>
        <w:keepNext w:val="0"/>
        <w:keepLines w:val="0"/>
        <w:pageBreakBefore w:val="0"/>
        <w:kinsoku/>
        <w:wordWrap/>
        <w:overflowPunct/>
        <w:topLinePunct w:val="0"/>
        <w:autoSpaceDE/>
        <w:autoSpaceDN/>
        <w:bidi w:val="0"/>
        <w:spacing w:line="440" w:lineRule="exact"/>
        <w:ind w:firstLine="720" w:firstLineChars="300"/>
        <w:textAlignment w:val="auto"/>
        <w:rPr>
          <w:rFonts w:ascii="宋体" w:hAnsi="宋体" w:cs="宋体"/>
          <w:color w:val="auto"/>
          <w:sz w:val="24"/>
          <w:highlight w:val="none"/>
        </w:rPr>
      </w:pPr>
      <w:r>
        <w:rPr>
          <w:rFonts w:hint="eastAsia" w:ascii="宋体" w:hAnsi="宋体" w:cs="宋体"/>
          <w:color w:val="auto"/>
          <w:sz w:val="24"/>
          <w:highlight w:val="none"/>
        </w:rPr>
        <w:t xml:space="preserve">质疑联系人：张英华                </w:t>
      </w:r>
      <w:r>
        <w:rPr>
          <w:rFonts w:hint="eastAsia" w:ascii="宋体" w:hAnsi="宋体" w:cs="宋体"/>
          <w:color w:val="auto"/>
          <w:sz w:val="24"/>
          <w:highlight w:val="none"/>
          <w:lang w:val="en-US" w:eastAsia="zh-CN"/>
        </w:rPr>
        <w:t xml:space="preserve">   </w:t>
      </w:r>
      <w:r>
        <w:rPr>
          <w:rFonts w:hint="eastAsia" w:ascii="宋体" w:hAnsi="宋体" w:cs="宋体"/>
          <w:color w:val="auto"/>
          <w:sz w:val="24"/>
          <w:highlight w:val="none"/>
        </w:rPr>
        <w:t>质疑联系方式：0579-86018279</w:t>
      </w:r>
    </w:p>
    <w:p>
      <w:pPr>
        <w:keepNext w:val="0"/>
        <w:keepLines w:val="0"/>
        <w:pageBreakBefore w:val="0"/>
        <w:kinsoku/>
        <w:wordWrap/>
        <w:overflowPunct/>
        <w:topLinePunct w:val="0"/>
        <w:autoSpaceDE/>
        <w:autoSpaceDN/>
        <w:bidi w:val="0"/>
        <w:spacing w:line="440" w:lineRule="exact"/>
        <w:ind w:firstLine="723" w:firstLineChars="300"/>
        <w:textAlignment w:val="auto"/>
        <w:rPr>
          <w:rFonts w:ascii="宋体" w:hAnsi="宋体" w:cs="宋体"/>
          <w:b/>
          <w:bCs/>
          <w:color w:val="auto"/>
          <w:sz w:val="24"/>
          <w:highlight w:val="none"/>
        </w:rPr>
      </w:pPr>
      <w:r>
        <w:rPr>
          <w:rFonts w:hint="eastAsia" w:ascii="宋体" w:hAnsi="宋体" w:cs="宋体"/>
          <w:b/>
          <w:bCs/>
          <w:color w:val="auto"/>
          <w:sz w:val="24"/>
          <w:highlight w:val="none"/>
        </w:rPr>
        <w:t>3.同级政府采购监督管理部门：</w:t>
      </w:r>
    </w:p>
    <w:p>
      <w:pPr>
        <w:keepNext w:val="0"/>
        <w:keepLines w:val="0"/>
        <w:pageBreakBefore w:val="0"/>
        <w:kinsoku/>
        <w:wordWrap/>
        <w:overflowPunct/>
        <w:topLinePunct w:val="0"/>
        <w:autoSpaceDE/>
        <w:autoSpaceDN/>
        <w:bidi w:val="0"/>
        <w:spacing w:line="440" w:lineRule="exact"/>
        <w:ind w:firstLine="720" w:firstLineChars="300"/>
        <w:textAlignment w:val="auto"/>
        <w:rPr>
          <w:rFonts w:ascii="宋体" w:hAnsi="宋体" w:cs="宋体"/>
          <w:color w:val="auto"/>
          <w:sz w:val="24"/>
          <w:highlight w:val="none"/>
        </w:rPr>
      </w:pPr>
      <w:r>
        <w:rPr>
          <w:rFonts w:hint="eastAsia" w:ascii="宋体" w:hAnsi="宋体" w:cs="宋体"/>
          <w:color w:val="auto"/>
          <w:sz w:val="24"/>
          <w:highlight w:val="none"/>
        </w:rPr>
        <w:t>名称：东阳市财政局采监科             地址：东阳市人民路8号</w:t>
      </w:r>
    </w:p>
    <w:p>
      <w:pPr>
        <w:keepNext w:val="0"/>
        <w:keepLines w:val="0"/>
        <w:pageBreakBefore w:val="0"/>
        <w:kinsoku/>
        <w:wordWrap/>
        <w:overflowPunct/>
        <w:topLinePunct w:val="0"/>
        <w:autoSpaceDE/>
        <w:autoSpaceDN/>
        <w:bidi w:val="0"/>
        <w:spacing w:line="440" w:lineRule="exact"/>
        <w:ind w:firstLine="720" w:firstLineChars="300"/>
        <w:textAlignment w:val="auto"/>
        <w:rPr>
          <w:rFonts w:ascii="宋体" w:hAnsi="宋体" w:cs="宋体"/>
          <w:color w:val="auto"/>
          <w:sz w:val="24"/>
          <w:highlight w:val="none"/>
        </w:rPr>
      </w:pPr>
      <w:r>
        <w:rPr>
          <w:rFonts w:hint="eastAsia" w:ascii="宋体" w:hAnsi="宋体" w:cs="宋体"/>
          <w:color w:val="auto"/>
          <w:sz w:val="24"/>
          <w:highlight w:val="none"/>
        </w:rPr>
        <w:t>监督投诉电话：0579-86662677</w:t>
      </w:r>
    </w:p>
    <w:p>
      <w:pPr>
        <w:keepNext w:val="0"/>
        <w:keepLines w:val="0"/>
        <w:pageBreakBefore w:val="0"/>
        <w:kinsoku/>
        <w:wordWrap/>
        <w:overflowPunct/>
        <w:topLinePunct w:val="0"/>
        <w:autoSpaceDE/>
        <w:autoSpaceDN/>
        <w:bidi w:val="0"/>
        <w:snapToGrid w:val="0"/>
        <w:spacing w:line="440" w:lineRule="exact"/>
        <w:textAlignment w:val="auto"/>
        <w:rPr>
          <w:rFonts w:ascii="宋体" w:hAnsi="宋体" w:cs="宋体"/>
          <w:b/>
          <w:color w:val="auto"/>
          <w:sz w:val="24"/>
          <w:szCs w:val="20"/>
          <w:highlight w:val="none"/>
        </w:rPr>
      </w:pPr>
      <w:r>
        <w:rPr>
          <w:rFonts w:hint="eastAsia" w:ascii="宋体" w:hAnsi="宋体" w:cs="宋体"/>
          <w:b/>
          <w:color w:val="auto"/>
          <w:sz w:val="24"/>
          <w:szCs w:val="20"/>
          <w:highlight w:val="none"/>
        </w:rPr>
        <w:t>附件：</w:t>
      </w:r>
      <w:r>
        <w:rPr>
          <w:rFonts w:hint="eastAsia" w:ascii="宋体" w:hAnsi="宋体" w:cs="宋体"/>
          <w:b/>
          <w:bCs/>
          <w:color w:val="auto"/>
          <w:sz w:val="24"/>
          <w:highlight w:val="none"/>
          <w:lang w:eastAsia="zh-CN"/>
        </w:rPr>
        <w:t>三单乡三单村一事一议财政奖补支持打造共富乡村试点项目软装工程</w:t>
      </w:r>
      <w:r>
        <w:rPr>
          <w:rFonts w:hint="eastAsia" w:ascii="宋体" w:hAnsi="宋体" w:cs="宋体"/>
          <w:b/>
          <w:color w:val="auto"/>
          <w:sz w:val="24"/>
          <w:szCs w:val="20"/>
          <w:highlight w:val="none"/>
        </w:rPr>
        <w:t>磋商文件</w:t>
      </w:r>
    </w:p>
    <w:p>
      <w:pPr>
        <w:pStyle w:val="19"/>
        <w:keepNext w:val="0"/>
        <w:keepLines w:val="0"/>
        <w:pageBreakBefore w:val="0"/>
        <w:kinsoku/>
        <w:wordWrap/>
        <w:overflowPunct/>
        <w:topLinePunct w:val="0"/>
        <w:autoSpaceDE/>
        <w:autoSpaceDN/>
        <w:bidi w:val="0"/>
        <w:spacing w:line="440" w:lineRule="exact"/>
        <w:textAlignment w:val="auto"/>
        <w:rPr>
          <w:rFonts w:ascii="宋体" w:hAnsi="宋体" w:cs="宋体"/>
          <w:b/>
          <w:color w:val="auto"/>
          <w:sz w:val="24"/>
          <w:szCs w:val="20"/>
          <w:highlight w:val="none"/>
        </w:rPr>
      </w:pPr>
    </w:p>
    <w:p>
      <w:pPr>
        <w:keepNext w:val="0"/>
        <w:keepLines w:val="0"/>
        <w:pageBreakBefore w:val="0"/>
        <w:kinsoku/>
        <w:wordWrap/>
        <w:overflowPunct/>
        <w:topLinePunct w:val="0"/>
        <w:autoSpaceDE/>
        <w:autoSpaceDN/>
        <w:bidi w:val="0"/>
        <w:snapToGrid w:val="0"/>
        <w:spacing w:line="440" w:lineRule="exact"/>
        <w:ind w:left="4819" w:right="198" w:hanging="4819" w:hangingChars="2000"/>
        <w:textAlignment w:val="auto"/>
        <w:rPr>
          <w:rFonts w:ascii="宋体" w:hAnsi="宋体" w:cs="宋体"/>
          <w:b/>
          <w:color w:val="auto"/>
          <w:sz w:val="24"/>
          <w:highlight w:val="none"/>
        </w:rPr>
      </w:pPr>
      <w:r>
        <w:rPr>
          <w:rFonts w:hint="eastAsia" w:ascii="宋体" w:hAnsi="宋体" w:cs="宋体"/>
          <w:b/>
          <w:color w:val="auto"/>
          <w:sz w:val="24"/>
          <w:highlight w:val="none"/>
        </w:rPr>
        <w:t xml:space="preserve">                                                  </w:t>
      </w:r>
      <w:r>
        <w:rPr>
          <w:rFonts w:hint="eastAsia" w:ascii="宋体" w:hAnsi="宋体" w:cs="宋体"/>
          <w:b/>
          <w:color w:val="auto"/>
          <w:sz w:val="24"/>
          <w:highlight w:val="none"/>
          <w:lang w:val="en-US" w:eastAsia="zh-CN"/>
        </w:rPr>
        <w:t xml:space="preserve"> </w:t>
      </w:r>
      <w:r>
        <w:rPr>
          <w:rFonts w:hint="eastAsia" w:ascii="宋体" w:hAnsi="宋体" w:cs="宋体"/>
          <w:b/>
          <w:color w:val="auto"/>
          <w:sz w:val="24"/>
          <w:highlight w:val="none"/>
          <w:lang w:eastAsia="zh-CN"/>
        </w:rPr>
        <w:t xml:space="preserve">东阳市三单乡人民政府 </w:t>
      </w:r>
      <w:r>
        <w:rPr>
          <w:rFonts w:hint="eastAsia" w:ascii="宋体" w:hAnsi="宋体" w:cs="宋体"/>
          <w:b/>
          <w:color w:val="auto"/>
          <w:sz w:val="24"/>
          <w:highlight w:val="none"/>
        </w:rPr>
        <w:t xml:space="preserve"> </w:t>
      </w:r>
    </w:p>
    <w:p>
      <w:pPr>
        <w:keepNext w:val="0"/>
        <w:keepLines w:val="0"/>
        <w:pageBreakBefore w:val="0"/>
        <w:kinsoku/>
        <w:wordWrap/>
        <w:overflowPunct/>
        <w:topLinePunct w:val="0"/>
        <w:autoSpaceDE/>
        <w:autoSpaceDN/>
        <w:bidi w:val="0"/>
        <w:snapToGrid w:val="0"/>
        <w:spacing w:line="440" w:lineRule="exact"/>
        <w:ind w:right="198" w:firstLine="5783" w:firstLineChars="2400"/>
        <w:textAlignment w:val="auto"/>
        <w:rPr>
          <w:rFonts w:ascii="宋体" w:hAnsi="宋体" w:cs="宋体"/>
          <w:b/>
          <w:color w:val="auto"/>
          <w:sz w:val="24"/>
          <w:highlight w:val="none"/>
        </w:rPr>
      </w:pPr>
      <w:r>
        <w:rPr>
          <w:rFonts w:hint="eastAsia" w:ascii="宋体" w:hAnsi="宋体" w:cs="宋体"/>
          <w:b/>
          <w:color w:val="auto"/>
          <w:sz w:val="24"/>
          <w:highlight w:val="none"/>
        </w:rPr>
        <w:t>东阳市鑫盛工程咨询有限公司</w:t>
      </w:r>
    </w:p>
    <w:p>
      <w:pPr>
        <w:keepNext w:val="0"/>
        <w:keepLines w:val="0"/>
        <w:pageBreakBefore w:val="0"/>
        <w:kinsoku/>
        <w:wordWrap/>
        <w:overflowPunct/>
        <w:topLinePunct w:val="0"/>
        <w:autoSpaceDE/>
        <w:autoSpaceDN/>
        <w:bidi w:val="0"/>
        <w:snapToGrid w:val="0"/>
        <w:spacing w:line="440" w:lineRule="exact"/>
        <w:ind w:right="198" w:firstLine="6505" w:firstLineChars="2700"/>
        <w:textAlignment w:val="auto"/>
        <w:rPr>
          <w:rFonts w:ascii="宋体" w:hAnsi="宋体" w:cs="宋体"/>
          <w:b/>
          <w:color w:val="auto"/>
          <w:sz w:val="24"/>
          <w:highlight w:val="none"/>
        </w:rPr>
      </w:pPr>
      <w:r>
        <w:rPr>
          <w:rFonts w:hint="eastAsia" w:ascii="宋体" w:hAnsi="宋体" w:cs="宋体"/>
          <w:b/>
          <w:color w:val="auto"/>
          <w:sz w:val="24"/>
          <w:highlight w:val="none"/>
        </w:rPr>
        <w:t>202</w:t>
      </w:r>
      <w:r>
        <w:rPr>
          <w:rFonts w:hint="eastAsia" w:ascii="宋体" w:hAnsi="宋体" w:cs="宋体"/>
          <w:b/>
          <w:color w:val="auto"/>
          <w:sz w:val="24"/>
          <w:highlight w:val="none"/>
          <w:lang w:val="en-US" w:eastAsia="zh-CN"/>
        </w:rPr>
        <w:t>4</w:t>
      </w:r>
      <w:r>
        <w:rPr>
          <w:rFonts w:hint="eastAsia" w:ascii="宋体" w:hAnsi="宋体" w:cs="宋体"/>
          <w:b/>
          <w:color w:val="auto"/>
          <w:sz w:val="24"/>
          <w:highlight w:val="none"/>
        </w:rPr>
        <w:t>年</w:t>
      </w:r>
      <w:r>
        <w:rPr>
          <w:rFonts w:hint="eastAsia" w:ascii="宋体" w:hAnsi="宋体" w:cs="宋体"/>
          <w:b/>
          <w:color w:val="auto"/>
          <w:sz w:val="24"/>
          <w:highlight w:val="none"/>
          <w:lang w:val="en-US" w:eastAsia="zh-CN"/>
        </w:rPr>
        <w:t>3</w:t>
      </w:r>
      <w:r>
        <w:rPr>
          <w:rFonts w:hint="eastAsia" w:ascii="宋体" w:hAnsi="宋体" w:cs="宋体"/>
          <w:b/>
          <w:color w:val="auto"/>
          <w:sz w:val="24"/>
          <w:highlight w:val="none"/>
        </w:rPr>
        <w:t>月</w:t>
      </w:r>
      <w:r>
        <w:rPr>
          <w:rFonts w:hint="eastAsia" w:ascii="宋体" w:hAnsi="宋体" w:cs="宋体"/>
          <w:b/>
          <w:color w:val="auto"/>
          <w:sz w:val="24"/>
          <w:highlight w:val="none"/>
          <w:lang w:val="en-US" w:eastAsia="zh-CN"/>
        </w:rPr>
        <w:t>28</w:t>
      </w:r>
      <w:r>
        <w:rPr>
          <w:rFonts w:hint="eastAsia" w:ascii="宋体" w:hAnsi="宋体" w:cs="宋体"/>
          <w:b/>
          <w:color w:val="auto"/>
          <w:sz w:val="24"/>
          <w:highlight w:val="none"/>
        </w:rPr>
        <w:t>日</w:t>
      </w:r>
    </w:p>
    <w:p>
      <w:pPr>
        <w:keepNext w:val="0"/>
        <w:keepLines w:val="0"/>
        <w:pageBreakBefore w:val="0"/>
        <w:widowControl/>
        <w:kinsoku/>
        <w:wordWrap/>
        <w:overflowPunct/>
        <w:topLinePunct w:val="0"/>
        <w:autoSpaceDE/>
        <w:autoSpaceDN/>
        <w:bidi w:val="0"/>
        <w:spacing w:line="440" w:lineRule="exact"/>
        <w:jc w:val="left"/>
        <w:textAlignment w:val="auto"/>
        <w:rPr>
          <w:rFonts w:ascii="宋体" w:hAnsi="宋体" w:cs="宋体"/>
          <w:color w:val="auto"/>
          <w:kern w:val="0"/>
          <w:sz w:val="24"/>
          <w:highlight w:val="none"/>
        </w:rPr>
      </w:pPr>
    </w:p>
    <w:p>
      <w:pPr>
        <w:keepNext w:val="0"/>
        <w:keepLines w:val="0"/>
        <w:pageBreakBefore w:val="0"/>
        <w:widowControl/>
        <w:kinsoku/>
        <w:wordWrap/>
        <w:overflowPunct/>
        <w:topLinePunct w:val="0"/>
        <w:autoSpaceDE/>
        <w:autoSpaceDN/>
        <w:bidi w:val="0"/>
        <w:spacing w:line="440" w:lineRule="exact"/>
        <w:jc w:val="left"/>
        <w:textAlignment w:val="auto"/>
        <w:rPr>
          <w:rFonts w:ascii="宋体" w:hAnsi="宋体" w:cs="宋体"/>
          <w:color w:val="auto"/>
          <w:kern w:val="0"/>
          <w:sz w:val="24"/>
          <w:highlight w:val="none"/>
        </w:rPr>
      </w:pPr>
    </w:p>
    <w:p>
      <w:pPr>
        <w:keepNext w:val="0"/>
        <w:keepLines w:val="0"/>
        <w:pageBreakBefore w:val="0"/>
        <w:widowControl/>
        <w:kinsoku/>
        <w:wordWrap/>
        <w:overflowPunct/>
        <w:topLinePunct w:val="0"/>
        <w:autoSpaceDE/>
        <w:autoSpaceDN/>
        <w:bidi w:val="0"/>
        <w:spacing w:line="440" w:lineRule="exact"/>
        <w:jc w:val="left"/>
        <w:textAlignment w:val="auto"/>
        <w:rPr>
          <w:rFonts w:ascii="宋体" w:hAnsi="宋体" w:cs="宋体"/>
          <w:color w:val="auto"/>
          <w:kern w:val="0"/>
          <w:sz w:val="24"/>
          <w:highlight w:val="none"/>
        </w:rPr>
      </w:pPr>
    </w:p>
    <w:p>
      <w:pPr>
        <w:keepNext w:val="0"/>
        <w:keepLines w:val="0"/>
        <w:pageBreakBefore w:val="0"/>
        <w:widowControl/>
        <w:kinsoku/>
        <w:wordWrap/>
        <w:overflowPunct/>
        <w:topLinePunct w:val="0"/>
        <w:autoSpaceDE/>
        <w:autoSpaceDN/>
        <w:bidi w:val="0"/>
        <w:spacing w:line="440" w:lineRule="exact"/>
        <w:jc w:val="left"/>
        <w:textAlignment w:val="auto"/>
        <w:rPr>
          <w:rFonts w:ascii="宋体" w:hAnsi="宋体" w:cs="宋体"/>
          <w:color w:val="auto"/>
          <w:sz w:val="20"/>
          <w:szCs w:val="22"/>
          <w:highlight w:val="none"/>
        </w:rPr>
      </w:pPr>
      <w:r>
        <w:rPr>
          <w:rFonts w:hint="eastAsia" w:ascii="宋体" w:hAnsi="宋体" w:cs="宋体"/>
          <w:color w:val="auto"/>
          <w:kern w:val="0"/>
          <w:sz w:val="22"/>
          <w:szCs w:val="22"/>
          <w:highlight w:val="none"/>
        </w:rPr>
        <w:t>若对项目采购电子交易系统操作有疑问，可登录政采云（https://www.zcygov.cn/），点击右侧咨询小采，获取采小蜜智能服务管家帮助，或拨打政采云服务热线95763获取热线服务帮助。</w:t>
      </w:r>
    </w:p>
    <w:p>
      <w:pPr>
        <w:keepNext w:val="0"/>
        <w:keepLines w:val="0"/>
        <w:pageBreakBefore w:val="0"/>
        <w:widowControl/>
        <w:kinsoku/>
        <w:wordWrap/>
        <w:overflowPunct/>
        <w:topLinePunct w:val="0"/>
        <w:autoSpaceDE/>
        <w:autoSpaceDN/>
        <w:bidi w:val="0"/>
        <w:spacing w:line="440" w:lineRule="exact"/>
        <w:jc w:val="left"/>
        <w:textAlignment w:val="auto"/>
        <w:rPr>
          <w:rFonts w:hint="eastAsia" w:ascii="宋体" w:hAnsi="宋体" w:cs="宋体"/>
          <w:color w:val="auto"/>
          <w:kern w:val="0"/>
          <w:sz w:val="22"/>
          <w:szCs w:val="22"/>
          <w:highlight w:val="none"/>
        </w:rPr>
        <w:sectPr>
          <w:headerReference r:id="rId4" w:type="first"/>
          <w:footerReference r:id="rId6" w:type="first"/>
          <w:headerReference r:id="rId3" w:type="default"/>
          <w:footerReference r:id="rId5" w:type="default"/>
          <w:pgSz w:w="11906" w:h="16838"/>
          <w:pgMar w:top="1276" w:right="1361" w:bottom="1247" w:left="1418" w:header="851" w:footer="992" w:gutter="0"/>
          <w:cols w:space="720" w:num="1"/>
          <w:docGrid w:linePitch="312" w:charSpace="0"/>
        </w:sectPr>
      </w:pPr>
      <w:r>
        <w:rPr>
          <w:rFonts w:hint="eastAsia" w:ascii="宋体" w:hAnsi="宋体" w:cs="宋体"/>
          <w:color w:val="auto"/>
          <w:kern w:val="0"/>
          <w:sz w:val="22"/>
          <w:szCs w:val="22"/>
          <w:highlight w:val="none"/>
        </w:rPr>
        <w:t>CA问题联系电话（人工）：汇信CA 400-888-4636；天谷CA 400-087-8198。</w:t>
      </w:r>
    </w:p>
    <w:p>
      <w:pPr>
        <w:pStyle w:val="22"/>
        <w:pageBreakBefore/>
        <w:snapToGrid w:val="0"/>
        <w:spacing w:before="120" w:after="120" w:line="360" w:lineRule="auto"/>
        <w:jc w:val="center"/>
        <w:outlineLvl w:val="0"/>
        <w:rPr>
          <w:rFonts w:ascii="宋体" w:hAnsi="宋体" w:cs="宋体"/>
          <w:b/>
          <w:color w:val="auto"/>
          <w:szCs w:val="24"/>
          <w:highlight w:val="none"/>
        </w:rPr>
      </w:pPr>
      <w:bookmarkStart w:id="1" w:name="_Toc31431"/>
      <w:r>
        <w:rPr>
          <w:rFonts w:hint="eastAsia" w:ascii="宋体" w:hAnsi="宋体" w:cs="宋体"/>
          <w:b/>
          <w:color w:val="auto"/>
          <w:szCs w:val="24"/>
          <w:highlight w:val="none"/>
        </w:rPr>
        <w:t>第二章  招标需求</w:t>
      </w:r>
      <w:bookmarkEnd w:id="1"/>
    </w:p>
    <w:p>
      <w:pPr>
        <w:numPr>
          <w:ilvl w:val="0"/>
          <w:numId w:val="5"/>
        </w:numPr>
        <w:spacing w:line="360" w:lineRule="auto"/>
        <w:rPr>
          <w:rFonts w:ascii="宋体" w:hAnsi="宋体" w:cs="宋体"/>
          <w:color w:val="auto"/>
          <w:sz w:val="24"/>
          <w:highlight w:val="none"/>
        </w:rPr>
      </w:pPr>
      <w:r>
        <w:rPr>
          <w:rFonts w:hint="eastAsia" w:ascii="宋体" w:hAnsi="宋体" w:cs="宋体"/>
          <w:b/>
          <w:bCs/>
          <w:color w:val="auto"/>
          <w:sz w:val="24"/>
          <w:highlight w:val="none"/>
        </w:rPr>
        <w:t>项目编号：</w:t>
      </w:r>
      <w:r>
        <w:rPr>
          <w:rFonts w:hint="eastAsia" w:ascii="宋体" w:hAnsi="宋体" w:cs="宋体"/>
          <w:color w:val="auto"/>
          <w:sz w:val="24"/>
          <w:highlight w:val="none"/>
          <w:lang w:eastAsia="zh-CN"/>
        </w:rPr>
        <w:t>XSZFCGDZ2024-CS-101</w:t>
      </w:r>
    </w:p>
    <w:p>
      <w:pPr>
        <w:numPr>
          <w:ilvl w:val="0"/>
          <w:numId w:val="5"/>
        </w:numPr>
        <w:spacing w:line="360" w:lineRule="auto"/>
        <w:rPr>
          <w:rFonts w:ascii="宋体" w:hAnsi="宋体" w:cs="宋体"/>
          <w:b/>
          <w:color w:val="auto"/>
          <w:sz w:val="24"/>
          <w:highlight w:val="none"/>
        </w:rPr>
      </w:pPr>
      <w:r>
        <w:rPr>
          <w:rFonts w:hint="eastAsia" w:ascii="宋体" w:hAnsi="宋体" w:cs="宋体"/>
          <w:b/>
          <w:bCs/>
          <w:color w:val="auto"/>
          <w:sz w:val="24"/>
          <w:highlight w:val="none"/>
        </w:rPr>
        <w:t>采购项目名称：</w:t>
      </w:r>
      <w:bookmarkStart w:id="2" w:name="_Toc495926918"/>
      <w:r>
        <w:rPr>
          <w:rFonts w:hint="eastAsia" w:ascii="宋体" w:hAnsi="宋体" w:cs="宋体"/>
          <w:b/>
          <w:bCs/>
          <w:color w:val="auto"/>
          <w:sz w:val="24"/>
          <w:highlight w:val="none"/>
          <w:lang w:eastAsia="zh-CN"/>
        </w:rPr>
        <w:t>三单乡三单村一事一议财政奖补支持打造共富乡村试点项目软装工程</w:t>
      </w:r>
      <w:r>
        <w:rPr>
          <w:rFonts w:hint="eastAsia" w:ascii="宋体" w:hAnsi="宋体" w:eastAsia="宋体" w:cs="宋体"/>
          <w:b/>
          <w:bCs/>
          <w:color w:val="auto"/>
          <w:sz w:val="24"/>
          <w:highlight w:val="none"/>
          <w:lang w:eastAsia="zh-CN"/>
        </w:rPr>
        <w:t xml:space="preserve"> </w:t>
      </w:r>
      <w:r>
        <w:rPr>
          <w:rFonts w:hint="eastAsia" w:ascii="宋体" w:hAnsi="宋体" w:cs="宋体"/>
          <w:b/>
          <w:color w:val="auto"/>
          <w:sz w:val="24"/>
          <w:highlight w:val="none"/>
        </w:rPr>
        <w:t xml:space="preserve"> </w:t>
      </w:r>
    </w:p>
    <w:tbl>
      <w:tblPr>
        <w:tblStyle w:val="40"/>
        <w:tblW w:w="102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8"/>
        <w:gridCol w:w="4326"/>
        <w:gridCol w:w="1255"/>
        <w:gridCol w:w="1878"/>
        <w:gridCol w:w="18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jc w:val="center"/>
        </w:trPr>
        <w:tc>
          <w:tcPr>
            <w:tcW w:w="918" w:type="dxa"/>
            <w:vAlign w:val="center"/>
          </w:tcPr>
          <w:p>
            <w:pPr>
              <w:widowControl/>
              <w:overflowPunct w:val="0"/>
              <w:autoSpaceDE w:val="0"/>
              <w:autoSpaceDN w:val="0"/>
              <w:adjustRightInd w:val="0"/>
              <w:spacing w:line="360" w:lineRule="auto"/>
              <w:jc w:val="center"/>
              <w:textAlignment w:val="baseline"/>
              <w:rPr>
                <w:rFonts w:hint="default" w:ascii="宋体" w:hAnsi="宋体" w:eastAsia="宋体" w:cs="宋体"/>
                <w:b/>
                <w:color w:val="auto"/>
                <w:sz w:val="24"/>
                <w:highlight w:val="none"/>
                <w:lang w:val="en-US" w:eastAsia="zh-CN"/>
              </w:rPr>
            </w:pPr>
            <w:r>
              <w:rPr>
                <w:rFonts w:hint="eastAsia" w:ascii="宋体" w:hAnsi="宋体" w:cs="宋体"/>
                <w:b/>
                <w:color w:val="auto"/>
                <w:sz w:val="24"/>
                <w:highlight w:val="none"/>
                <w:lang w:val="en-US" w:eastAsia="zh-CN"/>
              </w:rPr>
              <w:t>序号</w:t>
            </w:r>
          </w:p>
        </w:tc>
        <w:tc>
          <w:tcPr>
            <w:tcW w:w="4326" w:type="dxa"/>
            <w:vAlign w:val="center"/>
          </w:tcPr>
          <w:p>
            <w:pPr>
              <w:widowControl/>
              <w:overflowPunct w:val="0"/>
              <w:autoSpaceDE w:val="0"/>
              <w:autoSpaceDN w:val="0"/>
              <w:adjustRightInd w:val="0"/>
              <w:spacing w:line="360" w:lineRule="auto"/>
              <w:jc w:val="center"/>
              <w:textAlignment w:val="baseline"/>
              <w:rPr>
                <w:rFonts w:ascii="宋体" w:hAnsi="宋体" w:cs="宋体"/>
                <w:b/>
                <w:color w:val="auto"/>
                <w:sz w:val="24"/>
                <w:highlight w:val="none"/>
              </w:rPr>
            </w:pPr>
            <w:r>
              <w:rPr>
                <w:rFonts w:hint="eastAsia" w:ascii="宋体" w:hAnsi="宋体"/>
                <w:b/>
                <w:bCs/>
                <w:color w:val="auto"/>
                <w:kern w:val="0"/>
                <w:sz w:val="24"/>
                <w:highlight w:val="none"/>
              </w:rPr>
              <w:t>采购内容</w:t>
            </w:r>
          </w:p>
        </w:tc>
        <w:tc>
          <w:tcPr>
            <w:tcW w:w="1255" w:type="dxa"/>
            <w:vAlign w:val="center"/>
          </w:tcPr>
          <w:p>
            <w:pPr>
              <w:widowControl/>
              <w:overflowPunct w:val="0"/>
              <w:autoSpaceDE w:val="0"/>
              <w:autoSpaceDN w:val="0"/>
              <w:adjustRightInd w:val="0"/>
              <w:spacing w:line="360" w:lineRule="auto"/>
              <w:jc w:val="center"/>
              <w:textAlignment w:val="baseline"/>
              <w:rPr>
                <w:rFonts w:ascii="宋体" w:hAnsi="宋体" w:cs="宋体"/>
                <w:b/>
                <w:color w:val="auto"/>
                <w:sz w:val="24"/>
                <w:highlight w:val="none"/>
              </w:rPr>
            </w:pPr>
            <w:r>
              <w:rPr>
                <w:rFonts w:hint="eastAsia" w:ascii="宋体" w:hAnsi="宋体"/>
                <w:b/>
                <w:bCs/>
                <w:color w:val="auto"/>
                <w:kern w:val="0"/>
                <w:sz w:val="24"/>
                <w:highlight w:val="none"/>
              </w:rPr>
              <w:t>数量</w:t>
            </w:r>
          </w:p>
        </w:tc>
        <w:tc>
          <w:tcPr>
            <w:tcW w:w="1878" w:type="dxa"/>
            <w:vAlign w:val="center"/>
          </w:tcPr>
          <w:p>
            <w:pPr>
              <w:widowControl/>
              <w:overflowPunct w:val="0"/>
              <w:autoSpaceDE w:val="0"/>
              <w:autoSpaceDN w:val="0"/>
              <w:adjustRightInd w:val="0"/>
              <w:spacing w:line="360" w:lineRule="auto"/>
              <w:jc w:val="center"/>
              <w:textAlignment w:val="baseline"/>
              <w:rPr>
                <w:rFonts w:ascii="宋体" w:hAnsi="宋体" w:cs="宋体"/>
                <w:b/>
                <w:color w:val="auto"/>
                <w:sz w:val="24"/>
                <w:highlight w:val="none"/>
              </w:rPr>
            </w:pPr>
            <w:r>
              <w:rPr>
                <w:rFonts w:hint="eastAsia" w:ascii="宋体" w:hAnsi="宋体"/>
                <w:b/>
                <w:bCs/>
                <w:color w:val="auto"/>
                <w:kern w:val="0"/>
                <w:sz w:val="24"/>
                <w:highlight w:val="none"/>
              </w:rPr>
              <w:t>预算金额</w:t>
            </w:r>
          </w:p>
        </w:tc>
        <w:tc>
          <w:tcPr>
            <w:tcW w:w="1878" w:type="dxa"/>
            <w:vAlign w:val="center"/>
          </w:tcPr>
          <w:p>
            <w:pPr>
              <w:widowControl/>
              <w:overflowPunct w:val="0"/>
              <w:autoSpaceDE w:val="0"/>
              <w:autoSpaceDN w:val="0"/>
              <w:adjustRightInd w:val="0"/>
              <w:spacing w:line="360" w:lineRule="auto"/>
              <w:jc w:val="center"/>
              <w:textAlignment w:val="baseline"/>
              <w:rPr>
                <w:rFonts w:hint="default" w:ascii="宋体" w:hAnsi="宋体" w:eastAsia="宋体"/>
                <w:b/>
                <w:bCs/>
                <w:color w:val="auto"/>
                <w:kern w:val="0"/>
                <w:sz w:val="24"/>
                <w:highlight w:val="none"/>
                <w:lang w:val="en-US" w:eastAsia="zh-CN"/>
              </w:rPr>
            </w:pPr>
            <w:r>
              <w:rPr>
                <w:rFonts w:hint="eastAsia" w:ascii="宋体" w:hAnsi="宋体"/>
                <w:b/>
                <w:bCs/>
                <w:color w:val="auto"/>
                <w:kern w:val="0"/>
                <w:sz w:val="24"/>
                <w:highlight w:val="none"/>
                <w:lang w:val="en-US" w:eastAsia="zh-CN"/>
              </w:rPr>
              <w:t>最高限价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7" w:hRule="atLeast"/>
          <w:jc w:val="center"/>
        </w:trPr>
        <w:tc>
          <w:tcPr>
            <w:tcW w:w="918" w:type="dxa"/>
            <w:vAlign w:val="center"/>
          </w:tcPr>
          <w:p>
            <w:pPr>
              <w:widowControl/>
              <w:overflowPunct w:val="0"/>
              <w:autoSpaceDE w:val="0"/>
              <w:autoSpaceDN w:val="0"/>
              <w:adjustRightInd w:val="0"/>
              <w:spacing w:line="360" w:lineRule="auto"/>
              <w:jc w:val="center"/>
              <w:textAlignment w:val="baseline"/>
              <w:rPr>
                <w:rFonts w:hint="eastAsia" w:ascii="宋体" w:hAnsi="宋体" w:eastAsia="宋体" w:cs="Times New Roman"/>
                <w:b w:val="0"/>
                <w:bCs/>
                <w:color w:val="auto"/>
                <w:kern w:val="0"/>
                <w:sz w:val="24"/>
                <w:szCs w:val="24"/>
                <w:highlight w:val="none"/>
                <w:lang w:val="en-US" w:eastAsia="zh-CN" w:bidi="ar-SA"/>
              </w:rPr>
            </w:pPr>
            <w:r>
              <w:rPr>
                <w:rFonts w:hint="eastAsia" w:ascii="宋体" w:hAnsi="宋体"/>
                <w:b w:val="0"/>
                <w:bCs/>
                <w:color w:val="auto"/>
                <w:kern w:val="0"/>
                <w:sz w:val="24"/>
                <w:highlight w:val="none"/>
                <w:lang w:val="en-US" w:eastAsia="zh-CN"/>
              </w:rPr>
              <w:t>1</w:t>
            </w:r>
          </w:p>
        </w:tc>
        <w:tc>
          <w:tcPr>
            <w:tcW w:w="4326" w:type="dxa"/>
            <w:vAlign w:val="center"/>
          </w:tcPr>
          <w:p>
            <w:pPr>
              <w:spacing w:line="360" w:lineRule="auto"/>
              <w:jc w:val="center"/>
              <w:rPr>
                <w:rFonts w:hint="eastAsia" w:ascii="宋体" w:hAnsi="宋体" w:eastAsia="宋体" w:cs="宋体"/>
                <w:b w:val="0"/>
                <w:bCs/>
                <w:color w:val="auto"/>
                <w:kern w:val="2"/>
                <w:sz w:val="24"/>
                <w:szCs w:val="24"/>
                <w:highlight w:val="none"/>
                <w:lang w:val="en-US" w:eastAsia="zh-CN" w:bidi="ar-SA"/>
              </w:rPr>
            </w:pPr>
            <w:r>
              <w:rPr>
                <w:rFonts w:hint="eastAsia" w:ascii="宋体" w:hAnsi="宋体" w:eastAsia="宋体" w:cs="宋体"/>
                <w:b w:val="0"/>
                <w:bCs/>
                <w:color w:val="auto"/>
                <w:sz w:val="24"/>
                <w:highlight w:val="none"/>
                <w:lang w:eastAsia="zh-CN"/>
              </w:rPr>
              <w:t>三单乡三单村一事一议财政奖补支持打造共富乡村试点项目软装工程</w:t>
            </w:r>
          </w:p>
        </w:tc>
        <w:tc>
          <w:tcPr>
            <w:tcW w:w="1255" w:type="dxa"/>
            <w:vAlign w:val="center"/>
          </w:tcPr>
          <w:p>
            <w:pPr>
              <w:widowControl/>
              <w:overflowPunct w:val="0"/>
              <w:autoSpaceDE w:val="0"/>
              <w:autoSpaceDN w:val="0"/>
              <w:adjustRightInd w:val="0"/>
              <w:spacing w:line="360" w:lineRule="auto"/>
              <w:jc w:val="center"/>
              <w:textAlignment w:val="baseline"/>
              <w:rPr>
                <w:rFonts w:hint="eastAsia" w:ascii="宋体" w:hAnsi="宋体" w:cs="宋体"/>
                <w:b w:val="0"/>
                <w:bCs/>
                <w:color w:val="auto"/>
                <w:sz w:val="24"/>
                <w:highlight w:val="none"/>
                <w:lang w:val="en-US" w:eastAsia="zh-CN"/>
              </w:rPr>
            </w:pPr>
            <w:r>
              <w:rPr>
                <w:rFonts w:hint="eastAsia" w:ascii="宋体" w:hAnsi="宋体" w:cs="宋体"/>
                <w:b w:val="0"/>
                <w:bCs/>
                <w:color w:val="auto"/>
                <w:sz w:val="24"/>
                <w:highlight w:val="none"/>
                <w:lang w:val="en-US" w:eastAsia="zh-CN"/>
              </w:rPr>
              <w:t>1项</w:t>
            </w:r>
          </w:p>
        </w:tc>
        <w:tc>
          <w:tcPr>
            <w:tcW w:w="1878" w:type="dxa"/>
            <w:vAlign w:val="center"/>
          </w:tcPr>
          <w:p>
            <w:pPr>
              <w:widowControl/>
              <w:overflowPunct w:val="0"/>
              <w:autoSpaceDE w:val="0"/>
              <w:autoSpaceDN w:val="0"/>
              <w:adjustRightInd w:val="0"/>
              <w:spacing w:line="360" w:lineRule="auto"/>
              <w:jc w:val="center"/>
              <w:textAlignment w:val="baseline"/>
              <w:rPr>
                <w:rFonts w:hint="eastAsia" w:ascii="宋体" w:hAnsi="宋体" w:cs="宋体"/>
                <w:b w:val="0"/>
                <w:bCs/>
                <w:color w:val="auto"/>
                <w:sz w:val="24"/>
                <w:highlight w:val="none"/>
                <w:lang w:val="en-US" w:eastAsia="zh-CN"/>
              </w:rPr>
            </w:pPr>
            <w:r>
              <w:rPr>
                <w:rFonts w:hint="eastAsia" w:ascii="宋体" w:hAnsi="宋体" w:cs="宋体"/>
                <w:b w:val="0"/>
                <w:bCs/>
                <w:color w:val="auto"/>
                <w:sz w:val="24"/>
                <w:highlight w:val="none"/>
                <w:lang w:val="en-US" w:eastAsia="zh-CN"/>
              </w:rPr>
              <w:t>2470000 元</w:t>
            </w:r>
          </w:p>
        </w:tc>
        <w:tc>
          <w:tcPr>
            <w:tcW w:w="1878" w:type="dxa"/>
            <w:vAlign w:val="center"/>
          </w:tcPr>
          <w:p>
            <w:pPr>
              <w:widowControl/>
              <w:overflowPunct w:val="0"/>
              <w:autoSpaceDE w:val="0"/>
              <w:autoSpaceDN w:val="0"/>
              <w:adjustRightInd w:val="0"/>
              <w:spacing w:line="360" w:lineRule="auto"/>
              <w:jc w:val="center"/>
              <w:textAlignment w:val="baseline"/>
              <w:rPr>
                <w:rFonts w:hint="eastAsia" w:ascii="宋体" w:hAnsi="宋体" w:cs="宋体"/>
                <w:b w:val="0"/>
                <w:bCs/>
                <w:color w:val="auto"/>
                <w:sz w:val="24"/>
                <w:highlight w:val="none"/>
                <w:lang w:val="en-US" w:eastAsia="zh-CN"/>
              </w:rPr>
            </w:pPr>
            <w:r>
              <w:rPr>
                <w:rFonts w:hint="eastAsia" w:ascii="宋体" w:hAnsi="宋体" w:cs="宋体"/>
                <w:b w:val="0"/>
                <w:bCs w:val="0"/>
                <w:color w:val="auto"/>
                <w:sz w:val="24"/>
                <w:highlight w:val="none"/>
              </w:rPr>
              <w:t>2446995.5</w:t>
            </w:r>
            <w:r>
              <w:rPr>
                <w:rFonts w:hint="eastAsia" w:ascii="宋体" w:hAnsi="宋体" w:cs="宋体"/>
                <w:b w:val="0"/>
                <w:bCs w:val="0"/>
                <w:color w:val="auto"/>
                <w:sz w:val="24"/>
                <w:highlight w:val="none"/>
                <w:lang w:val="en-US" w:eastAsia="zh-CN"/>
              </w:rPr>
              <w:t>元</w:t>
            </w:r>
          </w:p>
        </w:tc>
      </w:tr>
    </w:tbl>
    <w:p>
      <w:pPr>
        <w:numPr>
          <w:ilvl w:val="0"/>
          <w:numId w:val="0"/>
        </w:numPr>
        <w:spacing w:line="360" w:lineRule="auto"/>
        <w:ind w:leftChars="0"/>
        <w:rPr>
          <w:rFonts w:hint="eastAsia"/>
          <w:b/>
          <w:bCs/>
          <w:color w:val="auto"/>
          <w:highlight w:val="none"/>
        </w:rPr>
      </w:pPr>
      <w:r>
        <w:rPr>
          <w:rFonts w:hint="eastAsia" w:ascii="宋体" w:hAnsi="宋体" w:cs="宋体"/>
          <w:b/>
          <w:bCs/>
          <w:color w:val="auto"/>
          <w:sz w:val="24"/>
          <w:highlight w:val="none"/>
          <w:lang w:val="en-US" w:eastAsia="zh-CN"/>
        </w:rPr>
        <w:t>三、</w:t>
      </w:r>
      <w:r>
        <w:rPr>
          <w:rFonts w:hint="eastAsia" w:ascii="宋体" w:hAnsi="宋体" w:cs="宋体"/>
          <w:b/>
          <w:bCs/>
          <w:color w:val="auto"/>
          <w:sz w:val="24"/>
          <w:highlight w:val="none"/>
        </w:rPr>
        <w:t>项目</w:t>
      </w:r>
      <w:r>
        <w:rPr>
          <w:rFonts w:hint="eastAsia" w:ascii="宋体" w:hAnsi="宋体" w:cs="宋体"/>
          <w:b/>
          <w:color w:val="auto"/>
          <w:sz w:val="24"/>
          <w:highlight w:val="none"/>
        </w:rPr>
        <w:t xml:space="preserve">内容  </w:t>
      </w:r>
    </w:p>
    <w:p>
      <w:pPr>
        <w:pStyle w:val="35"/>
        <w:spacing w:before="0" w:after="0" w:line="360" w:lineRule="auto"/>
        <w:ind w:firstLine="241" w:firstLineChars="100"/>
        <w:rPr>
          <w:b/>
          <w:bCs/>
          <w:color w:val="auto"/>
          <w:highlight w:val="none"/>
        </w:rPr>
      </w:pPr>
      <w:r>
        <w:rPr>
          <w:rFonts w:hint="eastAsia"/>
          <w:b/>
          <w:bCs/>
          <w:color w:val="auto"/>
          <w:highlight w:val="none"/>
        </w:rPr>
        <w:t>（</w:t>
      </w:r>
      <w:r>
        <w:rPr>
          <w:rFonts w:hint="eastAsia"/>
          <w:b/>
          <w:bCs/>
          <w:color w:val="auto"/>
          <w:highlight w:val="none"/>
          <w:lang w:val="en-US" w:eastAsia="zh-CN"/>
        </w:rPr>
        <w:t>一</w:t>
      </w:r>
      <w:r>
        <w:rPr>
          <w:rFonts w:hint="eastAsia"/>
          <w:b/>
          <w:bCs/>
          <w:color w:val="auto"/>
          <w:highlight w:val="none"/>
        </w:rPr>
        <w:t>）工作内容：</w:t>
      </w:r>
    </w:p>
    <w:p>
      <w:pPr>
        <w:pStyle w:val="35"/>
        <w:spacing w:before="0" w:after="0" w:line="360" w:lineRule="auto"/>
        <w:ind w:firstLine="720" w:firstLineChars="300"/>
        <w:rPr>
          <w:rFonts w:cs="新宋体"/>
          <w:color w:val="auto"/>
          <w:highlight w:val="none"/>
        </w:rPr>
      </w:pPr>
      <w:r>
        <w:rPr>
          <w:rFonts w:hint="eastAsia" w:cs="新宋体"/>
          <w:color w:val="auto"/>
          <w:highlight w:val="none"/>
        </w:rPr>
        <w:t>1、按图纸设计内容进行施工（包括施工所需的所有工作）。</w:t>
      </w:r>
    </w:p>
    <w:p>
      <w:pPr>
        <w:pStyle w:val="35"/>
        <w:spacing w:before="0" w:after="0" w:line="360" w:lineRule="auto"/>
        <w:ind w:firstLine="720" w:firstLineChars="300"/>
        <w:rPr>
          <w:rFonts w:cs="新宋体"/>
          <w:color w:val="auto"/>
          <w:highlight w:val="none"/>
        </w:rPr>
      </w:pPr>
      <w:r>
        <w:rPr>
          <w:rFonts w:hint="eastAsia" w:cs="新宋体"/>
          <w:color w:val="auto"/>
          <w:highlight w:val="none"/>
        </w:rPr>
        <w:t>2、工程量：根据采购人提供的施工图</w:t>
      </w:r>
      <w:r>
        <w:rPr>
          <w:rFonts w:hint="eastAsia" w:cs="新宋体"/>
          <w:strike w:val="0"/>
          <w:dstrike w:val="0"/>
          <w:color w:val="auto"/>
          <w:highlight w:val="none"/>
        </w:rPr>
        <w:t>纸、</w:t>
      </w:r>
      <w:r>
        <w:rPr>
          <w:rFonts w:hint="eastAsia" w:cs="新宋体"/>
          <w:strike w:val="0"/>
          <w:dstrike w:val="0"/>
          <w:color w:val="auto"/>
          <w:highlight w:val="none"/>
          <w:lang w:val="en-US" w:eastAsia="zh-CN"/>
        </w:rPr>
        <w:t>清单</w:t>
      </w:r>
      <w:r>
        <w:rPr>
          <w:rFonts w:hint="eastAsia" w:cs="新宋体"/>
          <w:color w:val="auto"/>
          <w:highlight w:val="none"/>
        </w:rPr>
        <w:t>等资料。（详见附件）</w:t>
      </w:r>
    </w:p>
    <w:p>
      <w:pPr>
        <w:pStyle w:val="35"/>
        <w:spacing w:before="0" w:after="0" w:line="360" w:lineRule="auto"/>
        <w:ind w:firstLine="720" w:firstLineChars="300"/>
        <w:rPr>
          <w:rFonts w:cs="新宋体"/>
          <w:color w:val="auto"/>
          <w:highlight w:val="none"/>
        </w:rPr>
      </w:pPr>
      <w:r>
        <w:rPr>
          <w:rFonts w:hint="eastAsia" w:cs="新宋体"/>
          <w:color w:val="auto"/>
          <w:highlight w:val="none"/>
        </w:rPr>
        <w:t>3、工程造价包括一切与施工相关的材料、人工、检测、检验、税收等其它费用。</w:t>
      </w:r>
    </w:p>
    <w:p>
      <w:pPr>
        <w:spacing w:line="360" w:lineRule="auto"/>
        <w:ind w:left="210" w:leftChars="100"/>
        <w:rPr>
          <w:rFonts w:ascii="宋体" w:hAnsi="宋体" w:cs="宋体"/>
          <w:b/>
          <w:bCs/>
          <w:color w:val="auto"/>
          <w:sz w:val="24"/>
          <w:highlight w:val="none"/>
        </w:rPr>
      </w:pPr>
      <w:r>
        <w:rPr>
          <w:rFonts w:hint="eastAsia" w:ascii="宋体" w:hAnsi="宋体" w:cs="宋体"/>
          <w:b/>
          <w:bCs/>
          <w:color w:val="auto"/>
          <w:sz w:val="24"/>
          <w:highlight w:val="none"/>
        </w:rPr>
        <w:t>▲（</w:t>
      </w:r>
      <w:r>
        <w:rPr>
          <w:rFonts w:hint="eastAsia" w:ascii="宋体" w:hAnsi="宋体" w:cs="宋体"/>
          <w:b/>
          <w:bCs/>
          <w:color w:val="auto"/>
          <w:sz w:val="24"/>
          <w:highlight w:val="none"/>
          <w:lang w:val="en-US" w:eastAsia="zh-CN"/>
        </w:rPr>
        <w:t>二</w:t>
      </w:r>
      <w:r>
        <w:rPr>
          <w:rFonts w:hint="eastAsia" w:ascii="宋体" w:hAnsi="宋体" w:cs="宋体"/>
          <w:b/>
          <w:bCs/>
          <w:color w:val="auto"/>
          <w:sz w:val="24"/>
          <w:highlight w:val="none"/>
        </w:rPr>
        <w:t>）项目质量及施工安全</w:t>
      </w:r>
    </w:p>
    <w:p>
      <w:pPr>
        <w:spacing w:line="360" w:lineRule="auto"/>
        <w:ind w:left="210" w:leftChars="100" w:firstLine="480" w:firstLineChars="200"/>
        <w:rPr>
          <w:rFonts w:ascii="宋体" w:hAnsi="宋体" w:cs="宋体"/>
          <w:color w:val="auto"/>
          <w:sz w:val="24"/>
          <w:highlight w:val="none"/>
        </w:rPr>
      </w:pPr>
      <w:r>
        <w:rPr>
          <w:rFonts w:hint="eastAsia" w:ascii="宋体" w:hAnsi="宋体" w:cs="宋体"/>
          <w:color w:val="auto"/>
          <w:sz w:val="24"/>
          <w:highlight w:val="none"/>
        </w:rPr>
        <w:t xml:space="preserve">1、本项目所用材料应必须有合格证，工程质量以国家相关标准规范验收合格为准。   </w:t>
      </w:r>
    </w:p>
    <w:p>
      <w:pPr>
        <w:spacing w:line="360" w:lineRule="auto"/>
        <w:ind w:left="210" w:leftChars="100" w:firstLine="480" w:firstLineChars="200"/>
        <w:rPr>
          <w:rFonts w:ascii="宋体" w:hAnsi="宋体" w:cs="宋体"/>
          <w:color w:val="auto"/>
          <w:sz w:val="24"/>
          <w:highlight w:val="none"/>
        </w:rPr>
      </w:pPr>
      <w:r>
        <w:rPr>
          <w:rFonts w:hint="eastAsia" w:ascii="宋体" w:hAnsi="宋体" w:cs="宋体"/>
          <w:color w:val="auto"/>
          <w:sz w:val="24"/>
          <w:highlight w:val="none"/>
        </w:rPr>
        <w:t>2、项目施工材料应按相关规定进行检验，合格后方可使用。</w:t>
      </w:r>
    </w:p>
    <w:p>
      <w:pPr>
        <w:spacing w:line="360" w:lineRule="auto"/>
        <w:ind w:left="210" w:leftChars="100" w:firstLine="480" w:firstLineChars="200"/>
        <w:rPr>
          <w:rFonts w:ascii="宋体" w:hAnsi="宋体" w:cs="宋体"/>
          <w:color w:val="auto"/>
          <w:sz w:val="24"/>
          <w:highlight w:val="none"/>
        </w:rPr>
      </w:pPr>
      <w:r>
        <w:rPr>
          <w:rFonts w:hint="eastAsia" w:ascii="宋体" w:hAnsi="宋体" w:cs="宋体"/>
          <w:color w:val="auto"/>
          <w:sz w:val="24"/>
          <w:highlight w:val="none"/>
        </w:rPr>
        <w:t>3、应按国家、行业现行规范进行施工。</w:t>
      </w:r>
    </w:p>
    <w:p>
      <w:pPr>
        <w:spacing w:line="360" w:lineRule="auto"/>
        <w:ind w:left="210" w:leftChars="100" w:firstLine="480" w:firstLineChars="200"/>
        <w:rPr>
          <w:rFonts w:ascii="宋体" w:hAnsi="宋体" w:cs="宋体"/>
          <w:color w:val="auto"/>
          <w:sz w:val="24"/>
          <w:highlight w:val="none"/>
        </w:rPr>
      </w:pPr>
      <w:r>
        <w:rPr>
          <w:rFonts w:hint="eastAsia" w:ascii="宋体" w:hAnsi="宋体" w:cs="宋体"/>
          <w:color w:val="auto"/>
          <w:sz w:val="24"/>
          <w:highlight w:val="none"/>
        </w:rPr>
        <w:t>4、施工过程应做好相关资料记录。</w:t>
      </w:r>
    </w:p>
    <w:p>
      <w:pPr>
        <w:spacing w:line="360" w:lineRule="auto"/>
        <w:ind w:left="210" w:leftChars="100" w:firstLine="480" w:firstLineChars="200"/>
        <w:rPr>
          <w:rFonts w:ascii="宋体" w:hAnsi="宋体" w:cs="宋体"/>
          <w:color w:val="auto"/>
          <w:sz w:val="24"/>
          <w:highlight w:val="none"/>
        </w:rPr>
      </w:pPr>
      <w:r>
        <w:rPr>
          <w:rFonts w:hint="eastAsia" w:ascii="宋体" w:hAnsi="宋体" w:cs="宋体"/>
          <w:color w:val="auto"/>
          <w:sz w:val="24"/>
          <w:highlight w:val="none"/>
        </w:rPr>
        <w:t>5、必须按相关规定接受采购人委托单位的监督和检查，并提供相关资料。</w:t>
      </w:r>
    </w:p>
    <w:p>
      <w:pPr>
        <w:spacing w:line="360" w:lineRule="auto"/>
        <w:ind w:left="210" w:leftChars="100" w:firstLine="480" w:firstLineChars="200"/>
        <w:rPr>
          <w:rFonts w:ascii="宋体" w:hAnsi="宋体" w:cs="宋体"/>
          <w:color w:val="auto"/>
          <w:sz w:val="24"/>
          <w:highlight w:val="none"/>
        </w:rPr>
      </w:pPr>
      <w:r>
        <w:rPr>
          <w:rFonts w:hint="eastAsia" w:ascii="宋体" w:hAnsi="宋体" w:cs="宋体"/>
          <w:color w:val="auto"/>
          <w:sz w:val="24"/>
          <w:highlight w:val="none"/>
        </w:rPr>
        <w:t>6、中标人在施工期间发生安全事故、人身安全和交通安全等大小事故，一切责任和经济补偿均由中标人负责,采购人不承担任何责任。</w:t>
      </w:r>
    </w:p>
    <w:p>
      <w:pPr>
        <w:spacing w:line="360" w:lineRule="auto"/>
        <w:ind w:left="210" w:leftChars="100" w:firstLine="480" w:firstLineChars="200"/>
        <w:rPr>
          <w:rFonts w:ascii="宋体" w:hAnsi="宋体" w:cs="宋体"/>
          <w:color w:val="auto"/>
          <w:sz w:val="24"/>
          <w:highlight w:val="none"/>
        </w:rPr>
      </w:pPr>
      <w:r>
        <w:rPr>
          <w:rFonts w:hint="eastAsia" w:ascii="宋体" w:hAnsi="宋体" w:cs="宋体"/>
          <w:color w:val="auto"/>
          <w:sz w:val="24"/>
          <w:highlight w:val="none"/>
        </w:rPr>
        <w:t>7、中标人不服从采购人施工管理、施工管理不规范、安全质量达不到要求、不能在规定工期内完成等情形；采购人有权暂停或取消其施工资格。</w:t>
      </w:r>
    </w:p>
    <w:p>
      <w:pPr>
        <w:spacing w:line="360" w:lineRule="auto"/>
        <w:ind w:left="210" w:leftChars="100" w:firstLine="480" w:firstLineChars="200"/>
        <w:rPr>
          <w:rFonts w:ascii="宋体" w:hAnsi="宋体" w:cs="宋体"/>
          <w:color w:val="auto"/>
          <w:kern w:val="0"/>
          <w:sz w:val="24"/>
          <w:highlight w:val="none"/>
        </w:rPr>
      </w:pPr>
      <w:r>
        <w:rPr>
          <w:rFonts w:hint="eastAsia" w:ascii="宋体" w:hAnsi="宋体" w:cs="宋体"/>
          <w:color w:val="auto"/>
          <w:kern w:val="0"/>
          <w:sz w:val="24"/>
          <w:highlight w:val="none"/>
        </w:rPr>
        <w:t>8、中标人应做好现场施工噪音、环境卫生、材料堆放、安全警示等工作，并负责施工期间与环保、交通城管等部门的沟通协调工作，做好现场秩序的维护，如因中标人原因受到处罚、赔款、纠纷或因此而引起采购人经济损失的，均由中标人承担责任。</w:t>
      </w:r>
    </w:p>
    <w:p>
      <w:pPr>
        <w:spacing w:line="360" w:lineRule="auto"/>
        <w:ind w:left="210" w:leftChars="100" w:firstLine="480" w:firstLineChars="200"/>
        <w:rPr>
          <w:rFonts w:ascii="宋体" w:hAnsi="宋体" w:cs="宋体"/>
          <w:color w:val="auto"/>
          <w:kern w:val="0"/>
          <w:sz w:val="24"/>
          <w:highlight w:val="none"/>
        </w:rPr>
      </w:pPr>
      <w:r>
        <w:rPr>
          <w:rFonts w:hint="eastAsia" w:ascii="宋体" w:hAnsi="宋体" w:cs="宋体"/>
          <w:color w:val="auto"/>
          <w:kern w:val="0"/>
          <w:sz w:val="24"/>
          <w:highlight w:val="none"/>
        </w:rPr>
        <w:t>9、工程质量以国家相关标准规范验收合格为准，如达不到约定的质量标准，采购人可要求中标人返工，直至达到约定的质量标准，并由中标人承担返工的一切费用。</w:t>
      </w:r>
    </w:p>
    <w:p>
      <w:pPr>
        <w:spacing w:line="360" w:lineRule="auto"/>
        <w:rPr>
          <w:rFonts w:hint="default" w:ascii="宋体" w:hAnsi="宋体" w:eastAsia="宋体"/>
          <w:color w:val="auto"/>
          <w:sz w:val="24"/>
          <w:highlight w:val="none"/>
          <w:lang w:val="en-US" w:eastAsia="zh-CN"/>
        </w:rPr>
      </w:pPr>
      <w:bookmarkStart w:id="3" w:name="_Toc65075441"/>
      <w:r>
        <w:rPr>
          <w:rFonts w:hint="eastAsia" w:ascii="宋体" w:hAnsi="宋体" w:cs="Arial"/>
          <w:b/>
          <w:color w:val="auto"/>
          <w:sz w:val="24"/>
          <w:highlight w:val="none"/>
        </w:rPr>
        <w:t>（</w:t>
      </w:r>
      <w:r>
        <w:rPr>
          <w:rFonts w:hint="eastAsia" w:ascii="宋体" w:hAnsi="宋体" w:cs="Arial"/>
          <w:b/>
          <w:color w:val="auto"/>
          <w:sz w:val="24"/>
          <w:highlight w:val="none"/>
          <w:lang w:val="en-US" w:eastAsia="zh-CN"/>
        </w:rPr>
        <w:t>三</w:t>
      </w:r>
      <w:r>
        <w:rPr>
          <w:rFonts w:hint="eastAsia" w:ascii="宋体" w:hAnsi="宋体" w:cs="Arial"/>
          <w:b/>
          <w:color w:val="auto"/>
          <w:sz w:val="24"/>
          <w:highlight w:val="none"/>
        </w:rPr>
        <w:t>）付款方式</w:t>
      </w:r>
      <w:bookmarkEnd w:id="3"/>
      <w:r>
        <w:rPr>
          <w:rFonts w:hint="eastAsia" w:ascii="宋体" w:hAnsi="宋体" w:cs="Arial"/>
          <w:b/>
          <w:color w:val="auto"/>
          <w:sz w:val="24"/>
          <w:highlight w:val="none"/>
        </w:rPr>
        <w:t xml:space="preserve">  </w:t>
      </w:r>
      <w:r>
        <w:rPr>
          <w:rFonts w:hint="eastAsia" w:ascii="宋体" w:hAnsi="宋体" w:cs="Arial"/>
          <w:b/>
          <w:color w:val="auto"/>
          <w:sz w:val="24"/>
          <w:highlight w:val="none"/>
          <w:lang w:val="en-US" w:eastAsia="zh-CN"/>
        </w:rPr>
        <w:t xml:space="preserve"> </w:t>
      </w:r>
    </w:p>
    <w:p>
      <w:pPr>
        <w:spacing w:line="360" w:lineRule="auto"/>
        <w:ind w:firstLine="480" w:firstLineChars="200"/>
        <w:rPr>
          <w:rFonts w:ascii="宋体" w:hAnsi="宋体"/>
          <w:color w:val="auto"/>
          <w:sz w:val="24"/>
          <w:highlight w:val="none"/>
        </w:rPr>
      </w:pPr>
      <w:r>
        <w:rPr>
          <w:rFonts w:hint="eastAsia" w:ascii="宋体" w:hAnsi="宋体"/>
          <w:color w:val="auto"/>
          <w:sz w:val="24"/>
          <w:highlight w:val="none"/>
        </w:rPr>
        <w:t>（1）合同生效以及具备实施条件后7个工作日内支付合同价款的40%作为预付款（中标人</w:t>
      </w:r>
      <w:r>
        <w:rPr>
          <w:rFonts w:hint="eastAsia" w:ascii="宋体" w:hAnsi="宋体"/>
          <w:color w:val="auto"/>
          <w:sz w:val="24"/>
          <w:highlight w:val="none"/>
          <w:lang w:val="en-US" w:eastAsia="zh-CN"/>
        </w:rPr>
        <w:t>须</w:t>
      </w:r>
      <w:r>
        <w:rPr>
          <w:rFonts w:hint="eastAsia" w:ascii="宋体" w:hAnsi="宋体"/>
          <w:color w:val="auto"/>
          <w:sz w:val="24"/>
          <w:highlight w:val="none"/>
        </w:rPr>
        <w:t>提交预付款保函）；</w:t>
      </w:r>
    </w:p>
    <w:p>
      <w:pPr>
        <w:spacing w:line="360" w:lineRule="auto"/>
        <w:ind w:firstLine="480" w:firstLineChars="200"/>
        <w:rPr>
          <w:rFonts w:ascii="宋体" w:hAnsi="宋体"/>
          <w:color w:val="auto"/>
          <w:sz w:val="24"/>
          <w:highlight w:val="none"/>
        </w:rPr>
      </w:pPr>
      <w:r>
        <w:rPr>
          <w:rFonts w:hint="eastAsia" w:ascii="宋体" w:hAnsi="宋体"/>
          <w:color w:val="auto"/>
          <w:sz w:val="24"/>
          <w:highlight w:val="none"/>
        </w:rPr>
        <w:t>（</w:t>
      </w:r>
      <w:r>
        <w:rPr>
          <w:rFonts w:hint="eastAsia" w:ascii="宋体" w:hAnsi="宋体"/>
          <w:color w:val="auto"/>
          <w:sz w:val="24"/>
          <w:highlight w:val="none"/>
          <w:lang w:val="en-US" w:eastAsia="zh-CN"/>
        </w:rPr>
        <w:t>2</w:t>
      </w:r>
      <w:r>
        <w:rPr>
          <w:rFonts w:hint="eastAsia" w:ascii="宋体" w:hAnsi="宋体"/>
          <w:color w:val="auto"/>
          <w:sz w:val="24"/>
          <w:highlight w:val="none"/>
        </w:rPr>
        <w:t>）全部工程完工后支付至合同价款的</w:t>
      </w:r>
      <w:r>
        <w:rPr>
          <w:rFonts w:hint="eastAsia" w:ascii="宋体" w:hAnsi="宋体"/>
          <w:color w:val="auto"/>
          <w:sz w:val="24"/>
          <w:highlight w:val="none"/>
          <w:lang w:val="en-US" w:eastAsia="zh-CN"/>
        </w:rPr>
        <w:t>85</w:t>
      </w:r>
      <w:r>
        <w:rPr>
          <w:rFonts w:hint="eastAsia" w:ascii="宋体" w:hAnsi="宋体"/>
          <w:color w:val="auto"/>
          <w:sz w:val="24"/>
          <w:highlight w:val="none"/>
        </w:rPr>
        <w:t>%；</w:t>
      </w:r>
    </w:p>
    <w:p>
      <w:pPr>
        <w:spacing w:line="360" w:lineRule="auto"/>
        <w:ind w:firstLine="480" w:firstLineChars="200"/>
        <w:rPr>
          <w:rFonts w:ascii="宋体" w:hAnsi="宋体"/>
          <w:color w:val="auto"/>
          <w:sz w:val="24"/>
          <w:highlight w:val="none"/>
        </w:rPr>
      </w:pPr>
      <w:r>
        <w:rPr>
          <w:rFonts w:hint="eastAsia" w:ascii="宋体" w:hAnsi="宋体"/>
          <w:color w:val="auto"/>
          <w:sz w:val="24"/>
          <w:highlight w:val="none"/>
        </w:rPr>
        <w:t>（</w:t>
      </w:r>
      <w:r>
        <w:rPr>
          <w:rFonts w:hint="eastAsia" w:ascii="宋体" w:hAnsi="宋体"/>
          <w:color w:val="auto"/>
          <w:sz w:val="24"/>
          <w:highlight w:val="none"/>
          <w:lang w:val="en-US" w:eastAsia="zh-CN"/>
        </w:rPr>
        <w:t>3</w:t>
      </w:r>
      <w:r>
        <w:rPr>
          <w:rFonts w:hint="eastAsia" w:ascii="宋体" w:hAnsi="宋体"/>
          <w:color w:val="auto"/>
          <w:sz w:val="24"/>
          <w:highlight w:val="none"/>
        </w:rPr>
        <w:t>）工程通过竣工验收合格</w:t>
      </w:r>
      <w:r>
        <w:rPr>
          <w:rFonts w:hint="eastAsia" w:ascii="宋体" w:hAnsi="宋体"/>
          <w:color w:val="auto"/>
          <w:sz w:val="24"/>
          <w:highlight w:val="none"/>
          <w:lang w:val="en-US" w:eastAsia="zh-CN"/>
        </w:rPr>
        <w:t>后</w:t>
      </w:r>
      <w:r>
        <w:rPr>
          <w:rFonts w:hint="eastAsia" w:ascii="宋体" w:hAnsi="宋体"/>
          <w:color w:val="auto"/>
          <w:sz w:val="24"/>
          <w:highlight w:val="none"/>
        </w:rPr>
        <w:t>凭竣工验收报告支付至</w:t>
      </w:r>
      <w:r>
        <w:rPr>
          <w:rFonts w:hint="eastAsia" w:ascii="宋体" w:hAnsi="宋体"/>
          <w:color w:val="auto"/>
          <w:sz w:val="24"/>
          <w:highlight w:val="none"/>
          <w:lang w:val="en-US" w:eastAsia="zh-CN"/>
        </w:rPr>
        <w:t>实际价款</w:t>
      </w:r>
      <w:r>
        <w:rPr>
          <w:rFonts w:hint="eastAsia" w:ascii="宋体" w:hAnsi="宋体"/>
          <w:color w:val="auto"/>
          <w:sz w:val="24"/>
          <w:highlight w:val="none"/>
        </w:rPr>
        <w:t>的</w:t>
      </w:r>
      <w:r>
        <w:rPr>
          <w:rFonts w:hint="eastAsia" w:ascii="宋体" w:hAnsi="宋体"/>
          <w:color w:val="auto"/>
          <w:sz w:val="24"/>
          <w:highlight w:val="none"/>
          <w:lang w:val="en-US" w:eastAsia="zh-CN"/>
        </w:rPr>
        <w:t>100</w:t>
      </w:r>
      <w:r>
        <w:rPr>
          <w:rFonts w:hint="eastAsia" w:ascii="宋体" w:hAnsi="宋体"/>
          <w:color w:val="auto"/>
          <w:sz w:val="24"/>
          <w:highlight w:val="none"/>
        </w:rPr>
        <w:t>%。</w:t>
      </w:r>
    </w:p>
    <w:p>
      <w:pPr>
        <w:spacing w:line="360" w:lineRule="auto"/>
        <w:rPr>
          <w:color w:val="auto"/>
          <w:highlight w:val="none"/>
        </w:rPr>
      </w:pPr>
      <w:r>
        <w:rPr>
          <w:rFonts w:hint="eastAsia" w:ascii="宋体" w:hAnsi="宋体" w:cs="Arial"/>
          <w:b/>
          <w:bCs/>
          <w:color w:val="auto"/>
          <w:sz w:val="24"/>
          <w:highlight w:val="none"/>
        </w:rPr>
        <w:t>▲（</w:t>
      </w:r>
      <w:r>
        <w:rPr>
          <w:rFonts w:hint="eastAsia" w:ascii="宋体" w:hAnsi="宋体" w:cs="Arial"/>
          <w:b/>
          <w:bCs/>
          <w:color w:val="auto"/>
          <w:sz w:val="24"/>
          <w:highlight w:val="none"/>
          <w:lang w:val="en-US" w:eastAsia="zh-CN"/>
        </w:rPr>
        <w:t>四</w:t>
      </w:r>
      <w:r>
        <w:rPr>
          <w:rFonts w:hint="eastAsia" w:ascii="宋体" w:hAnsi="宋体" w:cs="Arial"/>
          <w:b/>
          <w:bCs/>
          <w:color w:val="auto"/>
          <w:sz w:val="24"/>
          <w:highlight w:val="none"/>
        </w:rPr>
        <w:t>）本项目磋商下浮率不得小于8%，小于8%的按无效标处理。</w:t>
      </w:r>
    </w:p>
    <w:p>
      <w:pPr>
        <w:spacing w:line="360" w:lineRule="auto"/>
        <w:rPr>
          <w:rFonts w:ascii="宋体" w:hAnsi="宋体" w:cs="Arial"/>
          <w:b/>
          <w:bCs/>
          <w:color w:val="auto"/>
          <w:sz w:val="24"/>
          <w:highlight w:val="none"/>
        </w:rPr>
      </w:pPr>
      <w:r>
        <w:rPr>
          <w:rFonts w:hint="eastAsia" w:ascii="宋体" w:hAnsi="宋体" w:cs="Arial"/>
          <w:b/>
          <w:bCs/>
          <w:color w:val="auto"/>
          <w:sz w:val="24"/>
          <w:highlight w:val="none"/>
        </w:rPr>
        <w:t>（</w:t>
      </w:r>
      <w:r>
        <w:rPr>
          <w:rFonts w:hint="eastAsia" w:ascii="宋体" w:hAnsi="宋体" w:cs="Arial"/>
          <w:b/>
          <w:bCs/>
          <w:color w:val="auto"/>
          <w:sz w:val="24"/>
          <w:highlight w:val="none"/>
          <w:lang w:val="en-US" w:eastAsia="zh-CN"/>
        </w:rPr>
        <w:t>五</w:t>
      </w:r>
      <w:r>
        <w:rPr>
          <w:rFonts w:hint="eastAsia" w:ascii="宋体" w:hAnsi="宋体" w:cs="Arial"/>
          <w:b/>
          <w:bCs/>
          <w:color w:val="auto"/>
          <w:sz w:val="24"/>
          <w:highlight w:val="none"/>
        </w:rPr>
        <w:t>）商务条款及其他要求</w:t>
      </w:r>
    </w:p>
    <w:p>
      <w:pPr>
        <w:pStyle w:val="19"/>
        <w:spacing w:line="52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▲1、工期：</w:t>
      </w:r>
      <w:r>
        <w:rPr>
          <w:rFonts w:hint="eastAsia" w:ascii="宋体" w:hAnsi="宋体" w:cs="宋体"/>
          <w:color w:val="auto"/>
          <w:sz w:val="24"/>
          <w:highlight w:val="none"/>
          <w:lang w:val="en-US" w:eastAsia="zh-CN"/>
        </w:rPr>
        <w:t>15日历天</w:t>
      </w:r>
      <w:r>
        <w:rPr>
          <w:rFonts w:hint="eastAsia" w:ascii="宋体" w:hAnsi="宋体" w:cs="宋体"/>
          <w:color w:val="auto"/>
          <w:sz w:val="24"/>
          <w:highlight w:val="none"/>
        </w:rPr>
        <w:t>。</w:t>
      </w:r>
    </w:p>
    <w:p>
      <w:pPr>
        <w:spacing w:line="360" w:lineRule="auto"/>
        <w:ind w:left="210" w:leftChars="100" w:firstLine="240" w:firstLineChars="100"/>
        <w:rPr>
          <w:rFonts w:hint="eastAsia" w:ascii="宋体" w:hAnsi="宋体" w:cs="宋体"/>
          <w:color w:val="auto"/>
          <w:sz w:val="24"/>
          <w:highlight w:val="none"/>
        </w:rPr>
      </w:pPr>
      <w:r>
        <w:rPr>
          <w:rFonts w:hint="eastAsia" w:ascii="宋体" w:hAnsi="宋体" w:cs="宋体"/>
          <w:color w:val="auto"/>
          <w:sz w:val="24"/>
          <w:highlight w:val="none"/>
        </w:rPr>
        <w:t>▲2、质保期：2年</w:t>
      </w:r>
      <w:r>
        <w:rPr>
          <w:rFonts w:hint="eastAsia" w:ascii="宋体" w:hAnsi="宋体" w:cs="宋体"/>
          <w:color w:val="auto"/>
          <w:sz w:val="24"/>
          <w:highlight w:val="none"/>
          <w:lang w:eastAsia="zh-CN"/>
        </w:rPr>
        <w:t>，</w:t>
      </w:r>
      <w:r>
        <w:rPr>
          <w:rFonts w:hint="eastAsia" w:ascii="宋体" w:hAnsi="宋体" w:cs="宋体"/>
          <w:color w:val="auto"/>
          <w:sz w:val="24"/>
          <w:highlight w:val="none"/>
        </w:rPr>
        <w:t>自验收合格之日起计算。</w:t>
      </w:r>
    </w:p>
    <w:p>
      <w:pPr>
        <w:autoSpaceDE w:val="0"/>
        <w:autoSpaceDN w:val="0"/>
        <w:adjustRightInd w:val="0"/>
        <w:spacing w:line="360" w:lineRule="auto"/>
        <w:ind w:firstLine="480" w:firstLineChars="200"/>
        <w:jc w:val="left"/>
        <w:rPr>
          <w:rFonts w:hint="eastAsia" w:ascii="宋体" w:hAnsi="宋体" w:eastAsia="宋体" w:cs="Arial"/>
          <w:bCs/>
          <w:color w:val="auto"/>
          <w:sz w:val="24"/>
          <w:highlight w:val="none"/>
          <w:lang w:val="en-US" w:eastAsia="zh-CN"/>
        </w:rPr>
      </w:pPr>
      <w:r>
        <w:rPr>
          <w:rFonts w:hint="eastAsia" w:ascii="宋体" w:hAnsi="宋体" w:cs="宋体"/>
          <w:color w:val="auto"/>
          <w:sz w:val="24"/>
          <w:highlight w:val="none"/>
        </w:rPr>
        <w:t>▲</w:t>
      </w:r>
      <w:r>
        <w:rPr>
          <w:rFonts w:hint="eastAsia" w:ascii="宋体" w:hAnsi="宋体" w:eastAsia="宋体" w:cs="Arial"/>
          <w:bCs/>
          <w:color w:val="auto"/>
          <w:sz w:val="24"/>
          <w:highlight w:val="none"/>
          <w:lang w:val="en-US" w:eastAsia="zh-CN"/>
        </w:rPr>
        <w:t>3、本合同为固定总价合同，其合同总价已包含采购人确认的施工图、投标人投标报价所列内容及所涉及的各项风险费用，在完成本合同工程范围内内容只核减不核增。</w:t>
      </w:r>
    </w:p>
    <w:p>
      <w:pPr>
        <w:autoSpaceDE w:val="0"/>
        <w:autoSpaceDN w:val="0"/>
        <w:adjustRightInd w:val="0"/>
        <w:spacing w:line="360" w:lineRule="auto"/>
        <w:ind w:firstLine="480" w:firstLineChars="200"/>
        <w:jc w:val="left"/>
        <w:rPr>
          <w:rFonts w:ascii="宋体" w:hAnsi="宋体" w:cs="Arial"/>
          <w:b w:val="0"/>
          <w:bCs w:val="0"/>
          <w:color w:val="auto"/>
          <w:sz w:val="24"/>
          <w:highlight w:val="none"/>
        </w:rPr>
      </w:pPr>
      <w:r>
        <w:rPr>
          <w:rFonts w:hint="eastAsia" w:ascii="宋体" w:hAnsi="宋体" w:eastAsia="宋体" w:cs="Arial"/>
          <w:bCs/>
          <w:color w:val="auto"/>
          <w:sz w:val="24"/>
          <w:highlight w:val="none"/>
          <w:lang w:val="en-US" w:eastAsia="zh-CN"/>
        </w:rPr>
        <w:t>4、磋商报价包括施工所需的施工费、材料费、供货、运输、装卸、安装调试、机械</w:t>
      </w:r>
      <w:r>
        <w:rPr>
          <w:rFonts w:hint="eastAsia" w:ascii="宋体" w:hAnsi="宋体"/>
          <w:b w:val="0"/>
          <w:bCs w:val="0"/>
          <w:color w:val="auto"/>
          <w:sz w:val="24"/>
          <w:highlight w:val="none"/>
        </w:rPr>
        <w:t>费、人工费、服务费、安全措施费等实施本项目相关的一切费用及税金。</w:t>
      </w:r>
    </w:p>
    <w:p>
      <w:pPr>
        <w:spacing w:line="360" w:lineRule="auto"/>
        <w:ind w:firstLine="480" w:firstLineChars="200"/>
        <w:rPr>
          <w:rFonts w:ascii="宋体" w:hAnsi="宋体"/>
          <w:bCs/>
          <w:color w:val="auto"/>
          <w:sz w:val="24"/>
          <w:highlight w:val="none"/>
        </w:rPr>
      </w:pPr>
      <w:r>
        <w:rPr>
          <w:rFonts w:hint="eastAsia" w:ascii="宋体" w:hAnsi="宋体"/>
          <w:bCs/>
          <w:color w:val="auto"/>
          <w:sz w:val="24"/>
          <w:highlight w:val="none"/>
          <w:lang w:val="en-US" w:eastAsia="zh-CN"/>
        </w:rPr>
        <w:t>5</w:t>
      </w:r>
      <w:r>
        <w:rPr>
          <w:rFonts w:hint="eastAsia" w:ascii="宋体" w:hAnsi="宋体"/>
          <w:bCs/>
          <w:color w:val="auto"/>
          <w:sz w:val="24"/>
          <w:highlight w:val="none"/>
        </w:rPr>
        <w:t>、供应商应自行勘察现场，工程风险由供应商自行承担，结合自身能力进行磋商报价。</w:t>
      </w:r>
    </w:p>
    <w:p>
      <w:pPr>
        <w:pStyle w:val="13"/>
        <w:ind w:firstLine="0"/>
        <w:rPr>
          <w:color w:val="auto"/>
          <w:highlight w:val="none"/>
        </w:rPr>
      </w:pPr>
    </w:p>
    <w:p>
      <w:pPr>
        <w:pStyle w:val="52"/>
        <w:spacing w:before="60" w:after="60"/>
        <w:jc w:val="both"/>
        <w:rPr>
          <w:color w:val="auto"/>
          <w:szCs w:val="24"/>
          <w:highlight w:val="none"/>
        </w:rPr>
      </w:pPr>
    </w:p>
    <w:p>
      <w:pPr>
        <w:numPr>
          <w:ilvl w:val="0"/>
          <w:numId w:val="0"/>
        </w:numPr>
        <w:spacing w:line="360" w:lineRule="auto"/>
        <w:ind w:leftChars="0"/>
        <w:rPr>
          <w:rFonts w:ascii="宋体" w:hAnsi="宋体" w:cs="宋体"/>
          <w:b/>
          <w:bCs w:val="0"/>
          <w:color w:val="auto"/>
          <w:sz w:val="32"/>
          <w:szCs w:val="32"/>
          <w:highlight w:val="none"/>
        </w:rPr>
        <w:sectPr>
          <w:pgSz w:w="11906" w:h="16838"/>
          <w:pgMar w:top="1276" w:right="1361" w:bottom="1247" w:left="1418" w:header="851" w:footer="992" w:gutter="0"/>
          <w:cols w:space="720" w:num="1"/>
          <w:docGrid w:linePitch="312" w:charSpace="0"/>
        </w:sectPr>
      </w:pPr>
    </w:p>
    <w:bookmarkEnd w:id="2"/>
    <w:p>
      <w:pPr>
        <w:pStyle w:val="5"/>
        <w:keepNext w:val="0"/>
        <w:keepLines w:val="0"/>
        <w:pageBreakBefore/>
        <w:spacing w:line="240" w:lineRule="auto"/>
        <w:jc w:val="center"/>
        <w:rPr>
          <w:rFonts w:ascii="宋体" w:hAnsi="宋体" w:cs="宋体"/>
          <w:color w:val="auto"/>
          <w:kern w:val="0"/>
          <w:sz w:val="24"/>
          <w:szCs w:val="24"/>
          <w:highlight w:val="none"/>
        </w:rPr>
      </w:pPr>
      <w:bookmarkStart w:id="4" w:name="_bookmark2"/>
      <w:bookmarkEnd w:id="4"/>
      <w:bookmarkStart w:id="5" w:name="第三部分__供应商须知"/>
      <w:bookmarkEnd w:id="5"/>
      <w:bookmarkStart w:id="6" w:name="_Toc1011"/>
      <w:r>
        <w:rPr>
          <w:rFonts w:hint="eastAsia" w:ascii="宋体" w:hAnsi="宋体" w:cs="宋体"/>
          <w:color w:val="auto"/>
          <w:sz w:val="24"/>
          <w:szCs w:val="24"/>
          <w:highlight w:val="none"/>
        </w:rPr>
        <w:t>第三章   供应商须知</w:t>
      </w:r>
      <w:bookmarkEnd w:id="6"/>
    </w:p>
    <w:p>
      <w:pPr>
        <w:pStyle w:val="22"/>
        <w:snapToGrid w:val="0"/>
        <w:spacing w:before="120" w:after="120"/>
        <w:ind w:firstLine="472" w:firstLineChars="196"/>
        <w:jc w:val="center"/>
        <w:outlineLvl w:val="1"/>
        <w:rPr>
          <w:rFonts w:ascii="宋体" w:hAnsi="宋体" w:cs="宋体"/>
          <w:b/>
          <w:color w:val="auto"/>
          <w:szCs w:val="24"/>
          <w:highlight w:val="none"/>
        </w:rPr>
      </w:pPr>
      <w:bookmarkStart w:id="7" w:name="_Toc21362"/>
      <w:r>
        <w:rPr>
          <w:rFonts w:hint="eastAsia" w:ascii="宋体" w:hAnsi="宋体" w:cs="宋体"/>
          <w:b/>
          <w:color w:val="auto"/>
          <w:szCs w:val="24"/>
          <w:highlight w:val="none"/>
        </w:rPr>
        <w:t>前附表</w:t>
      </w:r>
      <w:bookmarkEnd w:id="7"/>
    </w:p>
    <w:tbl>
      <w:tblPr>
        <w:tblStyle w:val="40"/>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750"/>
        <w:gridCol w:w="8743"/>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9" w:hRule="atLeast"/>
          <w:jc w:val="center"/>
        </w:trPr>
        <w:tc>
          <w:tcPr>
            <w:tcW w:w="75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s="宋体"/>
                <w:color w:val="auto"/>
                <w:sz w:val="24"/>
                <w:highlight w:val="none"/>
              </w:rPr>
            </w:pPr>
            <w:r>
              <w:rPr>
                <w:rFonts w:hint="eastAsia" w:ascii="宋体" w:hAnsi="宋体" w:cs="宋体"/>
                <w:color w:val="auto"/>
                <w:sz w:val="24"/>
                <w:highlight w:val="none"/>
              </w:rPr>
              <w:t>序号</w:t>
            </w:r>
          </w:p>
        </w:tc>
        <w:tc>
          <w:tcPr>
            <w:tcW w:w="8743"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s="宋体"/>
                <w:color w:val="auto"/>
                <w:sz w:val="24"/>
                <w:highlight w:val="none"/>
              </w:rPr>
            </w:pPr>
            <w:r>
              <w:rPr>
                <w:rFonts w:hint="eastAsia" w:ascii="宋体" w:hAnsi="宋体" w:cs="宋体"/>
                <w:color w:val="auto"/>
                <w:sz w:val="24"/>
                <w:highlight w:val="none"/>
              </w:rPr>
              <w:t>内容、要求</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43" w:hRule="atLeast"/>
          <w:jc w:val="center"/>
        </w:trPr>
        <w:tc>
          <w:tcPr>
            <w:tcW w:w="750" w:type="dxa"/>
            <w:tcBorders>
              <w:top w:val="single" w:color="auto" w:sz="4" w:space="0"/>
              <w:left w:val="single" w:color="auto" w:sz="4" w:space="0"/>
              <w:bottom w:val="single" w:color="auto" w:sz="4" w:space="0"/>
              <w:right w:val="single" w:color="auto" w:sz="4" w:space="0"/>
            </w:tcBorders>
            <w:vAlign w:val="center"/>
          </w:tcPr>
          <w:p>
            <w:pPr>
              <w:snapToGrid w:val="0"/>
              <w:spacing w:line="420" w:lineRule="exact"/>
              <w:ind w:firstLine="240" w:firstLineChars="100"/>
              <w:jc w:val="left"/>
              <w:rPr>
                <w:rFonts w:ascii="宋体" w:hAnsi="宋体" w:cs="宋体"/>
                <w:color w:val="auto"/>
                <w:sz w:val="24"/>
                <w:highlight w:val="none"/>
              </w:rPr>
            </w:pPr>
            <w:r>
              <w:rPr>
                <w:rFonts w:hint="eastAsia" w:ascii="宋体" w:hAnsi="宋体" w:cs="宋体"/>
                <w:color w:val="auto"/>
                <w:sz w:val="24"/>
                <w:highlight w:val="none"/>
              </w:rPr>
              <w:t>1</w:t>
            </w:r>
          </w:p>
        </w:tc>
        <w:tc>
          <w:tcPr>
            <w:tcW w:w="8743" w:type="dxa"/>
            <w:tcBorders>
              <w:top w:val="single" w:color="auto" w:sz="4" w:space="0"/>
              <w:left w:val="single" w:color="auto" w:sz="4" w:space="0"/>
              <w:bottom w:val="single" w:color="auto" w:sz="4" w:space="0"/>
              <w:right w:val="single" w:color="auto" w:sz="4" w:space="0"/>
            </w:tcBorders>
            <w:vAlign w:val="center"/>
          </w:tcPr>
          <w:p>
            <w:pPr>
              <w:snapToGrid w:val="0"/>
              <w:spacing w:line="420" w:lineRule="exact"/>
              <w:jc w:val="left"/>
              <w:rPr>
                <w:rFonts w:hint="eastAsia" w:ascii="宋体" w:hAnsi="宋体" w:eastAsia="宋体" w:cs="宋体"/>
                <w:b/>
                <w:bCs/>
                <w:color w:val="auto"/>
                <w:sz w:val="24"/>
                <w:highlight w:val="none"/>
                <w:lang w:eastAsia="zh-CN"/>
              </w:rPr>
            </w:pPr>
            <w:r>
              <w:rPr>
                <w:rFonts w:hint="eastAsia" w:ascii="宋体" w:hAnsi="宋体" w:cs="宋体"/>
                <w:color w:val="auto"/>
                <w:sz w:val="24"/>
                <w:highlight w:val="none"/>
              </w:rPr>
              <w:t>项目名称：</w:t>
            </w:r>
            <w:r>
              <w:rPr>
                <w:rFonts w:hint="eastAsia" w:ascii="宋体" w:hAnsi="宋体" w:cs="宋体"/>
                <w:color w:val="auto"/>
                <w:sz w:val="24"/>
                <w:highlight w:val="none"/>
                <w:lang w:eastAsia="zh-CN"/>
              </w:rPr>
              <w:t xml:space="preserve">三单乡三单村一事一议财政奖补支持打造共富乡村试点项目软装工程 </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80" w:hRule="atLeast"/>
          <w:jc w:val="center"/>
        </w:trPr>
        <w:tc>
          <w:tcPr>
            <w:tcW w:w="750" w:type="dxa"/>
            <w:tcBorders>
              <w:top w:val="single" w:color="auto" w:sz="4" w:space="0"/>
              <w:left w:val="single" w:color="auto" w:sz="4" w:space="0"/>
              <w:bottom w:val="single" w:color="auto" w:sz="4" w:space="0"/>
              <w:right w:val="single" w:color="auto" w:sz="4" w:space="0"/>
            </w:tcBorders>
            <w:vAlign w:val="center"/>
          </w:tcPr>
          <w:p>
            <w:pPr>
              <w:snapToGrid w:val="0"/>
              <w:spacing w:line="420" w:lineRule="exact"/>
              <w:jc w:val="center"/>
              <w:rPr>
                <w:rFonts w:ascii="宋体" w:hAnsi="宋体" w:cs="宋体"/>
                <w:color w:val="auto"/>
                <w:sz w:val="24"/>
                <w:highlight w:val="none"/>
              </w:rPr>
            </w:pPr>
            <w:r>
              <w:rPr>
                <w:rFonts w:hint="eastAsia" w:ascii="宋体" w:hAnsi="宋体" w:cs="宋体"/>
                <w:color w:val="auto"/>
                <w:sz w:val="24"/>
                <w:highlight w:val="none"/>
              </w:rPr>
              <w:t>2</w:t>
            </w:r>
          </w:p>
        </w:tc>
        <w:tc>
          <w:tcPr>
            <w:tcW w:w="8743" w:type="dxa"/>
            <w:tcBorders>
              <w:top w:val="single" w:color="auto" w:sz="4" w:space="0"/>
              <w:left w:val="single" w:color="auto" w:sz="4" w:space="0"/>
              <w:bottom w:val="single" w:color="auto" w:sz="4" w:space="0"/>
              <w:right w:val="single" w:color="auto" w:sz="4" w:space="0"/>
            </w:tcBorders>
            <w:vAlign w:val="center"/>
          </w:tcPr>
          <w:p>
            <w:pPr>
              <w:snapToGrid w:val="0"/>
              <w:spacing w:line="420" w:lineRule="exact"/>
              <w:rPr>
                <w:rFonts w:ascii="宋体" w:hAnsi="宋体" w:cs="宋体"/>
                <w:color w:val="auto"/>
                <w:sz w:val="24"/>
                <w:highlight w:val="none"/>
              </w:rPr>
            </w:pPr>
            <w:r>
              <w:rPr>
                <w:rFonts w:hint="eastAsia" w:ascii="宋体" w:hAnsi="宋体" w:cs="宋体"/>
                <w:color w:val="auto"/>
                <w:sz w:val="24"/>
                <w:highlight w:val="none"/>
              </w:rPr>
              <w:t>磋商报价及费用：1、本项目磋商应以</w:t>
            </w:r>
            <w:r>
              <w:rPr>
                <w:rFonts w:hint="eastAsia" w:ascii="宋体" w:hAnsi="宋体"/>
                <w:color w:val="auto"/>
                <w:sz w:val="24"/>
                <w:highlight w:val="none"/>
              </w:rPr>
              <w:t>人民币</w:t>
            </w:r>
            <w:r>
              <w:rPr>
                <w:rFonts w:hint="eastAsia" w:ascii="宋体" w:hAnsi="宋体" w:cs="宋体"/>
                <w:color w:val="auto"/>
                <w:sz w:val="24"/>
                <w:highlight w:val="none"/>
              </w:rPr>
              <w:t>报价；2、不论磋商结果如何，供应商均应自行承担所有与磋商有关的全部费用；3、磋商费用：东阳市鑫盛工程咨询有限公司按照本磋商文件总则第（五）条规定向中标人收取中标服务费。</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80" w:hRule="atLeast"/>
          <w:jc w:val="center"/>
        </w:trPr>
        <w:tc>
          <w:tcPr>
            <w:tcW w:w="750" w:type="dxa"/>
            <w:tcBorders>
              <w:top w:val="single" w:color="auto" w:sz="4" w:space="0"/>
              <w:left w:val="single" w:color="auto" w:sz="4" w:space="0"/>
              <w:bottom w:val="single" w:color="auto" w:sz="4" w:space="0"/>
              <w:right w:val="single" w:color="auto" w:sz="4" w:space="0"/>
            </w:tcBorders>
            <w:vAlign w:val="center"/>
          </w:tcPr>
          <w:p>
            <w:pPr>
              <w:snapToGrid w:val="0"/>
              <w:spacing w:line="420" w:lineRule="exact"/>
              <w:jc w:val="center"/>
              <w:rPr>
                <w:rFonts w:ascii="宋体" w:hAnsi="宋体" w:cs="宋体"/>
                <w:color w:val="auto"/>
                <w:sz w:val="24"/>
                <w:highlight w:val="none"/>
              </w:rPr>
            </w:pPr>
            <w:r>
              <w:rPr>
                <w:rFonts w:hint="eastAsia" w:ascii="宋体" w:hAnsi="宋体" w:cs="宋体"/>
                <w:color w:val="auto"/>
                <w:sz w:val="24"/>
                <w:highlight w:val="none"/>
              </w:rPr>
              <w:t>3</w:t>
            </w:r>
          </w:p>
        </w:tc>
        <w:tc>
          <w:tcPr>
            <w:tcW w:w="8743" w:type="dxa"/>
            <w:tcBorders>
              <w:top w:val="single" w:color="auto" w:sz="4" w:space="0"/>
              <w:left w:val="single" w:color="auto" w:sz="4" w:space="0"/>
              <w:bottom w:val="single" w:color="auto" w:sz="4" w:space="0"/>
              <w:right w:val="single" w:color="auto" w:sz="4" w:space="0"/>
            </w:tcBorders>
            <w:vAlign w:val="center"/>
          </w:tcPr>
          <w:p>
            <w:pPr>
              <w:snapToGrid w:val="0"/>
              <w:spacing w:line="420" w:lineRule="exact"/>
              <w:rPr>
                <w:rFonts w:ascii="宋体" w:hAnsi="宋体" w:cs="宋体"/>
                <w:color w:val="auto"/>
                <w:sz w:val="24"/>
                <w:highlight w:val="none"/>
              </w:rPr>
            </w:pPr>
            <w:r>
              <w:rPr>
                <w:rFonts w:hint="eastAsia" w:ascii="宋体" w:hAnsi="宋体" w:cs="宋体"/>
                <w:b/>
                <w:bCs/>
                <w:color w:val="auto"/>
                <w:sz w:val="24"/>
                <w:highlight w:val="none"/>
              </w:rPr>
              <w:t>根据《政府采购促进中小企业管理办法》及《关于印发中小企业划型标准规定的通知工信部联企业》（〔2011〕300号）有关规定，本采购标的对应的所属行业为：</w:t>
            </w:r>
            <w:r>
              <w:rPr>
                <w:rFonts w:ascii="宋体" w:hAnsi="宋体" w:cs="宋体"/>
                <w:b/>
                <w:bCs/>
                <w:color w:val="auto"/>
                <w:sz w:val="24"/>
                <w:highlight w:val="none"/>
              </w:rPr>
              <w:t>建筑业</w:t>
            </w:r>
            <w:r>
              <w:rPr>
                <w:rFonts w:hint="eastAsia" w:ascii="宋体" w:hAnsi="宋体" w:cs="宋体"/>
                <w:b/>
                <w:bCs/>
                <w:color w:val="auto"/>
                <w:sz w:val="24"/>
                <w:highlight w:val="none"/>
              </w:rPr>
              <w:t>。</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80" w:hRule="atLeast"/>
          <w:jc w:val="center"/>
        </w:trPr>
        <w:tc>
          <w:tcPr>
            <w:tcW w:w="750" w:type="dxa"/>
            <w:tcBorders>
              <w:top w:val="single" w:color="auto" w:sz="4" w:space="0"/>
              <w:left w:val="single" w:color="auto" w:sz="4" w:space="0"/>
              <w:bottom w:val="single" w:color="auto" w:sz="4" w:space="0"/>
              <w:right w:val="single" w:color="auto" w:sz="4" w:space="0"/>
            </w:tcBorders>
            <w:vAlign w:val="center"/>
          </w:tcPr>
          <w:p>
            <w:pPr>
              <w:snapToGrid w:val="0"/>
              <w:spacing w:line="420" w:lineRule="exact"/>
              <w:jc w:val="center"/>
              <w:rPr>
                <w:rFonts w:ascii="宋体" w:hAnsi="宋体" w:cs="宋体"/>
                <w:color w:val="auto"/>
                <w:sz w:val="24"/>
                <w:highlight w:val="none"/>
              </w:rPr>
            </w:pPr>
            <w:r>
              <w:rPr>
                <w:rFonts w:hint="eastAsia" w:ascii="宋体" w:hAnsi="宋体" w:cs="宋体"/>
                <w:color w:val="auto"/>
                <w:sz w:val="24"/>
                <w:highlight w:val="none"/>
              </w:rPr>
              <w:t>4</w:t>
            </w:r>
          </w:p>
        </w:tc>
        <w:tc>
          <w:tcPr>
            <w:tcW w:w="8743" w:type="dxa"/>
            <w:tcBorders>
              <w:top w:val="single" w:color="auto" w:sz="4" w:space="0"/>
              <w:left w:val="single" w:color="auto" w:sz="4" w:space="0"/>
              <w:bottom w:val="single" w:color="auto" w:sz="4" w:space="0"/>
              <w:right w:val="single" w:color="auto" w:sz="4" w:space="0"/>
            </w:tcBorders>
            <w:vAlign w:val="center"/>
          </w:tcPr>
          <w:p>
            <w:pPr>
              <w:snapToGrid w:val="0"/>
              <w:spacing w:line="348" w:lineRule="auto"/>
              <w:rPr>
                <w:rFonts w:ascii="宋体" w:hAnsi="宋体" w:cs="宋体"/>
                <w:color w:val="auto"/>
                <w:sz w:val="24"/>
                <w:highlight w:val="none"/>
              </w:rPr>
            </w:pPr>
            <w:r>
              <w:rPr>
                <w:rFonts w:hint="eastAsia" w:ascii="宋体" w:hAnsi="宋体" w:cs="宋体"/>
                <w:color w:val="auto"/>
                <w:sz w:val="24"/>
                <w:highlight w:val="none"/>
              </w:rPr>
              <w:t>根据《关于在政府采购活动中查询及使用信用记录有关问题的通知》财库[2016]125号的规定：</w:t>
            </w:r>
          </w:p>
          <w:p>
            <w:pPr>
              <w:snapToGrid w:val="0"/>
              <w:spacing w:line="348" w:lineRule="auto"/>
              <w:rPr>
                <w:rFonts w:ascii="宋体" w:hAnsi="宋体" w:cs="宋体"/>
                <w:color w:val="auto"/>
                <w:sz w:val="24"/>
                <w:highlight w:val="none"/>
              </w:rPr>
            </w:pPr>
            <w:r>
              <w:rPr>
                <w:rFonts w:hint="eastAsia" w:ascii="宋体" w:hAnsi="宋体" w:cs="宋体"/>
                <w:color w:val="auto"/>
                <w:sz w:val="24"/>
                <w:highlight w:val="none"/>
              </w:rPr>
              <w:t>（1）采购人或采购代理机构将对本项目供应商的信用记录进行查询。查询渠道为信用中国网站（www.creditchina.gov.cn）、中国政府采购网（www.ccgp.gov.cn）；</w:t>
            </w:r>
          </w:p>
          <w:p>
            <w:pPr>
              <w:snapToGrid w:val="0"/>
              <w:spacing w:line="348" w:lineRule="auto"/>
              <w:rPr>
                <w:rFonts w:ascii="宋体" w:hAnsi="宋体" w:cs="宋体"/>
                <w:color w:val="auto"/>
                <w:sz w:val="24"/>
                <w:highlight w:val="none"/>
              </w:rPr>
            </w:pPr>
            <w:r>
              <w:rPr>
                <w:rFonts w:hint="eastAsia" w:ascii="宋体" w:hAnsi="宋体" w:cs="宋体"/>
                <w:color w:val="auto"/>
                <w:sz w:val="24"/>
                <w:highlight w:val="none"/>
              </w:rPr>
              <w:t>（2）截止时点：提交投标文件（响应文件）截止时间前3年内；</w:t>
            </w:r>
          </w:p>
          <w:p>
            <w:pPr>
              <w:snapToGrid w:val="0"/>
              <w:spacing w:line="348" w:lineRule="auto"/>
              <w:rPr>
                <w:rFonts w:ascii="宋体" w:hAnsi="宋体" w:cs="宋体"/>
                <w:color w:val="auto"/>
                <w:sz w:val="24"/>
                <w:highlight w:val="none"/>
              </w:rPr>
            </w:pPr>
            <w:r>
              <w:rPr>
                <w:rFonts w:hint="eastAsia" w:ascii="宋体" w:hAnsi="宋体" w:cs="宋体"/>
                <w:color w:val="auto"/>
                <w:sz w:val="24"/>
                <w:highlight w:val="none"/>
              </w:rPr>
              <w:t>（3）查询记录和证据的留存：信用信息查询记录和证据以网页截图等方式留存。</w:t>
            </w:r>
          </w:p>
          <w:p>
            <w:pPr>
              <w:snapToGrid w:val="0"/>
              <w:spacing w:line="348" w:lineRule="auto"/>
              <w:rPr>
                <w:rFonts w:ascii="宋体" w:hAnsi="宋体" w:cs="宋体"/>
                <w:color w:val="auto"/>
                <w:sz w:val="24"/>
                <w:highlight w:val="none"/>
              </w:rPr>
            </w:pPr>
            <w:r>
              <w:rPr>
                <w:rFonts w:hint="eastAsia" w:ascii="宋体" w:hAnsi="宋体" w:cs="宋体"/>
                <w:color w:val="auto"/>
                <w:sz w:val="24"/>
                <w:highlight w:val="none"/>
              </w:rPr>
              <w:t>（4）使用规则：被列入失信被执行人、重大税收违法案件当事人名单、政府采购严重违法失信行为记录名单及其它不符合《中华人民共和国政府采购法》第二十二条规定条件的，其投标将被拒绝。</w:t>
            </w:r>
          </w:p>
          <w:p>
            <w:pPr>
              <w:snapToGrid w:val="0"/>
              <w:spacing w:line="420" w:lineRule="exact"/>
              <w:rPr>
                <w:rFonts w:ascii="宋体" w:hAnsi="宋体" w:cs="宋体"/>
                <w:color w:val="auto"/>
                <w:sz w:val="24"/>
                <w:highlight w:val="none"/>
              </w:rPr>
            </w:pPr>
            <w:r>
              <w:rPr>
                <w:rFonts w:hint="eastAsia" w:ascii="宋体" w:hAnsi="宋体" w:cs="宋体"/>
                <w:color w:val="auto"/>
                <w:sz w:val="24"/>
                <w:highlight w:val="none"/>
              </w:rPr>
              <w:t>（5）联合体成员任意一方存在不良信用记录的，视同联合体存在不良信用记录。</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233" w:hRule="atLeast"/>
          <w:jc w:val="center"/>
        </w:trPr>
        <w:tc>
          <w:tcPr>
            <w:tcW w:w="750" w:type="dxa"/>
            <w:tcBorders>
              <w:top w:val="single" w:color="auto" w:sz="4" w:space="0"/>
              <w:left w:val="single" w:color="auto" w:sz="4" w:space="0"/>
              <w:bottom w:val="single" w:color="auto" w:sz="4" w:space="0"/>
              <w:right w:val="single" w:color="auto" w:sz="4" w:space="0"/>
            </w:tcBorders>
            <w:vAlign w:val="center"/>
          </w:tcPr>
          <w:p>
            <w:pPr>
              <w:snapToGrid w:val="0"/>
              <w:spacing w:line="420" w:lineRule="exact"/>
              <w:jc w:val="center"/>
              <w:rPr>
                <w:rFonts w:ascii="宋体" w:hAnsi="宋体" w:cs="宋体"/>
                <w:color w:val="auto"/>
                <w:sz w:val="24"/>
                <w:highlight w:val="none"/>
              </w:rPr>
            </w:pPr>
            <w:r>
              <w:rPr>
                <w:rFonts w:hint="eastAsia" w:ascii="宋体" w:hAnsi="宋体" w:cs="宋体"/>
                <w:color w:val="auto"/>
                <w:sz w:val="24"/>
                <w:highlight w:val="none"/>
              </w:rPr>
              <w:t>5</w:t>
            </w:r>
          </w:p>
        </w:tc>
        <w:tc>
          <w:tcPr>
            <w:tcW w:w="8743" w:type="dxa"/>
            <w:tcBorders>
              <w:top w:val="single" w:color="auto" w:sz="4" w:space="0"/>
              <w:left w:val="single" w:color="auto" w:sz="4" w:space="0"/>
              <w:bottom w:val="single" w:color="auto" w:sz="4" w:space="0"/>
              <w:right w:val="single" w:color="auto" w:sz="4" w:space="0"/>
            </w:tcBorders>
            <w:vAlign w:val="center"/>
          </w:tcPr>
          <w:p>
            <w:pPr>
              <w:snapToGrid w:val="0"/>
              <w:spacing w:line="420" w:lineRule="exact"/>
              <w:rPr>
                <w:rFonts w:ascii="宋体" w:hAnsi="宋体" w:cs="宋体"/>
                <w:color w:val="auto"/>
                <w:sz w:val="24"/>
                <w:highlight w:val="none"/>
              </w:rPr>
            </w:pPr>
            <w:r>
              <w:rPr>
                <w:rFonts w:hint="eastAsia" w:ascii="宋体" w:hAnsi="宋体" w:cs="宋体"/>
                <w:color w:val="auto"/>
                <w:sz w:val="24"/>
                <w:highlight w:val="none"/>
              </w:rPr>
              <w:t>答疑与澄清：供应商如认为磋商文件表述不清晰、存在歧视性、排他性或者其他违法内容的，应当按照磋商公告第三、八条规定以书面形式要求招标方作出书面解释、澄清或者向招标方提出书面质疑；</w:t>
            </w:r>
            <w:r>
              <w:rPr>
                <w:rFonts w:hint="eastAsia" w:ascii="宋体" w:hAnsi="宋体" w:cs="宋体"/>
                <w:b/>
                <w:color w:val="auto"/>
                <w:sz w:val="24"/>
                <w:highlight w:val="none"/>
              </w:rPr>
              <w:t>在质疑截止时间前，未对磋商文件提出质疑时，视供应商对磋商文件的默认；</w:t>
            </w:r>
            <w:r>
              <w:rPr>
                <w:rFonts w:hint="eastAsia" w:ascii="宋体" w:hAnsi="宋体" w:cs="宋体"/>
                <w:color w:val="auto"/>
                <w:sz w:val="24"/>
                <w:highlight w:val="none"/>
              </w:rPr>
              <w:t>招标采购单位对已发出的磋商文件进行必要澄清、答复、修改或者补充的，在财政部门指定的政府采购信息发布媒体上发布更正公告，并以书面形式通知所有已获取磋商文件的供应商；答疑内容是磋商文件的组成部分；澄清或者修改的内容可能影响磋商响应文件编制的，应当在磋商截止时间至少5日前，以书面形式通知所有获取磋商文件的潜在供应商；不足5日的，顺延提交磋商响应文件的截止时间。</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20" w:hRule="atLeast"/>
          <w:jc w:val="center"/>
        </w:trPr>
        <w:tc>
          <w:tcPr>
            <w:tcW w:w="750" w:type="dxa"/>
            <w:tcBorders>
              <w:top w:val="single" w:color="auto" w:sz="4" w:space="0"/>
              <w:left w:val="single" w:color="auto" w:sz="4" w:space="0"/>
              <w:bottom w:val="single" w:color="auto" w:sz="4" w:space="0"/>
              <w:right w:val="single" w:color="auto" w:sz="4" w:space="0"/>
            </w:tcBorders>
            <w:vAlign w:val="center"/>
          </w:tcPr>
          <w:p>
            <w:pPr>
              <w:snapToGrid w:val="0"/>
              <w:spacing w:line="420" w:lineRule="exact"/>
              <w:jc w:val="center"/>
              <w:rPr>
                <w:rFonts w:ascii="宋体" w:hAnsi="宋体" w:cs="宋体"/>
                <w:color w:val="auto"/>
                <w:sz w:val="24"/>
                <w:highlight w:val="none"/>
              </w:rPr>
            </w:pPr>
            <w:r>
              <w:rPr>
                <w:rFonts w:hint="eastAsia" w:ascii="宋体" w:hAnsi="宋体" w:cs="宋体"/>
                <w:color w:val="auto"/>
                <w:sz w:val="24"/>
                <w:highlight w:val="none"/>
              </w:rPr>
              <w:t>6</w:t>
            </w:r>
          </w:p>
        </w:tc>
        <w:tc>
          <w:tcPr>
            <w:tcW w:w="8743" w:type="dxa"/>
            <w:tcBorders>
              <w:top w:val="single" w:color="auto" w:sz="4" w:space="0"/>
              <w:left w:val="single" w:color="auto" w:sz="4" w:space="0"/>
              <w:bottom w:val="single" w:color="auto" w:sz="4" w:space="0"/>
              <w:right w:val="single" w:color="auto" w:sz="4" w:space="0"/>
            </w:tcBorders>
            <w:vAlign w:val="center"/>
          </w:tcPr>
          <w:p>
            <w:pPr>
              <w:autoSpaceDE w:val="0"/>
              <w:autoSpaceDN w:val="0"/>
              <w:snapToGrid w:val="0"/>
              <w:spacing w:line="420" w:lineRule="exact"/>
              <w:textAlignment w:val="bottom"/>
              <w:rPr>
                <w:rFonts w:ascii="宋体" w:hAnsi="宋体" w:cs="宋体"/>
                <w:color w:val="auto"/>
                <w:sz w:val="24"/>
                <w:highlight w:val="none"/>
              </w:rPr>
            </w:pPr>
            <w:r>
              <w:rPr>
                <w:rFonts w:hint="eastAsia" w:ascii="宋体" w:hAnsi="宋体" w:cs="宋体"/>
                <w:color w:val="auto"/>
                <w:sz w:val="24"/>
                <w:highlight w:val="none"/>
              </w:rPr>
              <w:t>磋商响应文件的递交：</w:t>
            </w:r>
          </w:p>
          <w:p>
            <w:pPr>
              <w:autoSpaceDE w:val="0"/>
              <w:autoSpaceDN w:val="0"/>
              <w:snapToGrid w:val="0"/>
              <w:spacing w:line="420" w:lineRule="exact"/>
              <w:textAlignment w:val="bottom"/>
              <w:rPr>
                <w:rFonts w:ascii="宋体" w:hAnsi="宋体" w:cs="宋体"/>
                <w:color w:val="auto"/>
                <w:sz w:val="24"/>
                <w:highlight w:val="none"/>
              </w:rPr>
            </w:pPr>
            <w:r>
              <w:rPr>
                <w:rFonts w:hint="eastAsia" w:ascii="宋体" w:hAnsi="宋体" w:cs="宋体"/>
                <w:color w:val="auto"/>
                <w:sz w:val="24"/>
                <w:highlight w:val="none"/>
              </w:rPr>
              <w:t>本项目磋商响应文件由资格审查文件、商务技术文件和报价文件三部分组成。供应商应按以下方式递交磋商响应文件：</w:t>
            </w:r>
          </w:p>
          <w:p>
            <w:pPr>
              <w:autoSpaceDE w:val="0"/>
              <w:autoSpaceDN w:val="0"/>
              <w:snapToGrid w:val="0"/>
              <w:spacing w:line="420" w:lineRule="exact"/>
              <w:textAlignment w:val="bottom"/>
              <w:rPr>
                <w:rFonts w:ascii="宋体" w:hAnsi="宋体" w:cs="宋体"/>
                <w:color w:val="auto"/>
                <w:sz w:val="24"/>
                <w:highlight w:val="none"/>
              </w:rPr>
            </w:pPr>
            <w:r>
              <w:rPr>
                <w:rFonts w:hint="eastAsia" w:ascii="宋体" w:hAnsi="宋体" w:cs="宋体"/>
                <w:color w:val="auto"/>
                <w:sz w:val="24"/>
                <w:highlight w:val="none"/>
              </w:rPr>
              <w:t>▲1、本项目实行“网上磋商、电子评标”，供应商应于磋商截止时间前在“政采云”（电子交易平台）上传输、递交电子版磋商响应文件（包括资格审查文件、商务技术文件和报价文件）；</w:t>
            </w:r>
          </w:p>
          <w:p>
            <w:pPr>
              <w:autoSpaceDE w:val="0"/>
              <w:autoSpaceDN w:val="0"/>
              <w:snapToGrid w:val="0"/>
              <w:spacing w:line="420" w:lineRule="exact"/>
              <w:textAlignment w:val="bottom"/>
              <w:rPr>
                <w:rFonts w:ascii="宋体" w:hAnsi="宋体" w:cs="宋体"/>
                <w:color w:val="auto"/>
                <w:sz w:val="24"/>
                <w:highlight w:val="none"/>
              </w:rPr>
            </w:pPr>
            <w:r>
              <w:rPr>
                <w:rFonts w:hint="eastAsia" w:ascii="宋体" w:hAnsi="宋体" w:cs="宋体"/>
                <w:color w:val="auto"/>
                <w:sz w:val="24"/>
                <w:highlight w:val="none"/>
              </w:rPr>
              <w:t>2、为了避免由于电子交易平台无法正常运行等技术、安全故障原因造成磋商响应文件无法解密或解密失败，导致磋商无效的情况，供应商可以在磋商截止时间前将电子备份磋商响应文件（经政采云电子交易客户端和CA驱动制作出的后缀名为“bfbs”的加密电子备份磋商响应文件）发送至东阳市鑫盛工程咨询有限公司邮箱：1816352277@qq.com，逾期发送或发错后缀名的备份磋商响应文件将被视为无效；</w:t>
            </w:r>
          </w:p>
          <w:p>
            <w:pPr>
              <w:autoSpaceDE w:val="0"/>
              <w:autoSpaceDN w:val="0"/>
              <w:snapToGrid w:val="0"/>
              <w:spacing w:line="420" w:lineRule="exact"/>
              <w:textAlignment w:val="bottom"/>
              <w:rPr>
                <w:rFonts w:ascii="宋体" w:hAnsi="宋体" w:cs="宋体"/>
                <w:color w:val="auto"/>
                <w:sz w:val="24"/>
                <w:highlight w:val="none"/>
              </w:rPr>
            </w:pPr>
            <w:r>
              <w:rPr>
                <w:rFonts w:hint="eastAsia" w:ascii="宋体" w:hAnsi="宋体" w:cs="宋体"/>
                <w:color w:val="auto"/>
                <w:sz w:val="24"/>
                <w:highlight w:val="none"/>
              </w:rPr>
              <w:t>3、供应商仅提交电子备份磋商响应文件的，磋商无效；</w:t>
            </w:r>
          </w:p>
          <w:p>
            <w:pPr>
              <w:autoSpaceDE w:val="0"/>
              <w:autoSpaceDN w:val="0"/>
              <w:snapToGrid w:val="0"/>
              <w:spacing w:line="420" w:lineRule="exact"/>
              <w:textAlignment w:val="bottom"/>
              <w:rPr>
                <w:rFonts w:ascii="宋体" w:hAnsi="宋体" w:cs="宋体"/>
                <w:color w:val="auto"/>
                <w:sz w:val="24"/>
                <w:highlight w:val="none"/>
              </w:rPr>
            </w:pPr>
            <w:r>
              <w:rPr>
                <w:rFonts w:hint="eastAsia" w:ascii="宋体" w:hAnsi="宋体" w:cs="宋体"/>
                <w:color w:val="auto"/>
                <w:sz w:val="24"/>
                <w:highlight w:val="none"/>
              </w:rPr>
              <w:t>4、本项目不强制供应商提交电子备份磋商响应文件；如在开评标时出现电子磋商响应文件无法解密或解密失败等情况，因供应商未提供电子备份磋商响应文件而造成磋商无效等一切后果和风险由供应商自行承担。</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824" w:hRule="atLeast"/>
          <w:jc w:val="center"/>
        </w:trPr>
        <w:tc>
          <w:tcPr>
            <w:tcW w:w="750" w:type="dxa"/>
            <w:tcBorders>
              <w:top w:val="single" w:color="auto" w:sz="4" w:space="0"/>
              <w:left w:val="single" w:color="auto" w:sz="4" w:space="0"/>
              <w:bottom w:val="single" w:color="auto" w:sz="4" w:space="0"/>
              <w:right w:val="single" w:color="auto" w:sz="4" w:space="0"/>
            </w:tcBorders>
            <w:vAlign w:val="center"/>
          </w:tcPr>
          <w:p>
            <w:pPr>
              <w:snapToGrid w:val="0"/>
              <w:spacing w:line="420" w:lineRule="exact"/>
              <w:jc w:val="center"/>
              <w:rPr>
                <w:rFonts w:ascii="宋体" w:hAnsi="宋体" w:cs="宋体"/>
                <w:color w:val="auto"/>
                <w:sz w:val="24"/>
                <w:highlight w:val="none"/>
              </w:rPr>
            </w:pPr>
            <w:r>
              <w:rPr>
                <w:rFonts w:hint="eastAsia" w:ascii="宋体" w:hAnsi="宋体" w:cs="宋体"/>
                <w:color w:val="auto"/>
                <w:sz w:val="24"/>
                <w:highlight w:val="none"/>
              </w:rPr>
              <w:t>7</w:t>
            </w:r>
          </w:p>
        </w:tc>
        <w:tc>
          <w:tcPr>
            <w:tcW w:w="8743" w:type="dxa"/>
            <w:tcBorders>
              <w:top w:val="single" w:color="auto" w:sz="4" w:space="0"/>
              <w:left w:val="single" w:color="auto" w:sz="4" w:space="0"/>
              <w:bottom w:val="single" w:color="auto" w:sz="4" w:space="0"/>
              <w:right w:val="single" w:color="auto" w:sz="4" w:space="0"/>
            </w:tcBorders>
            <w:vAlign w:val="center"/>
          </w:tcPr>
          <w:p>
            <w:pPr>
              <w:snapToGrid w:val="0"/>
              <w:spacing w:line="420" w:lineRule="exact"/>
              <w:rPr>
                <w:rFonts w:ascii="宋体" w:hAnsi="宋体" w:cs="宋体"/>
                <w:bCs/>
                <w:color w:val="auto"/>
                <w:sz w:val="24"/>
                <w:highlight w:val="none"/>
                <w:u w:val="single"/>
              </w:rPr>
            </w:pPr>
            <w:r>
              <w:rPr>
                <w:rFonts w:hint="eastAsia" w:ascii="宋体" w:hAnsi="宋体" w:cs="宋体"/>
                <w:bCs/>
                <w:color w:val="auto"/>
                <w:sz w:val="24"/>
                <w:highlight w:val="none"/>
              </w:rPr>
              <w:t>磋商截止时间：</w:t>
            </w:r>
            <w:r>
              <w:rPr>
                <w:rFonts w:hint="eastAsia" w:ascii="宋体" w:hAnsi="宋体" w:cs="宋体"/>
                <w:color w:val="auto"/>
                <w:sz w:val="24"/>
                <w:highlight w:val="none"/>
              </w:rPr>
              <w:t>202</w:t>
            </w:r>
            <w:r>
              <w:rPr>
                <w:rFonts w:hint="eastAsia" w:ascii="宋体" w:hAnsi="宋体" w:cs="宋体"/>
                <w:color w:val="auto"/>
                <w:sz w:val="24"/>
                <w:highlight w:val="none"/>
                <w:lang w:val="en-US" w:eastAsia="zh-CN"/>
              </w:rPr>
              <w:t>4</w:t>
            </w:r>
            <w:r>
              <w:rPr>
                <w:rFonts w:hint="eastAsia" w:ascii="宋体" w:hAnsi="宋体" w:cs="宋体"/>
                <w:color w:val="auto"/>
                <w:sz w:val="24"/>
                <w:highlight w:val="none"/>
              </w:rPr>
              <w:t>年</w:t>
            </w:r>
            <w:r>
              <w:rPr>
                <w:rFonts w:hint="eastAsia" w:ascii="宋体" w:hAnsi="宋体" w:cs="宋体"/>
                <w:color w:val="auto"/>
                <w:sz w:val="24"/>
                <w:highlight w:val="none"/>
                <w:lang w:val="en-US" w:eastAsia="zh-CN"/>
              </w:rPr>
              <w:t>4</w:t>
            </w:r>
            <w:r>
              <w:rPr>
                <w:rFonts w:hint="eastAsia" w:ascii="宋体" w:hAnsi="宋体" w:cs="宋体"/>
                <w:color w:val="auto"/>
                <w:sz w:val="24"/>
                <w:highlight w:val="none"/>
              </w:rPr>
              <w:t>月</w:t>
            </w:r>
            <w:r>
              <w:rPr>
                <w:rFonts w:hint="eastAsia" w:ascii="宋体" w:hAnsi="宋体" w:cs="宋体"/>
                <w:color w:val="auto"/>
                <w:sz w:val="24"/>
                <w:highlight w:val="none"/>
                <w:lang w:val="en-US" w:eastAsia="zh-CN"/>
              </w:rPr>
              <w:t>9</w:t>
            </w:r>
            <w:r>
              <w:rPr>
                <w:rFonts w:hint="eastAsia" w:ascii="宋体" w:hAnsi="宋体" w:cs="宋体"/>
                <w:color w:val="auto"/>
                <w:sz w:val="24"/>
                <w:highlight w:val="none"/>
              </w:rPr>
              <w:t>日</w:t>
            </w:r>
            <w:r>
              <w:rPr>
                <w:rFonts w:hint="eastAsia" w:ascii="宋体" w:hAnsi="宋体" w:cs="宋体"/>
                <w:color w:val="auto"/>
                <w:sz w:val="24"/>
                <w:highlight w:val="none"/>
                <w:lang w:val="en-US" w:eastAsia="zh-CN"/>
              </w:rPr>
              <w:t>8</w:t>
            </w:r>
            <w:r>
              <w:rPr>
                <w:rFonts w:hint="eastAsia" w:ascii="宋体" w:hAnsi="宋体" w:cs="宋体"/>
                <w:color w:val="auto"/>
                <w:sz w:val="24"/>
                <w:highlight w:val="none"/>
              </w:rPr>
              <w:t>时</w:t>
            </w:r>
            <w:r>
              <w:rPr>
                <w:rFonts w:hint="eastAsia" w:ascii="宋体" w:hAnsi="宋体" w:cs="宋体"/>
                <w:color w:val="auto"/>
                <w:sz w:val="24"/>
                <w:highlight w:val="none"/>
                <w:lang w:val="en-US" w:eastAsia="zh-CN"/>
              </w:rPr>
              <w:t>30</w:t>
            </w:r>
            <w:r>
              <w:rPr>
                <w:rFonts w:hint="eastAsia" w:ascii="宋体" w:hAnsi="宋体" w:cs="宋体"/>
                <w:color w:val="auto"/>
                <w:sz w:val="24"/>
                <w:highlight w:val="none"/>
              </w:rPr>
              <w:t>分</w:t>
            </w:r>
          </w:p>
          <w:p>
            <w:pPr>
              <w:pStyle w:val="22"/>
              <w:spacing w:line="420" w:lineRule="exact"/>
              <w:rPr>
                <w:rFonts w:ascii="宋体" w:hAnsi="宋体" w:cs="宋体"/>
                <w:bCs/>
                <w:color w:val="auto"/>
                <w:szCs w:val="24"/>
                <w:highlight w:val="none"/>
              </w:rPr>
            </w:pPr>
            <w:r>
              <w:rPr>
                <w:rFonts w:hint="eastAsia" w:ascii="宋体" w:hAnsi="宋体" w:cs="宋体"/>
                <w:bCs/>
                <w:color w:val="auto"/>
                <w:szCs w:val="24"/>
                <w:highlight w:val="none"/>
              </w:rPr>
              <w:t>1、供应商应当在磋商截止时间前在“政采云”（电子交易平台）上自行上传加密的电子磋商响应文件。磋商截止时间前未完成传输的，视为撤回电子磋商响应文件。磋商截止时间后递交的电子磋商响应文件，将被政采云平台拒收。</w:t>
            </w:r>
          </w:p>
          <w:p>
            <w:pPr>
              <w:snapToGrid w:val="0"/>
              <w:spacing w:line="420" w:lineRule="exact"/>
              <w:rPr>
                <w:rFonts w:ascii="宋体" w:hAnsi="宋体" w:cs="宋体"/>
                <w:bCs/>
                <w:color w:val="auto"/>
                <w:sz w:val="24"/>
                <w:highlight w:val="none"/>
              </w:rPr>
            </w:pPr>
            <w:r>
              <w:rPr>
                <w:rFonts w:hint="eastAsia" w:ascii="宋体" w:hAnsi="宋体" w:cs="宋体"/>
                <w:bCs/>
                <w:color w:val="auto"/>
                <w:sz w:val="24"/>
                <w:highlight w:val="none"/>
              </w:rPr>
              <w:t>2、电子备份磋商响应文件的递交时间：供应商应当在磋商截止时间前，逾期未递交的视为自动放弃。</w:t>
            </w:r>
          </w:p>
          <w:p>
            <w:pPr>
              <w:pStyle w:val="22"/>
              <w:spacing w:line="420" w:lineRule="exact"/>
              <w:rPr>
                <w:rFonts w:ascii="宋体" w:hAnsi="宋体" w:cs="宋体"/>
                <w:color w:val="auto"/>
                <w:szCs w:val="24"/>
                <w:highlight w:val="none"/>
              </w:rPr>
            </w:pPr>
            <w:r>
              <w:rPr>
                <w:rFonts w:hint="eastAsia" w:ascii="宋体" w:hAnsi="宋体" w:cs="宋体"/>
                <w:bCs/>
                <w:color w:val="auto"/>
                <w:szCs w:val="24"/>
                <w:highlight w:val="none"/>
              </w:rPr>
              <w:t>3、供应商应当在磋商截止时间前完成磋商准备事宜（应具备上网的技术条件并保持网络及联系方式畅通）及电子磋商响应文件的传输递交，可以补充、修改或者撤回电子磋商响应文件。补充或者修改电子磋商响应文件的，应当先行撤回原文件，补充、修改后重新传输递交。</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42" w:hRule="atLeast"/>
          <w:jc w:val="center"/>
        </w:trPr>
        <w:tc>
          <w:tcPr>
            <w:tcW w:w="750" w:type="dxa"/>
            <w:tcBorders>
              <w:top w:val="single" w:color="auto" w:sz="4" w:space="0"/>
              <w:left w:val="single" w:color="auto" w:sz="4" w:space="0"/>
              <w:bottom w:val="single" w:color="auto" w:sz="4" w:space="0"/>
              <w:right w:val="single" w:color="auto" w:sz="4" w:space="0"/>
            </w:tcBorders>
            <w:vAlign w:val="center"/>
          </w:tcPr>
          <w:p>
            <w:pPr>
              <w:snapToGrid w:val="0"/>
              <w:spacing w:line="420" w:lineRule="exact"/>
              <w:jc w:val="center"/>
              <w:rPr>
                <w:rFonts w:ascii="宋体" w:hAnsi="宋体" w:cs="宋体"/>
                <w:color w:val="auto"/>
                <w:sz w:val="24"/>
                <w:highlight w:val="none"/>
              </w:rPr>
            </w:pPr>
            <w:r>
              <w:rPr>
                <w:rFonts w:hint="eastAsia" w:ascii="宋体" w:hAnsi="宋体" w:cs="宋体"/>
                <w:color w:val="auto"/>
                <w:sz w:val="24"/>
                <w:highlight w:val="none"/>
              </w:rPr>
              <w:t>8</w:t>
            </w:r>
          </w:p>
        </w:tc>
        <w:tc>
          <w:tcPr>
            <w:tcW w:w="8743" w:type="dxa"/>
            <w:tcBorders>
              <w:top w:val="single" w:color="auto" w:sz="4" w:space="0"/>
              <w:left w:val="single" w:color="auto" w:sz="4" w:space="0"/>
              <w:bottom w:val="single" w:color="auto" w:sz="4" w:space="0"/>
              <w:right w:val="single" w:color="auto" w:sz="4" w:space="0"/>
            </w:tcBorders>
            <w:vAlign w:val="center"/>
          </w:tcPr>
          <w:p>
            <w:pPr>
              <w:snapToGrid w:val="0"/>
              <w:spacing w:line="420" w:lineRule="exact"/>
              <w:rPr>
                <w:rFonts w:ascii="宋体" w:hAnsi="宋体" w:cs="宋体"/>
                <w:color w:val="auto"/>
                <w:sz w:val="24"/>
                <w:highlight w:val="none"/>
              </w:rPr>
            </w:pPr>
            <w:r>
              <w:rPr>
                <w:rFonts w:hint="eastAsia" w:ascii="宋体" w:hAnsi="宋体" w:cs="宋体"/>
                <w:color w:val="auto"/>
                <w:sz w:val="24"/>
                <w:highlight w:val="none"/>
              </w:rPr>
              <w:t>开标时间：202</w:t>
            </w:r>
            <w:r>
              <w:rPr>
                <w:rFonts w:hint="eastAsia" w:ascii="宋体" w:hAnsi="宋体" w:cs="宋体"/>
                <w:color w:val="auto"/>
                <w:sz w:val="24"/>
                <w:highlight w:val="none"/>
                <w:lang w:val="en-US" w:eastAsia="zh-CN"/>
              </w:rPr>
              <w:t>4</w:t>
            </w:r>
            <w:r>
              <w:rPr>
                <w:rFonts w:hint="eastAsia" w:ascii="宋体" w:hAnsi="宋体" w:cs="宋体"/>
                <w:color w:val="auto"/>
                <w:sz w:val="24"/>
                <w:highlight w:val="none"/>
              </w:rPr>
              <w:t>年</w:t>
            </w:r>
            <w:r>
              <w:rPr>
                <w:rFonts w:hint="eastAsia" w:ascii="宋体" w:hAnsi="宋体" w:cs="宋体"/>
                <w:color w:val="auto"/>
                <w:sz w:val="24"/>
                <w:highlight w:val="none"/>
                <w:lang w:val="en-US" w:eastAsia="zh-CN"/>
              </w:rPr>
              <w:t>4</w:t>
            </w:r>
            <w:r>
              <w:rPr>
                <w:rFonts w:hint="eastAsia" w:ascii="宋体" w:hAnsi="宋体" w:cs="宋体"/>
                <w:color w:val="auto"/>
                <w:sz w:val="24"/>
                <w:highlight w:val="none"/>
              </w:rPr>
              <w:t>月</w:t>
            </w:r>
            <w:r>
              <w:rPr>
                <w:rFonts w:hint="eastAsia" w:ascii="宋体" w:hAnsi="宋体" w:cs="宋体"/>
                <w:color w:val="auto"/>
                <w:sz w:val="24"/>
                <w:highlight w:val="none"/>
                <w:lang w:val="en-US" w:eastAsia="zh-CN"/>
              </w:rPr>
              <w:t>9</w:t>
            </w:r>
            <w:r>
              <w:rPr>
                <w:rFonts w:hint="eastAsia" w:ascii="宋体" w:hAnsi="宋体" w:cs="宋体"/>
                <w:color w:val="auto"/>
                <w:sz w:val="24"/>
                <w:highlight w:val="none"/>
              </w:rPr>
              <w:t>日</w:t>
            </w:r>
            <w:r>
              <w:rPr>
                <w:rFonts w:hint="eastAsia" w:ascii="宋体" w:hAnsi="宋体" w:cs="宋体"/>
                <w:color w:val="auto"/>
                <w:sz w:val="24"/>
                <w:highlight w:val="none"/>
                <w:lang w:val="en-US" w:eastAsia="zh-CN"/>
              </w:rPr>
              <w:t>8</w:t>
            </w:r>
            <w:r>
              <w:rPr>
                <w:rFonts w:hint="eastAsia" w:ascii="宋体" w:hAnsi="宋体" w:cs="宋体"/>
                <w:color w:val="auto"/>
                <w:sz w:val="24"/>
                <w:highlight w:val="none"/>
              </w:rPr>
              <w:t>时</w:t>
            </w:r>
            <w:r>
              <w:rPr>
                <w:rFonts w:hint="eastAsia" w:ascii="宋体" w:hAnsi="宋体" w:cs="宋体"/>
                <w:color w:val="auto"/>
                <w:sz w:val="24"/>
                <w:highlight w:val="none"/>
                <w:lang w:val="en-US" w:eastAsia="zh-CN"/>
              </w:rPr>
              <w:t>30</w:t>
            </w:r>
            <w:r>
              <w:rPr>
                <w:rFonts w:hint="eastAsia" w:ascii="宋体" w:hAnsi="宋体" w:cs="宋体"/>
                <w:color w:val="auto"/>
                <w:sz w:val="24"/>
                <w:highlight w:val="none"/>
              </w:rPr>
              <w:t>分</w:t>
            </w:r>
          </w:p>
          <w:p>
            <w:pPr>
              <w:snapToGrid w:val="0"/>
              <w:spacing w:line="42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本项目不要求供应商到开标现场开标，但供应商应派法定代表人或委托代理人【委托代理人应当是供应商的在职正式职工（以供应商本单位缴纳社保花名册为准）】准时在线出席电子开标会议，随时关注开标进度，如在开标过程中有电子询标，应在规定的时间内对电子询标函进行澄清回复。</w:t>
            </w:r>
          </w:p>
          <w:p>
            <w:pPr>
              <w:snapToGrid w:val="0"/>
              <w:spacing w:line="42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截止开标时间，政采云（电子交易平台）自动提取所有磋商响应文件，供应商须在开标时间截止后30分钟内对上传政采云的磋商响应文件进行解密，所有供应商在规定的解密时限内解密完成或解密时限到后，采购代理机构开启磋商响应文件；供应商超过解密时限的，系统默认自动放弃。</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5" w:hRule="atLeast"/>
          <w:jc w:val="center"/>
        </w:trPr>
        <w:tc>
          <w:tcPr>
            <w:tcW w:w="750" w:type="dxa"/>
            <w:tcBorders>
              <w:top w:val="single" w:color="auto" w:sz="4" w:space="0"/>
              <w:left w:val="single" w:color="auto" w:sz="4" w:space="0"/>
              <w:bottom w:val="single" w:color="auto" w:sz="4" w:space="0"/>
              <w:right w:val="single" w:color="auto" w:sz="4" w:space="0"/>
            </w:tcBorders>
            <w:vAlign w:val="center"/>
          </w:tcPr>
          <w:p>
            <w:pPr>
              <w:snapToGrid w:val="0"/>
              <w:spacing w:line="420" w:lineRule="exact"/>
              <w:jc w:val="center"/>
              <w:rPr>
                <w:rFonts w:ascii="宋体" w:hAnsi="宋体" w:cs="宋体"/>
                <w:color w:val="auto"/>
                <w:sz w:val="24"/>
                <w:highlight w:val="none"/>
              </w:rPr>
            </w:pPr>
            <w:r>
              <w:rPr>
                <w:rFonts w:hint="eastAsia" w:ascii="宋体" w:hAnsi="宋体" w:cs="宋体"/>
                <w:color w:val="auto"/>
                <w:sz w:val="24"/>
                <w:highlight w:val="none"/>
              </w:rPr>
              <w:t>9</w:t>
            </w:r>
          </w:p>
        </w:tc>
        <w:tc>
          <w:tcPr>
            <w:tcW w:w="8743" w:type="dxa"/>
            <w:tcBorders>
              <w:top w:val="single" w:color="auto" w:sz="4" w:space="0"/>
              <w:left w:val="single" w:color="auto" w:sz="4" w:space="0"/>
              <w:bottom w:val="single" w:color="auto" w:sz="4" w:space="0"/>
              <w:right w:val="single" w:color="auto" w:sz="4" w:space="0"/>
            </w:tcBorders>
            <w:vAlign w:val="center"/>
          </w:tcPr>
          <w:p>
            <w:pPr>
              <w:autoSpaceDE w:val="0"/>
              <w:autoSpaceDN w:val="0"/>
              <w:snapToGrid w:val="0"/>
              <w:spacing w:line="420" w:lineRule="exact"/>
              <w:textAlignment w:val="bottom"/>
              <w:rPr>
                <w:rFonts w:ascii="宋体" w:hAnsi="宋体" w:cs="宋体"/>
                <w:color w:val="auto"/>
                <w:sz w:val="24"/>
                <w:highlight w:val="none"/>
              </w:rPr>
            </w:pPr>
            <w:r>
              <w:rPr>
                <w:rFonts w:hint="eastAsia" w:ascii="宋体" w:hAnsi="宋体" w:cs="宋体"/>
                <w:b/>
                <w:bCs/>
                <w:color w:val="auto"/>
                <w:sz w:val="24"/>
                <w:highlight w:val="none"/>
              </w:rPr>
              <w:t>磋商办法：综合评分法（其中报价分为两轮）</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85" w:hRule="atLeast"/>
          <w:jc w:val="center"/>
        </w:trPr>
        <w:tc>
          <w:tcPr>
            <w:tcW w:w="750" w:type="dxa"/>
            <w:tcBorders>
              <w:top w:val="single" w:color="auto" w:sz="4" w:space="0"/>
              <w:left w:val="single" w:color="auto" w:sz="4" w:space="0"/>
              <w:bottom w:val="single" w:color="auto" w:sz="4" w:space="0"/>
              <w:right w:val="single" w:color="auto" w:sz="4" w:space="0"/>
            </w:tcBorders>
            <w:vAlign w:val="center"/>
          </w:tcPr>
          <w:p>
            <w:pPr>
              <w:snapToGrid w:val="0"/>
              <w:spacing w:line="420" w:lineRule="exact"/>
              <w:jc w:val="center"/>
              <w:rPr>
                <w:rFonts w:ascii="宋体" w:hAnsi="宋体" w:cs="宋体"/>
                <w:color w:val="auto"/>
                <w:sz w:val="24"/>
                <w:highlight w:val="none"/>
              </w:rPr>
            </w:pPr>
            <w:r>
              <w:rPr>
                <w:rFonts w:hint="eastAsia" w:ascii="宋体" w:hAnsi="宋体" w:cs="宋体"/>
                <w:color w:val="auto"/>
                <w:sz w:val="24"/>
                <w:highlight w:val="none"/>
              </w:rPr>
              <w:t>10</w:t>
            </w:r>
          </w:p>
        </w:tc>
        <w:tc>
          <w:tcPr>
            <w:tcW w:w="8743" w:type="dxa"/>
            <w:tcBorders>
              <w:top w:val="single" w:color="auto" w:sz="4" w:space="0"/>
              <w:left w:val="single" w:color="auto" w:sz="4" w:space="0"/>
              <w:bottom w:val="single" w:color="auto" w:sz="4" w:space="0"/>
              <w:right w:val="single" w:color="auto" w:sz="4" w:space="0"/>
            </w:tcBorders>
            <w:vAlign w:val="center"/>
          </w:tcPr>
          <w:p>
            <w:pPr>
              <w:autoSpaceDE w:val="0"/>
              <w:autoSpaceDN w:val="0"/>
              <w:snapToGrid w:val="0"/>
              <w:spacing w:line="420" w:lineRule="exact"/>
              <w:textAlignment w:val="bottom"/>
              <w:rPr>
                <w:rFonts w:ascii="宋体" w:hAnsi="宋体" w:cs="宋体"/>
                <w:color w:val="auto"/>
                <w:sz w:val="24"/>
                <w:highlight w:val="none"/>
              </w:rPr>
            </w:pPr>
            <w:bookmarkStart w:id="8" w:name="_Toc457480905"/>
            <w:r>
              <w:rPr>
                <w:rFonts w:hint="eastAsia" w:ascii="宋体" w:hAnsi="宋体" w:cs="宋体"/>
                <w:color w:val="auto"/>
                <w:sz w:val="24"/>
                <w:highlight w:val="none"/>
              </w:rPr>
              <w:t>中标结果公告：自中标人确定之日起2个工作日内，中标结果公告于浙江省政府采购网(http://zfcg.czt.zj.gov.cn/)、东阳市公共资源交易网(http://www.dongyang.gov.cn/ggzyjy/index.html)，公告1个工作日</w:t>
            </w:r>
            <w:bookmarkEnd w:id="8"/>
            <w:r>
              <w:rPr>
                <w:rFonts w:hint="eastAsia" w:ascii="宋体" w:hAnsi="宋体" w:cs="宋体"/>
                <w:color w:val="auto"/>
                <w:sz w:val="24"/>
                <w:highlight w:val="none"/>
              </w:rPr>
              <w:t>。</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9" w:hRule="atLeast"/>
          <w:jc w:val="center"/>
        </w:trPr>
        <w:tc>
          <w:tcPr>
            <w:tcW w:w="750" w:type="dxa"/>
            <w:tcBorders>
              <w:top w:val="single" w:color="auto" w:sz="4" w:space="0"/>
              <w:left w:val="single" w:color="auto" w:sz="4" w:space="0"/>
              <w:bottom w:val="single" w:color="auto" w:sz="4" w:space="0"/>
              <w:right w:val="single" w:color="auto" w:sz="4" w:space="0"/>
            </w:tcBorders>
            <w:vAlign w:val="center"/>
          </w:tcPr>
          <w:p>
            <w:pPr>
              <w:snapToGrid w:val="0"/>
              <w:spacing w:line="420" w:lineRule="exact"/>
              <w:jc w:val="center"/>
              <w:rPr>
                <w:rFonts w:ascii="宋体" w:hAnsi="宋体" w:cs="宋体"/>
                <w:color w:val="auto"/>
                <w:sz w:val="24"/>
                <w:highlight w:val="none"/>
              </w:rPr>
            </w:pPr>
            <w:r>
              <w:rPr>
                <w:rFonts w:hint="eastAsia" w:ascii="宋体" w:hAnsi="宋体" w:cs="宋体"/>
                <w:color w:val="auto"/>
                <w:sz w:val="24"/>
                <w:highlight w:val="none"/>
              </w:rPr>
              <w:t>11</w:t>
            </w:r>
          </w:p>
        </w:tc>
        <w:tc>
          <w:tcPr>
            <w:tcW w:w="8743" w:type="dxa"/>
            <w:tcBorders>
              <w:top w:val="single" w:color="auto" w:sz="4" w:space="0"/>
              <w:left w:val="single" w:color="auto" w:sz="4" w:space="0"/>
              <w:bottom w:val="single" w:color="auto" w:sz="4" w:space="0"/>
              <w:right w:val="single" w:color="auto" w:sz="4" w:space="0"/>
            </w:tcBorders>
            <w:vAlign w:val="center"/>
          </w:tcPr>
          <w:p>
            <w:pPr>
              <w:autoSpaceDE w:val="0"/>
              <w:autoSpaceDN w:val="0"/>
              <w:snapToGrid w:val="0"/>
              <w:spacing w:line="420" w:lineRule="exact"/>
              <w:textAlignment w:val="bottom"/>
              <w:rPr>
                <w:rFonts w:ascii="宋体" w:hAnsi="宋体" w:cs="宋体"/>
                <w:color w:val="auto"/>
                <w:sz w:val="24"/>
                <w:highlight w:val="none"/>
              </w:rPr>
            </w:pPr>
            <w:r>
              <w:rPr>
                <w:rFonts w:hint="eastAsia" w:ascii="宋体" w:hAnsi="宋体" w:cs="宋体"/>
                <w:color w:val="auto"/>
                <w:sz w:val="24"/>
                <w:highlight w:val="none"/>
              </w:rPr>
              <w:t>《中标通知书》的领取时间：中标人应自中标结果公告结束日起，在3个工作日内领取，否则按放弃中标资格处理，并因违反诚信原则，提交财政部门列入政府采购黑名单。</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46" w:hRule="atLeast"/>
          <w:jc w:val="center"/>
        </w:trPr>
        <w:tc>
          <w:tcPr>
            <w:tcW w:w="750" w:type="dxa"/>
            <w:tcBorders>
              <w:top w:val="single" w:color="auto" w:sz="4" w:space="0"/>
              <w:left w:val="single" w:color="auto" w:sz="4" w:space="0"/>
              <w:bottom w:val="single" w:color="auto" w:sz="4" w:space="0"/>
              <w:right w:val="single" w:color="auto" w:sz="4" w:space="0"/>
            </w:tcBorders>
            <w:vAlign w:val="center"/>
          </w:tcPr>
          <w:p>
            <w:pPr>
              <w:snapToGrid w:val="0"/>
              <w:spacing w:line="420" w:lineRule="exact"/>
              <w:jc w:val="center"/>
              <w:rPr>
                <w:rFonts w:ascii="宋体" w:hAnsi="宋体" w:cs="宋体"/>
                <w:color w:val="auto"/>
                <w:sz w:val="24"/>
                <w:highlight w:val="none"/>
              </w:rPr>
            </w:pPr>
            <w:r>
              <w:rPr>
                <w:rFonts w:hint="eastAsia" w:ascii="宋体" w:hAnsi="宋体" w:cs="宋体"/>
                <w:color w:val="auto"/>
                <w:sz w:val="24"/>
                <w:highlight w:val="none"/>
              </w:rPr>
              <w:t>12</w:t>
            </w:r>
          </w:p>
        </w:tc>
        <w:tc>
          <w:tcPr>
            <w:tcW w:w="8743" w:type="dxa"/>
            <w:tcBorders>
              <w:top w:val="single" w:color="auto" w:sz="4" w:space="0"/>
              <w:left w:val="single" w:color="auto" w:sz="4" w:space="0"/>
              <w:bottom w:val="single" w:color="auto" w:sz="4" w:space="0"/>
              <w:right w:val="single" w:color="auto" w:sz="4" w:space="0"/>
            </w:tcBorders>
            <w:vAlign w:val="center"/>
          </w:tcPr>
          <w:p>
            <w:pPr>
              <w:autoSpaceDE w:val="0"/>
              <w:autoSpaceDN w:val="0"/>
              <w:snapToGrid w:val="0"/>
              <w:spacing w:line="360" w:lineRule="auto"/>
              <w:textAlignment w:val="bottom"/>
              <w:rPr>
                <w:rFonts w:hint="eastAsia" w:ascii="宋体" w:hAnsi="宋体" w:eastAsia="宋体" w:cs="宋体"/>
                <w:color w:val="auto"/>
                <w:sz w:val="24"/>
                <w:highlight w:val="none"/>
              </w:rPr>
            </w:pPr>
            <w:r>
              <w:rPr>
                <w:rFonts w:hint="eastAsia" w:ascii="宋体" w:hAnsi="宋体" w:cs="宋体"/>
                <w:color w:val="auto"/>
                <w:sz w:val="24"/>
                <w:highlight w:val="none"/>
              </w:rPr>
              <w:t>履约保证金：</w:t>
            </w:r>
          </w:p>
          <w:p>
            <w:pPr>
              <w:autoSpaceDE w:val="0"/>
              <w:autoSpaceDN w:val="0"/>
              <w:snapToGrid w:val="0"/>
              <w:spacing w:line="360" w:lineRule="auto"/>
              <w:textAlignment w:val="bottom"/>
              <w:rPr>
                <w:rFonts w:hint="eastAsia" w:ascii="宋体" w:hAnsi="宋体" w:eastAsia="宋体" w:cs="宋体"/>
                <w:color w:val="auto"/>
                <w:sz w:val="24"/>
                <w:highlight w:val="none"/>
              </w:rPr>
            </w:pPr>
            <w:r>
              <w:rPr>
                <w:rFonts w:hint="eastAsia" w:ascii="宋体" w:hAnsi="宋体" w:eastAsia="宋体" w:cs="宋体"/>
                <w:color w:val="auto"/>
                <w:sz w:val="24"/>
                <w:highlight w:val="none"/>
              </w:rPr>
              <w:t>中标人在收到中标通知书后，需向采购人提供</w:t>
            </w:r>
            <w:r>
              <w:rPr>
                <w:rFonts w:hint="eastAsia" w:ascii="宋体" w:hAnsi="宋体" w:eastAsia="宋体" w:cs="宋体"/>
                <w:color w:val="auto"/>
                <w:sz w:val="24"/>
                <w:highlight w:val="none"/>
                <w:lang w:val="en-US" w:eastAsia="zh-CN"/>
              </w:rPr>
              <w:t>中标价的1</w:t>
            </w:r>
            <w:r>
              <w:rPr>
                <w:rFonts w:hint="eastAsia" w:ascii="宋体" w:hAnsi="宋体" w:eastAsia="宋体" w:cs="宋体"/>
                <w:color w:val="auto"/>
                <w:sz w:val="24"/>
                <w:highlight w:val="none"/>
              </w:rPr>
              <w:t>%的履约保证金，在中标人与采购人签订合同前递交，投标人需以支票、汇票、本票或者金融机构、保险公司、担保机构出具的保函（可在政采云平台购买，咨询热线4009039583）等非现金形式提交。</w:t>
            </w:r>
          </w:p>
          <w:p>
            <w:pPr>
              <w:autoSpaceDE w:val="0"/>
              <w:autoSpaceDN w:val="0"/>
              <w:snapToGrid w:val="0"/>
              <w:spacing w:line="420" w:lineRule="exact"/>
              <w:textAlignment w:val="bottom"/>
              <w:rPr>
                <w:rFonts w:ascii="宋体" w:hAnsi="宋体" w:cs="宋体"/>
                <w:color w:val="auto"/>
                <w:sz w:val="24"/>
                <w:highlight w:val="none"/>
              </w:rPr>
            </w:pPr>
            <w:r>
              <w:rPr>
                <w:rFonts w:hint="eastAsia" w:ascii="宋体" w:hAnsi="宋体" w:eastAsia="宋体" w:cs="宋体"/>
                <w:color w:val="auto"/>
                <w:sz w:val="24"/>
                <w:highlight w:val="none"/>
                <w:lang w:val="en-US" w:eastAsia="zh-CN"/>
              </w:rPr>
              <w:t>中标人也</w:t>
            </w:r>
            <w:r>
              <w:rPr>
                <w:rFonts w:hint="eastAsia" w:ascii="宋体" w:hAnsi="宋体" w:eastAsia="宋体" w:cs="宋体"/>
                <w:color w:val="auto"/>
                <w:sz w:val="24"/>
                <w:highlight w:val="none"/>
              </w:rPr>
              <w:t>可登录政采云平台-【金融服务】—【我的项目】—【已备案合同】以保函形式提供：</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1</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中标人</w:t>
            </w:r>
            <w:r>
              <w:rPr>
                <w:rFonts w:hint="eastAsia" w:ascii="宋体" w:hAnsi="宋体" w:eastAsia="宋体" w:cs="宋体"/>
                <w:color w:val="auto"/>
                <w:sz w:val="24"/>
                <w:highlight w:val="none"/>
              </w:rPr>
              <w:t>在合同列表选择需要投保的合同，点击[保函推荐]。</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2</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rPr>
              <w:t>在弹框里查看推荐的保函产品，</w:t>
            </w:r>
            <w:r>
              <w:rPr>
                <w:rFonts w:hint="eastAsia" w:ascii="宋体" w:hAnsi="宋体" w:eastAsia="宋体" w:cs="宋体"/>
                <w:color w:val="auto"/>
                <w:sz w:val="24"/>
                <w:highlight w:val="none"/>
                <w:lang w:val="en-US" w:eastAsia="zh-CN"/>
              </w:rPr>
              <w:t>中标人</w:t>
            </w:r>
            <w:r>
              <w:rPr>
                <w:rFonts w:hint="eastAsia" w:ascii="宋体" w:hAnsi="宋体" w:eastAsia="宋体" w:cs="宋体"/>
                <w:color w:val="auto"/>
                <w:sz w:val="24"/>
                <w:highlight w:val="none"/>
              </w:rPr>
              <w:t>自行选择保函产品，点击[立即申请]。</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3</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rPr>
              <w:t>在弹框里填写保函申请信息。具体步骤：选择产品—填写供应商信息—选择中标项目—确认信息—等待保险/保函受理—确认保单—支付保费—成功出单。政采云金融专线400-903-9583。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796" w:hRule="atLeast"/>
          <w:jc w:val="center"/>
        </w:trPr>
        <w:tc>
          <w:tcPr>
            <w:tcW w:w="750" w:type="dxa"/>
            <w:tcBorders>
              <w:top w:val="single" w:color="auto" w:sz="4" w:space="0"/>
              <w:left w:val="single" w:color="auto" w:sz="4" w:space="0"/>
              <w:bottom w:val="single" w:color="auto" w:sz="4" w:space="0"/>
              <w:right w:val="single" w:color="auto" w:sz="4" w:space="0"/>
            </w:tcBorders>
            <w:vAlign w:val="center"/>
          </w:tcPr>
          <w:p>
            <w:pPr>
              <w:snapToGrid w:val="0"/>
              <w:spacing w:line="420" w:lineRule="exact"/>
              <w:jc w:val="center"/>
              <w:rPr>
                <w:rFonts w:ascii="宋体" w:hAnsi="宋体" w:cs="宋体"/>
                <w:color w:val="auto"/>
                <w:sz w:val="24"/>
                <w:highlight w:val="none"/>
              </w:rPr>
            </w:pPr>
            <w:r>
              <w:rPr>
                <w:rFonts w:hint="eastAsia" w:ascii="宋体" w:hAnsi="宋体" w:cs="宋体"/>
                <w:color w:val="auto"/>
                <w:sz w:val="24"/>
                <w:highlight w:val="none"/>
              </w:rPr>
              <w:t>13</w:t>
            </w:r>
          </w:p>
        </w:tc>
        <w:tc>
          <w:tcPr>
            <w:tcW w:w="8743" w:type="dxa"/>
            <w:tcBorders>
              <w:top w:val="single" w:color="auto" w:sz="4" w:space="0"/>
              <w:left w:val="single" w:color="auto" w:sz="4" w:space="0"/>
              <w:bottom w:val="single" w:color="auto" w:sz="4" w:space="0"/>
              <w:right w:val="single" w:color="auto" w:sz="4" w:space="0"/>
            </w:tcBorders>
            <w:vAlign w:val="center"/>
          </w:tcPr>
          <w:p>
            <w:pPr>
              <w:snapToGrid w:val="0"/>
              <w:spacing w:line="348" w:lineRule="auto"/>
              <w:jc w:val="left"/>
              <w:rPr>
                <w:rFonts w:ascii="宋体" w:hAnsi="宋体" w:cs="宋体"/>
                <w:color w:val="auto"/>
                <w:sz w:val="24"/>
                <w:highlight w:val="none"/>
              </w:rPr>
            </w:pPr>
            <w:r>
              <w:rPr>
                <w:rFonts w:hint="eastAsia" w:ascii="宋体" w:hAnsi="宋体" w:cs="宋体"/>
                <w:color w:val="auto"/>
                <w:sz w:val="24"/>
                <w:highlight w:val="none"/>
              </w:rPr>
              <w:t>1、企业信用融资: 省财政厅、浙江银监局、省金融办制定了《浙江省政府采购支持中小企业信用融资试点办法》浙财采监[2012]13号)，所称的政府采购信用融资，是指银行业金融机构(以下简称银行)以政府采购诚信考核和信用审查为基础，凭借政府采购合同，按优于一般中小企业的贷款利率直接向申请贷款的供应商发放贷款的一种融资方式。供应商可登录浙江政府采购网(http://zfcg.czt.zj.gov.cn/)的中小企业信用融资栏目了解相关信息。 供应商可以通过浙江政府采购网(http://zfcg.czt.zj.gov.cn/)首页的“浙江政采贷”模块进入申请，还可以通过政府采购云平台(https://www.zcygov.cn/)首页的“金融服务”模块进入申请。</w:t>
            </w:r>
          </w:p>
          <w:p>
            <w:pPr>
              <w:snapToGrid w:val="0"/>
              <w:spacing w:line="348" w:lineRule="auto"/>
              <w:jc w:val="left"/>
              <w:rPr>
                <w:rFonts w:ascii="宋体" w:hAnsi="宋体" w:cs="宋体"/>
                <w:color w:val="auto"/>
                <w:sz w:val="24"/>
                <w:highlight w:val="none"/>
              </w:rPr>
            </w:pPr>
            <w:r>
              <w:rPr>
                <w:rFonts w:hint="eastAsia" w:ascii="宋体" w:hAnsi="宋体" w:cs="宋体"/>
                <w:color w:val="auto"/>
                <w:sz w:val="24"/>
                <w:highlight w:val="none"/>
              </w:rPr>
              <w:t xml:space="preserve">2、政府采购金融服务提示：为扩大政府采购金融服务面，除政采云网上金融服务合作银行外，东阳市范围内增加浙商银行金华分行东阳支行作为线下合作银行。   </w:t>
            </w:r>
          </w:p>
          <w:p>
            <w:pPr>
              <w:snapToGrid w:val="0"/>
              <w:spacing w:line="420" w:lineRule="exact"/>
              <w:rPr>
                <w:rFonts w:ascii="宋体" w:hAnsi="宋体" w:cs="宋体"/>
                <w:color w:val="auto"/>
                <w:sz w:val="24"/>
                <w:highlight w:val="none"/>
              </w:rPr>
            </w:pPr>
            <w:r>
              <w:rPr>
                <w:rFonts w:hint="eastAsia" w:ascii="宋体" w:hAnsi="宋体" w:cs="宋体"/>
                <w:color w:val="auto"/>
                <w:sz w:val="24"/>
                <w:highlight w:val="none"/>
              </w:rPr>
              <w:t>浙商银行金华东阳支行联系人：许燕  联系电话：13967983441  0579-86222992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9" w:hRule="atLeast"/>
          <w:jc w:val="center"/>
        </w:trPr>
        <w:tc>
          <w:tcPr>
            <w:tcW w:w="750" w:type="dxa"/>
            <w:tcBorders>
              <w:top w:val="single" w:color="auto" w:sz="4" w:space="0"/>
              <w:left w:val="single" w:color="auto" w:sz="4" w:space="0"/>
              <w:bottom w:val="single" w:color="auto" w:sz="4" w:space="0"/>
              <w:right w:val="single" w:color="auto" w:sz="4" w:space="0"/>
            </w:tcBorders>
            <w:vAlign w:val="center"/>
          </w:tcPr>
          <w:p>
            <w:pPr>
              <w:snapToGrid w:val="0"/>
              <w:spacing w:line="420" w:lineRule="exact"/>
              <w:jc w:val="center"/>
              <w:rPr>
                <w:rFonts w:ascii="宋体" w:hAnsi="宋体" w:cs="宋体"/>
                <w:color w:val="auto"/>
                <w:sz w:val="24"/>
                <w:highlight w:val="none"/>
              </w:rPr>
            </w:pPr>
            <w:r>
              <w:rPr>
                <w:rFonts w:hint="eastAsia" w:ascii="宋体" w:hAnsi="宋体" w:cs="宋体"/>
                <w:color w:val="auto"/>
                <w:sz w:val="24"/>
                <w:highlight w:val="none"/>
              </w:rPr>
              <w:t>14</w:t>
            </w:r>
          </w:p>
        </w:tc>
        <w:tc>
          <w:tcPr>
            <w:tcW w:w="8743" w:type="dxa"/>
            <w:tcBorders>
              <w:top w:val="single" w:color="auto" w:sz="4" w:space="0"/>
              <w:left w:val="single" w:color="auto" w:sz="4" w:space="0"/>
              <w:bottom w:val="single" w:color="auto" w:sz="4" w:space="0"/>
              <w:right w:val="single" w:color="auto" w:sz="4" w:space="0"/>
            </w:tcBorders>
            <w:vAlign w:val="center"/>
          </w:tcPr>
          <w:p>
            <w:pPr>
              <w:autoSpaceDE w:val="0"/>
              <w:autoSpaceDN w:val="0"/>
              <w:snapToGrid w:val="0"/>
              <w:spacing w:line="420" w:lineRule="exact"/>
              <w:textAlignment w:val="bottom"/>
              <w:rPr>
                <w:rFonts w:ascii="宋体" w:hAnsi="宋体" w:cs="宋体"/>
                <w:color w:val="auto"/>
                <w:sz w:val="24"/>
                <w:highlight w:val="none"/>
              </w:rPr>
            </w:pPr>
            <w:r>
              <w:rPr>
                <w:rFonts w:hint="eastAsia" w:ascii="宋体" w:hAnsi="宋体" w:cs="宋体"/>
                <w:color w:val="auto"/>
                <w:sz w:val="24"/>
                <w:highlight w:val="none"/>
              </w:rPr>
              <w:t>签订合同时间：发出《中标通知书》之日起20天内。</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25" w:hRule="atLeast"/>
          <w:jc w:val="center"/>
        </w:trPr>
        <w:tc>
          <w:tcPr>
            <w:tcW w:w="750" w:type="dxa"/>
            <w:tcBorders>
              <w:top w:val="single" w:color="auto" w:sz="4" w:space="0"/>
              <w:left w:val="single" w:color="auto" w:sz="4" w:space="0"/>
              <w:bottom w:val="single" w:color="auto" w:sz="4" w:space="0"/>
              <w:right w:val="single" w:color="auto" w:sz="4" w:space="0"/>
            </w:tcBorders>
            <w:vAlign w:val="center"/>
          </w:tcPr>
          <w:p>
            <w:pPr>
              <w:snapToGrid w:val="0"/>
              <w:spacing w:line="420" w:lineRule="exact"/>
              <w:jc w:val="center"/>
              <w:rPr>
                <w:rFonts w:ascii="宋体" w:hAnsi="宋体" w:cs="宋体"/>
                <w:color w:val="auto"/>
                <w:sz w:val="24"/>
                <w:highlight w:val="none"/>
              </w:rPr>
            </w:pPr>
            <w:r>
              <w:rPr>
                <w:rFonts w:hint="eastAsia" w:ascii="宋体" w:hAnsi="宋体" w:cs="宋体"/>
                <w:color w:val="auto"/>
                <w:sz w:val="24"/>
                <w:highlight w:val="none"/>
              </w:rPr>
              <w:t>15</w:t>
            </w:r>
          </w:p>
        </w:tc>
        <w:tc>
          <w:tcPr>
            <w:tcW w:w="8743" w:type="dxa"/>
            <w:tcBorders>
              <w:top w:val="single" w:color="auto" w:sz="4" w:space="0"/>
              <w:left w:val="single" w:color="auto" w:sz="4" w:space="0"/>
              <w:bottom w:val="single" w:color="auto" w:sz="4" w:space="0"/>
              <w:right w:val="single" w:color="auto" w:sz="4" w:space="0"/>
            </w:tcBorders>
            <w:vAlign w:val="center"/>
          </w:tcPr>
          <w:p>
            <w:pPr>
              <w:autoSpaceDE w:val="0"/>
              <w:autoSpaceDN w:val="0"/>
              <w:snapToGrid w:val="0"/>
              <w:spacing w:line="420" w:lineRule="exact"/>
              <w:textAlignment w:val="bottom"/>
              <w:rPr>
                <w:rFonts w:ascii="宋体" w:hAnsi="宋体" w:cs="宋体"/>
                <w:color w:val="auto"/>
                <w:sz w:val="24"/>
                <w:highlight w:val="none"/>
              </w:rPr>
            </w:pPr>
            <w:r>
              <w:rPr>
                <w:rFonts w:hint="eastAsia" w:ascii="宋体" w:hAnsi="宋体" w:cs="宋体"/>
                <w:color w:val="auto"/>
                <w:sz w:val="24"/>
                <w:highlight w:val="none"/>
              </w:rPr>
              <w:t>中标人与</w:t>
            </w:r>
            <w:r>
              <w:rPr>
                <w:rFonts w:hint="eastAsia" w:ascii="宋体" w:hAnsi="宋体" w:cs="宋体"/>
                <w:color w:val="auto"/>
                <w:sz w:val="24"/>
                <w:highlight w:val="none"/>
                <w:lang w:eastAsia="zh-CN"/>
              </w:rPr>
              <w:t>三单村股份经济合作社</w:t>
            </w:r>
            <w:r>
              <w:rPr>
                <w:rFonts w:hint="eastAsia" w:ascii="宋体" w:hAnsi="宋体" w:cs="宋体"/>
                <w:color w:val="auto"/>
                <w:sz w:val="24"/>
                <w:highlight w:val="none"/>
              </w:rPr>
              <w:t xml:space="preserve">签订政府采购合同。 </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711" w:hRule="atLeast"/>
          <w:jc w:val="center"/>
        </w:trPr>
        <w:tc>
          <w:tcPr>
            <w:tcW w:w="750" w:type="dxa"/>
            <w:tcBorders>
              <w:top w:val="single" w:color="auto" w:sz="4" w:space="0"/>
              <w:left w:val="single" w:color="auto" w:sz="4" w:space="0"/>
              <w:bottom w:val="single" w:color="auto" w:sz="4" w:space="0"/>
              <w:right w:val="single" w:color="auto" w:sz="4" w:space="0"/>
            </w:tcBorders>
            <w:vAlign w:val="center"/>
          </w:tcPr>
          <w:p>
            <w:pPr>
              <w:snapToGrid w:val="0"/>
              <w:spacing w:line="420" w:lineRule="exact"/>
              <w:jc w:val="center"/>
              <w:rPr>
                <w:rFonts w:ascii="宋体" w:hAnsi="宋体" w:cs="宋体"/>
                <w:color w:val="auto"/>
                <w:sz w:val="24"/>
                <w:highlight w:val="none"/>
              </w:rPr>
            </w:pPr>
            <w:r>
              <w:rPr>
                <w:rFonts w:hint="eastAsia" w:ascii="宋体" w:hAnsi="宋体" w:cs="宋体"/>
                <w:color w:val="auto"/>
                <w:sz w:val="24"/>
                <w:highlight w:val="none"/>
              </w:rPr>
              <w:t>16</w:t>
            </w:r>
          </w:p>
        </w:tc>
        <w:tc>
          <w:tcPr>
            <w:tcW w:w="8743" w:type="dxa"/>
            <w:tcBorders>
              <w:top w:val="single" w:color="auto" w:sz="4" w:space="0"/>
              <w:left w:val="single" w:color="auto" w:sz="4" w:space="0"/>
              <w:bottom w:val="single" w:color="auto" w:sz="4" w:space="0"/>
              <w:right w:val="single" w:color="auto" w:sz="4" w:space="0"/>
            </w:tcBorders>
            <w:vAlign w:val="center"/>
          </w:tcPr>
          <w:p>
            <w:pPr>
              <w:autoSpaceDE w:val="0"/>
              <w:autoSpaceDN w:val="0"/>
              <w:snapToGrid w:val="0"/>
              <w:spacing w:line="420" w:lineRule="exact"/>
              <w:textAlignment w:val="bottom"/>
              <w:rPr>
                <w:rFonts w:hint="eastAsia" w:ascii="宋体" w:hAnsi="宋体" w:cs="宋体"/>
                <w:color w:val="auto"/>
                <w:sz w:val="24"/>
                <w:highlight w:val="none"/>
              </w:rPr>
            </w:pPr>
            <w:r>
              <w:rPr>
                <w:rFonts w:hint="eastAsia" w:ascii="宋体" w:hAnsi="宋体" w:cs="宋体"/>
                <w:color w:val="auto"/>
                <w:sz w:val="24"/>
                <w:highlight w:val="none"/>
              </w:rPr>
              <w:t>付款方式：</w:t>
            </w:r>
          </w:p>
          <w:p>
            <w:pPr>
              <w:spacing w:line="360" w:lineRule="auto"/>
              <w:ind w:firstLine="480" w:firstLineChars="200"/>
              <w:rPr>
                <w:rFonts w:ascii="宋体" w:hAnsi="宋体"/>
                <w:color w:val="auto"/>
                <w:sz w:val="24"/>
                <w:highlight w:val="none"/>
              </w:rPr>
            </w:pPr>
            <w:r>
              <w:rPr>
                <w:rFonts w:hint="eastAsia" w:ascii="宋体" w:hAnsi="宋体"/>
                <w:color w:val="auto"/>
                <w:sz w:val="24"/>
                <w:highlight w:val="none"/>
              </w:rPr>
              <w:t>（1）合同生效以及具备实施条件后7个工作日内支付合同价款的40%作为预付款（中标人</w:t>
            </w:r>
            <w:r>
              <w:rPr>
                <w:rFonts w:hint="eastAsia" w:ascii="宋体" w:hAnsi="宋体"/>
                <w:color w:val="auto"/>
                <w:sz w:val="24"/>
                <w:highlight w:val="none"/>
                <w:lang w:val="en-US" w:eastAsia="zh-CN"/>
              </w:rPr>
              <w:t>须</w:t>
            </w:r>
            <w:r>
              <w:rPr>
                <w:rFonts w:hint="eastAsia" w:ascii="宋体" w:hAnsi="宋体"/>
                <w:color w:val="auto"/>
                <w:sz w:val="24"/>
                <w:highlight w:val="none"/>
              </w:rPr>
              <w:t>提交预付款保函）；</w:t>
            </w:r>
          </w:p>
          <w:p>
            <w:pPr>
              <w:spacing w:line="360" w:lineRule="auto"/>
              <w:ind w:firstLine="480" w:firstLineChars="200"/>
              <w:rPr>
                <w:rFonts w:ascii="宋体" w:hAnsi="宋体"/>
                <w:color w:val="auto"/>
                <w:sz w:val="24"/>
                <w:highlight w:val="none"/>
              </w:rPr>
            </w:pPr>
            <w:r>
              <w:rPr>
                <w:rFonts w:hint="eastAsia" w:ascii="宋体" w:hAnsi="宋体"/>
                <w:color w:val="auto"/>
                <w:sz w:val="24"/>
                <w:highlight w:val="none"/>
              </w:rPr>
              <w:t>（</w:t>
            </w:r>
            <w:r>
              <w:rPr>
                <w:rFonts w:hint="eastAsia" w:ascii="宋体" w:hAnsi="宋体"/>
                <w:color w:val="auto"/>
                <w:sz w:val="24"/>
                <w:highlight w:val="none"/>
                <w:lang w:val="en-US" w:eastAsia="zh-CN"/>
              </w:rPr>
              <w:t>2</w:t>
            </w:r>
            <w:r>
              <w:rPr>
                <w:rFonts w:hint="eastAsia" w:ascii="宋体" w:hAnsi="宋体"/>
                <w:color w:val="auto"/>
                <w:sz w:val="24"/>
                <w:highlight w:val="none"/>
              </w:rPr>
              <w:t>）全部工程完工后支付至合同价款的</w:t>
            </w:r>
            <w:r>
              <w:rPr>
                <w:rFonts w:hint="eastAsia" w:ascii="宋体" w:hAnsi="宋体"/>
                <w:color w:val="auto"/>
                <w:sz w:val="24"/>
                <w:highlight w:val="none"/>
                <w:lang w:val="en-US" w:eastAsia="zh-CN"/>
              </w:rPr>
              <w:t>85</w:t>
            </w:r>
            <w:r>
              <w:rPr>
                <w:rFonts w:hint="eastAsia" w:ascii="宋体" w:hAnsi="宋体"/>
                <w:color w:val="auto"/>
                <w:sz w:val="24"/>
                <w:highlight w:val="none"/>
              </w:rPr>
              <w:t>%；</w:t>
            </w:r>
          </w:p>
          <w:p>
            <w:pPr>
              <w:spacing w:line="360" w:lineRule="auto"/>
              <w:ind w:firstLine="480" w:firstLineChars="200"/>
              <w:rPr>
                <w:rFonts w:ascii="宋体" w:hAnsi="宋体" w:cs="宋体"/>
                <w:color w:val="auto"/>
                <w:sz w:val="24"/>
                <w:highlight w:val="none"/>
              </w:rPr>
            </w:pPr>
            <w:r>
              <w:rPr>
                <w:rFonts w:hint="eastAsia" w:ascii="宋体" w:hAnsi="宋体"/>
                <w:color w:val="auto"/>
                <w:sz w:val="24"/>
                <w:highlight w:val="none"/>
              </w:rPr>
              <w:t>（</w:t>
            </w:r>
            <w:r>
              <w:rPr>
                <w:rFonts w:hint="eastAsia" w:ascii="宋体" w:hAnsi="宋体"/>
                <w:color w:val="auto"/>
                <w:sz w:val="24"/>
                <w:highlight w:val="none"/>
                <w:lang w:val="en-US" w:eastAsia="zh-CN"/>
              </w:rPr>
              <w:t>3</w:t>
            </w:r>
            <w:r>
              <w:rPr>
                <w:rFonts w:hint="eastAsia" w:ascii="宋体" w:hAnsi="宋体"/>
                <w:color w:val="auto"/>
                <w:sz w:val="24"/>
                <w:highlight w:val="none"/>
              </w:rPr>
              <w:t>）工程通过竣工验收合格</w:t>
            </w:r>
            <w:r>
              <w:rPr>
                <w:rFonts w:hint="eastAsia" w:ascii="宋体" w:hAnsi="宋体"/>
                <w:color w:val="auto"/>
                <w:sz w:val="24"/>
                <w:highlight w:val="none"/>
                <w:lang w:val="en-US" w:eastAsia="zh-CN"/>
              </w:rPr>
              <w:t>后</w:t>
            </w:r>
            <w:r>
              <w:rPr>
                <w:rFonts w:hint="eastAsia" w:ascii="宋体" w:hAnsi="宋体"/>
                <w:color w:val="auto"/>
                <w:sz w:val="24"/>
                <w:highlight w:val="none"/>
              </w:rPr>
              <w:t>凭竣工验收报告支付至</w:t>
            </w:r>
            <w:r>
              <w:rPr>
                <w:rFonts w:hint="eastAsia" w:ascii="宋体" w:hAnsi="宋体"/>
                <w:color w:val="auto"/>
                <w:sz w:val="24"/>
                <w:highlight w:val="none"/>
                <w:lang w:val="en-US" w:eastAsia="zh-CN"/>
              </w:rPr>
              <w:t>实际价款</w:t>
            </w:r>
            <w:r>
              <w:rPr>
                <w:rFonts w:hint="eastAsia" w:ascii="宋体" w:hAnsi="宋体"/>
                <w:color w:val="auto"/>
                <w:sz w:val="24"/>
                <w:highlight w:val="none"/>
              </w:rPr>
              <w:t>的</w:t>
            </w:r>
            <w:r>
              <w:rPr>
                <w:rFonts w:hint="eastAsia" w:ascii="宋体" w:hAnsi="宋体"/>
                <w:color w:val="auto"/>
                <w:sz w:val="24"/>
                <w:highlight w:val="none"/>
                <w:lang w:val="en-US" w:eastAsia="zh-CN"/>
              </w:rPr>
              <w:t>100</w:t>
            </w:r>
            <w:r>
              <w:rPr>
                <w:rFonts w:hint="eastAsia" w:ascii="宋体" w:hAnsi="宋体"/>
                <w:color w:val="auto"/>
                <w:sz w:val="24"/>
                <w:highlight w:val="none"/>
              </w:rPr>
              <w:t>%。</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88" w:hRule="atLeast"/>
          <w:jc w:val="center"/>
        </w:trPr>
        <w:tc>
          <w:tcPr>
            <w:tcW w:w="750" w:type="dxa"/>
            <w:tcBorders>
              <w:top w:val="single" w:color="auto" w:sz="4" w:space="0"/>
              <w:left w:val="single" w:color="auto" w:sz="4" w:space="0"/>
              <w:bottom w:val="single" w:color="auto" w:sz="4" w:space="0"/>
              <w:right w:val="single" w:color="auto" w:sz="4" w:space="0"/>
            </w:tcBorders>
            <w:vAlign w:val="center"/>
          </w:tcPr>
          <w:p>
            <w:pPr>
              <w:snapToGrid w:val="0"/>
              <w:spacing w:line="420" w:lineRule="exact"/>
              <w:jc w:val="center"/>
              <w:rPr>
                <w:rFonts w:ascii="宋体" w:hAnsi="宋体" w:cs="宋体"/>
                <w:color w:val="auto"/>
                <w:sz w:val="24"/>
                <w:highlight w:val="none"/>
              </w:rPr>
            </w:pPr>
            <w:r>
              <w:rPr>
                <w:rFonts w:hint="eastAsia" w:ascii="宋体" w:hAnsi="宋体" w:cs="宋体"/>
                <w:color w:val="auto"/>
                <w:sz w:val="24"/>
                <w:highlight w:val="none"/>
              </w:rPr>
              <w:t>17</w:t>
            </w:r>
          </w:p>
        </w:tc>
        <w:tc>
          <w:tcPr>
            <w:tcW w:w="8743" w:type="dxa"/>
            <w:tcBorders>
              <w:top w:val="single" w:color="auto" w:sz="4" w:space="0"/>
              <w:left w:val="single" w:color="auto" w:sz="4" w:space="0"/>
              <w:bottom w:val="single" w:color="auto" w:sz="4" w:space="0"/>
              <w:right w:val="single" w:color="auto" w:sz="4" w:space="0"/>
            </w:tcBorders>
            <w:vAlign w:val="center"/>
          </w:tcPr>
          <w:p>
            <w:pPr>
              <w:snapToGrid w:val="0"/>
              <w:spacing w:line="420" w:lineRule="exact"/>
              <w:rPr>
                <w:rFonts w:ascii="宋体" w:hAnsi="宋体" w:cs="宋体"/>
                <w:color w:val="auto"/>
                <w:sz w:val="24"/>
                <w:highlight w:val="none"/>
              </w:rPr>
            </w:pPr>
            <w:r>
              <w:rPr>
                <w:rFonts w:hint="eastAsia" w:ascii="宋体" w:hAnsi="宋体" w:cs="宋体"/>
                <w:color w:val="auto"/>
                <w:sz w:val="24"/>
                <w:highlight w:val="none"/>
              </w:rPr>
              <w:t>服务地点：东阳市内，采购人指定的地点。</w:t>
            </w:r>
          </w:p>
          <w:p>
            <w:pPr>
              <w:snapToGrid w:val="0"/>
              <w:spacing w:line="348" w:lineRule="auto"/>
              <w:rPr>
                <w:rFonts w:ascii="宋体" w:hAnsi="宋体" w:cs="宋体"/>
                <w:color w:val="auto"/>
                <w:sz w:val="24"/>
                <w:highlight w:val="none"/>
              </w:rPr>
            </w:pPr>
            <w:r>
              <w:rPr>
                <w:rFonts w:hint="eastAsia" w:ascii="宋体" w:hAnsi="宋体" w:cs="宋体"/>
                <w:color w:val="auto"/>
                <w:sz w:val="24"/>
                <w:highlight w:val="none"/>
              </w:rPr>
              <w:t>验收：</w:t>
            </w:r>
          </w:p>
          <w:p>
            <w:pPr>
              <w:snapToGrid w:val="0"/>
              <w:spacing w:line="348" w:lineRule="auto"/>
              <w:rPr>
                <w:rFonts w:ascii="宋体" w:hAnsi="宋体" w:cs="宋体"/>
                <w:color w:val="auto"/>
                <w:sz w:val="24"/>
                <w:highlight w:val="none"/>
              </w:rPr>
            </w:pPr>
            <w:r>
              <w:rPr>
                <w:rFonts w:hint="eastAsia" w:ascii="宋体" w:hAnsi="宋体" w:cs="宋体"/>
                <w:color w:val="auto"/>
                <w:sz w:val="24"/>
                <w:highlight w:val="none"/>
              </w:rPr>
              <w:t>1.采购人组织相关人员对供应商履约的验收，验收费用由中标人承担；采购人出具一式二份验收报告，一份由中标人保管，一份由东阳市鑫盛工程咨询有限公司（原件）存档。大型或者复杂的政府采购项目，应当邀请国家认可的质量检测机构参加验收工作。验收方成员应当在验收书上签字，并承担相应的法律责任。如果发现与合同中要求不符，供应商须承担由此发生的一切损失和费用，并接受相应的处理。</w:t>
            </w:r>
          </w:p>
          <w:p>
            <w:pPr>
              <w:snapToGrid w:val="0"/>
              <w:spacing w:line="348" w:lineRule="auto"/>
              <w:rPr>
                <w:rFonts w:ascii="宋体" w:hAnsi="宋体" w:cs="宋体"/>
                <w:color w:val="auto"/>
                <w:sz w:val="24"/>
                <w:highlight w:val="none"/>
              </w:rPr>
            </w:pPr>
            <w:r>
              <w:rPr>
                <w:rFonts w:hint="eastAsia" w:ascii="宋体" w:hAnsi="宋体" w:cs="宋体"/>
                <w:color w:val="auto"/>
                <w:sz w:val="24"/>
                <w:highlight w:val="none"/>
              </w:rPr>
              <w:t>2.采购人可以邀请参加本项目的其他供应商或者第三方机构参与验收。参与验收的供应商或者第三方机构的意见作为验收书的参考资料一并存档。</w:t>
            </w:r>
          </w:p>
          <w:p>
            <w:pPr>
              <w:snapToGrid w:val="0"/>
              <w:spacing w:line="348" w:lineRule="auto"/>
              <w:rPr>
                <w:rFonts w:ascii="宋体" w:hAnsi="宋体" w:cs="宋体"/>
                <w:color w:val="auto"/>
                <w:sz w:val="24"/>
                <w:highlight w:val="none"/>
              </w:rPr>
            </w:pPr>
            <w:r>
              <w:rPr>
                <w:rFonts w:hint="eastAsia" w:ascii="宋体" w:hAnsi="宋体" w:cs="宋体"/>
                <w:color w:val="auto"/>
                <w:sz w:val="24"/>
                <w:highlight w:val="none"/>
              </w:rPr>
              <w:t>3.严格按照采购合同开展履约验收。采购人成立验收小组，按照采购合同的约定对供应商履约情况进行验收。验收时，按照采购合同的约定对每一项技术、服务、安全标准的履约情况进行确认。验收结束后，应当出具验收书，列明各项标准的验收情况及项目总体评价，由验收双方共同签署。验收结果与采购合同约定的资金支付及履约保证金返还条件挂钩。履约验收的各项资料应当存档备查。</w:t>
            </w:r>
          </w:p>
          <w:p>
            <w:pPr>
              <w:snapToGrid w:val="0"/>
              <w:spacing w:line="348" w:lineRule="auto"/>
              <w:rPr>
                <w:rFonts w:ascii="宋体" w:hAnsi="宋体" w:cs="宋体"/>
                <w:color w:val="auto"/>
                <w:sz w:val="24"/>
                <w:highlight w:val="none"/>
              </w:rPr>
            </w:pPr>
            <w:r>
              <w:rPr>
                <w:rFonts w:hint="eastAsia" w:ascii="宋体" w:hAnsi="宋体" w:cs="宋体"/>
                <w:color w:val="auto"/>
                <w:sz w:val="24"/>
                <w:highlight w:val="none"/>
              </w:rPr>
              <w:t>4.采购人原则上应当在履约验收之日起2个工作日内，将履约验收结果在浙江政府采购网上公告。</w:t>
            </w:r>
          </w:p>
          <w:p>
            <w:pPr>
              <w:snapToGrid w:val="0"/>
              <w:spacing w:line="420" w:lineRule="exact"/>
              <w:rPr>
                <w:rFonts w:ascii="宋体" w:hAnsi="宋体" w:cs="宋体"/>
                <w:color w:val="auto"/>
                <w:sz w:val="24"/>
                <w:highlight w:val="none"/>
              </w:rPr>
            </w:pPr>
            <w:r>
              <w:rPr>
                <w:rFonts w:hint="eastAsia" w:ascii="宋体" w:hAnsi="宋体" w:cs="宋体"/>
                <w:color w:val="auto"/>
                <w:sz w:val="24"/>
                <w:highlight w:val="none"/>
              </w:rPr>
              <w:t>5.验收合格的项目，采购人将根据采购合同的约定及时向供应商支付采购资金、退还履约保证金。验收不合格的项目，采购人将依法及时处理。采购合同的履行、违约责任和解决争议的方式等适用《中华人民共和国民法典》。供应商在履约过程中有政府采购法律法规规定的违法违规情形的，采购人应当及时报告本级财政部门。</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88" w:hRule="atLeast"/>
          <w:jc w:val="center"/>
        </w:trPr>
        <w:tc>
          <w:tcPr>
            <w:tcW w:w="750" w:type="dxa"/>
            <w:tcBorders>
              <w:top w:val="single" w:color="auto" w:sz="4" w:space="0"/>
              <w:left w:val="single" w:color="auto" w:sz="4" w:space="0"/>
              <w:bottom w:val="single" w:color="auto" w:sz="4" w:space="0"/>
              <w:right w:val="single" w:color="auto" w:sz="4" w:space="0"/>
            </w:tcBorders>
            <w:vAlign w:val="center"/>
          </w:tcPr>
          <w:p>
            <w:pPr>
              <w:snapToGrid w:val="0"/>
              <w:spacing w:line="420" w:lineRule="exact"/>
              <w:jc w:val="center"/>
              <w:rPr>
                <w:rFonts w:ascii="宋体" w:hAnsi="宋体" w:cs="宋体"/>
                <w:color w:val="auto"/>
                <w:sz w:val="24"/>
                <w:highlight w:val="none"/>
              </w:rPr>
            </w:pPr>
            <w:r>
              <w:rPr>
                <w:rFonts w:hint="eastAsia" w:ascii="宋体" w:hAnsi="宋体" w:cs="宋体"/>
                <w:color w:val="auto"/>
                <w:sz w:val="24"/>
                <w:highlight w:val="none"/>
              </w:rPr>
              <w:t>18</w:t>
            </w:r>
          </w:p>
        </w:tc>
        <w:tc>
          <w:tcPr>
            <w:tcW w:w="8743" w:type="dxa"/>
            <w:tcBorders>
              <w:top w:val="single" w:color="auto" w:sz="4" w:space="0"/>
              <w:left w:val="single" w:color="auto" w:sz="4" w:space="0"/>
              <w:bottom w:val="single" w:color="auto" w:sz="4" w:space="0"/>
              <w:right w:val="single" w:color="auto" w:sz="4" w:space="0"/>
            </w:tcBorders>
            <w:vAlign w:val="center"/>
          </w:tcPr>
          <w:p>
            <w:pPr>
              <w:snapToGrid w:val="0"/>
              <w:spacing w:beforeLines="50" w:line="348" w:lineRule="auto"/>
              <w:outlineLvl w:val="2"/>
              <w:rPr>
                <w:rFonts w:ascii="宋体" w:hAnsi="宋体"/>
                <w:b/>
                <w:color w:val="auto"/>
                <w:sz w:val="24"/>
                <w:highlight w:val="none"/>
              </w:rPr>
            </w:pPr>
            <w:r>
              <w:rPr>
                <w:rFonts w:hint="eastAsia" w:ascii="宋体" w:hAnsi="宋体"/>
                <w:b/>
                <w:color w:val="auto"/>
                <w:sz w:val="24"/>
                <w:highlight w:val="none"/>
              </w:rPr>
              <w:t>供应商有下列情形之一的，列入失信名单，同时依照《政府采购法》第七十七条及《中华人民共和国政府采购法实施条例》第七十二条规定处罚并追求法律责任。</w:t>
            </w:r>
          </w:p>
          <w:p>
            <w:pPr>
              <w:snapToGrid w:val="0"/>
              <w:spacing w:line="348" w:lineRule="auto"/>
              <w:jc w:val="left"/>
              <w:rPr>
                <w:rFonts w:ascii="宋体" w:hAnsi="宋体"/>
                <w:color w:val="auto"/>
                <w:sz w:val="24"/>
                <w:highlight w:val="none"/>
              </w:rPr>
            </w:pPr>
            <w:r>
              <w:rPr>
                <w:rFonts w:hint="eastAsia" w:ascii="宋体" w:hAnsi="宋体"/>
                <w:color w:val="auto"/>
                <w:sz w:val="24"/>
                <w:highlight w:val="none"/>
              </w:rPr>
              <w:t xml:space="preserve">1、提供虚假材料谋取中标、成交的； </w:t>
            </w:r>
          </w:p>
          <w:p>
            <w:pPr>
              <w:snapToGrid w:val="0"/>
              <w:spacing w:line="348" w:lineRule="auto"/>
              <w:jc w:val="left"/>
              <w:rPr>
                <w:rFonts w:ascii="宋体" w:hAnsi="宋体"/>
                <w:color w:val="auto"/>
                <w:sz w:val="24"/>
                <w:highlight w:val="none"/>
              </w:rPr>
            </w:pPr>
            <w:r>
              <w:rPr>
                <w:rFonts w:hint="eastAsia" w:ascii="宋体" w:hAnsi="宋体"/>
                <w:color w:val="auto"/>
                <w:sz w:val="24"/>
                <w:highlight w:val="none"/>
              </w:rPr>
              <w:t xml:space="preserve">2、采取不正当手段诋毁、排挤其他供应商的； </w:t>
            </w:r>
          </w:p>
          <w:p>
            <w:pPr>
              <w:snapToGrid w:val="0"/>
              <w:spacing w:line="348" w:lineRule="auto"/>
              <w:jc w:val="left"/>
              <w:rPr>
                <w:rFonts w:ascii="宋体" w:hAnsi="宋体"/>
                <w:color w:val="auto"/>
                <w:sz w:val="24"/>
                <w:highlight w:val="none"/>
              </w:rPr>
            </w:pPr>
            <w:r>
              <w:rPr>
                <w:rFonts w:hint="eastAsia" w:ascii="宋体" w:hAnsi="宋体"/>
                <w:color w:val="auto"/>
                <w:sz w:val="24"/>
                <w:highlight w:val="none"/>
              </w:rPr>
              <w:t xml:space="preserve">3、与采购人、其他供应商或者采购代理机构恶意串通的； </w:t>
            </w:r>
          </w:p>
          <w:p>
            <w:pPr>
              <w:snapToGrid w:val="0"/>
              <w:spacing w:line="348" w:lineRule="auto"/>
              <w:jc w:val="left"/>
              <w:rPr>
                <w:rFonts w:ascii="宋体" w:hAnsi="宋体"/>
                <w:color w:val="auto"/>
                <w:sz w:val="24"/>
                <w:highlight w:val="none"/>
              </w:rPr>
            </w:pPr>
            <w:r>
              <w:rPr>
                <w:rFonts w:hint="eastAsia" w:ascii="宋体" w:hAnsi="宋体"/>
                <w:color w:val="auto"/>
                <w:sz w:val="24"/>
                <w:highlight w:val="none"/>
              </w:rPr>
              <w:t xml:space="preserve">4、向采购人、采购代理机构行贿或者提供其他不正当利益的； </w:t>
            </w:r>
          </w:p>
          <w:p>
            <w:pPr>
              <w:snapToGrid w:val="0"/>
              <w:spacing w:line="348" w:lineRule="auto"/>
              <w:jc w:val="left"/>
              <w:rPr>
                <w:rFonts w:ascii="宋体" w:hAnsi="宋体"/>
                <w:color w:val="auto"/>
                <w:sz w:val="24"/>
                <w:highlight w:val="none"/>
              </w:rPr>
            </w:pPr>
            <w:r>
              <w:rPr>
                <w:rFonts w:hint="eastAsia" w:ascii="宋体" w:hAnsi="宋体"/>
                <w:color w:val="auto"/>
                <w:sz w:val="24"/>
                <w:highlight w:val="none"/>
              </w:rPr>
              <w:t xml:space="preserve">5、在招标采购过程中与采购人进行协商谈判的； </w:t>
            </w:r>
          </w:p>
          <w:p>
            <w:pPr>
              <w:snapToGrid w:val="0"/>
              <w:spacing w:line="348" w:lineRule="auto"/>
              <w:jc w:val="left"/>
              <w:rPr>
                <w:rFonts w:ascii="宋体" w:hAnsi="宋体"/>
                <w:color w:val="auto"/>
                <w:sz w:val="24"/>
                <w:highlight w:val="none"/>
              </w:rPr>
            </w:pPr>
            <w:r>
              <w:rPr>
                <w:rFonts w:hint="eastAsia" w:ascii="宋体" w:hAnsi="宋体"/>
                <w:color w:val="auto"/>
                <w:sz w:val="24"/>
                <w:highlight w:val="none"/>
              </w:rPr>
              <w:t>6、向评标委员会、竞争性谈判小组或者询价小组成员行贿或者提供其他不正当利益；</w:t>
            </w:r>
          </w:p>
          <w:p>
            <w:pPr>
              <w:snapToGrid w:val="0"/>
              <w:spacing w:line="348" w:lineRule="auto"/>
              <w:jc w:val="left"/>
              <w:rPr>
                <w:rFonts w:ascii="宋体" w:hAnsi="宋体"/>
                <w:color w:val="auto"/>
                <w:sz w:val="24"/>
                <w:highlight w:val="none"/>
              </w:rPr>
            </w:pPr>
            <w:r>
              <w:rPr>
                <w:rFonts w:hint="eastAsia" w:ascii="宋体" w:hAnsi="宋体"/>
                <w:color w:val="auto"/>
                <w:sz w:val="24"/>
                <w:highlight w:val="none"/>
              </w:rPr>
              <w:t>7、中标或者成交后无正当理由拒不与采购人签订政府采购合同；</w:t>
            </w:r>
          </w:p>
          <w:p>
            <w:pPr>
              <w:snapToGrid w:val="0"/>
              <w:spacing w:line="348" w:lineRule="auto"/>
              <w:jc w:val="left"/>
              <w:rPr>
                <w:rFonts w:ascii="宋体" w:hAnsi="宋体"/>
                <w:color w:val="auto"/>
                <w:sz w:val="24"/>
                <w:highlight w:val="none"/>
              </w:rPr>
            </w:pPr>
            <w:r>
              <w:rPr>
                <w:rFonts w:hint="eastAsia" w:ascii="宋体" w:hAnsi="宋体"/>
                <w:color w:val="auto"/>
                <w:sz w:val="24"/>
                <w:highlight w:val="none"/>
              </w:rPr>
              <w:t>8、未按照采购文件确定的事项签订政府采购合同；</w:t>
            </w:r>
          </w:p>
          <w:p>
            <w:pPr>
              <w:snapToGrid w:val="0"/>
              <w:spacing w:line="348" w:lineRule="auto"/>
              <w:jc w:val="left"/>
              <w:rPr>
                <w:rFonts w:ascii="宋体" w:hAnsi="宋体"/>
                <w:color w:val="auto"/>
                <w:sz w:val="24"/>
                <w:highlight w:val="none"/>
              </w:rPr>
            </w:pPr>
            <w:r>
              <w:rPr>
                <w:rFonts w:hint="eastAsia" w:ascii="宋体" w:hAnsi="宋体"/>
                <w:color w:val="auto"/>
                <w:sz w:val="24"/>
                <w:highlight w:val="none"/>
              </w:rPr>
              <w:t>9、将政府采购合同转包；</w:t>
            </w:r>
          </w:p>
          <w:p>
            <w:pPr>
              <w:snapToGrid w:val="0"/>
              <w:spacing w:line="348" w:lineRule="auto"/>
              <w:jc w:val="left"/>
              <w:rPr>
                <w:rFonts w:ascii="宋体" w:hAnsi="宋体"/>
                <w:color w:val="auto"/>
                <w:sz w:val="24"/>
                <w:highlight w:val="none"/>
              </w:rPr>
            </w:pPr>
            <w:r>
              <w:rPr>
                <w:rFonts w:hint="eastAsia" w:ascii="宋体" w:hAnsi="宋体"/>
                <w:color w:val="auto"/>
                <w:sz w:val="24"/>
                <w:highlight w:val="none"/>
              </w:rPr>
              <w:t>10、提供假冒伪劣产品；</w:t>
            </w:r>
          </w:p>
          <w:p>
            <w:pPr>
              <w:snapToGrid w:val="0"/>
              <w:spacing w:line="348" w:lineRule="auto"/>
              <w:jc w:val="left"/>
              <w:rPr>
                <w:rFonts w:ascii="宋体" w:hAnsi="宋体"/>
                <w:color w:val="auto"/>
                <w:sz w:val="24"/>
                <w:highlight w:val="none"/>
              </w:rPr>
            </w:pPr>
            <w:r>
              <w:rPr>
                <w:rFonts w:hint="eastAsia" w:ascii="宋体" w:hAnsi="宋体"/>
                <w:color w:val="auto"/>
                <w:sz w:val="24"/>
                <w:highlight w:val="none"/>
              </w:rPr>
              <w:t>11、擅自变更、中止或者终止政府采购合同。</w:t>
            </w:r>
          </w:p>
          <w:p>
            <w:pPr>
              <w:snapToGrid w:val="0"/>
              <w:spacing w:line="348" w:lineRule="auto"/>
              <w:rPr>
                <w:rFonts w:ascii="宋体" w:hAnsi="宋体" w:cs="宋体"/>
                <w:color w:val="auto"/>
                <w:sz w:val="24"/>
                <w:highlight w:val="none"/>
              </w:rPr>
            </w:pPr>
            <w:r>
              <w:rPr>
                <w:rFonts w:hint="eastAsia" w:ascii="宋体" w:hAnsi="宋体"/>
                <w:color w:val="auto"/>
                <w:sz w:val="24"/>
                <w:highlight w:val="none"/>
              </w:rPr>
              <w:t>12、其他严重扰乱招投标程序的。</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72" w:hRule="atLeast"/>
          <w:jc w:val="center"/>
        </w:trPr>
        <w:tc>
          <w:tcPr>
            <w:tcW w:w="750" w:type="dxa"/>
            <w:tcBorders>
              <w:top w:val="single" w:color="auto" w:sz="4" w:space="0"/>
              <w:left w:val="single" w:color="auto" w:sz="4" w:space="0"/>
              <w:bottom w:val="single" w:color="auto" w:sz="4" w:space="0"/>
              <w:right w:val="single" w:color="auto" w:sz="4" w:space="0"/>
            </w:tcBorders>
            <w:vAlign w:val="center"/>
          </w:tcPr>
          <w:p>
            <w:pPr>
              <w:snapToGrid w:val="0"/>
              <w:spacing w:line="420" w:lineRule="exact"/>
              <w:jc w:val="center"/>
              <w:rPr>
                <w:rFonts w:ascii="宋体" w:hAnsi="宋体" w:cs="宋体"/>
                <w:color w:val="auto"/>
                <w:sz w:val="24"/>
                <w:highlight w:val="none"/>
              </w:rPr>
            </w:pPr>
            <w:r>
              <w:rPr>
                <w:rFonts w:hint="eastAsia" w:ascii="宋体" w:hAnsi="宋体" w:cs="宋体"/>
                <w:color w:val="auto"/>
                <w:sz w:val="24"/>
                <w:highlight w:val="none"/>
              </w:rPr>
              <w:t>19</w:t>
            </w:r>
          </w:p>
        </w:tc>
        <w:tc>
          <w:tcPr>
            <w:tcW w:w="8743" w:type="dxa"/>
            <w:tcBorders>
              <w:top w:val="single" w:color="auto" w:sz="4" w:space="0"/>
              <w:left w:val="single" w:color="auto" w:sz="4" w:space="0"/>
              <w:bottom w:val="single" w:color="auto" w:sz="4" w:space="0"/>
              <w:right w:val="single" w:color="auto" w:sz="4" w:space="0"/>
            </w:tcBorders>
            <w:vAlign w:val="center"/>
          </w:tcPr>
          <w:p>
            <w:pPr>
              <w:snapToGrid w:val="0"/>
              <w:spacing w:line="420" w:lineRule="exact"/>
              <w:rPr>
                <w:rFonts w:ascii="宋体" w:hAnsi="宋体" w:cs="宋体"/>
                <w:color w:val="auto"/>
                <w:sz w:val="24"/>
                <w:highlight w:val="none"/>
              </w:rPr>
            </w:pPr>
            <w:r>
              <w:rPr>
                <w:rFonts w:hint="eastAsia" w:ascii="宋体" w:hAnsi="宋体" w:cs="宋体"/>
                <w:color w:val="auto"/>
                <w:sz w:val="24"/>
                <w:highlight w:val="none"/>
              </w:rPr>
              <w:t>磋商响应文件有效期：</w:t>
            </w:r>
            <w:r>
              <w:rPr>
                <w:rFonts w:hint="eastAsia" w:ascii="宋体" w:hAnsi="宋体" w:cs="宋体"/>
                <w:color w:val="auto"/>
                <w:sz w:val="24"/>
                <w:highlight w:val="none"/>
                <w:u w:val="single"/>
              </w:rPr>
              <w:t>60</w:t>
            </w:r>
            <w:r>
              <w:rPr>
                <w:rFonts w:hint="eastAsia" w:ascii="宋体" w:hAnsi="宋体" w:cs="宋体"/>
                <w:color w:val="auto"/>
                <w:sz w:val="24"/>
                <w:highlight w:val="none"/>
              </w:rPr>
              <w:t>天</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42" w:hRule="atLeast"/>
          <w:jc w:val="center"/>
        </w:trPr>
        <w:tc>
          <w:tcPr>
            <w:tcW w:w="750" w:type="dxa"/>
            <w:tcBorders>
              <w:top w:val="single" w:color="auto" w:sz="4" w:space="0"/>
              <w:left w:val="single" w:color="auto" w:sz="4" w:space="0"/>
              <w:bottom w:val="single" w:color="auto" w:sz="4" w:space="0"/>
              <w:right w:val="single" w:color="auto" w:sz="4" w:space="0"/>
            </w:tcBorders>
            <w:vAlign w:val="center"/>
          </w:tcPr>
          <w:p>
            <w:pPr>
              <w:snapToGrid w:val="0"/>
              <w:spacing w:line="420" w:lineRule="exact"/>
              <w:jc w:val="center"/>
              <w:rPr>
                <w:rFonts w:ascii="宋体" w:hAnsi="宋体" w:cs="宋体"/>
                <w:color w:val="auto"/>
                <w:sz w:val="24"/>
                <w:highlight w:val="none"/>
              </w:rPr>
            </w:pPr>
            <w:r>
              <w:rPr>
                <w:rFonts w:hint="eastAsia" w:ascii="宋体" w:hAnsi="宋体" w:cs="宋体"/>
                <w:color w:val="auto"/>
                <w:sz w:val="24"/>
                <w:highlight w:val="none"/>
              </w:rPr>
              <w:t>20</w:t>
            </w:r>
          </w:p>
        </w:tc>
        <w:tc>
          <w:tcPr>
            <w:tcW w:w="8743" w:type="dxa"/>
            <w:tcBorders>
              <w:top w:val="single" w:color="auto" w:sz="4" w:space="0"/>
              <w:left w:val="single" w:color="auto" w:sz="4" w:space="0"/>
              <w:bottom w:val="single" w:color="auto" w:sz="4" w:space="0"/>
              <w:right w:val="single" w:color="auto" w:sz="4" w:space="0"/>
            </w:tcBorders>
            <w:vAlign w:val="center"/>
          </w:tcPr>
          <w:p>
            <w:pPr>
              <w:snapToGrid w:val="0"/>
              <w:spacing w:line="420" w:lineRule="exact"/>
              <w:rPr>
                <w:rFonts w:ascii="宋体" w:hAnsi="宋体" w:cs="宋体"/>
                <w:b/>
                <w:color w:val="auto"/>
                <w:sz w:val="24"/>
                <w:highlight w:val="none"/>
              </w:rPr>
            </w:pPr>
            <w:r>
              <w:rPr>
                <w:rFonts w:hint="eastAsia" w:ascii="宋体" w:hAnsi="宋体" w:cs="宋体"/>
                <w:b/>
                <w:color w:val="auto"/>
                <w:sz w:val="24"/>
                <w:highlight w:val="none"/>
              </w:rPr>
              <w:t>招标方对供应商的落选不作出任何解释。</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191" w:hRule="atLeast"/>
          <w:jc w:val="center"/>
        </w:trPr>
        <w:tc>
          <w:tcPr>
            <w:tcW w:w="750" w:type="dxa"/>
            <w:tcBorders>
              <w:top w:val="single" w:color="auto" w:sz="4" w:space="0"/>
              <w:left w:val="single" w:color="auto" w:sz="4" w:space="0"/>
              <w:bottom w:val="single" w:color="auto" w:sz="4" w:space="0"/>
              <w:right w:val="single" w:color="auto" w:sz="4" w:space="0"/>
            </w:tcBorders>
            <w:vAlign w:val="center"/>
          </w:tcPr>
          <w:p>
            <w:pPr>
              <w:snapToGrid w:val="0"/>
              <w:spacing w:line="420" w:lineRule="exact"/>
              <w:jc w:val="center"/>
              <w:rPr>
                <w:rFonts w:ascii="宋体" w:hAnsi="宋体" w:cs="宋体"/>
                <w:color w:val="auto"/>
                <w:sz w:val="24"/>
                <w:highlight w:val="none"/>
              </w:rPr>
            </w:pPr>
            <w:r>
              <w:rPr>
                <w:rFonts w:hint="eastAsia" w:ascii="宋体" w:hAnsi="宋体" w:cs="宋体"/>
                <w:color w:val="auto"/>
                <w:sz w:val="24"/>
                <w:highlight w:val="none"/>
              </w:rPr>
              <w:t>21</w:t>
            </w:r>
          </w:p>
        </w:tc>
        <w:tc>
          <w:tcPr>
            <w:tcW w:w="8743" w:type="dxa"/>
            <w:tcBorders>
              <w:top w:val="single" w:color="auto" w:sz="4" w:space="0"/>
              <w:left w:val="single" w:color="auto" w:sz="4" w:space="0"/>
              <w:bottom w:val="single" w:color="auto" w:sz="4" w:space="0"/>
              <w:right w:val="single" w:color="auto" w:sz="4" w:space="0"/>
            </w:tcBorders>
            <w:vAlign w:val="center"/>
          </w:tcPr>
          <w:p>
            <w:pPr>
              <w:spacing w:line="420" w:lineRule="exact"/>
              <w:rPr>
                <w:rFonts w:ascii="宋体" w:hAnsi="宋体" w:cs="宋体"/>
                <w:b/>
                <w:color w:val="auto"/>
                <w:sz w:val="24"/>
                <w:highlight w:val="none"/>
              </w:rPr>
            </w:pPr>
            <w:r>
              <w:rPr>
                <w:rFonts w:hint="eastAsia" w:ascii="宋体" w:hAnsi="宋体" w:cs="宋体"/>
                <w:b/>
                <w:color w:val="auto"/>
                <w:kern w:val="0"/>
                <w:sz w:val="24"/>
                <w:highlight w:val="none"/>
              </w:rPr>
              <w:t>采购人和招标代理机构的任何工作人员对供应商所作的任何口头解释、介绍、答复，仅供供应商参考，不作为磋商依据，对采购人、招标代理机构和供应商无任何约束力，一切以网上公告及书面形式为准。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35" w:hRule="atLeast"/>
          <w:jc w:val="center"/>
        </w:trPr>
        <w:tc>
          <w:tcPr>
            <w:tcW w:w="750" w:type="dxa"/>
            <w:tcBorders>
              <w:top w:val="single" w:color="auto" w:sz="4" w:space="0"/>
              <w:left w:val="single" w:color="auto" w:sz="4" w:space="0"/>
              <w:bottom w:val="single" w:color="auto" w:sz="4" w:space="0"/>
              <w:right w:val="single" w:color="auto" w:sz="4" w:space="0"/>
            </w:tcBorders>
            <w:vAlign w:val="center"/>
          </w:tcPr>
          <w:p>
            <w:pPr>
              <w:snapToGrid w:val="0"/>
              <w:spacing w:line="420" w:lineRule="exact"/>
              <w:jc w:val="center"/>
              <w:rPr>
                <w:rFonts w:ascii="宋体" w:hAnsi="宋体" w:cs="宋体"/>
                <w:color w:val="auto"/>
                <w:sz w:val="24"/>
                <w:highlight w:val="none"/>
              </w:rPr>
            </w:pPr>
            <w:r>
              <w:rPr>
                <w:rFonts w:hint="eastAsia" w:ascii="宋体" w:hAnsi="宋体" w:cs="宋体"/>
                <w:color w:val="auto"/>
                <w:sz w:val="24"/>
                <w:highlight w:val="none"/>
              </w:rPr>
              <w:t>22</w:t>
            </w:r>
          </w:p>
        </w:tc>
        <w:tc>
          <w:tcPr>
            <w:tcW w:w="8743" w:type="dxa"/>
            <w:tcBorders>
              <w:top w:val="single" w:color="auto" w:sz="4" w:space="0"/>
              <w:left w:val="single" w:color="auto" w:sz="4" w:space="0"/>
              <w:bottom w:val="single" w:color="auto" w:sz="4" w:space="0"/>
              <w:right w:val="single" w:color="auto" w:sz="4" w:space="0"/>
            </w:tcBorders>
            <w:vAlign w:val="center"/>
          </w:tcPr>
          <w:p>
            <w:pPr>
              <w:snapToGrid w:val="0"/>
              <w:spacing w:line="420" w:lineRule="exact"/>
              <w:rPr>
                <w:rFonts w:ascii="宋体" w:hAnsi="宋体" w:cs="宋体"/>
                <w:color w:val="auto"/>
                <w:sz w:val="24"/>
                <w:highlight w:val="none"/>
              </w:rPr>
            </w:pPr>
            <w:r>
              <w:rPr>
                <w:rFonts w:hint="eastAsia" w:ascii="宋体" w:hAnsi="宋体" w:cs="宋体"/>
                <w:color w:val="auto"/>
                <w:sz w:val="24"/>
                <w:highlight w:val="none"/>
              </w:rPr>
              <w:t>解释：本磋商文件的解释权属于东阳市鑫盛工程咨询有限公司。</w:t>
            </w:r>
          </w:p>
        </w:tc>
      </w:tr>
    </w:tbl>
    <w:p>
      <w:pPr>
        <w:pStyle w:val="22"/>
        <w:snapToGrid w:val="0"/>
        <w:spacing w:before="120" w:after="120" w:line="420" w:lineRule="exact"/>
        <w:rPr>
          <w:rFonts w:ascii="宋体" w:hAnsi="宋体" w:cs="宋体"/>
          <w:b/>
          <w:color w:val="auto"/>
          <w:szCs w:val="24"/>
          <w:highlight w:val="none"/>
        </w:rPr>
      </w:pPr>
      <w:r>
        <w:rPr>
          <w:rFonts w:hint="eastAsia" w:ascii="宋体" w:hAnsi="宋体" w:cs="宋体"/>
          <w:b/>
          <w:color w:val="auto"/>
          <w:szCs w:val="24"/>
          <w:highlight w:val="none"/>
        </w:rPr>
        <w:t>注：如本磋商文件后面的条款与本表有矛盾的以本表的内容为准。</w:t>
      </w:r>
    </w:p>
    <w:p>
      <w:pPr>
        <w:pStyle w:val="22"/>
        <w:pageBreakBefore/>
        <w:numPr>
          <w:ilvl w:val="0"/>
          <w:numId w:val="6"/>
        </w:numPr>
        <w:snapToGrid w:val="0"/>
        <w:spacing w:line="360" w:lineRule="auto"/>
        <w:ind w:left="826" w:hanging="826" w:hangingChars="343"/>
        <w:jc w:val="center"/>
        <w:outlineLvl w:val="1"/>
        <w:rPr>
          <w:rFonts w:ascii="宋体" w:hAnsi="宋体" w:cs="宋体"/>
          <w:b/>
          <w:color w:val="auto"/>
          <w:szCs w:val="24"/>
          <w:highlight w:val="none"/>
        </w:rPr>
      </w:pPr>
      <w:bookmarkStart w:id="9" w:name="_Toc6560"/>
      <w:r>
        <w:rPr>
          <w:rFonts w:hint="eastAsia" w:ascii="宋体" w:hAnsi="宋体" w:cs="宋体"/>
          <w:b/>
          <w:color w:val="auto"/>
          <w:szCs w:val="24"/>
          <w:highlight w:val="none"/>
        </w:rPr>
        <w:t>总则</w:t>
      </w:r>
      <w:bookmarkEnd w:id="9"/>
    </w:p>
    <w:p>
      <w:pPr>
        <w:spacing w:line="440" w:lineRule="exact"/>
        <w:rPr>
          <w:rFonts w:ascii="宋体" w:hAnsi="宋体" w:cs="宋体"/>
          <w:b/>
          <w:color w:val="auto"/>
          <w:sz w:val="24"/>
          <w:highlight w:val="none"/>
        </w:rPr>
      </w:pPr>
      <w:bookmarkStart w:id="10" w:name="_Toc407182093"/>
      <w:r>
        <w:rPr>
          <w:rFonts w:hint="eastAsia" w:ascii="宋体" w:hAnsi="宋体" w:cs="宋体"/>
          <w:b/>
          <w:color w:val="auto"/>
          <w:sz w:val="24"/>
          <w:highlight w:val="none"/>
        </w:rPr>
        <w:t>（一） 适用范围</w:t>
      </w:r>
      <w:bookmarkEnd w:id="10"/>
    </w:p>
    <w:p>
      <w:pPr>
        <w:spacing w:line="440" w:lineRule="exact"/>
        <w:ind w:firstLine="480" w:firstLineChars="200"/>
        <w:rPr>
          <w:rFonts w:ascii="宋体" w:hAnsi="宋体" w:cs="宋体"/>
          <w:b/>
          <w:color w:val="auto"/>
          <w:sz w:val="24"/>
          <w:highlight w:val="none"/>
        </w:rPr>
      </w:pPr>
      <w:r>
        <w:rPr>
          <w:rFonts w:hint="eastAsia" w:ascii="宋体" w:hAnsi="宋体" w:cs="宋体"/>
          <w:color w:val="auto"/>
          <w:sz w:val="24"/>
          <w:highlight w:val="none"/>
        </w:rPr>
        <w:t>本磋商文件适用于</w:t>
      </w:r>
      <w:r>
        <w:rPr>
          <w:rFonts w:hint="eastAsia" w:ascii="宋体" w:hAnsi="宋体" w:cs="宋体"/>
          <w:color w:val="auto"/>
          <w:sz w:val="24"/>
          <w:highlight w:val="none"/>
          <w:lang w:eastAsia="zh-CN"/>
        </w:rPr>
        <w:t>三单乡三单村一事一议财政奖补支持打造共富乡村试点项目软装工程</w:t>
      </w:r>
      <w:r>
        <w:rPr>
          <w:rFonts w:hint="eastAsia" w:ascii="宋体" w:hAnsi="宋体" w:cs="宋体"/>
          <w:color w:val="auto"/>
          <w:sz w:val="24"/>
          <w:highlight w:val="none"/>
        </w:rPr>
        <w:t>的招标、磋商、定标、验收、合同履约、付款等行为（法律、法规另有规定的，从其规定）。</w:t>
      </w:r>
    </w:p>
    <w:p>
      <w:pPr>
        <w:spacing w:line="440" w:lineRule="exact"/>
        <w:rPr>
          <w:rFonts w:ascii="宋体" w:hAnsi="宋体" w:cs="宋体"/>
          <w:b/>
          <w:color w:val="auto"/>
          <w:sz w:val="24"/>
          <w:highlight w:val="none"/>
        </w:rPr>
      </w:pPr>
      <w:bookmarkStart w:id="11" w:name="_Toc407182094"/>
      <w:r>
        <w:rPr>
          <w:rFonts w:hint="eastAsia" w:ascii="宋体" w:hAnsi="宋体" w:cs="宋体"/>
          <w:b/>
          <w:color w:val="auto"/>
          <w:sz w:val="24"/>
          <w:highlight w:val="none"/>
        </w:rPr>
        <w:t>（二）定义</w:t>
      </w:r>
      <w:bookmarkEnd w:id="11"/>
    </w:p>
    <w:p>
      <w:pPr>
        <w:snapToGrid w:val="0"/>
        <w:spacing w:line="440" w:lineRule="exact"/>
        <w:jc w:val="left"/>
        <w:rPr>
          <w:rFonts w:ascii="宋体" w:hAnsi="宋体" w:cs="宋体"/>
          <w:color w:val="auto"/>
          <w:sz w:val="24"/>
          <w:highlight w:val="none"/>
        </w:rPr>
      </w:pPr>
      <w:r>
        <w:rPr>
          <w:rFonts w:hint="eastAsia" w:ascii="宋体" w:hAnsi="宋体" w:cs="宋体"/>
          <w:color w:val="auto"/>
          <w:sz w:val="24"/>
          <w:highlight w:val="none"/>
        </w:rPr>
        <w:t>1.招标采购单位系指组织本次招标的东阳市鑫盛工程咨询有限公司（“招标方”）和</w:t>
      </w:r>
      <w:r>
        <w:rPr>
          <w:rFonts w:hint="eastAsia" w:ascii="宋体" w:hAnsi="宋体" w:cs="宋体"/>
          <w:color w:val="auto"/>
          <w:sz w:val="24"/>
          <w:highlight w:val="none"/>
          <w:lang w:eastAsia="zh-CN"/>
        </w:rPr>
        <w:t xml:space="preserve">东阳市三单乡人民政府 </w:t>
      </w:r>
      <w:r>
        <w:rPr>
          <w:rFonts w:hint="eastAsia" w:ascii="宋体" w:hAnsi="宋体" w:cs="宋体"/>
          <w:color w:val="auto"/>
          <w:sz w:val="24"/>
          <w:highlight w:val="none"/>
        </w:rPr>
        <w:t>（“采购人”）。</w:t>
      </w:r>
    </w:p>
    <w:p>
      <w:pPr>
        <w:spacing w:line="440" w:lineRule="exact"/>
        <w:rPr>
          <w:rFonts w:ascii="宋体" w:hAnsi="宋体" w:cs="宋体"/>
          <w:color w:val="auto"/>
          <w:sz w:val="24"/>
          <w:highlight w:val="none"/>
        </w:rPr>
      </w:pPr>
      <w:r>
        <w:rPr>
          <w:rFonts w:hint="eastAsia" w:ascii="宋体" w:hAnsi="宋体" w:cs="宋体"/>
          <w:color w:val="auto"/>
          <w:sz w:val="24"/>
          <w:highlight w:val="none"/>
        </w:rPr>
        <w:t>2.“供应商”系指向招标方提交磋商响应文件的单位或个人。</w:t>
      </w:r>
    </w:p>
    <w:p>
      <w:pPr>
        <w:spacing w:line="440" w:lineRule="exact"/>
        <w:rPr>
          <w:rFonts w:ascii="宋体" w:hAnsi="宋体" w:cs="宋体"/>
          <w:color w:val="auto"/>
          <w:sz w:val="24"/>
          <w:highlight w:val="none"/>
        </w:rPr>
      </w:pPr>
      <w:r>
        <w:rPr>
          <w:rFonts w:hint="eastAsia" w:ascii="宋体" w:hAnsi="宋体" w:cs="宋体"/>
          <w:color w:val="auto"/>
          <w:sz w:val="24"/>
          <w:highlight w:val="none"/>
        </w:rPr>
        <w:t xml:space="preserve">3.“服务”系指磋商文件规定供应商须承担的本项目所衍生的一切服务义务。 </w:t>
      </w:r>
    </w:p>
    <w:p>
      <w:pPr>
        <w:spacing w:line="440" w:lineRule="exact"/>
        <w:rPr>
          <w:rFonts w:ascii="宋体" w:hAnsi="宋体" w:cs="宋体"/>
          <w:color w:val="auto"/>
          <w:sz w:val="24"/>
          <w:highlight w:val="none"/>
        </w:rPr>
      </w:pPr>
      <w:r>
        <w:rPr>
          <w:rFonts w:hint="eastAsia" w:ascii="宋体" w:hAnsi="宋体" w:cs="宋体"/>
          <w:color w:val="auto"/>
          <w:sz w:val="24"/>
          <w:highlight w:val="none"/>
        </w:rPr>
        <w:t>4.“项目”系指供应商按磋商文件规定向采购人提供的成果和项目服务。</w:t>
      </w:r>
    </w:p>
    <w:p>
      <w:pPr>
        <w:spacing w:line="440" w:lineRule="exact"/>
        <w:rPr>
          <w:rFonts w:ascii="宋体" w:hAnsi="宋体" w:cs="宋体"/>
          <w:color w:val="auto"/>
          <w:sz w:val="24"/>
          <w:highlight w:val="none"/>
        </w:rPr>
      </w:pPr>
      <w:r>
        <w:rPr>
          <w:rFonts w:hint="eastAsia" w:ascii="宋体" w:hAnsi="宋体" w:cs="宋体"/>
          <w:color w:val="auto"/>
          <w:sz w:val="24"/>
          <w:highlight w:val="none"/>
        </w:rPr>
        <w:t>5.“书面形式”包括信函、传真、电报等。</w:t>
      </w:r>
    </w:p>
    <w:p>
      <w:pPr>
        <w:spacing w:line="440" w:lineRule="exact"/>
        <w:rPr>
          <w:rFonts w:ascii="宋体" w:hAnsi="宋体" w:cs="宋体"/>
          <w:color w:val="auto"/>
          <w:sz w:val="24"/>
          <w:highlight w:val="none"/>
        </w:rPr>
      </w:pPr>
      <w:r>
        <w:rPr>
          <w:rFonts w:hint="eastAsia" w:ascii="宋体" w:hAnsi="宋体" w:cs="宋体"/>
          <w:color w:val="auto"/>
          <w:sz w:val="24"/>
          <w:highlight w:val="none"/>
        </w:rPr>
        <w:t>6.“*”、 “▲”、 “※”、“★”系指实质性要求条款。</w:t>
      </w:r>
    </w:p>
    <w:p>
      <w:pPr>
        <w:spacing w:line="440" w:lineRule="exact"/>
        <w:rPr>
          <w:rFonts w:ascii="宋体" w:hAnsi="宋体" w:cs="宋体"/>
          <w:b/>
          <w:color w:val="auto"/>
          <w:sz w:val="24"/>
          <w:highlight w:val="none"/>
        </w:rPr>
      </w:pPr>
      <w:r>
        <w:rPr>
          <w:rFonts w:hint="eastAsia" w:ascii="宋体" w:hAnsi="宋体" w:cs="宋体"/>
          <w:b/>
          <w:color w:val="auto"/>
          <w:sz w:val="24"/>
          <w:highlight w:val="none"/>
        </w:rPr>
        <w:t>（三）磋商方式</w:t>
      </w:r>
    </w:p>
    <w:p>
      <w:pPr>
        <w:spacing w:line="44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本次招标采用公开招标方式进行。</w:t>
      </w:r>
    </w:p>
    <w:p>
      <w:pPr>
        <w:spacing w:line="440" w:lineRule="exact"/>
        <w:rPr>
          <w:rFonts w:ascii="宋体" w:hAnsi="宋体" w:cs="宋体"/>
          <w:b/>
          <w:color w:val="auto"/>
          <w:sz w:val="24"/>
          <w:highlight w:val="none"/>
        </w:rPr>
      </w:pPr>
      <w:r>
        <w:rPr>
          <w:rFonts w:hint="eastAsia" w:ascii="宋体" w:hAnsi="宋体" w:cs="宋体"/>
          <w:b/>
          <w:color w:val="auto"/>
          <w:sz w:val="24"/>
          <w:highlight w:val="none"/>
        </w:rPr>
        <w:t>（四）磋商委托</w:t>
      </w:r>
    </w:p>
    <w:p>
      <w:pPr>
        <w:spacing w:line="44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如供应商代表不是法定代表人，须有法定代表人出具的授权委托书，委托代理人必须为供应商的在职正式职工（以供应商本单位缴纳社保花名册为准）。</w:t>
      </w:r>
    </w:p>
    <w:p>
      <w:pPr>
        <w:spacing w:line="440" w:lineRule="exact"/>
        <w:rPr>
          <w:rFonts w:ascii="宋体" w:hAnsi="宋体" w:cs="宋体"/>
          <w:b/>
          <w:color w:val="auto"/>
          <w:sz w:val="24"/>
          <w:highlight w:val="none"/>
        </w:rPr>
      </w:pPr>
      <w:r>
        <w:rPr>
          <w:rFonts w:hint="eastAsia" w:ascii="宋体" w:hAnsi="宋体" w:cs="宋体"/>
          <w:b/>
          <w:color w:val="auto"/>
          <w:sz w:val="24"/>
          <w:highlight w:val="none"/>
        </w:rPr>
        <w:t>▲（五）磋商费用</w:t>
      </w:r>
    </w:p>
    <w:p>
      <w:pPr>
        <w:spacing w:line="44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1.不论磋商结果如何，供应商均应自行承担所有与磋商有关的全部费用（磋商文件有相反规定除外）。</w:t>
      </w:r>
    </w:p>
    <w:p>
      <w:pPr>
        <w:snapToGrid w:val="0"/>
        <w:spacing w:line="360" w:lineRule="auto"/>
        <w:ind w:firstLine="482" w:firstLineChars="200"/>
        <w:textAlignment w:val="baseline"/>
        <w:rPr>
          <w:rFonts w:ascii="宋体" w:hAnsi="宋体" w:cs="宋体"/>
          <w:b/>
          <w:bCs/>
          <w:color w:val="auto"/>
          <w:sz w:val="24"/>
          <w:highlight w:val="none"/>
        </w:rPr>
      </w:pPr>
      <w:r>
        <w:rPr>
          <w:rFonts w:hint="eastAsia" w:ascii="宋体" w:hAnsi="宋体" w:cs="宋体"/>
          <w:b/>
          <w:color w:val="auto"/>
          <w:sz w:val="24"/>
          <w:highlight w:val="none"/>
        </w:rPr>
        <w:t>2.</w:t>
      </w:r>
      <w:r>
        <w:rPr>
          <w:rFonts w:hint="eastAsia" w:ascii="宋体" w:hAnsi="宋体" w:cs="宋体"/>
          <w:b/>
          <w:bCs/>
          <w:color w:val="auto"/>
          <w:sz w:val="24"/>
          <w:highlight w:val="none"/>
        </w:rPr>
        <w:t>东阳市鑫盛工程咨询有限公司按差额定率累进法计算（详见本条下列表格收费标准），向中标人收取中标服务费，在中标结果公示结束之日起3天内（在领取中标通知书前）交纳。</w:t>
      </w:r>
    </w:p>
    <w:tbl>
      <w:tblPr>
        <w:tblStyle w:val="4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95"/>
        <w:gridCol w:w="40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1" w:hRule="atLeast"/>
          <w:jc w:val="center"/>
        </w:trPr>
        <w:tc>
          <w:tcPr>
            <w:tcW w:w="5195" w:type="dxa"/>
            <w:tcBorders>
              <w:top w:val="single" w:color="auto" w:sz="4" w:space="0"/>
              <w:left w:val="single" w:color="auto" w:sz="4" w:space="0"/>
              <w:bottom w:val="single" w:color="auto" w:sz="4" w:space="0"/>
              <w:right w:val="single" w:color="auto" w:sz="4" w:space="0"/>
              <w:tl2br w:val="single" w:color="auto" w:sz="4" w:space="0"/>
            </w:tcBorders>
          </w:tcPr>
          <w:p>
            <w:pPr>
              <w:snapToGrid w:val="0"/>
              <w:ind w:firstLine="1400" w:firstLineChars="700"/>
              <w:textAlignment w:val="baseline"/>
              <w:rPr>
                <w:rFonts w:ascii="宋体" w:hAnsi="宋体" w:cs="宋体"/>
                <w:b/>
                <w:color w:val="auto"/>
                <w:sz w:val="24"/>
                <w:highlight w:val="none"/>
              </w:rPr>
            </w:pPr>
            <w:r>
              <w:rPr>
                <w:rFonts w:ascii="宋体" w:hAnsi="宋体" w:cs="宋体"/>
                <w:color w:val="auto"/>
                <w:sz w:val="20"/>
                <w:highlight w:val="none"/>
              </w:rPr>
              <mc:AlternateContent>
                <mc:Choice Requires="wps">
                  <w:drawing>
                    <wp:anchor distT="0" distB="0" distL="114300" distR="114300" simplePos="0" relativeHeight="251660288" behindDoc="0" locked="0" layoutInCell="0" allowOverlap="1">
                      <wp:simplePos x="0" y="0"/>
                      <wp:positionH relativeFrom="column">
                        <wp:posOffset>-114300</wp:posOffset>
                      </wp:positionH>
                      <wp:positionV relativeFrom="paragraph">
                        <wp:posOffset>-6350</wp:posOffset>
                      </wp:positionV>
                      <wp:extent cx="635" cy="0"/>
                      <wp:effectExtent l="0" t="0" r="0" b="0"/>
                      <wp:wrapNone/>
                      <wp:docPr id="2" name="直接连接符 2"/>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ln>
                              <a:effectLst/>
                            </wps:spPr>
                            <wps:bodyPr/>
                          </wps:wsp>
                        </a:graphicData>
                      </a:graphic>
                    </wp:anchor>
                  </w:drawing>
                </mc:Choice>
                <mc:Fallback>
                  <w:pict>
                    <v:line id="_x0000_s1026" o:spid="_x0000_s1026" o:spt="20" style="position:absolute;left:0pt;margin-left:-9pt;margin-top:-0.5pt;height:0pt;width:0.05pt;z-index:251660288;mso-width-relative:page;mso-height-relative:page;" filled="f" stroked="t" coordsize="21600,21600" o:allowincell="f" o:gfxdata="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GuR037VAAAACQEAAA8A&#10;AAAAAAAAAQAgAAAAIgAAAGRycy9kb3ducmV2LnhtbFBLAQIUABQAAAAIAIdO4kD+bTyG4QEAALID&#10;AAAOAAAAAAAAAAEAIAAAACQBAABkcnMvZTJvRG9jLnhtbFBLBQYAAAAABgAGAFkBAAB3BQAAAAA=&#10;">
                      <v:fill on="f" focussize="0,0"/>
                      <v:stroke color="#000000" joinstyle="round"/>
                      <v:imagedata o:title=""/>
                      <o:lock v:ext="edit" aspectratio="f"/>
                    </v:line>
                  </w:pict>
                </mc:Fallback>
              </mc:AlternateContent>
            </w:r>
            <w:r>
              <w:rPr>
                <w:rFonts w:hint="eastAsia" w:ascii="宋体" w:hAnsi="宋体" w:cs="宋体"/>
                <w:b/>
                <w:color w:val="auto"/>
                <w:sz w:val="24"/>
                <w:highlight w:val="none"/>
              </w:rPr>
              <w:t>服务类型</w:t>
            </w:r>
          </w:p>
          <w:p>
            <w:pPr>
              <w:snapToGrid w:val="0"/>
              <w:textAlignment w:val="baseline"/>
              <w:rPr>
                <w:rFonts w:ascii="宋体" w:hAnsi="宋体" w:cs="宋体"/>
                <w:b/>
                <w:color w:val="auto"/>
                <w:sz w:val="24"/>
                <w:highlight w:val="none"/>
              </w:rPr>
            </w:pPr>
            <w:r>
              <w:rPr>
                <w:rFonts w:hint="eastAsia" w:ascii="宋体" w:hAnsi="宋体" w:cs="宋体"/>
                <w:b/>
                <w:color w:val="auto"/>
                <w:sz w:val="24"/>
                <w:highlight w:val="none"/>
              </w:rPr>
              <w:t>费率</w:t>
            </w:r>
          </w:p>
          <w:p>
            <w:pPr>
              <w:snapToGrid w:val="0"/>
              <w:textAlignment w:val="baseline"/>
              <w:rPr>
                <w:rFonts w:ascii="宋体" w:hAnsi="宋体" w:cs="宋体"/>
                <w:b/>
                <w:color w:val="auto"/>
                <w:sz w:val="24"/>
                <w:highlight w:val="none"/>
              </w:rPr>
            </w:pPr>
            <w:r>
              <w:rPr>
                <w:rFonts w:ascii="宋体" w:hAnsi="宋体" w:cs="宋体"/>
                <w:color w:val="auto"/>
                <w:sz w:val="20"/>
                <w:highlight w:val="none"/>
              </w:rPr>
              <mc:AlternateContent>
                <mc:Choice Requires="wps">
                  <w:drawing>
                    <wp:anchor distT="0" distB="0" distL="114300" distR="114300" simplePos="0" relativeHeight="251661312" behindDoc="0" locked="0" layoutInCell="1" allowOverlap="1">
                      <wp:simplePos x="0" y="0"/>
                      <wp:positionH relativeFrom="column">
                        <wp:posOffset>-70485</wp:posOffset>
                      </wp:positionH>
                      <wp:positionV relativeFrom="paragraph">
                        <wp:posOffset>40005</wp:posOffset>
                      </wp:positionV>
                      <wp:extent cx="3260090" cy="335280"/>
                      <wp:effectExtent l="635" t="4445" r="3175" b="15875"/>
                      <wp:wrapNone/>
                      <wp:docPr id="3" name="直接连接符 3"/>
                      <wp:cNvGraphicFramePr/>
                      <a:graphic xmlns:a="http://schemas.openxmlformats.org/drawingml/2006/main">
                        <a:graphicData uri="http://schemas.microsoft.com/office/word/2010/wordprocessingShape">
                          <wps:wsp>
                            <wps:cNvCnPr>
                              <a:cxnSpLocks noChangeShapeType="1"/>
                            </wps:cNvCnPr>
                            <wps:spPr bwMode="auto">
                              <a:xfrm>
                                <a:off x="0" y="0"/>
                                <a:ext cx="3260090" cy="335280"/>
                              </a:xfrm>
                              <a:prstGeom prst="line">
                                <a:avLst/>
                              </a:prstGeom>
                              <a:noFill/>
                              <a:ln w="9525">
                                <a:solidFill>
                                  <a:srgbClr val="000000"/>
                                </a:solidFill>
                                <a:round/>
                              </a:ln>
                              <a:effectLst/>
                            </wps:spPr>
                            <wps:bodyPr/>
                          </wps:wsp>
                        </a:graphicData>
                      </a:graphic>
                    </wp:anchor>
                  </w:drawing>
                </mc:Choice>
                <mc:Fallback>
                  <w:pict>
                    <v:line id="_x0000_s1026" o:spid="_x0000_s1026" o:spt="20" style="position:absolute;left:0pt;margin-left:-5.55pt;margin-top:3.15pt;height:26.4pt;width:256.7pt;z-index:251661312;mso-width-relative:page;mso-height-relative:page;" filled="f" stroked="t" coordsize="21600,21600" o:gfxdata="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BQpBZPWAAAACAEAAA8AAAAAAAAAAQAgAAAAIgAAAGRycy9kb3ducmV2LnhtbFBLAQIUABQAAAAI&#10;AIdO4kDgkV3J7wEAAL0DAAAOAAAAAAAAAAEAIAAAACUBAABkcnMvZTJvRG9jLnhtbFBLBQYAAAAA&#10;BgAGAFkBAACGBQAAAAA=&#10;">
                      <v:fill on="f" focussize="0,0"/>
                      <v:stroke color="#000000" joinstyle="round"/>
                      <v:imagedata o:title=""/>
                      <o:lock v:ext="edit" aspectratio="f"/>
                    </v:line>
                  </w:pict>
                </mc:Fallback>
              </mc:AlternateContent>
            </w:r>
          </w:p>
          <w:p>
            <w:pPr>
              <w:snapToGrid w:val="0"/>
              <w:textAlignment w:val="baseline"/>
              <w:rPr>
                <w:rFonts w:ascii="宋体" w:hAnsi="宋体" w:cs="宋体"/>
                <w:b/>
                <w:color w:val="auto"/>
                <w:sz w:val="24"/>
                <w:highlight w:val="none"/>
              </w:rPr>
            </w:pPr>
            <w:r>
              <w:rPr>
                <w:rFonts w:hint="eastAsia" w:ascii="宋体" w:hAnsi="宋体" w:cs="宋体"/>
                <w:b/>
                <w:color w:val="auto"/>
                <w:sz w:val="24"/>
                <w:highlight w:val="none"/>
              </w:rPr>
              <w:t>中标金额（万元）</w:t>
            </w:r>
          </w:p>
        </w:tc>
        <w:tc>
          <w:tcPr>
            <w:tcW w:w="4004" w:type="dxa"/>
            <w:tcBorders>
              <w:top w:val="single" w:color="auto" w:sz="4" w:space="0"/>
              <w:left w:val="single" w:color="auto" w:sz="4" w:space="0"/>
              <w:bottom w:val="single" w:color="auto" w:sz="4" w:space="0"/>
              <w:right w:val="single" w:color="auto" w:sz="4" w:space="0"/>
            </w:tcBorders>
            <w:vAlign w:val="center"/>
          </w:tcPr>
          <w:p>
            <w:pPr>
              <w:snapToGrid w:val="0"/>
              <w:jc w:val="center"/>
              <w:textAlignment w:val="baseline"/>
              <w:rPr>
                <w:rFonts w:ascii="宋体" w:hAnsi="宋体" w:cs="宋体"/>
                <w:b/>
                <w:color w:val="auto"/>
                <w:sz w:val="24"/>
                <w:highlight w:val="none"/>
              </w:rPr>
            </w:pPr>
            <w:r>
              <w:rPr>
                <w:rFonts w:hint="eastAsia" w:ascii="宋体" w:hAnsi="宋体" w:cs="宋体"/>
                <w:b/>
                <w:color w:val="auto"/>
                <w:sz w:val="24"/>
                <w:highlight w:val="none"/>
                <w:lang w:val="en-US" w:eastAsia="zh-CN"/>
              </w:rPr>
              <w:t>工程</w:t>
            </w:r>
            <w:r>
              <w:rPr>
                <w:rFonts w:hint="eastAsia" w:ascii="宋体" w:hAnsi="宋体" w:cs="宋体"/>
                <w:b/>
                <w:color w:val="auto"/>
                <w:sz w:val="24"/>
                <w:highlight w:val="none"/>
              </w:rPr>
              <w:t>招标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5195" w:type="dxa"/>
            <w:tcBorders>
              <w:top w:val="single" w:color="auto" w:sz="4" w:space="0"/>
              <w:left w:val="single" w:color="auto" w:sz="4" w:space="0"/>
              <w:bottom w:val="single" w:color="auto" w:sz="4" w:space="0"/>
              <w:right w:val="single" w:color="auto" w:sz="4" w:space="0"/>
            </w:tcBorders>
          </w:tcPr>
          <w:p>
            <w:pPr>
              <w:snapToGrid w:val="0"/>
              <w:spacing w:line="360" w:lineRule="auto"/>
              <w:jc w:val="center"/>
              <w:textAlignment w:val="baseline"/>
              <w:rPr>
                <w:rFonts w:ascii="宋体" w:hAnsi="宋体" w:cs="宋体"/>
                <w:color w:val="auto"/>
                <w:sz w:val="24"/>
                <w:highlight w:val="none"/>
              </w:rPr>
            </w:pPr>
            <w:r>
              <w:rPr>
                <w:rFonts w:hint="eastAsia" w:ascii="宋体" w:hAnsi="宋体" w:cs="宋体"/>
                <w:color w:val="auto"/>
                <w:sz w:val="24"/>
                <w:highlight w:val="none"/>
              </w:rPr>
              <w:t>100以下</w:t>
            </w:r>
          </w:p>
        </w:tc>
        <w:tc>
          <w:tcPr>
            <w:tcW w:w="4004" w:type="dxa"/>
            <w:tcBorders>
              <w:top w:val="single" w:color="auto" w:sz="4" w:space="0"/>
              <w:left w:val="single" w:color="auto" w:sz="4" w:space="0"/>
              <w:bottom w:val="single" w:color="auto" w:sz="4" w:space="0"/>
              <w:right w:val="single" w:color="auto" w:sz="4" w:space="0"/>
            </w:tcBorders>
          </w:tcPr>
          <w:p>
            <w:pPr>
              <w:snapToGrid w:val="0"/>
              <w:spacing w:line="360" w:lineRule="auto"/>
              <w:jc w:val="center"/>
              <w:textAlignment w:val="baseline"/>
              <w:rPr>
                <w:rFonts w:ascii="宋体" w:hAnsi="宋体" w:cs="宋体"/>
                <w:color w:val="auto"/>
                <w:sz w:val="24"/>
                <w:highlight w:val="none"/>
              </w:rPr>
            </w:pPr>
            <w:r>
              <w:rPr>
                <w:rFonts w:hint="eastAsia" w:ascii="宋体" w:hAnsi="宋体" w:cs="宋体"/>
                <w:color w:val="auto"/>
                <w:sz w:val="24"/>
                <w:highlight w:val="none"/>
              </w:rPr>
              <w:t>1.</w:t>
            </w:r>
            <w:r>
              <w:rPr>
                <w:rFonts w:hint="eastAsia" w:ascii="宋体" w:hAnsi="宋体" w:cs="宋体"/>
                <w:color w:val="auto"/>
                <w:sz w:val="24"/>
                <w:highlight w:val="none"/>
                <w:lang w:val="en-US" w:eastAsia="zh-CN"/>
              </w:rPr>
              <w:t>0</w:t>
            </w:r>
            <w:r>
              <w:rPr>
                <w:rFonts w:hint="eastAsia" w:ascii="宋体" w:hAnsi="宋体" w:cs="宋体"/>
                <w:color w:val="auto"/>
                <w:sz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4" w:hRule="atLeast"/>
          <w:jc w:val="center"/>
        </w:trPr>
        <w:tc>
          <w:tcPr>
            <w:tcW w:w="5195" w:type="dxa"/>
            <w:tcBorders>
              <w:top w:val="single" w:color="auto" w:sz="4" w:space="0"/>
              <w:left w:val="single" w:color="auto" w:sz="4" w:space="0"/>
              <w:bottom w:val="single" w:color="auto" w:sz="4" w:space="0"/>
              <w:right w:val="single" w:color="auto" w:sz="4" w:space="0"/>
            </w:tcBorders>
          </w:tcPr>
          <w:p>
            <w:pPr>
              <w:snapToGrid w:val="0"/>
              <w:spacing w:line="360" w:lineRule="auto"/>
              <w:jc w:val="center"/>
              <w:textAlignment w:val="baseline"/>
              <w:rPr>
                <w:rFonts w:ascii="宋体" w:hAnsi="宋体" w:cs="宋体"/>
                <w:color w:val="auto"/>
                <w:sz w:val="24"/>
                <w:highlight w:val="none"/>
              </w:rPr>
            </w:pPr>
            <w:r>
              <w:rPr>
                <w:rFonts w:hint="eastAsia" w:ascii="宋体" w:hAnsi="宋体" w:cs="宋体"/>
                <w:color w:val="auto"/>
                <w:sz w:val="24"/>
                <w:highlight w:val="none"/>
              </w:rPr>
              <w:t>100-500</w:t>
            </w:r>
          </w:p>
        </w:tc>
        <w:tc>
          <w:tcPr>
            <w:tcW w:w="4004" w:type="dxa"/>
            <w:tcBorders>
              <w:top w:val="single" w:color="auto" w:sz="4" w:space="0"/>
              <w:left w:val="single" w:color="auto" w:sz="4" w:space="0"/>
              <w:bottom w:val="single" w:color="auto" w:sz="4" w:space="0"/>
              <w:right w:val="single" w:color="auto" w:sz="4" w:space="0"/>
            </w:tcBorders>
          </w:tcPr>
          <w:p>
            <w:pPr>
              <w:snapToGrid w:val="0"/>
              <w:spacing w:line="360" w:lineRule="auto"/>
              <w:jc w:val="center"/>
              <w:textAlignment w:val="baseline"/>
              <w:rPr>
                <w:rFonts w:ascii="宋体" w:hAnsi="宋体" w:cs="宋体"/>
                <w:color w:val="auto"/>
                <w:sz w:val="24"/>
                <w:highlight w:val="none"/>
              </w:rPr>
            </w:pPr>
            <w:r>
              <w:rPr>
                <w:rFonts w:hint="eastAsia" w:ascii="宋体" w:hAnsi="宋体" w:cs="宋体"/>
                <w:color w:val="auto"/>
                <w:sz w:val="24"/>
                <w:highlight w:val="none"/>
              </w:rPr>
              <w:t>0.</w:t>
            </w:r>
            <w:r>
              <w:rPr>
                <w:rFonts w:hint="eastAsia" w:ascii="宋体" w:hAnsi="宋体" w:cs="宋体"/>
                <w:color w:val="auto"/>
                <w:sz w:val="24"/>
                <w:highlight w:val="none"/>
                <w:lang w:val="en-US" w:eastAsia="zh-CN"/>
              </w:rPr>
              <w:t>7</w:t>
            </w:r>
            <w:r>
              <w:rPr>
                <w:rFonts w:hint="eastAsia" w:ascii="宋体" w:hAnsi="宋体" w:cs="宋体"/>
                <w:color w:val="auto"/>
                <w:sz w:val="24"/>
                <w:highlight w:val="none"/>
              </w:rPr>
              <w:t>%</w:t>
            </w:r>
          </w:p>
        </w:tc>
      </w:tr>
    </w:tbl>
    <w:p>
      <w:pPr>
        <w:snapToGrid w:val="0"/>
        <w:spacing w:line="360" w:lineRule="auto"/>
        <w:ind w:firstLine="482" w:firstLineChars="200"/>
        <w:textAlignment w:val="baseline"/>
        <w:rPr>
          <w:rFonts w:hint="eastAsia" w:ascii="宋体" w:hAnsi="宋体" w:cs="宋体"/>
          <w:b/>
          <w:bCs/>
          <w:color w:val="auto"/>
          <w:sz w:val="24"/>
          <w:highlight w:val="none"/>
        </w:rPr>
      </w:pPr>
    </w:p>
    <w:p>
      <w:pPr>
        <w:snapToGrid w:val="0"/>
        <w:spacing w:line="360" w:lineRule="auto"/>
        <w:ind w:firstLine="482" w:firstLineChars="200"/>
        <w:textAlignment w:val="baseline"/>
        <w:rPr>
          <w:rFonts w:ascii="宋体" w:hAnsi="宋体" w:cs="宋体"/>
          <w:b/>
          <w:bCs/>
          <w:color w:val="auto"/>
          <w:sz w:val="24"/>
          <w:highlight w:val="none"/>
        </w:rPr>
      </w:pPr>
      <w:r>
        <w:rPr>
          <w:rFonts w:hint="eastAsia" w:ascii="宋体" w:hAnsi="宋体" w:cs="宋体"/>
          <w:b/>
          <w:bCs/>
          <w:color w:val="auto"/>
          <w:sz w:val="24"/>
          <w:highlight w:val="none"/>
        </w:rPr>
        <w:t>中标服务费由中标供应商汇至以下账户：</w:t>
      </w:r>
    </w:p>
    <w:p>
      <w:pPr>
        <w:snapToGrid w:val="0"/>
        <w:spacing w:line="360" w:lineRule="auto"/>
        <w:ind w:firstLine="482" w:firstLineChars="200"/>
        <w:textAlignment w:val="baseline"/>
        <w:rPr>
          <w:rFonts w:ascii="宋体" w:hAnsi="宋体" w:cs="宋体"/>
          <w:b/>
          <w:bCs/>
          <w:color w:val="auto"/>
          <w:sz w:val="24"/>
          <w:highlight w:val="none"/>
        </w:rPr>
      </w:pPr>
      <w:r>
        <w:rPr>
          <w:rFonts w:hint="eastAsia" w:ascii="宋体" w:hAnsi="宋体" w:cs="宋体"/>
          <w:b/>
          <w:bCs/>
          <w:color w:val="auto"/>
          <w:sz w:val="24"/>
          <w:highlight w:val="none"/>
          <w:lang w:val="en-US" w:eastAsia="zh-CN"/>
        </w:rPr>
        <w:t>账</w:t>
      </w:r>
      <w:r>
        <w:rPr>
          <w:rFonts w:hint="eastAsia" w:ascii="宋体" w:hAnsi="宋体" w:cs="宋体"/>
          <w:b/>
          <w:bCs/>
          <w:color w:val="auto"/>
          <w:sz w:val="24"/>
          <w:highlight w:val="none"/>
        </w:rPr>
        <w:t>户名称：东阳市鑫盛工程咨询有限公司</w:t>
      </w:r>
    </w:p>
    <w:p>
      <w:pPr>
        <w:snapToGrid w:val="0"/>
        <w:spacing w:line="360" w:lineRule="auto"/>
        <w:ind w:firstLine="482" w:firstLineChars="200"/>
        <w:textAlignment w:val="baseline"/>
        <w:rPr>
          <w:rFonts w:ascii="宋体" w:hAnsi="宋体" w:cs="宋体"/>
          <w:b/>
          <w:bCs/>
          <w:color w:val="auto"/>
          <w:sz w:val="24"/>
          <w:highlight w:val="none"/>
        </w:rPr>
      </w:pPr>
      <w:r>
        <w:rPr>
          <w:rFonts w:hint="eastAsia" w:ascii="宋体" w:hAnsi="宋体" w:cs="宋体"/>
          <w:b/>
          <w:bCs/>
          <w:color w:val="auto"/>
          <w:sz w:val="24"/>
          <w:highlight w:val="none"/>
        </w:rPr>
        <w:t>开户银行：兴业银行股份有限公司金华东阳支行</w:t>
      </w:r>
    </w:p>
    <w:p>
      <w:pPr>
        <w:snapToGrid w:val="0"/>
        <w:spacing w:line="360" w:lineRule="auto"/>
        <w:ind w:firstLine="482" w:firstLineChars="200"/>
        <w:textAlignment w:val="baseline"/>
        <w:rPr>
          <w:rFonts w:ascii="宋体" w:hAnsi="宋体" w:cs="宋体"/>
          <w:b/>
          <w:bCs/>
          <w:color w:val="auto"/>
          <w:sz w:val="24"/>
          <w:highlight w:val="none"/>
        </w:rPr>
      </w:pPr>
      <w:r>
        <w:rPr>
          <w:rFonts w:hint="eastAsia" w:ascii="宋体" w:hAnsi="宋体" w:cs="宋体"/>
          <w:b/>
          <w:bCs/>
          <w:color w:val="auto"/>
          <w:sz w:val="24"/>
          <w:highlight w:val="none"/>
        </w:rPr>
        <w:t>账号：356090100100082625</w:t>
      </w:r>
    </w:p>
    <w:p>
      <w:pPr>
        <w:spacing w:line="440" w:lineRule="exact"/>
        <w:rPr>
          <w:rFonts w:ascii="宋体" w:hAnsi="宋体" w:cs="宋体"/>
          <w:color w:val="auto"/>
          <w:sz w:val="24"/>
          <w:highlight w:val="none"/>
        </w:rPr>
      </w:pPr>
      <w:r>
        <w:rPr>
          <w:rFonts w:hint="eastAsia" w:ascii="宋体" w:hAnsi="宋体" w:cs="宋体"/>
          <w:b/>
          <w:color w:val="auto"/>
          <w:sz w:val="24"/>
          <w:highlight w:val="none"/>
        </w:rPr>
        <w:t>（六）联合体</w:t>
      </w:r>
      <w:r>
        <w:rPr>
          <w:rFonts w:hint="eastAsia" w:ascii="宋体" w:hAnsi="宋体" w:cs="宋体"/>
          <w:b/>
          <w:bCs/>
          <w:color w:val="auto"/>
          <w:sz w:val="24"/>
          <w:highlight w:val="none"/>
        </w:rPr>
        <w:t>投标</w:t>
      </w:r>
      <w:r>
        <w:rPr>
          <w:rFonts w:hint="eastAsia" w:ascii="宋体" w:hAnsi="宋体" w:cs="宋体"/>
          <w:b/>
          <w:color w:val="auto"/>
          <w:sz w:val="24"/>
          <w:highlight w:val="none"/>
        </w:rPr>
        <w:tab/>
      </w:r>
    </w:p>
    <w:p>
      <w:pPr>
        <w:spacing w:line="440" w:lineRule="exact"/>
        <w:ind w:firstLine="240" w:firstLineChars="100"/>
        <w:rPr>
          <w:rFonts w:ascii="宋体" w:hAnsi="宋体" w:cs="宋体"/>
          <w:color w:val="auto"/>
          <w:sz w:val="24"/>
          <w:highlight w:val="none"/>
        </w:rPr>
      </w:pPr>
      <w:r>
        <w:rPr>
          <w:rFonts w:hint="eastAsia" w:ascii="宋体" w:hAnsi="宋体" w:cs="宋体"/>
          <w:color w:val="auto"/>
          <w:sz w:val="24"/>
          <w:highlight w:val="none"/>
        </w:rPr>
        <w:t>本项目接受联合体投标。</w:t>
      </w:r>
    </w:p>
    <w:p>
      <w:pPr>
        <w:spacing w:line="440" w:lineRule="exact"/>
        <w:rPr>
          <w:rFonts w:ascii="宋体" w:hAnsi="宋体" w:cs="宋体"/>
          <w:b/>
          <w:color w:val="auto"/>
          <w:kern w:val="0"/>
          <w:sz w:val="24"/>
          <w:highlight w:val="none"/>
        </w:rPr>
      </w:pPr>
      <w:r>
        <w:rPr>
          <w:rFonts w:hint="eastAsia" w:ascii="宋体" w:hAnsi="宋体" w:cs="宋体"/>
          <w:b/>
          <w:color w:val="auto"/>
          <w:sz w:val="24"/>
          <w:highlight w:val="none"/>
        </w:rPr>
        <w:t>（七）</w:t>
      </w:r>
      <w:r>
        <w:rPr>
          <w:rFonts w:hint="eastAsia" w:ascii="宋体" w:hAnsi="宋体" w:cs="宋体"/>
          <w:b/>
          <w:color w:val="auto"/>
          <w:kern w:val="0"/>
          <w:sz w:val="24"/>
          <w:highlight w:val="none"/>
        </w:rPr>
        <w:t>转包与分包</w:t>
      </w:r>
    </w:p>
    <w:p>
      <w:pPr>
        <w:spacing w:line="440" w:lineRule="exact"/>
        <w:ind w:firstLine="240" w:firstLineChars="100"/>
        <w:rPr>
          <w:rFonts w:ascii="宋体" w:hAnsi="宋体" w:cs="宋体"/>
          <w:color w:val="auto"/>
          <w:kern w:val="0"/>
          <w:sz w:val="24"/>
          <w:highlight w:val="none"/>
        </w:rPr>
      </w:pPr>
      <w:r>
        <w:rPr>
          <w:rFonts w:hint="eastAsia" w:ascii="宋体" w:hAnsi="宋体" w:cs="宋体"/>
          <w:color w:val="auto"/>
          <w:kern w:val="0"/>
          <w:sz w:val="24"/>
          <w:highlight w:val="none"/>
        </w:rPr>
        <w:t>1.本项目不允许转包。</w:t>
      </w:r>
    </w:p>
    <w:p>
      <w:pPr>
        <w:spacing w:line="440" w:lineRule="exact"/>
        <w:ind w:firstLine="240" w:firstLineChars="100"/>
        <w:rPr>
          <w:rFonts w:ascii="宋体" w:hAnsi="宋体" w:cs="宋体"/>
          <w:color w:val="auto"/>
          <w:kern w:val="0"/>
          <w:sz w:val="24"/>
          <w:highlight w:val="none"/>
        </w:rPr>
      </w:pPr>
      <w:r>
        <w:rPr>
          <w:rFonts w:hint="eastAsia" w:ascii="宋体" w:hAnsi="宋体" w:cs="宋体"/>
          <w:color w:val="auto"/>
          <w:kern w:val="0"/>
          <w:sz w:val="24"/>
          <w:highlight w:val="none"/>
        </w:rPr>
        <w:t>2.本项目允许分包。</w:t>
      </w:r>
    </w:p>
    <w:p>
      <w:pPr>
        <w:spacing w:line="440" w:lineRule="exact"/>
        <w:rPr>
          <w:rFonts w:ascii="宋体" w:hAnsi="宋体" w:cs="宋体"/>
          <w:b/>
          <w:bCs/>
          <w:color w:val="auto"/>
          <w:sz w:val="24"/>
          <w:highlight w:val="none"/>
        </w:rPr>
      </w:pPr>
      <w:r>
        <w:rPr>
          <w:rFonts w:hint="eastAsia" w:ascii="宋体" w:hAnsi="宋体" w:cs="宋体"/>
          <w:b/>
          <w:bCs/>
          <w:color w:val="auto"/>
          <w:sz w:val="24"/>
          <w:highlight w:val="none"/>
        </w:rPr>
        <w:t>（八）特别说明：</w:t>
      </w:r>
    </w:p>
    <w:p>
      <w:pPr>
        <w:spacing w:line="440" w:lineRule="exact"/>
        <w:rPr>
          <w:rFonts w:ascii="宋体" w:hAnsi="宋体"/>
          <w:b/>
          <w:color w:val="auto"/>
          <w:sz w:val="24"/>
          <w:highlight w:val="none"/>
        </w:rPr>
      </w:pPr>
      <w:r>
        <w:rPr>
          <w:rFonts w:ascii="宋体" w:hAnsi="宋体"/>
          <w:b/>
          <w:color w:val="auto"/>
          <w:sz w:val="24"/>
          <w:highlight w:val="none"/>
        </w:rPr>
        <w:t>*1</w:t>
      </w:r>
      <w:r>
        <w:rPr>
          <w:rFonts w:hint="eastAsia" w:ascii="宋体" w:hAnsi="宋体"/>
          <w:b/>
          <w:color w:val="auto"/>
          <w:sz w:val="24"/>
          <w:highlight w:val="none"/>
        </w:rPr>
        <w:t>.</w:t>
      </w:r>
      <w:r>
        <w:rPr>
          <w:rFonts w:hint="eastAsia" w:ascii="宋体" w:hAnsi="宋体"/>
          <w:color w:val="auto"/>
          <w:sz w:val="24"/>
          <w:highlight w:val="none"/>
        </w:rPr>
        <w:t>多个供应商参加磋商，如其中两家或两家以上供应商的法定代表人为同一人或相互之间存在投资关系且达到控股的，应当按一个供应商认定。</w:t>
      </w:r>
    </w:p>
    <w:p>
      <w:pPr>
        <w:spacing w:line="440" w:lineRule="exact"/>
        <w:rPr>
          <w:rFonts w:ascii="宋体" w:hAnsi="宋体"/>
          <w:color w:val="auto"/>
          <w:sz w:val="24"/>
          <w:highlight w:val="none"/>
        </w:rPr>
      </w:pPr>
      <w:r>
        <w:rPr>
          <w:rFonts w:hint="eastAsia" w:ascii="宋体" w:hAnsi="宋体"/>
          <w:b/>
          <w:color w:val="auto"/>
          <w:sz w:val="24"/>
          <w:highlight w:val="none"/>
        </w:rPr>
        <w:t>*</w:t>
      </w:r>
      <w:r>
        <w:rPr>
          <w:rFonts w:hint="eastAsia" w:ascii="宋体" w:hAnsi="宋体"/>
          <w:color w:val="auto"/>
          <w:sz w:val="24"/>
          <w:highlight w:val="none"/>
        </w:rPr>
        <w:t>2.供应商磋商所使用的资格、信誉、荣誉与企业认证必须为本法人所拥有。供应商磋商所使用的采购项目实施人员必须为本法人员工（或必须为本法人或控股公司正式员工）。</w:t>
      </w:r>
    </w:p>
    <w:p>
      <w:pPr>
        <w:spacing w:line="440" w:lineRule="exact"/>
        <w:rPr>
          <w:rFonts w:ascii="宋体" w:hAnsi="宋体"/>
          <w:color w:val="auto"/>
          <w:sz w:val="24"/>
          <w:highlight w:val="none"/>
        </w:rPr>
      </w:pPr>
      <w:r>
        <w:rPr>
          <w:rFonts w:hint="eastAsia" w:ascii="宋体" w:hAnsi="宋体"/>
          <w:b/>
          <w:color w:val="auto"/>
          <w:sz w:val="24"/>
          <w:highlight w:val="none"/>
        </w:rPr>
        <w:t>*</w:t>
      </w:r>
      <w:r>
        <w:rPr>
          <w:rFonts w:hint="eastAsia" w:ascii="宋体" w:hAnsi="宋体"/>
          <w:color w:val="auto"/>
          <w:sz w:val="24"/>
          <w:highlight w:val="none"/>
        </w:rPr>
        <w:t>3.供应商应仔细阅读磋商文件的所有内容，按照磋商文件的要求提交磋商响应文件，并对所提供的全部资料的真实性承担法律责任。</w:t>
      </w:r>
    </w:p>
    <w:p>
      <w:pPr>
        <w:spacing w:line="440" w:lineRule="exact"/>
        <w:rPr>
          <w:rFonts w:ascii="宋体" w:hAnsi="宋体"/>
          <w:color w:val="auto"/>
          <w:sz w:val="24"/>
          <w:highlight w:val="none"/>
        </w:rPr>
      </w:pPr>
      <w:r>
        <w:rPr>
          <w:rFonts w:hint="eastAsia" w:ascii="宋体" w:hAnsi="宋体"/>
          <w:b/>
          <w:color w:val="auto"/>
          <w:sz w:val="24"/>
          <w:highlight w:val="none"/>
        </w:rPr>
        <w:t>*</w:t>
      </w:r>
      <w:r>
        <w:rPr>
          <w:rFonts w:hint="eastAsia" w:ascii="宋体" w:hAnsi="宋体"/>
          <w:color w:val="auto"/>
          <w:sz w:val="24"/>
          <w:highlight w:val="none"/>
        </w:rPr>
        <w:t>4.供应商在磋商活动中提供任何虚假材料,其磋商无效，并报监管部门查处；中标后发现的,中标人须依照《中华人民共和国消费者权益保护法》第49条之规定双倍赔偿采购人，且民事赔偿并不免除违法供应商的行政与刑事责任。</w:t>
      </w:r>
    </w:p>
    <w:p>
      <w:pPr>
        <w:spacing w:line="440" w:lineRule="exact"/>
        <w:rPr>
          <w:color w:val="auto"/>
          <w:sz w:val="24"/>
          <w:highlight w:val="none"/>
        </w:rPr>
      </w:pPr>
      <w:r>
        <w:rPr>
          <w:rFonts w:hint="eastAsia" w:ascii="宋体" w:hAnsi="宋体" w:cs="宋体"/>
          <w:color w:val="auto"/>
          <w:sz w:val="24"/>
          <w:highlight w:val="none"/>
        </w:rPr>
        <w:t>*5. 磋商小组认为预中标人的磋商报价明显低于其他通过符合性审查供应商的报价，有可能影响产品质量或者不能诚信履约的，应当要求其在磋商现场合理的时间内提供书面说明，必要时提交相关证明材料，预中标人不能证明其报价合理性的，磋商小组应当将其作为无效磋商响应处理。</w:t>
      </w:r>
    </w:p>
    <w:p>
      <w:pPr>
        <w:spacing w:line="440" w:lineRule="exact"/>
        <w:rPr>
          <w:rFonts w:ascii="宋体" w:hAnsi="宋体"/>
          <w:color w:val="auto"/>
          <w:sz w:val="24"/>
          <w:highlight w:val="none"/>
        </w:rPr>
      </w:pPr>
      <w:r>
        <w:rPr>
          <w:rFonts w:ascii="宋体" w:hAnsi="宋体"/>
          <w:color w:val="auto"/>
          <w:sz w:val="24"/>
          <w:highlight w:val="none"/>
        </w:rPr>
        <w:t>*</w:t>
      </w:r>
      <w:r>
        <w:rPr>
          <w:rFonts w:hint="eastAsia" w:ascii="宋体" w:hAnsi="宋体"/>
          <w:color w:val="auto"/>
          <w:sz w:val="24"/>
          <w:highlight w:val="none"/>
        </w:rPr>
        <w:t>6.</w:t>
      </w:r>
      <w:r>
        <w:rPr>
          <w:rFonts w:ascii="宋体" w:hAnsi="宋体"/>
          <w:color w:val="auto"/>
          <w:sz w:val="24"/>
          <w:highlight w:val="none"/>
        </w:rPr>
        <w:t xml:space="preserve"> 招标方不保证最低报价者为中标方。</w:t>
      </w:r>
    </w:p>
    <w:p>
      <w:pPr>
        <w:spacing w:line="440" w:lineRule="exact"/>
        <w:rPr>
          <w:rFonts w:ascii="宋体" w:hAnsi="宋体"/>
          <w:color w:val="auto"/>
          <w:sz w:val="24"/>
          <w:highlight w:val="none"/>
        </w:rPr>
      </w:pPr>
      <w:r>
        <w:rPr>
          <w:rFonts w:ascii="宋体" w:hAnsi="宋体"/>
          <w:color w:val="auto"/>
          <w:sz w:val="24"/>
          <w:highlight w:val="none"/>
        </w:rPr>
        <w:t>*</w:t>
      </w:r>
      <w:r>
        <w:rPr>
          <w:rFonts w:hint="eastAsia" w:ascii="宋体" w:hAnsi="宋体"/>
          <w:color w:val="auto"/>
          <w:sz w:val="24"/>
          <w:highlight w:val="none"/>
        </w:rPr>
        <w:t>7</w:t>
      </w:r>
      <w:r>
        <w:rPr>
          <w:rFonts w:ascii="宋体" w:hAnsi="宋体"/>
          <w:color w:val="auto"/>
          <w:sz w:val="24"/>
          <w:highlight w:val="none"/>
        </w:rPr>
        <w:t>.</w:t>
      </w:r>
      <w:r>
        <w:rPr>
          <w:rFonts w:hint="eastAsia" w:ascii="宋体" w:hAnsi="宋体"/>
          <w:color w:val="auto"/>
          <w:sz w:val="24"/>
          <w:highlight w:val="none"/>
        </w:rPr>
        <w:t>“政采云”平台运营机构，以及与该机构有直接控股或者管理关系可能影响采购公正性的任何单位和个人，不得在该平台进行的政府采购项目电子交易中磋商、响应政府采购项目。</w:t>
      </w:r>
    </w:p>
    <w:p>
      <w:pPr>
        <w:spacing w:line="440" w:lineRule="exact"/>
        <w:rPr>
          <w:rFonts w:ascii="宋体" w:hAnsi="宋体" w:cs="宋体"/>
          <w:b/>
          <w:bCs/>
          <w:color w:val="auto"/>
          <w:sz w:val="24"/>
          <w:highlight w:val="none"/>
        </w:rPr>
      </w:pPr>
      <w:r>
        <w:rPr>
          <w:rFonts w:hint="eastAsia" w:ascii="宋体" w:hAnsi="宋体" w:cs="宋体"/>
          <w:b/>
          <w:bCs/>
          <w:color w:val="auto"/>
          <w:sz w:val="24"/>
          <w:highlight w:val="none"/>
        </w:rPr>
        <w:t>（九）质疑和投诉</w:t>
      </w:r>
    </w:p>
    <w:p>
      <w:pPr>
        <w:spacing w:line="440" w:lineRule="exact"/>
        <w:rPr>
          <w:rFonts w:ascii="宋体" w:hAnsi="宋体" w:cs="宋体"/>
          <w:color w:val="auto"/>
          <w:sz w:val="24"/>
          <w:highlight w:val="none"/>
        </w:rPr>
      </w:pPr>
      <w:r>
        <w:rPr>
          <w:rFonts w:hint="eastAsia" w:ascii="宋体" w:hAnsi="宋体" w:cs="宋体"/>
          <w:color w:val="auto"/>
          <w:sz w:val="24"/>
          <w:highlight w:val="none"/>
        </w:rPr>
        <w:t>1.供应商认为磋商文件、招标过程或中标结果使自己的合法权益受到损害的，应当在知道或者应知其权益受到损害之日起七个工作日内，以书面形式向采购人、招标方提出质疑。供应商对招标方的质疑答复不满意或者招标方未在规定时间内作出答复的，可以在答复期满后十五个工作日内向同级采购监管部门投诉。</w:t>
      </w:r>
    </w:p>
    <w:p>
      <w:pPr>
        <w:spacing w:line="440" w:lineRule="exact"/>
        <w:rPr>
          <w:rFonts w:ascii="宋体" w:hAnsi="宋体" w:cs="宋体"/>
          <w:color w:val="auto"/>
          <w:sz w:val="24"/>
          <w:highlight w:val="none"/>
        </w:rPr>
      </w:pPr>
      <w:r>
        <w:rPr>
          <w:rFonts w:hint="eastAsia" w:ascii="宋体" w:hAnsi="宋体" w:cs="宋体"/>
          <w:color w:val="auto"/>
          <w:sz w:val="24"/>
          <w:highlight w:val="none"/>
        </w:rPr>
        <w:t>2.质疑、投诉应当采用书面形式，质疑书、投诉书均应明确阐述磋商文件、招标过程或中标结果中使自己合法权益受到损害的实质性内容，提供相关事实、依据和证据及其来源或线索，便于有关单位调查、答复和处理。</w:t>
      </w:r>
    </w:p>
    <w:p>
      <w:pPr>
        <w:spacing w:line="440" w:lineRule="exact"/>
        <w:rPr>
          <w:rFonts w:ascii="宋体" w:hAnsi="宋体" w:cs="宋体"/>
          <w:color w:val="auto"/>
          <w:sz w:val="24"/>
          <w:highlight w:val="none"/>
        </w:rPr>
      </w:pPr>
      <w:r>
        <w:rPr>
          <w:rFonts w:hint="eastAsia" w:ascii="宋体" w:hAnsi="宋体" w:cs="宋体"/>
          <w:color w:val="auto"/>
          <w:sz w:val="24"/>
          <w:highlight w:val="none"/>
        </w:rPr>
        <w:t>3. 采购人、招标方应当按照《浙江省政府采购供应商质疑处理办法》、中华人民共和国财政部第94号令《政府采购质疑和投诉办法》、《政府采购竞争性磋商采购方式管理暂行办法》进行受理与答复质疑。</w:t>
      </w:r>
    </w:p>
    <w:p>
      <w:pPr>
        <w:pStyle w:val="6"/>
        <w:keepNext w:val="0"/>
        <w:keepLines w:val="0"/>
        <w:pageBreakBefore/>
        <w:spacing w:line="360" w:lineRule="auto"/>
        <w:jc w:val="center"/>
        <w:rPr>
          <w:rFonts w:ascii="宋体" w:hAnsi="宋体" w:eastAsia="宋体" w:cs="宋体"/>
          <w:color w:val="auto"/>
          <w:sz w:val="24"/>
          <w:szCs w:val="24"/>
          <w:highlight w:val="none"/>
        </w:rPr>
      </w:pPr>
      <w:bookmarkStart w:id="12" w:name="_Toc458697268"/>
      <w:bookmarkStart w:id="13" w:name="_Toc454196066"/>
      <w:bookmarkStart w:id="14" w:name="_Toc2052"/>
      <w:r>
        <w:rPr>
          <w:rFonts w:hint="eastAsia" w:ascii="宋体" w:hAnsi="宋体" w:eastAsia="宋体" w:cs="宋体"/>
          <w:color w:val="auto"/>
          <w:sz w:val="24"/>
          <w:szCs w:val="24"/>
          <w:highlight w:val="none"/>
        </w:rPr>
        <w:t>二、</w:t>
      </w:r>
      <w:bookmarkEnd w:id="12"/>
      <w:bookmarkEnd w:id="13"/>
      <w:r>
        <w:rPr>
          <w:rFonts w:hint="eastAsia" w:ascii="宋体" w:hAnsi="宋体" w:eastAsia="宋体" w:cs="宋体"/>
          <w:color w:val="auto"/>
          <w:sz w:val="24"/>
          <w:szCs w:val="24"/>
          <w:highlight w:val="none"/>
        </w:rPr>
        <w:t>磋商文件</w:t>
      </w:r>
      <w:bookmarkEnd w:id="14"/>
    </w:p>
    <w:p>
      <w:pPr>
        <w:spacing w:line="360" w:lineRule="auto"/>
        <w:rPr>
          <w:rFonts w:ascii="宋体" w:hAnsi="宋体" w:cs="宋体"/>
          <w:b/>
          <w:color w:val="auto"/>
          <w:sz w:val="24"/>
          <w:highlight w:val="none"/>
        </w:rPr>
      </w:pPr>
      <w:r>
        <w:rPr>
          <w:rFonts w:hint="eastAsia" w:ascii="宋体" w:hAnsi="宋体" w:cs="宋体"/>
          <w:b/>
          <w:color w:val="auto"/>
          <w:sz w:val="24"/>
          <w:highlight w:val="none"/>
        </w:rPr>
        <w:t>（一）磋商文件的构成。本磋商文件由以下部分组成：</w:t>
      </w:r>
    </w:p>
    <w:p>
      <w:pPr>
        <w:spacing w:line="360" w:lineRule="auto"/>
        <w:rPr>
          <w:rFonts w:ascii="宋体" w:hAnsi="宋体" w:cs="宋体"/>
          <w:color w:val="auto"/>
          <w:sz w:val="24"/>
          <w:highlight w:val="none"/>
        </w:rPr>
      </w:pPr>
      <w:r>
        <w:rPr>
          <w:rFonts w:hint="eastAsia" w:ascii="宋体" w:hAnsi="宋体" w:cs="宋体"/>
          <w:color w:val="auto"/>
          <w:sz w:val="24"/>
          <w:highlight w:val="none"/>
        </w:rPr>
        <w:t>1.磋商公告</w:t>
      </w:r>
    </w:p>
    <w:p>
      <w:pPr>
        <w:spacing w:line="360" w:lineRule="auto"/>
        <w:rPr>
          <w:rFonts w:ascii="宋体" w:hAnsi="宋体" w:cs="宋体"/>
          <w:color w:val="auto"/>
          <w:sz w:val="24"/>
          <w:highlight w:val="none"/>
        </w:rPr>
      </w:pPr>
      <w:r>
        <w:rPr>
          <w:rFonts w:hint="eastAsia" w:ascii="宋体" w:hAnsi="宋体" w:cs="宋体"/>
          <w:color w:val="auto"/>
          <w:sz w:val="24"/>
          <w:highlight w:val="none"/>
        </w:rPr>
        <w:t>2.招标需求</w:t>
      </w:r>
    </w:p>
    <w:p>
      <w:pPr>
        <w:spacing w:line="360" w:lineRule="auto"/>
        <w:rPr>
          <w:rFonts w:ascii="宋体" w:hAnsi="宋体" w:cs="宋体"/>
          <w:color w:val="auto"/>
          <w:sz w:val="24"/>
          <w:highlight w:val="none"/>
        </w:rPr>
      </w:pPr>
      <w:r>
        <w:rPr>
          <w:rFonts w:hint="eastAsia" w:ascii="宋体" w:hAnsi="宋体" w:cs="宋体"/>
          <w:color w:val="auto"/>
          <w:sz w:val="24"/>
          <w:highlight w:val="none"/>
        </w:rPr>
        <w:t>3.供应商须知</w:t>
      </w:r>
    </w:p>
    <w:p>
      <w:pPr>
        <w:spacing w:line="360" w:lineRule="auto"/>
        <w:rPr>
          <w:rFonts w:ascii="宋体" w:hAnsi="宋体" w:cs="宋体"/>
          <w:color w:val="auto"/>
          <w:sz w:val="24"/>
          <w:highlight w:val="none"/>
        </w:rPr>
      </w:pPr>
      <w:r>
        <w:rPr>
          <w:rFonts w:hint="eastAsia" w:ascii="宋体" w:hAnsi="宋体" w:cs="宋体"/>
          <w:color w:val="auto"/>
          <w:sz w:val="24"/>
          <w:highlight w:val="none"/>
        </w:rPr>
        <w:t>4.磋商办法及标准</w:t>
      </w:r>
    </w:p>
    <w:p>
      <w:pPr>
        <w:spacing w:line="360" w:lineRule="auto"/>
        <w:rPr>
          <w:rFonts w:ascii="宋体" w:hAnsi="宋体" w:cs="宋体"/>
          <w:color w:val="auto"/>
          <w:sz w:val="24"/>
          <w:highlight w:val="none"/>
        </w:rPr>
      </w:pPr>
      <w:r>
        <w:rPr>
          <w:rFonts w:hint="eastAsia" w:ascii="宋体" w:hAnsi="宋体" w:cs="宋体"/>
          <w:color w:val="auto"/>
          <w:sz w:val="24"/>
          <w:highlight w:val="none"/>
        </w:rPr>
        <w:t>5.合同主要条款</w:t>
      </w:r>
    </w:p>
    <w:p>
      <w:pPr>
        <w:spacing w:line="360" w:lineRule="auto"/>
        <w:rPr>
          <w:rFonts w:ascii="宋体" w:hAnsi="宋体" w:cs="宋体"/>
          <w:color w:val="auto"/>
          <w:sz w:val="24"/>
          <w:highlight w:val="none"/>
        </w:rPr>
      </w:pPr>
      <w:r>
        <w:rPr>
          <w:rFonts w:hint="eastAsia" w:ascii="宋体" w:hAnsi="宋体" w:cs="宋体"/>
          <w:color w:val="auto"/>
          <w:sz w:val="24"/>
          <w:highlight w:val="none"/>
        </w:rPr>
        <w:t>6.磋商响应文件格式</w:t>
      </w:r>
    </w:p>
    <w:p>
      <w:pPr>
        <w:spacing w:line="360" w:lineRule="auto"/>
        <w:rPr>
          <w:rFonts w:ascii="宋体" w:hAnsi="宋体" w:cs="宋体"/>
          <w:color w:val="auto"/>
          <w:sz w:val="24"/>
          <w:highlight w:val="none"/>
        </w:rPr>
      </w:pPr>
      <w:r>
        <w:rPr>
          <w:rFonts w:hint="eastAsia" w:ascii="宋体" w:hAnsi="宋体" w:cs="宋体"/>
          <w:color w:val="auto"/>
          <w:sz w:val="24"/>
          <w:highlight w:val="none"/>
        </w:rPr>
        <w:t>7.本项目磋商文件的澄清、答复、修改、补充的内容</w:t>
      </w:r>
    </w:p>
    <w:p>
      <w:pPr>
        <w:spacing w:line="360" w:lineRule="auto"/>
        <w:rPr>
          <w:rFonts w:ascii="宋体" w:hAnsi="宋体" w:cs="宋体"/>
          <w:b/>
          <w:color w:val="auto"/>
          <w:sz w:val="24"/>
          <w:highlight w:val="none"/>
        </w:rPr>
      </w:pPr>
      <w:r>
        <w:rPr>
          <w:rFonts w:hint="eastAsia" w:ascii="宋体" w:hAnsi="宋体" w:cs="宋体"/>
          <w:b/>
          <w:color w:val="auto"/>
          <w:sz w:val="24"/>
          <w:highlight w:val="none"/>
        </w:rPr>
        <w:t>（二）供应商的风险</w:t>
      </w:r>
    </w:p>
    <w:p>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供应商没有按照磋商文件要求提供全部资料，或者供应商没有对磋商文件在各方面作出实质性响应是供应商的风险，并可能导致其磋商被拒绝。</w:t>
      </w:r>
    </w:p>
    <w:p>
      <w:pPr>
        <w:spacing w:line="360" w:lineRule="auto"/>
        <w:rPr>
          <w:rFonts w:ascii="宋体" w:hAnsi="宋体" w:cs="宋体"/>
          <w:b/>
          <w:color w:val="auto"/>
          <w:sz w:val="24"/>
          <w:highlight w:val="none"/>
        </w:rPr>
      </w:pPr>
      <w:r>
        <w:rPr>
          <w:rFonts w:hint="eastAsia" w:ascii="宋体" w:hAnsi="宋体" w:cs="宋体"/>
          <w:b/>
          <w:color w:val="auto"/>
          <w:sz w:val="24"/>
          <w:highlight w:val="none"/>
        </w:rPr>
        <w:t xml:space="preserve">（三）磋商文件的澄清与修改 </w:t>
      </w:r>
    </w:p>
    <w:p>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1.</w:t>
      </w:r>
      <w:r>
        <w:rPr>
          <w:rFonts w:hint="eastAsia" w:ascii="宋体" w:hAnsi="宋体" w:cs="宋体"/>
          <w:bCs/>
          <w:color w:val="auto"/>
          <w:sz w:val="24"/>
          <w:highlight w:val="none"/>
        </w:rPr>
        <w:t>供应商应认真阅读本磋商文件，发现其中有误或有不合理要求的，供应商应当按照磋商公告第三、八条规定以书面形式要求招标方澄清</w:t>
      </w:r>
      <w:r>
        <w:rPr>
          <w:rFonts w:hint="eastAsia" w:ascii="宋体" w:hAnsi="宋体" w:cs="宋体"/>
          <w:color w:val="auto"/>
          <w:sz w:val="24"/>
          <w:highlight w:val="none"/>
        </w:rPr>
        <w:t>。招标方对已发出的磋商文件进行必要澄清、答复、修改或补充的，应当在磋商文件要求提交磋商响应文件截止时间5日前，在财政部门指定的政府采购信息发布媒体上发布更正公告，并以书面形式通知所有磋商文件收受人。</w:t>
      </w:r>
    </w:p>
    <w:p>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2.招标方必须以书面形式答复供应商要求澄清的问题，并将不包含问题来源的答复书面通知所有购买磋商文件的供应商；除书面答复以外的其他澄清方式及澄清内容均无效。</w:t>
      </w:r>
    </w:p>
    <w:p>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3.磋商文件澄清、答复、修改、补充的内容为磋商文件的组成部分。当磋商文件与磋商文件的答复、澄清、修改、补充通知就同一内容的表述不一致时，以最后发出的书面文件为准。</w:t>
      </w:r>
    </w:p>
    <w:p>
      <w:pPr>
        <w:spacing w:line="360" w:lineRule="auto"/>
        <w:ind w:firstLine="480"/>
        <w:rPr>
          <w:rFonts w:ascii="宋体" w:hAnsi="宋体" w:cs="宋体"/>
          <w:color w:val="auto"/>
          <w:sz w:val="24"/>
          <w:highlight w:val="none"/>
        </w:rPr>
      </w:pPr>
      <w:r>
        <w:rPr>
          <w:rFonts w:hint="eastAsia" w:ascii="宋体" w:hAnsi="宋体" w:cs="宋体"/>
          <w:color w:val="auto"/>
          <w:sz w:val="24"/>
          <w:highlight w:val="none"/>
        </w:rPr>
        <w:t>4.磋商文件的澄清、答复、修改或补充都应该通过本招标机构以法定形式发布，采购人非通过本机构，不得擅自澄清、答复、修改或补充磋商文件。</w:t>
      </w:r>
    </w:p>
    <w:p>
      <w:pPr>
        <w:spacing w:line="360" w:lineRule="auto"/>
        <w:ind w:firstLine="480"/>
        <w:rPr>
          <w:rFonts w:ascii="宋体" w:hAnsi="宋体" w:cs="宋体"/>
          <w:color w:val="auto"/>
          <w:sz w:val="24"/>
          <w:highlight w:val="none"/>
        </w:rPr>
      </w:pPr>
      <w:r>
        <w:rPr>
          <w:rFonts w:hint="eastAsia" w:ascii="宋体" w:hAnsi="宋体" w:cs="宋体"/>
          <w:color w:val="auto"/>
          <w:sz w:val="24"/>
          <w:highlight w:val="none"/>
        </w:rPr>
        <w:t>5、磋商过程中，实质性变动的内容，经采购人代表确认后，磋商小组可以根据磋商文件和磋商情况实质性变动采购需求中的技术、服务要求以及合同草案条款，但不得变动磋商文件中其他内容，否则磋商小组不得变动磋商文件中的实质性内容。供应商应当根据磋商变动情况和磋商小组的要求重新提交响应内容，响应内容应当通过电子交易平台交换数据电文的形式提交。</w:t>
      </w:r>
    </w:p>
    <w:p>
      <w:pPr>
        <w:pStyle w:val="6"/>
        <w:keepNext w:val="0"/>
        <w:keepLines w:val="0"/>
        <w:pageBreakBefore/>
        <w:spacing w:line="240" w:lineRule="auto"/>
        <w:jc w:val="center"/>
        <w:rPr>
          <w:rFonts w:ascii="宋体" w:hAnsi="宋体" w:eastAsia="宋体" w:cs="宋体"/>
          <w:color w:val="auto"/>
          <w:sz w:val="24"/>
          <w:szCs w:val="24"/>
          <w:highlight w:val="none"/>
        </w:rPr>
      </w:pPr>
      <w:bookmarkStart w:id="15" w:name="_Toc7484"/>
      <w:bookmarkStart w:id="16" w:name="_Toc454196067"/>
      <w:bookmarkStart w:id="17" w:name="_Toc458697269"/>
      <w:r>
        <w:rPr>
          <w:rFonts w:hint="eastAsia" w:ascii="宋体" w:hAnsi="宋体" w:eastAsia="宋体" w:cs="宋体"/>
          <w:color w:val="auto"/>
          <w:sz w:val="24"/>
          <w:szCs w:val="24"/>
          <w:highlight w:val="none"/>
        </w:rPr>
        <w:t>三、磋商响应文件的编制</w:t>
      </w:r>
      <w:bookmarkEnd w:id="15"/>
      <w:bookmarkEnd w:id="16"/>
      <w:bookmarkEnd w:id="17"/>
    </w:p>
    <w:p>
      <w:pPr>
        <w:spacing w:line="430" w:lineRule="exact"/>
        <w:rPr>
          <w:rFonts w:ascii="宋体" w:hAnsi="宋体" w:cs="宋体"/>
          <w:b/>
          <w:color w:val="auto"/>
          <w:sz w:val="24"/>
          <w:highlight w:val="none"/>
        </w:rPr>
      </w:pPr>
      <w:r>
        <w:rPr>
          <w:rFonts w:hint="eastAsia" w:ascii="宋体" w:hAnsi="宋体" w:cs="宋体"/>
          <w:b/>
          <w:color w:val="auto"/>
          <w:sz w:val="24"/>
          <w:highlight w:val="none"/>
        </w:rPr>
        <w:t>▲（一）磋商响应文件的组成</w:t>
      </w:r>
    </w:p>
    <w:p>
      <w:pPr>
        <w:spacing w:line="430" w:lineRule="exact"/>
        <w:rPr>
          <w:rFonts w:ascii="宋体" w:hAnsi="宋体" w:cs="宋体"/>
          <w:color w:val="auto"/>
          <w:sz w:val="24"/>
          <w:highlight w:val="none"/>
        </w:rPr>
      </w:pPr>
      <w:r>
        <w:rPr>
          <w:rFonts w:hint="eastAsia" w:ascii="宋体" w:hAnsi="宋体" w:cs="宋体"/>
          <w:color w:val="auto"/>
          <w:sz w:val="24"/>
          <w:highlight w:val="none"/>
        </w:rPr>
        <w:t>磋商响应文件由资格审查文件、商务技术文件、报价文件三部分组成。</w:t>
      </w:r>
    </w:p>
    <w:p>
      <w:pPr>
        <w:spacing w:line="430" w:lineRule="exact"/>
        <w:rPr>
          <w:rFonts w:ascii="宋体" w:hAnsi="宋体" w:cs="宋体"/>
          <w:b/>
          <w:color w:val="auto"/>
          <w:sz w:val="24"/>
          <w:highlight w:val="none"/>
        </w:rPr>
      </w:pPr>
      <w:r>
        <w:rPr>
          <w:rFonts w:hint="eastAsia" w:ascii="宋体" w:hAnsi="宋体" w:cs="宋体"/>
          <w:b/>
          <w:color w:val="auto"/>
          <w:sz w:val="24"/>
          <w:highlight w:val="none"/>
        </w:rPr>
        <w:t>1.资格审查文件：</w:t>
      </w:r>
    </w:p>
    <w:p>
      <w:pPr>
        <w:spacing w:line="360" w:lineRule="auto"/>
        <w:rPr>
          <w:rFonts w:ascii="宋体" w:hAnsi="宋体" w:cs="宋体"/>
          <w:color w:val="auto"/>
          <w:sz w:val="24"/>
          <w:highlight w:val="none"/>
        </w:rPr>
      </w:pPr>
      <w:r>
        <w:rPr>
          <w:rFonts w:hint="eastAsia" w:ascii="宋体" w:hAnsi="宋体" w:cs="宋体"/>
          <w:color w:val="auto"/>
          <w:sz w:val="24"/>
          <w:highlight w:val="none"/>
        </w:rPr>
        <w:t>（1）具有独立承担民事责任的能力：供应商须在投标文件中出具符合以下情况的证明材料复印件（五选一）：</w:t>
      </w:r>
    </w:p>
    <w:p>
      <w:pPr>
        <w:spacing w:line="360" w:lineRule="auto"/>
        <w:rPr>
          <w:rFonts w:ascii="宋体" w:hAnsi="宋体" w:cs="宋体"/>
          <w:color w:val="auto"/>
          <w:sz w:val="24"/>
          <w:highlight w:val="none"/>
        </w:rPr>
      </w:pPr>
      <w:r>
        <w:rPr>
          <w:rFonts w:hint="eastAsia" w:ascii="宋体" w:hAnsi="宋体" w:cs="宋体"/>
          <w:color w:val="auto"/>
          <w:sz w:val="24"/>
          <w:highlight w:val="none"/>
        </w:rPr>
        <w:t>①如供应商是企业（包括合伙企业），提供在工商部门注册的有效“企业法人营业执照”或“营业执照”；</w:t>
      </w:r>
    </w:p>
    <w:p>
      <w:pPr>
        <w:spacing w:line="360" w:lineRule="auto"/>
        <w:rPr>
          <w:rFonts w:ascii="宋体" w:hAnsi="宋体" w:cs="宋体"/>
          <w:color w:val="auto"/>
          <w:sz w:val="24"/>
          <w:highlight w:val="none"/>
        </w:rPr>
      </w:pPr>
      <w:r>
        <w:rPr>
          <w:rFonts w:hint="eastAsia" w:ascii="宋体" w:hAnsi="宋体" w:cs="宋体"/>
          <w:color w:val="auto"/>
          <w:sz w:val="24"/>
          <w:highlight w:val="none"/>
        </w:rPr>
        <w:t>②如供应商是事业单位，提供有效的“事业单位法人证书”；</w:t>
      </w:r>
    </w:p>
    <w:p>
      <w:pPr>
        <w:spacing w:line="360" w:lineRule="auto"/>
        <w:rPr>
          <w:rFonts w:ascii="宋体" w:hAnsi="宋体" w:cs="宋体"/>
          <w:color w:val="auto"/>
          <w:sz w:val="24"/>
          <w:highlight w:val="none"/>
        </w:rPr>
      </w:pPr>
      <w:r>
        <w:rPr>
          <w:rFonts w:hint="eastAsia" w:ascii="宋体" w:hAnsi="宋体" w:cs="宋体"/>
          <w:color w:val="auto"/>
          <w:sz w:val="24"/>
          <w:highlight w:val="none"/>
        </w:rPr>
        <w:t>③如供应商是非企业专业服务机构的，提供执业许可证等证明文件；</w:t>
      </w:r>
    </w:p>
    <w:p>
      <w:pPr>
        <w:spacing w:line="360" w:lineRule="auto"/>
        <w:rPr>
          <w:rFonts w:ascii="宋体" w:hAnsi="宋体" w:cs="宋体"/>
          <w:color w:val="auto"/>
          <w:sz w:val="24"/>
          <w:highlight w:val="none"/>
        </w:rPr>
      </w:pPr>
      <w:r>
        <w:rPr>
          <w:rFonts w:hint="eastAsia" w:ascii="宋体" w:hAnsi="宋体" w:cs="宋体"/>
          <w:color w:val="auto"/>
          <w:sz w:val="24"/>
          <w:highlight w:val="none"/>
        </w:rPr>
        <w:t>④如供应商是个体工商户，提供有效的“个体工商户营业执照”；</w:t>
      </w:r>
    </w:p>
    <w:p>
      <w:pPr>
        <w:spacing w:line="360" w:lineRule="auto"/>
        <w:rPr>
          <w:rFonts w:ascii="宋体" w:hAnsi="宋体" w:cs="宋体"/>
          <w:color w:val="auto"/>
          <w:sz w:val="24"/>
          <w:highlight w:val="none"/>
        </w:rPr>
      </w:pPr>
      <w:r>
        <w:rPr>
          <w:rFonts w:hint="eastAsia" w:ascii="宋体" w:hAnsi="宋体" w:cs="宋体"/>
          <w:color w:val="auto"/>
          <w:sz w:val="24"/>
          <w:highlight w:val="none"/>
        </w:rPr>
        <w:t>⑤如供应商是自然人，提供有效的自然人身份证明（居民身份证正反面或公安机关出具的临时居民身份证正反面或港澳台胞证或护照）。</w:t>
      </w:r>
    </w:p>
    <w:p>
      <w:pPr>
        <w:spacing w:line="360" w:lineRule="auto"/>
        <w:rPr>
          <w:rFonts w:ascii="宋体" w:hAnsi="宋体" w:cs="宋体"/>
          <w:color w:val="auto"/>
          <w:sz w:val="24"/>
          <w:highlight w:val="none"/>
        </w:rPr>
      </w:pPr>
      <w:r>
        <w:rPr>
          <w:rFonts w:hint="eastAsia" w:ascii="宋体" w:hAnsi="宋体" w:cs="宋体"/>
          <w:color w:val="auto"/>
          <w:sz w:val="24"/>
          <w:highlight w:val="none"/>
        </w:rPr>
        <w:t>（2）法定代表人身份证复印件或法定代表人授权委托书(格式见附件)；</w:t>
      </w:r>
    </w:p>
    <w:p>
      <w:pPr>
        <w:spacing w:line="360" w:lineRule="auto"/>
        <w:rPr>
          <w:rFonts w:ascii="宋体" w:hAnsi="宋体" w:cs="宋体"/>
          <w:color w:val="auto"/>
          <w:sz w:val="24"/>
          <w:highlight w:val="none"/>
        </w:rPr>
      </w:pPr>
      <w:r>
        <w:rPr>
          <w:rFonts w:hint="eastAsia" w:ascii="宋体" w:hAnsi="宋体" w:cs="宋体"/>
          <w:color w:val="auto"/>
          <w:sz w:val="24"/>
          <w:highlight w:val="none"/>
        </w:rPr>
        <w:t>（3）符合参加政府采购活动应当具备的一般条件的承诺函（格式见附件）；</w:t>
      </w:r>
    </w:p>
    <w:p>
      <w:pPr>
        <w:pStyle w:val="19"/>
        <w:keepNext w:val="0"/>
        <w:keepLines w:val="0"/>
        <w:pageBreakBefore w:val="0"/>
        <w:kinsoku/>
        <w:wordWrap/>
        <w:overflowPunct/>
        <w:topLinePunct w:val="0"/>
        <w:autoSpaceDE/>
        <w:autoSpaceDN/>
        <w:bidi w:val="0"/>
        <w:spacing w:line="420" w:lineRule="exact"/>
        <w:textAlignment w:val="auto"/>
        <w:rPr>
          <w:rFonts w:ascii="宋体" w:hAnsi="宋体" w:cs="宋体"/>
          <w:color w:val="auto"/>
          <w:sz w:val="24"/>
          <w:highlight w:val="none"/>
        </w:rPr>
      </w:pPr>
      <w:r>
        <w:rPr>
          <w:rFonts w:hint="eastAsia" w:ascii="宋体" w:hAnsi="宋体" w:cs="宋体"/>
          <w:color w:val="auto"/>
          <w:sz w:val="24"/>
          <w:highlight w:val="none"/>
        </w:rPr>
        <w:t>（</w:t>
      </w:r>
      <w:r>
        <w:rPr>
          <w:rFonts w:hint="eastAsia" w:ascii="宋体" w:hAnsi="宋体" w:cs="宋体"/>
          <w:color w:val="auto"/>
          <w:sz w:val="24"/>
          <w:highlight w:val="none"/>
          <w:lang w:val="en-US" w:eastAsia="zh-CN"/>
        </w:rPr>
        <w:t>4</w:t>
      </w:r>
      <w:r>
        <w:rPr>
          <w:rFonts w:hint="eastAsia" w:ascii="宋体" w:hAnsi="宋体" w:cs="宋体"/>
          <w:color w:val="auto"/>
          <w:sz w:val="24"/>
          <w:highlight w:val="none"/>
        </w:rPr>
        <w:t>）供应商具备有效的企业营业执照，并承诺在人员、设备、资金等方面具有相应的施工能力。（须提供承诺书）</w:t>
      </w:r>
    </w:p>
    <w:p>
      <w:pPr>
        <w:spacing w:line="360" w:lineRule="auto"/>
        <w:rPr>
          <w:rFonts w:ascii="宋体" w:hAnsi="宋体" w:cs="宋体"/>
          <w:color w:val="auto"/>
          <w:sz w:val="24"/>
          <w:highlight w:val="none"/>
        </w:rPr>
      </w:pPr>
      <w:r>
        <w:rPr>
          <w:rFonts w:hint="eastAsia" w:ascii="宋体" w:hAnsi="宋体" w:cs="宋体"/>
          <w:color w:val="auto"/>
          <w:sz w:val="24"/>
          <w:highlight w:val="none"/>
        </w:rPr>
        <w:t>（</w:t>
      </w:r>
      <w:r>
        <w:rPr>
          <w:rFonts w:hint="eastAsia" w:ascii="宋体" w:hAnsi="宋体" w:cs="宋体"/>
          <w:color w:val="auto"/>
          <w:sz w:val="24"/>
          <w:highlight w:val="none"/>
          <w:lang w:val="en-US" w:eastAsia="zh-CN"/>
        </w:rPr>
        <w:t>5</w:t>
      </w:r>
      <w:r>
        <w:rPr>
          <w:rFonts w:hint="eastAsia" w:ascii="宋体" w:hAnsi="宋体" w:cs="宋体"/>
          <w:color w:val="auto"/>
          <w:sz w:val="24"/>
          <w:highlight w:val="none"/>
        </w:rPr>
        <w:t>）信用记录网络查询页面截图（信用中国与中国政府采购网）；联合体信用信息查询：两个以上的自然人、法人或者其他组织组成一个联合体，以一个供应商的身份共同参加政府采购活动的，应当对所有联合体成员进行信用记录查询，联合体成员存在不良信用记录的，视同联合体存在不良信用记录；</w:t>
      </w:r>
    </w:p>
    <w:p>
      <w:pPr>
        <w:spacing w:line="360" w:lineRule="auto"/>
        <w:rPr>
          <w:rFonts w:ascii="宋体" w:hAnsi="宋体" w:cs="宋体"/>
          <w:color w:val="auto"/>
          <w:sz w:val="24"/>
          <w:highlight w:val="none"/>
        </w:rPr>
      </w:pPr>
      <w:r>
        <w:rPr>
          <w:rFonts w:hint="eastAsia" w:ascii="宋体" w:hAnsi="宋体" w:cs="宋体"/>
          <w:color w:val="auto"/>
          <w:sz w:val="24"/>
          <w:highlight w:val="none"/>
        </w:rPr>
        <w:t>（</w:t>
      </w:r>
      <w:r>
        <w:rPr>
          <w:rFonts w:hint="eastAsia" w:ascii="宋体" w:hAnsi="宋体" w:cs="宋体"/>
          <w:color w:val="auto"/>
          <w:sz w:val="24"/>
          <w:highlight w:val="none"/>
          <w:lang w:val="en-US" w:eastAsia="zh-CN"/>
        </w:rPr>
        <w:t>6</w:t>
      </w:r>
      <w:r>
        <w:rPr>
          <w:rFonts w:hint="eastAsia" w:ascii="宋体" w:hAnsi="宋体" w:cs="宋体"/>
          <w:color w:val="auto"/>
          <w:sz w:val="24"/>
          <w:highlight w:val="none"/>
        </w:rPr>
        <w:t>）浙江政府采购网注册正式供应商的网络截图或承诺中标后30天内注册为浙江政府采购网正式供应商（须提供承诺书）；</w:t>
      </w:r>
    </w:p>
    <w:p>
      <w:pPr>
        <w:spacing w:line="360" w:lineRule="auto"/>
        <w:rPr>
          <w:rFonts w:ascii="宋体" w:hAnsi="宋体" w:cs="宋体"/>
          <w:color w:val="auto"/>
          <w:sz w:val="24"/>
          <w:highlight w:val="none"/>
        </w:rPr>
      </w:pPr>
      <w:r>
        <w:rPr>
          <w:rFonts w:hint="eastAsia" w:ascii="宋体" w:hAnsi="宋体" w:cs="宋体"/>
          <w:color w:val="auto"/>
          <w:sz w:val="24"/>
          <w:highlight w:val="none"/>
        </w:rPr>
        <w:t>（</w:t>
      </w:r>
      <w:r>
        <w:rPr>
          <w:rFonts w:hint="eastAsia" w:ascii="宋体" w:hAnsi="宋体" w:cs="宋体"/>
          <w:color w:val="auto"/>
          <w:sz w:val="24"/>
          <w:highlight w:val="none"/>
          <w:lang w:val="en-US" w:eastAsia="zh-CN"/>
        </w:rPr>
        <w:t>7</w:t>
      </w:r>
      <w:r>
        <w:rPr>
          <w:rFonts w:hint="eastAsia" w:ascii="宋体" w:hAnsi="宋体" w:cs="宋体"/>
          <w:color w:val="auto"/>
          <w:sz w:val="24"/>
          <w:highlight w:val="none"/>
        </w:rPr>
        <w:t>）东阳市政府采购代理机构社会评价表（格式见附件）；</w:t>
      </w:r>
    </w:p>
    <w:p>
      <w:pPr>
        <w:snapToGrid w:val="0"/>
        <w:spacing w:line="360" w:lineRule="auto"/>
        <w:rPr>
          <w:rFonts w:ascii="宋体" w:hAnsi="宋体" w:cs="宋体"/>
          <w:color w:val="auto"/>
          <w:sz w:val="24"/>
          <w:highlight w:val="none"/>
        </w:rPr>
      </w:pPr>
      <w:r>
        <w:rPr>
          <w:rFonts w:hint="eastAsia" w:ascii="宋体" w:hAnsi="宋体" w:cs="宋体"/>
          <w:color w:val="auto"/>
          <w:sz w:val="24"/>
          <w:highlight w:val="none"/>
        </w:rPr>
        <w:t>（</w:t>
      </w:r>
      <w:r>
        <w:rPr>
          <w:rFonts w:hint="eastAsia" w:ascii="宋体" w:hAnsi="宋体" w:cs="宋体"/>
          <w:color w:val="auto"/>
          <w:sz w:val="24"/>
          <w:highlight w:val="none"/>
          <w:lang w:val="en-US" w:eastAsia="zh-CN"/>
        </w:rPr>
        <w:t>8</w:t>
      </w:r>
      <w:r>
        <w:rPr>
          <w:rFonts w:hint="eastAsia" w:ascii="宋体" w:hAnsi="宋体" w:cs="宋体"/>
          <w:color w:val="auto"/>
          <w:sz w:val="24"/>
          <w:highlight w:val="none"/>
        </w:rPr>
        <w:t>）磋商声明书 (格式见附件) ；</w:t>
      </w:r>
    </w:p>
    <w:p>
      <w:pPr>
        <w:snapToGrid w:val="0"/>
        <w:spacing w:line="360" w:lineRule="auto"/>
        <w:rPr>
          <w:rFonts w:ascii="宋体" w:hAnsi="宋体" w:cs="宋体"/>
          <w:color w:val="auto"/>
          <w:sz w:val="24"/>
          <w:highlight w:val="none"/>
        </w:rPr>
      </w:pPr>
      <w:r>
        <w:rPr>
          <w:rFonts w:hint="eastAsia" w:ascii="宋体" w:hAnsi="宋体" w:cs="宋体"/>
          <w:color w:val="auto"/>
          <w:sz w:val="24"/>
          <w:highlight w:val="none"/>
        </w:rPr>
        <w:t>（</w:t>
      </w:r>
      <w:r>
        <w:rPr>
          <w:rFonts w:hint="eastAsia" w:ascii="宋体" w:hAnsi="宋体" w:cs="宋体"/>
          <w:color w:val="auto"/>
          <w:sz w:val="24"/>
          <w:highlight w:val="none"/>
          <w:lang w:val="en-US" w:eastAsia="zh-CN"/>
        </w:rPr>
        <w:t>9</w:t>
      </w:r>
      <w:r>
        <w:rPr>
          <w:rFonts w:hint="eastAsia" w:ascii="宋体" w:hAnsi="宋体" w:cs="宋体"/>
          <w:color w:val="auto"/>
          <w:sz w:val="24"/>
          <w:highlight w:val="none"/>
        </w:rPr>
        <w:t>）政府采购活动现场确认声明书 (格式见附件) ；</w:t>
      </w:r>
    </w:p>
    <w:p>
      <w:pPr>
        <w:spacing w:line="360" w:lineRule="auto"/>
        <w:rPr>
          <w:rFonts w:ascii="宋体" w:hAnsi="宋体" w:cs="宋体"/>
          <w:color w:val="auto"/>
          <w:sz w:val="24"/>
          <w:highlight w:val="none"/>
        </w:rPr>
      </w:pPr>
      <w:r>
        <w:rPr>
          <w:rFonts w:hint="eastAsia" w:ascii="宋体" w:hAnsi="宋体" w:cs="宋体"/>
          <w:color w:val="auto"/>
          <w:sz w:val="24"/>
          <w:highlight w:val="none"/>
        </w:rPr>
        <w:t>（1</w:t>
      </w:r>
      <w:r>
        <w:rPr>
          <w:rFonts w:hint="eastAsia" w:ascii="宋体" w:hAnsi="宋体" w:cs="宋体"/>
          <w:color w:val="auto"/>
          <w:sz w:val="24"/>
          <w:highlight w:val="none"/>
          <w:lang w:val="en-US" w:eastAsia="zh-CN"/>
        </w:rPr>
        <w:t>0</w:t>
      </w:r>
      <w:r>
        <w:rPr>
          <w:rFonts w:hint="eastAsia" w:ascii="宋体" w:hAnsi="宋体" w:cs="宋体"/>
          <w:color w:val="auto"/>
          <w:sz w:val="24"/>
          <w:highlight w:val="none"/>
        </w:rPr>
        <w:t>）联合体协议书（联合体投标时提供）（格式见附件）；</w:t>
      </w:r>
    </w:p>
    <w:p>
      <w:pPr>
        <w:spacing w:line="360" w:lineRule="auto"/>
        <w:rPr>
          <w:rFonts w:ascii="宋体" w:hAnsi="宋体"/>
          <w:color w:val="auto"/>
          <w:sz w:val="24"/>
          <w:highlight w:val="none"/>
        </w:rPr>
      </w:pPr>
      <w:r>
        <w:rPr>
          <w:rFonts w:hint="eastAsia" w:ascii="宋体" w:hAnsi="宋体"/>
          <w:color w:val="auto"/>
          <w:sz w:val="24"/>
          <w:highlight w:val="none"/>
        </w:rPr>
        <w:t>（</w:t>
      </w:r>
      <w:r>
        <w:rPr>
          <w:rFonts w:ascii="宋体" w:hAnsi="宋体"/>
          <w:color w:val="auto"/>
          <w:sz w:val="24"/>
          <w:highlight w:val="none"/>
        </w:rPr>
        <w:t>1</w:t>
      </w:r>
      <w:r>
        <w:rPr>
          <w:rFonts w:hint="eastAsia" w:ascii="宋体" w:hAnsi="宋体"/>
          <w:color w:val="auto"/>
          <w:sz w:val="24"/>
          <w:highlight w:val="none"/>
          <w:lang w:val="en-US" w:eastAsia="zh-CN"/>
        </w:rPr>
        <w:t>1</w:t>
      </w:r>
      <w:r>
        <w:rPr>
          <w:rFonts w:hint="eastAsia" w:ascii="宋体" w:hAnsi="宋体"/>
          <w:color w:val="auto"/>
          <w:sz w:val="24"/>
          <w:highlight w:val="none"/>
        </w:rPr>
        <w:t>）</w:t>
      </w:r>
      <w:r>
        <w:rPr>
          <w:rFonts w:hint="eastAsia" w:ascii="宋体" w:hAnsi="宋体" w:cs="宋体"/>
          <w:color w:val="auto"/>
          <w:sz w:val="24"/>
          <w:highlight w:val="none"/>
        </w:rPr>
        <w:t>落实政府采购政策需满足的资格：供应商为中小企业/小微企业，提供《中小企业声明函》（格式见附件）；</w:t>
      </w:r>
    </w:p>
    <w:p>
      <w:pPr>
        <w:spacing w:line="360" w:lineRule="auto"/>
        <w:rPr>
          <w:rFonts w:ascii="宋体" w:hAnsi="宋体" w:cs="宋体"/>
          <w:color w:val="auto"/>
          <w:sz w:val="24"/>
          <w:highlight w:val="none"/>
        </w:rPr>
      </w:pPr>
      <w:r>
        <w:rPr>
          <w:rFonts w:hint="eastAsia" w:ascii="宋体" w:hAnsi="宋体" w:cs="宋体"/>
          <w:color w:val="auto"/>
          <w:sz w:val="24"/>
          <w:highlight w:val="none"/>
        </w:rPr>
        <w:t>（1</w:t>
      </w:r>
      <w:r>
        <w:rPr>
          <w:rFonts w:hint="eastAsia" w:ascii="宋体" w:hAnsi="宋体" w:cs="宋体"/>
          <w:color w:val="auto"/>
          <w:sz w:val="24"/>
          <w:highlight w:val="none"/>
          <w:lang w:val="en-US" w:eastAsia="zh-CN"/>
        </w:rPr>
        <w:t>2</w:t>
      </w:r>
      <w:r>
        <w:rPr>
          <w:rFonts w:hint="eastAsia" w:ascii="宋体" w:hAnsi="宋体" w:cs="宋体"/>
          <w:color w:val="auto"/>
          <w:sz w:val="24"/>
          <w:highlight w:val="none"/>
        </w:rPr>
        <w:t>）供应商情况介绍；</w:t>
      </w:r>
    </w:p>
    <w:p>
      <w:pPr>
        <w:spacing w:line="360" w:lineRule="auto"/>
        <w:rPr>
          <w:rFonts w:ascii="宋体" w:hAnsi="宋体" w:cs="宋体"/>
          <w:color w:val="auto"/>
          <w:sz w:val="24"/>
          <w:highlight w:val="none"/>
        </w:rPr>
      </w:pPr>
      <w:r>
        <w:rPr>
          <w:rFonts w:hint="eastAsia" w:ascii="宋体" w:hAnsi="宋体" w:cs="宋体"/>
          <w:color w:val="auto"/>
          <w:sz w:val="24"/>
          <w:highlight w:val="none"/>
        </w:rPr>
        <w:t>（1</w:t>
      </w:r>
      <w:r>
        <w:rPr>
          <w:rFonts w:hint="eastAsia" w:ascii="宋体" w:hAnsi="宋体" w:cs="宋体"/>
          <w:color w:val="auto"/>
          <w:sz w:val="24"/>
          <w:highlight w:val="none"/>
          <w:lang w:val="en-US" w:eastAsia="zh-CN"/>
        </w:rPr>
        <w:t>3</w:t>
      </w:r>
      <w:r>
        <w:rPr>
          <w:rFonts w:hint="eastAsia" w:ascii="宋体" w:hAnsi="宋体" w:cs="宋体"/>
          <w:color w:val="auto"/>
          <w:sz w:val="24"/>
          <w:highlight w:val="none"/>
        </w:rPr>
        <w:t>）供应商认为有必要提供的其它文件。</w:t>
      </w:r>
    </w:p>
    <w:p>
      <w:pPr>
        <w:spacing w:line="360" w:lineRule="auto"/>
        <w:rPr>
          <w:rFonts w:ascii="宋体" w:hAnsi="宋体" w:cs="宋体"/>
          <w:b/>
          <w:bCs/>
          <w:color w:val="auto"/>
          <w:sz w:val="24"/>
          <w:highlight w:val="none"/>
        </w:rPr>
      </w:pPr>
      <w:r>
        <w:rPr>
          <w:rFonts w:hint="eastAsia" w:ascii="宋体" w:hAnsi="宋体" w:cs="宋体"/>
          <w:b/>
          <w:bCs/>
          <w:color w:val="auto"/>
          <w:sz w:val="24"/>
          <w:highlight w:val="none"/>
          <w:lang w:val="en-US" w:eastAsia="zh-CN"/>
        </w:rPr>
        <w:t>2</w:t>
      </w:r>
      <w:r>
        <w:rPr>
          <w:rFonts w:hint="eastAsia" w:ascii="宋体" w:hAnsi="宋体" w:cs="宋体"/>
          <w:b/>
          <w:bCs/>
          <w:color w:val="auto"/>
          <w:sz w:val="24"/>
          <w:highlight w:val="none"/>
        </w:rPr>
        <w:t>.商务技术文件</w:t>
      </w:r>
    </w:p>
    <w:p>
      <w:pPr>
        <w:spacing w:line="360" w:lineRule="auto"/>
        <w:rPr>
          <w:rFonts w:ascii="宋体" w:hAnsi="宋体"/>
          <w:color w:val="auto"/>
          <w:sz w:val="24"/>
          <w:highlight w:val="none"/>
        </w:rPr>
      </w:pPr>
      <w:r>
        <w:rPr>
          <w:rFonts w:hint="eastAsia" w:ascii="宋体" w:hAnsi="宋体"/>
          <w:color w:val="auto"/>
          <w:sz w:val="24"/>
          <w:highlight w:val="none"/>
        </w:rPr>
        <w:t>（1）供应商资信商务、技术自评得分表（格式见附件）；</w:t>
      </w:r>
    </w:p>
    <w:p>
      <w:pPr>
        <w:spacing w:line="360" w:lineRule="auto"/>
        <w:rPr>
          <w:rFonts w:ascii="宋体" w:hAnsi="宋体"/>
          <w:bCs/>
          <w:color w:val="auto"/>
          <w:sz w:val="24"/>
          <w:highlight w:val="none"/>
        </w:rPr>
      </w:pPr>
      <w:r>
        <w:rPr>
          <w:rFonts w:hint="eastAsia" w:ascii="宋体" w:hAnsi="宋体"/>
          <w:bCs/>
          <w:color w:val="auto"/>
          <w:sz w:val="24"/>
          <w:highlight w:val="none"/>
        </w:rPr>
        <w:t>（2）商务响应表（格式见附件）；</w:t>
      </w:r>
    </w:p>
    <w:p>
      <w:pPr>
        <w:snapToGrid w:val="0"/>
        <w:spacing w:line="360" w:lineRule="auto"/>
        <w:jc w:val="left"/>
        <w:rPr>
          <w:rFonts w:ascii="宋体" w:hAnsi="宋体" w:cs="宋体"/>
          <w:color w:val="auto"/>
          <w:sz w:val="24"/>
          <w:highlight w:val="none"/>
        </w:rPr>
      </w:pPr>
      <w:r>
        <w:rPr>
          <w:rFonts w:hint="eastAsia" w:ascii="宋体" w:hAnsi="宋体"/>
          <w:color w:val="auto"/>
          <w:sz w:val="24"/>
          <w:highlight w:val="none"/>
        </w:rPr>
        <w:t>（3）技术响应表（格式见附件）；</w:t>
      </w:r>
    </w:p>
    <w:p>
      <w:pPr>
        <w:spacing w:line="360" w:lineRule="auto"/>
        <w:rPr>
          <w:rFonts w:ascii="宋体" w:hAnsi="宋体" w:cs="宋体"/>
          <w:color w:val="auto"/>
          <w:sz w:val="24"/>
          <w:highlight w:val="none"/>
        </w:rPr>
      </w:pPr>
      <w:r>
        <w:rPr>
          <w:rFonts w:hint="eastAsia" w:ascii="宋体" w:hAnsi="宋体" w:cs="宋体"/>
          <w:color w:val="auto"/>
          <w:sz w:val="24"/>
          <w:highlight w:val="none"/>
        </w:rPr>
        <w:t>（4）项目理解情况；</w:t>
      </w:r>
    </w:p>
    <w:p>
      <w:pPr>
        <w:spacing w:line="360" w:lineRule="auto"/>
        <w:rPr>
          <w:rFonts w:ascii="宋体" w:hAnsi="宋体" w:cs="宋体"/>
          <w:color w:val="auto"/>
          <w:sz w:val="24"/>
          <w:highlight w:val="none"/>
        </w:rPr>
      </w:pPr>
      <w:r>
        <w:rPr>
          <w:rFonts w:hint="eastAsia" w:ascii="宋体" w:hAnsi="宋体" w:cs="宋体"/>
          <w:color w:val="auto"/>
          <w:sz w:val="24"/>
          <w:highlight w:val="none"/>
        </w:rPr>
        <w:t>（5）施工方案；</w:t>
      </w:r>
    </w:p>
    <w:p>
      <w:pPr>
        <w:spacing w:line="360" w:lineRule="auto"/>
        <w:rPr>
          <w:rFonts w:ascii="宋体" w:hAnsi="宋体" w:cs="宋体"/>
          <w:color w:val="auto"/>
          <w:sz w:val="24"/>
          <w:highlight w:val="none"/>
        </w:rPr>
      </w:pPr>
      <w:r>
        <w:rPr>
          <w:rFonts w:hint="eastAsia" w:ascii="宋体" w:hAnsi="宋体" w:cs="宋体"/>
          <w:color w:val="auto"/>
          <w:sz w:val="24"/>
          <w:highlight w:val="none"/>
        </w:rPr>
        <w:t>（6）布置图、效果图；</w:t>
      </w:r>
    </w:p>
    <w:p>
      <w:pPr>
        <w:spacing w:line="360" w:lineRule="auto"/>
        <w:rPr>
          <w:rFonts w:ascii="宋体" w:hAnsi="宋体" w:cs="宋体"/>
          <w:color w:val="auto"/>
          <w:sz w:val="24"/>
          <w:highlight w:val="none"/>
        </w:rPr>
      </w:pPr>
      <w:r>
        <w:rPr>
          <w:rFonts w:hint="eastAsia" w:ascii="宋体" w:hAnsi="宋体" w:cs="宋体"/>
          <w:color w:val="auto"/>
          <w:sz w:val="24"/>
          <w:highlight w:val="none"/>
        </w:rPr>
        <w:t>（</w:t>
      </w:r>
      <w:r>
        <w:rPr>
          <w:rFonts w:hint="eastAsia" w:ascii="宋体" w:hAnsi="宋体" w:cs="宋体"/>
          <w:color w:val="auto"/>
          <w:sz w:val="24"/>
          <w:highlight w:val="none"/>
          <w:lang w:val="en-US" w:eastAsia="zh-CN"/>
        </w:rPr>
        <w:t>7</w:t>
      </w:r>
      <w:r>
        <w:rPr>
          <w:rFonts w:hint="eastAsia" w:ascii="宋体" w:hAnsi="宋体" w:cs="宋体"/>
          <w:color w:val="auto"/>
          <w:sz w:val="24"/>
          <w:highlight w:val="none"/>
        </w:rPr>
        <w:t>）产品技术指标；</w:t>
      </w:r>
    </w:p>
    <w:p>
      <w:pPr>
        <w:spacing w:line="360" w:lineRule="auto"/>
        <w:rPr>
          <w:rFonts w:hint="eastAsia" w:ascii="宋体" w:hAnsi="宋体" w:cs="宋体"/>
          <w:color w:val="auto"/>
          <w:sz w:val="24"/>
          <w:highlight w:val="none"/>
        </w:rPr>
      </w:pPr>
      <w:r>
        <w:rPr>
          <w:rFonts w:hint="eastAsia" w:ascii="宋体" w:hAnsi="宋体" w:cs="宋体"/>
          <w:color w:val="auto"/>
          <w:sz w:val="24"/>
          <w:highlight w:val="none"/>
        </w:rPr>
        <w:t>（</w:t>
      </w:r>
      <w:r>
        <w:rPr>
          <w:rFonts w:hint="eastAsia" w:ascii="宋体" w:hAnsi="宋体" w:cs="宋体"/>
          <w:color w:val="auto"/>
          <w:sz w:val="24"/>
          <w:highlight w:val="none"/>
          <w:lang w:val="en-US" w:eastAsia="zh-CN"/>
        </w:rPr>
        <w:t>8</w:t>
      </w:r>
      <w:r>
        <w:rPr>
          <w:rFonts w:hint="eastAsia" w:ascii="宋体" w:hAnsi="宋体" w:cs="宋体"/>
          <w:color w:val="auto"/>
          <w:sz w:val="24"/>
          <w:highlight w:val="none"/>
        </w:rPr>
        <w:t>）施工技术；</w:t>
      </w:r>
    </w:p>
    <w:p>
      <w:pPr>
        <w:spacing w:line="360" w:lineRule="auto"/>
        <w:rPr>
          <w:rFonts w:ascii="宋体" w:hAnsi="宋体" w:cs="宋体"/>
          <w:color w:val="auto"/>
          <w:sz w:val="24"/>
          <w:highlight w:val="none"/>
        </w:rPr>
      </w:pPr>
      <w:r>
        <w:rPr>
          <w:rFonts w:hint="eastAsia" w:ascii="宋体" w:hAnsi="宋体" w:cs="宋体"/>
          <w:color w:val="auto"/>
          <w:sz w:val="24"/>
          <w:highlight w:val="none"/>
        </w:rPr>
        <w:t>（</w:t>
      </w:r>
      <w:r>
        <w:rPr>
          <w:rFonts w:hint="eastAsia" w:ascii="宋体" w:hAnsi="宋体" w:cs="宋体"/>
          <w:color w:val="auto"/>
          <w:sz w:val="24"/>
          <w:highlight w:val="none"/>
          <w:lang w:val="en-US" w:eastAsia="zh-CN"/>
        </w:rPr>
        <w:t>9</w:t>
      </w:r>
      <w:r>
        <w:rPr>
          <w:rFonts w:hint="eastAsia" w:ascii="宋体" w:hAnsi="宋体" w:cs="宋体"/>
          <w:color w:val="auto"/>
          <w:sz w:val="24"/>
          <w:highlight w:val="none"/>
        </w:rPr>
        <w:t>）施工进度；</w:t>
      </w:r>
    </w:p>
    <w:p>
      <w:pPr>
        <w:spacing w:line="360" w:lineRule="auto"/>
        <w:rPr>
          <w:rFonts w:ascii="宋体" w:hAnsi="宋体" w:cs="宋体"/>
          <w:color w:val="auto"/>
          <w:sz w:val="24"/>
          <w:highlight w:val="none"/>
        </w:rPr>
      </w:pPr>
      <w:r>
        <w:rPr>
          <w:rFonts w:hint="eastAsia" w:ascii="宋体" w:hAnsi="宋体" w:cs="宋体"/>
          <w:color w:val="auto"/>
          <w:sz w:val="24"/>
          <w:highlight w:val="none"/>
        </w:rPr>
        <w:t>（</w:t>
      </w:r>
      <w:r>
        <w:rPr>
          <w:rFonts w:hint="eastAsia" w:ascii="宋体" w:hAnsi="宋体" w:cs="宋体"/>
          <w:color w:val="auto"/>
          <w:sz w:val="24"/>
          <w:highlight w:val="none"/>
          <w:lang w:val="en-US" w:eastAsia="zh-CN"/>
        </w:rPr>
        <w:t>10</w:t>
      </w:r>
      <w:r>
        <w:rPr>
          <w:rFonts w:hint="eastAsia" w:ascii="宋体" w:hAnsi="宋体" w:cs="宋体"/>
          <w:color w:val="auto"/>
          <w:sz w:val="24"/>
          <w:highlight w:val="none"/>
        </w:rPr>
        <w:t>）</w:t>
      </w:r>
      <w:r>
        <w:rPr>
          <w:rFonts w:hint="eastAsia" w:asciiTheme="minorEastAsia" w:hAnsiTheme="minorEastAsia" w:eastAsiaTheme="minorEastAsia" w:cstheme="minorEastAsia"/>
          <w:color w:val="auto"/>
          <w:kern w:val="0"/>
          <w:sz w:val="24"/>
          <w:highlight w:val="none"/>
        </w:rPr>
        <w:t>应急预案</w:t>
      </w:r>
      <w:r>
        <w:rPr>
          <w:rFonts w:hint="eastAsia" w:ascii="宋体" w:hAnsi="宋体" w:cs="宋体"/>
          <w:color w:val="auto"/>
          <w:sz w:val="24"/>
          <w:highlight w:val="none"/>
        </w:rPr>
        <w:t>；</w:t>
      </w:r>
    </w:p>
    <w:p>
      <w:pPr>
        <w:spacing w:line="360" w:lineRule="auto"/>
        <w:rPr>
          <w:rFonts w:ascii="宋体" w:hAnsi="宋体" w:cs="宋体"/>
          <w:color w:val="auto"/>
          <w:sz w:val="24"/>
          <w:highlight w:val="none"/>
        </w:rPr>
      </w:pPr>
      <w:r>
        <w:rPr>
          <w:rFonts w:hint="eastAsia" w:ascii="宋体" w:hAnsi="宋体" w:cs="宋体"/>
          <w:color w:val="auto"/>
          <w:sz w:val="24"/>
          <w:highlight w:val="none"/>
        </w:rPr>
        <w:t>（</w:t>
      </w:r>
      <w:r>
        <w:rPr>
          <w:rFonts w:hint="eastAsia" w:ascii="宋体" w:hAnsi="宋体" w:cs="宋体"/>
          <w:color w:val="auto"/>
          <w:sz w:val="24"/>
          <w:highlight w:val="none"/>
          <w:lang w:val="en-US" w:eastAsia="zh-CN"/>
        </w:rPr>
        <w:t>11</w:t>
      </w:r>
      <w:r>
        <w:rPr>
          <w:rFonts w:hint="eastAsia" w:ascii="宋体" w:hAnsi="宋体" w:cs="宋体"/>
          <w:color w:val="auto"/>
          <w:sz w:val="24"/>
          <w:highlight w:val="none"/>
        </w:rPr>
        <w:t xml:space="preserve">）质量保障； </w:t>
      </w:r>
    </w:p>
    <w:p>
      <w:pPr>
        <w:spacing w:line="360" w:lineRule="auto"/>
        <w:rPr>
          <w:rFonts w:ascii="宋体" w:hAnsi="宋体" w:cs="宋体"/>
          <w:color w:val="auto"/>
          <w:sz w:val="24"/>
          <w:highlight w:val="none"/>
        </w:rPr>
      </w:pPr>
      <w:r>
        <w:rPr>
          <w:rFonts w:hint="eastAsia" w:ascii="宋体" w:hAnsi="宋体" w:cs="宋体"/>
          <w:color w:val="auto"/>
          <w:sz w:val="24"/>
          <w:highlight w:val="none"/>
        </w:rPr>
        <w:t>（1</w:t>
      </w:r>
      <w:r>
        <w:rPr>
          <w:rFonts w:hint="eastAsia" w:ascii="宋体" w:hAnsi="宋体" w:cs="宋体"/>
          <w:color w:val="auto"/>
          <w:sz w:val="24"/>
          <w:highlight w:val="none"/>
          <w:lang w:val="en-US" w:eastAsia="zh-CN"/>
        </w:rPr>
        <w:t>2</w:t>
      </w:r>
      <w:r>
        <w:rPr>
          <w:rFonts w:hint="eastAsia" w:ascii="宋体" w:hAnsi="宋体" w:cs="宋体"/>
          <w:color w:val="auto"/>
          <w:sz w:val="24"/>
          <w:highlight w:val="none"/>
        </w:rPr>
        <w:t>）安全、文明施工等的保证措施；</w:t>
      </w:r>
    </w:p>
    <w:p>
      <w:pPr>
        <w:spacing w:line="360" w:lineRule="auto"/>
        <w:rPr>
          <w:rFonts w:ascii="宋体" w:hAnsi="宋体" w:cs="宋体"/>
          <w:color w:val="auto"/>
          <w:sz w:val="24"/>
          <w:highlight w:val="none"/>
        </w:rPr>
      </w:pPr>
      <w:r>
        <w:rPr>
          <w:rFonts w:hint="eastAsia" w:ascii="宋体" w:hAnsi="宋体" w:cs="宋体"/>
          <w:color w:val="auto"/>
          <w:sz w:val="24"/>
          <w:highlight w:val="none"/>
        </w:rPr>
        <w:t>（1</w:t>
      </w:r>
      <w:r>
        <w:rPr>
          <w:rFonts w:hint="eastAsia" w:ascii="宋体" w:hAnsi="宋体" w:cs="宋体"/>
          <w:color w:val="auto"/>
          <w:sz w:val="24"/>
          <w:highlight w:val="none"/>
          <w:lang w:val="en-US" w:eastAsia="zh-CN"/>
        </w:rPr>
        <w:t>3</w:t>
      </w:r>
      <w:r>
        <w:rPr>
          <w:rFonts w:hint="eastAsia" w:ascii="宋体" w:hAnsi="宋体" w:cs="宋体"/>
          <w:color w:val="auto"/>
          <w:sz w:val="24"/>
          <w:highlight w:val="none"/>
        </w:rPr>
        <w:t>）人员配置；</w:t>
      </w:r>
    </w:p>
    <w:p>
      <w:pPr>
        <w:spacing w:line="360" w:lineRule="auto"/>
        <w:rPr>
          <w:rFonts w:ascii="宋体" w:hAnsi="宋体" w:cs="宋体"/>
          <w:color w:val="auto"/>
          <w:sz w:val="24"/>
          <w:highlight w:val="none"/>
        </w:rPr>
      </w:pPr>
      <w:r>
        <w:rPr>
          <w:rFonts w:hint="eastAsia" w:ascii="宋体" w:hAnsi="宋体" w:cs="宋体"/>
          <w:color w:val="auto"/>
          <w:sz w:val="24"/>
          <w:highlight w:val="none"/>
        </w:rPr>
        <w:t>（1</w:t>
      </w:r>
      <w:r>
        <w:rPr>
          <w:rFonts w:hint="eastAsia" w:ascii="宋体" w:hAnsi="宋体" w:cs="宋体"/>
          <w:color w:val="auto"/>
          <w:sz w:val="24"/>
          <w:highlight w:val="none"/>
          <w:lang w:val="en-US" w:eastAsia="zh-CN"/>
        </w:rPr>
        <w:t>4</w:t>
      </w:r>
      <w:r>
        <w:rPr>
          <w:rFonts w:hint="eastAsia" w:ascii="宋体" w:hAnsi="宋体" w:cs="宋体"/>
          <w:color w:val="auto"/>
          <w:sz w:val="24"/>
          <w:highlight w:val="none"/>
        </w:rPr>
        <w:t>）布置情况；</w:t>
      </w:r>
    </w:p>
    <w:p>
      <w:pPr>
        <w:spacing w:line="360" w:lineRule="auto"/>
        <w:rPr>
          <w:rFonts w:ascii="宋体" w:hAnsi="宋体" w:cs="宋体"/>
          <w:color w:val="auto"/>
          <w:sz w:val="24"/>
          <w:highlight w:val="none"/>
        </w:rPr>
      </w:pPr>
      <w:r>
        <w:rPr>
          <w:rFonts w:hint="eastAsia" w:ascii="宋体" w:hAnsi="宋体" w:cs="宋体"/>
          <w:color w:val="auto"/>
          <w:sz w:val="24"/>
          <w:highlight w:val="none"/>
        </w:rPr>
        <w:t>（1</w:t>
      </w:r>
      <w:r>
        <w:rPr>
          <w:rFonts w:hint="eastAsia" w:ascii="宋体" w:hAnsi="宋体" w:cs="宋体"/>
          <w:color w:val="auto"/>
          <w:sz w:val="24"/>
          <w:highlight w:val="none"/>
          <w:lang w:val="en-US" w:eastAsia="zh-CN"/>
        </w:rPr>
        <w:t>5</w:t>
      </w:r>
      <w:r>
        <w:rPr>
          <w:rFonts w:hint="eastAsia" w:ascii="宋体" w:hAnsi="宋体" w:cs="宋体"/>
          <w:color w:val="auto"/>
          <w:sz w:val="24"/>
          <w:highlight w:val="none"/>
        </w:rPr>
        <w:t>）施工重点难点分析；</w:t>
      </w:r>
    </w:p>
    <w:p>
      <w:pPr>
        <w:spacing w:line="360" w:lineRule="auto"/>
        <w:rPr>
          <w:rFonts w:ascii="宋体" w:hAnsi="宋体" w:cs="宋体"/>
          <w:color w:val="auto"/>
          <w:sz w:val="24"/>
          <w:highlight w:val="none"/>
        </w:rPr>
      </w:pPr>
      <w:r>
        <w:rPr>
          <w:rFonts w:hint="eastAsia" w:ascii="宋体" w:hAnsi="宋体" w:cs="宋体"/>
          <w:color w:val="auto"/>
          <w:sz w:val="24"/>
          <w:highlight w:val="none"/>
        </w:rPr>
        <w:t>（1</w:t>
      </w:r>
      <w:r>
        <w:rPr>
          <w:rFonts w:hint="eastAsia" w:ascii="宋体" w:hAnsi="宋体" w:cs="宋体"/>
          <w:color w:val="auto"/>
          <w:sz w:val="24"/>
          <w:highlight w:val="none"/>
          <w:lang w:val="en-US" w:eastAsia="zh-CN"/>
        </w:rPr>
        <w:t>6</w:t>
      </w:r>
      <w:r>
        <w:rPr>
          <w:rFonts w:hint="eastAsia" w:ascii="宋体" w:hAnsi="宋体" w:cs="宋体"/>
          <w:color w:val="auto"/>
          <w:sz w:val="24"/>
          <w:highlight w:val="none"/>
        </w:rPr>
        <w:t>）成品保护的保证措施；</w:t>
      </w:r>
    </w:p>
    <w:p>
      <w:pPr>
        <w:spacing w:line="360" w:lineRule="auto"/>
        <w:rPr>
          <w:rFonts w:ascii="宋体" w:hAnsi="宋体" w:cs="宋体"/>
          <w:color w:val="auto"/>
          <w:sz w:val="24"/>
          <w:highlight w:val="none"/>
        </w:rPr>
      </w:pPr>
      <w:r>
        <w:rPr>
          <w:rFonts w:hint="eastAsia" w:ascii="宋体" w:hAnsi="宋体" w:cs="宋体"/>
          <w:color w:val="auto"/>
          <w:sz w:val="24"/>
          <w:highlight w:val="none"/>
        </w:rPr>
        <w:t>（1</w:t>
      </w:r>
      <w:r>
        <w:rPr>
          <w:rFonts w:hint="eastAsia" w:ascii="宋体" w:hAnsi="宋体" w:cs="宋体"/>
          <w:color w:val="auto"/>
          <w:sz w:val="24"/>
          <w:highlight w:val="none"/>
          <w:lang w:val="en-US" w:eastAsia="zh-CN"/>
        </w:rPr>
        <w:t>7</w:t>
      </w:r>
      <w:r>
        <w:rPr>
          <w:rFonts w:hint="eastAsia" w:ascii="宋体" w:hAnsi="宋体" w:cs="宋体"/>
          <w:color w:val="auto"/>
          <w:sz w:val="24"/>
          <w:highlight w:val="none"/>
        </w:rPr>
        <w:t>）管理协调；</w:t>
      </w:r>
    </w:p>
    <w:p>
      <w:pPr>
        <w:spacing w:line="360" w:lineRule="auto"/>
        <w:rPr>
          <w:rFonts w:hint="eastAsia" w:ascii="宋体" w:hAnsi="宋体" w:eastAsia="宋体" w:cs="宋体"/>
          <w:color w:val="auto"/>
          <w:sz w:val="24"/>
          <w:highlight w:val="none"/>
          <w:lang w:eastAsia="zh-CN"/>
        </w:rPr>
      </w:pPr>
      <w:r>
        <w:rPr>
          <w:rFonts w:hint="eastAsia" w:ascii="宋体" w:hAnsi="宋体" w:cs="宋体"/>
          <w:color w:val="auto"/>
          <w:sz w:val="24"/>
          <w:highlight w:val="none"/>
        </w:rPr>
        <w:t>（1</w:t>
      </w:r>
      <w:r>
        <w:rPr>
          <w:rFonts w:hint="eastAsia" w:ascii="宋体" w:hAnsi="宋体" w:cs="宋体"/>
          <w:color w:val="auto"/>
          <w:sz w:val="24"/>
          <w:highlight w:val="none"/>
          <w:lang w:val="en-US" w:eastAsia="zh-CN"/>
        </w:rPr>
        <w:t>8</w:t>
      </w:r>
      <w:r>
        <w:rPr>
          <w:rFonts w:hint="eastAsia" w:ascii="宋体" w:hAnsi="宋体" w:cs="宋体"/>
          <w:color w:val="auto"/>
          <w:sz w:val="24"/>
          <w:highlight w:val="none"/>
        </w:rPr>
        <w:t>）质保期</w:t>
      </w:r>
      <w:r>
        <w:rPr>
          <w:rFonts w:hint="eastAsia" w:ascii="宋体" w:hAnsi="宋体" w:cs="宋体"/>
          <w:color w:val="auto"/>
          <w:sz w:val="24"/>
          <w:highlight w:val="none"/>
          <w:lang w:eastAsia="zh-CN"/>
        </w:rPr>
        <w:t>；</w:t>
      </w:r>
    </w:p>
    <w:p>
      <w:pPr>
        <w:spacing w:line="360" w:lineRule="auto"/>
        <w:rPr>
          <w:rFonts w:ascii="宋体" w:hAnsi="宋体" w:cs="宋体"/>
          <w:color w:val="auto"/>
          <w:sz w:val="24"/>
          <w:highlight w:val="none"/>
        </w:rPr>
      </w:pPr>
      <w:r>
        <w:rPr>
          <w:rFonts w:hint="eastAsia" w:ascii="宋体" w:hAnsi="宋体" w:cs="宋体"/>
          <w:color w:val="auto"/>
          <w:sz w:val="24"/>
          <w:highlight w:val="none"/>
        </w:rPr>
        <w:t>（</w:t>
      </w:r>
      <w:r>
        <w:rPr>
          <w:rFonts w:hint="eastAsia" w:ascii="宋体" w:hAnsi="宋体" w:cs="宋体"/>
          <w:color w:val="auto"/>
          <w:sz w:val="24"/>
          <w:highlight w:val="none"/>
          <w:lang w:val="en-US" w:eastAsia="zh-CN"/>
        </w:rPr>
        <w:t>19</w:t>
      </w:r>
      <w:r>
        <w:rPr>
          <w:rFonts w:hint="eastAsia" w:ascii="宋体" w:hAnsi="宋体" w:cs="宋体"/>
          <w:color w:val="auto"/>
          <w:sz w:val="24"/>
          <w:highlight w:val="none"/>
        </w:rPr>
        <w:t>）认证证书；</w:t>
      </w:r>
    </w:p>
    <w:p>
      <w:pPr>
        <w:spacing w:line="360" w:lineRule="auto"/>
        <w:rPr>
          <w:rFonts w:ascii="宋体" w:hAnsi="宋体" w:cs="宋体"/>
          <w:color w:val="auto"/>
          <w:sz w:val="24"/>
          <w:highlight w:val="none"/>
        </w:rPr>
      </w:pPr>
      <w:r>
        <w:rPr>
          <w:rFonts w:hint="eastAsia" w:ascii="宋体" w:hAnsi="宋体" w:cs="宋体"/>
          <w:color w:val="auto"/>
          <w:sz w:val="24"/>
          <w:highlight w:val="none"/>
        </w:rPr>
        <w:t>（2</w:t>
      </w:r>
      <w:r>
        <w:rPr>
          <w:rFonts w:hint="eastAsia" w:ascii="宋体" w:hAnsi="宋体" w:cs="宋体"/>
          <w:color w:val="auto"/>
          <w:sz w:val="24"/>
          <w:highlight w:val="none"/>
          <w:lang w:val="en-US" w:eastAsia="zh-CN"/>
        </w:rPr>
        <w:t>0</w:t>
      </w:r>
      <w:r>
        <w:rPr>
          <w:rFonts w:hint="eastAsia" w:ascii="宋体" w:hAnsi="宋体" w:cs="宋体"/>
          <w:color w:val="auto"/>
          <w:sz w:val="24"/>
          <w:highlight w:val="none"/>
        </w:rPr>
        <w:t>）同类项目业绩</w:t>
      </w:r>
      <w:r>
        <w:rPr>
          <w:rFonts w:hint="eastAsia" w:ascii="宋体" w:hAnsi="宋体"/>
          <w:bCs/>
          <w:color w:val="auto"/>
          <w:sz w:val="24"/>
          <w:highlight w:val="none"/>
        </w:rPr>
        <w:t>（格式见附件）</w:t>
      </w:r>
      <w:r>
        <w:rPr>
          <w:rFonts w:hint="eastAsia" w:ascii="宋体" w:hAnsi="宋体" w:cs="宋体"/>
          <w:color w:val="auto"/>
          <w:sz w:val="24"/>
          <w:highlight w:val="none"/>
        </w:rPr>
        <w:t>；</w:t>
      </w:r>
    </w:p>
    <w:p>
      <w:pPr>
        <w:spacing w:line="360" w:lineRule="auto"/>
        <w:rPr>
          <w:rFonts w:ascii="宋体" w:hAnsi="宋体" w:cs="宋体"/>
          <w:color w:val="auto"/>
          <w:sz w:val="24"/>
          <w:highlight w:val="none"/>
        </w:rPr>
      </w:pPr>
      <w:r>
        <w:rPr>
          <w:rFonts w:hint="eastAsia" w:ascii="宋体" w:hAnsi="宋体" w:cs="宋体"/>
          <w:color w:val="auto"/>
          <w:sz w:val="24"/>
          <w:highlight w:val="none"/>
        </w:rPr>
        <w:t>（2</w:t>
      </w:r>
      <w:r>
        <w:rPr>
          <w:rFonts w:hint="eastAsia" w:ascii="宋体" w:hAnsi="宋体" w:cs="宋体"/>
          <w:color w:val="auto"/>
          <w:sz w:val="24"/>
          <w:highlight w:val="none"/>
          <w:lang w:val="en-US" w:eastAsia="zh-CN"/>
        </w:rPr>
        <w:t>1</w:t>
      </w:r>
      <w:r>
        <w:rPr>
          <w:rFonts w:hint="eastAsia" w:ascii="宋体" w:hAnsi="宋体" w:cs="宋体"/>
          <w:color w:val="auto"/>
          <w:sz w:val="24"/>
          <w:highlight w:val="none"/>
        </w:rPr>
        <w:t>）售后保障；</w:t>
      </w:r>
    </w:p>
    <w:p>
      <w:pPr>
        <w:spacing w:line="360" w:lineRule="auto"/>
        <w:rPr>
          <w:rFonts w:ascii="宋体" w:hAnsi="宋体" w:cs="宋体"/>
          <w:color w:val="auto"/>
          <w:sz w:val="24"/>
          <w:highlight w:val="none"/>
        </w:rPr>
      </w:pPr>
      <w:r>
        <w:rPr>
          <w:rFonts w:hint="eastAsia" w:ascii="宋体" w:hAnsi="宋体" w:cs="宋体"/>
          <w:color w:val="auto"/>
          <w:sz w:val="24"/>
          <w:highlight w:val="none"/>
        </w:rPr>
        <w:t>（2</w:t>
      </w:r>
      <w:r>
        <w:rPr>
          <w:rFonts w:hint="eastAsia" w:ascii="宋体" w:hAnsi="宋体" w:cs="宋体"/>
          <w:color w:val="auto"/>
          <w:sz w:val="24"/>
          <w:highlight w:val="none"/>
          <w:lang w:val="en-US" w:eastAsia="zh-CN"/>
        </w:rPr>
        <w:t>2</w:t>
      </w:r>
      <w:r>
        <w:rPr>
          <w:rFonts w:hint="eastAsia" w:ascii="宋体" w:hAnsi="宋体" w:cs="宋体"/>
          <w:color w:val="auto"/>
          <w:sz w:val="24"/>
          <w:highlight w:val="none"/>
        </w:rPr>
        <w:t>）合理化建议；</w:t>
      </w:r>
    </w:p>
    <w:p>
      <w:pPr>
        <w:spacing w:line="360" w:lineRule="auto"/>
        <w:rPr>
          <w:rFonts w:hint="eastAsia" w:ascii="宋体" w:hAnsi="宋体" w:cs="宋体"/>
          <w:color w:val="auto"/>
          <w:sz w:val="24"/>
          <w:highlight w:val="none"/>
        </w:rPr>
      </w:pPr>
      <w:r>
        <w:rPr>
          <w:rFonts w:hint="eastAsia" w:ascii="宋体" w:hAnsi="宋体" w:cs="宋体"/>
          <w:color w:val="auto"/>
          <w:sz w:val="24"/>
          <w:highlight w:val="none"/>
        </w:rPr>
        <w:t>（2</w:t>
      </w:r>
      <w:r>
        <w:rPr>
          <w:rFonts w:hint="eastAsia" w:ascii="宋体" w:hAnsi="宋体" w:cs="宋体"/>
          <w:color w:val="auto"/>
          <w:sz w:val="24"/>
          <w:highlight w:val="none"/>
          <w:lang w:val="en-US" w:eastAsia="zh-CN"/>
        </w:rPr>
        <w:t>3</w:t>
      </w:r>
      <w:r>
        <w:rPr>
          <w:rFonts w:hint="eastAsia" w:ascii="宋体" w:hAnsi="宋体" w:cs="宋体"/>
          <w:color w:val="auto"/>
          <w:sz w:val="24"/>
          <w:highlight w:val="none"/>
        </w:rPr>
        <w:t>）安全生产及其他承诺函（格式见附件）；</w:t>
      </w:r>
    </w:p>
    <w:p>
      <w:pPr>
        <w:spacing w:line="360" w:lineRule="auto"/>
        <w:rPr>
          <w:rFonts w:ascii="宋体" w:hAnsi="宋体"/>
          <w:bCs/>
          <w:color w:val="auto"/>
          <w:sz w:val="24"/>
          <w:highlight w:val="none"/>
        </w:rPr>
      </w:pPr>
      <w:r>
        <w:rPr>
          <w:rFonts w:hint="eastAsia" w:ascii="宋体" w:hAnsi="宋体"/>
          <w:bCs/>
          <w:color w:val="auto"/>
          <w:sz w:val="24"/>
          <w:highlight w:val="none"/>
        </w:rPr>
        <w:t>（2</w:t>
      </w:r>
      <w:r>
        <w:rPr>
          <w:rFonts w:hint="eastAsia" w:ascii="宋体" w:hAnsi="宋体"/>
          <w:bCs/>
          <w:color w:val="auto"/>
          <w:sz w:val="24"/>
          <w:highlight w:val="none"/>
          <w:lang w:val="en-US" w:eastAsia="zh-CN"/>
        </w:rPr>
        <w:t>4</w:t>
      </w:r>
      <w:r>
        <w:rPr>
          <w:rFonts w:hint="eastAsia" w:ascii="宋体" w:hAnsi="宋体"/>
          <w:bCs/>
          <w:color w:val="auto"/>
          <w:sz w:val="24"/>
          <w:highlight w:val="none"/>
        </w:rPr>
        <w:t>）服务费承诺书（格式见附件）；</w:t>
      </w:r>
    </w:p>
    <w:p>
      <w:pPr>
        <w:spacing w:line="360" w:lineRule="auto"/>
        <w:rPr>
          <w:rFonts w:ascii="宋体" w:hAnsi="宋体"/>
          <w:bCs/>
          <w:color w:val="auto"/>
          <w:sz w:val="24"/>
          <w:highlight w:val="none"/>
        </w:rPr>
      </w:pPr>
      <w:r>
        <w:rPr>
          <w:rFonts w:hint="eastAsia" w:ascii="宋体" w:hAnsi="宋体"/>
          <w:bCs/>
          <w:color w:val="auto"/>
          <w:sz w:val="24"/>
          <w:highlight w:val="none"/>
        </w:rPr>
        <w:t>（2</w:t>
      </w:r>
      <w:r>
        <w:rPr>
          <w:rFonts w:hint="eastAsia" w:ascii="宋体" w:hAnsi="宋体"/>
          <w:bCs/>
          <w:color w:val="auto"/>
          <w:sz w:val="24"/>
          <w:highlight w:val="none"/>
          <w:lang w:val="en-US" w:eastAsia="zh-CN"/>
        </w:rPr>
        <w:t>5</w:t>
      </w:r>
      <w:r>
        <w:rPr>
          <w:rFonts w:hint="eastAsia" w:ascii="宋体" w:hAnsi="宋体"/>
          <w:bCs/>
          <w:color w:val="auto"/>
          <w:sz w:val="24"/>
          <w:highlight w:val="none"/>
        </w:rPr>
        <w:t>）</w:t>
      </w:r>
      <w:r>
        <w:rPr>
          <w:rFonts w:hint="eastAsia" w:ascii="宋体" w:hAnsi="宋体" w:cs="宋体"/>
          <w:color w:val="auto"/>
          <w:sz w:val="24"/>
          <w:highlight w:val="none"/>
        </w:rPr>
        <w:t>供应商</w:t>
      </w:r>
      <w:r>
        <w:rPr>
          <w:rFonts w:hint="eastAsia" w:ascii="宋体" w:hAnsi="宋体"/>
          <w:bCs/>
          <w:color w:val="auto"/>
          <w:sz w:val="24"/>
          <w:highlight w:val="none"/>
        </w:rPr>
        <w:t>需要说明的其他文件和说明。</w:t>
      </w:r>
    </w:p>
    <w:p>
      <w:pPr>
        <w:spacing w:line="430" w:lineRule="exact"/>
        <w:rPr>
          <w:rFonts w:ascii="宋体" w:hAnsi="宋体" w:cs="宋体"/>
          <w:b/>
          <w:color w:val="auto"/>
          <w:sz w:val="24"/>
          <w:highlight w:val="none"/>
        </w:rPr>
      </w:pPr>
      <w:r>
        <w:rPr>
          <w:rFonts w:hint="eastAsia" w:ascii="宋体" w:hAnsi="宋体" w:cs="宋体"/>
          <w:b/>
          <w:color w:val="auto"/>
          <w:sz w:val="24"/>
          <w:highlight w:val="none"/>
          <w:lang w:val="en-US" w:eastAsia="zh-CN"/>
        </w:rPr>
        <w:t>3</w:t>
      </w:r>
      <w:r>
        <w:rPr>
          <w:rFonts w:hint="eastAsia" w:ascii="宋体" w:hAnsi="宋体" w:cs="宋体"/>
          <w:b/>
          <w:color w:val="auto"/>
          <w:sz w:val="24"/>
          <w:highlight w:val="none"/>
        </w:rPr>
        <w:t>.报价文件</w:t>
      </w:r>
    </w:p>
    <w:p>
      <w:pPr>
        <w:spacing w:line="430" w:lineRule="exact"/>
        <w:rPr>
          <w:rFonts w:ascii="宋体" w:hAnsi="宋体" w:cs="宋体"/>
          <w:color w:val="auto"/>
          <w:sz w:val="24"/>
          <w:highlight w:val="none"/>
        </w:rPr>
      </w:pPr>
      <w:r>
        <w:rPr>
          <w:rFonts w:hint="eastAsia" w:ascii="宋体" w:hAnsi="宋体" w:cs="宋体"/>
          <w:color w:val="auto"/>
          <w:sz w:val="24"/>
          <w:highlight w:val="none"/>
        </w:rPr>
        <w:t xml:space="preserve">（1）磋商响应函（格式见附件）； </w:t>
      </w:r>
    </w:p>
    <w:p>
      <w:pPr>
        <w:spacing w:line="430" w:lineRule="exact"/>
        <w:rPr>
          <w:rFonts w:ascii="宋体" w:hAnsi="宋体" w:cs="宋体"/>
          <w:color w:val="auto"/>
          <w:sz w:val="24"/>
          <w:highlight w:val="none"/>
        </w:rPr>
      </w:pPr>
      <w:r>
        <w:rPr>
          <w:rFonts w:hint="eastAsia" w:ascii="宋体" w:hAnsi="宋体" w:cs="宋体"/>
          <w:color w:val="auto"/>
          <w:sz w:val="24"/>
          <w:highlight w:val="none"/>
        </w:rPr>
        <w:t xml:space="preserve">（2）初次报价表（格式见附件）； </w:t>
      </w:r>
    </w:p>
    <w:p>
      <w:pPr>
        <w:spacing w:line="430" w:lineRule="exact"/>
        <w:rPr>
          <w:rFonts w:ascii="宋体" w:hAnsi="宋体" w:cs="宋体"/>
          <w:b/>
          <w:bCs/>
          <w:color w:val="auto"/>
          <w:sz w:val="24"/>
          <w:highlight w:val="none"/>
        </w:rPr>
      </w:pPr>
      <w:r>
        <w:rPr>
          <w:rFonts w:hint="eastAsia" w:ascii="宋体" w:hAnsi="宋体" w:cs="宋体"/>
          <w:color w:val="auto"/>
          <w:sz w:val="24"/>
          <w:highlight w:val="none"/>
        </w:rPr>
        <w:t>（3）供应商针对报价需要说明的其他文件和说明（格式自拟）；</w:t>
      </w:r>
    </w:p>
    <w:p>
      <w:pPr>
        <w:spacing w:line="430" w:lineRule="exact"/>
        <w:rPr>
          <w:rFonts w:ascii="宋体" w:hAnsi="宋体" w:cs="宋体"/>
          <w:b/>
          <w:color w:val="auto"/>
          <w:sz w:val="24"/>
          <w:highlight w:val="none"/>
        </w:rPr>
      </w:pPr>
      <w:r>
        <w:rPr>
          <w:rFonts w:hint="eastAsia" w:ascii="宋体" w:hAnsi="宋体" w:cs="宋体"/>
          <w:b/>
          <w:color w:val="auto"/>
          <w:sz w:val="24"/>
          <w:highlight w:val="none"/>
        </w:rPr>
        <w:t>▲（二）磋商响应文件的语言及计量</w:t>
      </w:r>
    </w:p>
    <w:p>
      <w:pPr>
        <w:spacing w:line="430" w:lineRule="exact"/>
        <w:rPr>
          <w:rFonts w:ascii="宋体" w:hAnsi="宋体" w:cs="宋体"/>
          <w:color w:val="auto"/>
          <w:sz w:val="24"/>
          <w:highlight w:val="none"/>
        </w:rPr>
      </w:pPr>
      <w:r>
        <w:rPr>
          <w:rFonts w:hint="eastAsia" w:ascii="宋体" w:hAnsi="宋体" w:cs="宋体"/>
          <w:color w:val="auto"/>
          <w:sz w:val="24"/>
          <w:highlight w:val="none"/>
        </w:rPr>
        <w:t>1．磋商响应文件以及供应商与招标方就有关磋商事宜的所有来往函电，均应以中文汉语书写。除签名、盖章、专用名称等特殊情形外，以中文汉语以外的文字表述的磋商响应文件视同未提供。</w:t>
      </w:r>
    </w:p>
    <w:p>
      <w:pPr>
        <w:spacing w:line="430" w:lineRule="exact"/>
        <w:rPr>
          <w:rFonts w:ascii="宋体" w:hAnsi="宋体" w:cs="宋体"/>
          <w:color w:val="auto"/>
          <w:sz w:val="24"/>
          <w:highlight w:val="none"/>
        </w:rPr>
      </w:pPr>
      <w:r>
        <w:rPr>
          <w:rFonts w:hint="eastAsia" w:ascii="宋体" w:hAnsi="宋体" w:cs="宋体"/>
          <w:color w:val="auto"/>
          <w:sz w:val="24"/>
          <w:highlight w:val="none"/>
        </w:rPr>
        <w:t>2.磋商计量单位，应采用中华人民共和国法定计量单位（货币单位：人民币元），否则视同未响应。</w:t>
      </w:r>
    </w:p>
    <w:p>
      <w:pPr>
        <w:spacing w:line="430" w:lineRule="exact"/>
        <w:rPr>
          <w:rFonts w:ascii="宋体" w:hAnsi="宋体" w:cs="宋体"/>
          <w:b/>
          <w:bCs/>
          <w:color w:val="auto"/>
          <w:sz w:val="24"/>
          <w:highlight w:val="none"/>
        </w:rPr>
      </w:pPr>
      <w:r>
        <w:rPr>
          <w:rFonts w:hint="eastAsia" w:ascii="宋体" w:hAnsi="宋体" w:cs="宋体"/>
          <w:b/>
          <w:bCs/>
          <w:color w:val="auto"/>
          <w:sz w:val="24"/>
          <w:highlight w:val="none"/>
        </w:rPr>
        <w:t>▲（三）磋商报价</w:t>
      </w:r>
    </w:p>
    <w:p>
      <w:pPr>
        <w:spacing w:line="430" w:lineRule="exact"/>
        <w:rPr>
          <w:rFonts w:ascii="宋体" w:hAnsi="宋体" w:cs="宋体"/>
          <w:color w:val="auto"/>
          <w:sz w:val="24"/>
          <w:highlight w:val="none"/>
        </w:rPr>
      </w:pPr>
      <w:r>
        <w:rPr>
          <w:rFonts w:hint="eastAsia" w:ascii="宋体" w:hAnsi="宋体" w:cs="宋体"/>
          <w:color w:val="auto"/>
          <w:sz w:val="24"/>
          <w:highlight w:val="none"/>
        </w:rPr>
        <w:t>1.磋商报价应按磋商文件中相关附表格式填写。</w:t>
      </w:r>
    </w:p>
    <w:p>
      <w:pPr>
        <w:pStyle w:val="38"/>
        <w:spacing w:line="430" w:lineRule="exact"/>
        <w:ind w:firstLine="0" w:firstLineChars="0"/>
        <w:rPr>
          <w:rFonts w:ascii="宋体" w:hAnsi="宋体" w:eastAsia="宋体" w:cs="仿宋_GB2312"/>
          <w:bCs w:val="0"/>
          <w:color w:val="auto"/>
          <w:sz w:val="24"/>
          <w:highlight w:val="none"/>
        </w:rPr>
      </w:pPr>
      <w:r>
        <w:rPr>
          <w:rFonts w:hint="eastAsia" w:ascii="宋体" w:hAnsi="宋体" w:eastAsia="宋体" w:cs="仿宋_GB2312"/>
          <w:bCs w:val="0"/>
          <w:color w:val="auto"/>
          <w:sz w:val="24"/>
          <w:highlight w:val="none"/>
        </w:rPr>
        <w:t>2.磋商报价包括施工所需的施工费、材料费、供货、运输、装卸、安装调试、机械费、人工费、服务费、安全措施费等实施本项目相关的一切费用及税金。</w:t>
      </w:r>
    </w:p>
    <w:p>
      <w:pPr>
        <w:spacing w:line="430" w:lineRule="exact"/>
        <w:rPr>
          <w:rFonts w:ascii="宋体" w:hAnsi="宋体" w:cs="宋体"/>
          <w:b/>
          <w:bCs/>
          <w:color w:val="auto"/>
          <w:sz w:val="24"/>
          <w:highlight w:val="none"/>
        </w:rPr>
      </w:pPr>
      <w:r>
        <w:rPr>
          <w:rFonts w:hint="eastAsia" w:ascii="宋体" w:hAnsi="宋体" w:cs="宋体"/>
          <w:b/>
          <w:bCs/>
          <w:color w:val="auto"/>
          <w:sz w:val="24"/>
          <w:highlight w:val="none"/>
        </w:rPr>
        <w:t>（四）磋商响应文件的有效期</w:t>
      </w:r>
    </w:p>
    <w:p>
      <w:pPr>
        <w:spacing w:line="430" w:lineRule="exact"/>
        <w:rPr>
          <w:rFonts w:ascii="宋体" w:hAnsi="宋体" w:cs="宋体"/>
          <w:color w:val="auto"/>
          <w:sz w:val="24"/>
          <w:highlight w:val="none"/>
        </w:rPr>
      </w:pPr>
      <w:bookmarkStart w:id="18" w:name="_Toc405368930"/>
      <w:bookmarkStart w:id="19" w:name="_Toc450548873"/>
      <w:r>
        <w:rPr>
          <w:rFonts w:hint="eastAsia" w:ascii="宋体" w:hAnsi="宋体" w:cs="宋体"/>
          <w:color w:val="auto"/>
          <w:sz w:val="24"/>
          <w:highlight w:val="none"/>
        </w:rPr>
        <w:t>▲1.自磋商截止日起</w:t>
      </w:r>
      <w:r>
        <w:rPr>
          <w:rFonts w:hint="eastAsia" w:ascii="宋体" w:hAnsi="宋体" w:cs="宋体"/>
          <w:color w:val="auto"/>
          <w:sz w:val="24"/>
          <w:highlight w:val="none"/>
          <w:u w:val="single"/>
        </w:rPr>
        <w:t>60</w:t>
      </w:r>
      <w:r>
        <w:rPr>
          <w:rFonts w:hint="eastAsia" w:ascii="宋体" w:hAnsi="宋体" w:cs="宋体"/>
          <w:color w:val="auto"/>
          <w:sz w:val="24"/>
          <w:highlight w:val="none"/>
        </w:rPr>
        <w:t>天磋商响应文件应保持有效。有效期不足的磋商响应文件将被拒绝。</w:t>
      </w:r>
    </w:p>
    <w:p>
      <w:pPr>
        <w:spacing w:line="430" w:lineRule="exact"/>
        <w:rPr>
          <w:rFonts w:ascii="宋体" w:hAnsi="宋体" w:cs="宋体"/>
          <w:color w:val="auto"/>
          <w:sz w:val="24"/>
          <w:highlight w:val="none"/>
        </w:rPr>
      </w:pPr>
      <w:r>
        <w:rPr>
          <w:rFonts w:hint="eastAsia" w:ascii="宋体" w:hAnsi="宋体" w:cs="宋体"/>
          <w:color w:val="auto"/>
          <w:sz w:val="24"/>
          <w:highlight w:val="none"/>
        </w:rPr>
        <w:t>2.在特殊情况下，招标人可与供应商协商延长磋商响应文件的有效期，这种要求和答复均以书面形式进行。</w:t>
      </w:r>
    </w:p>
    <w:p>
      <w:pPr>
        <w:spacing w:line="430" w:lineRule="exact"/>
        <w:rPr>
          <w:rFonts w:ascii="宋体" w:hAnsi="宋体" w:cs="宋体"/>
          <w:color w:val="auto"/>
          <w:sz w:val="24"/>
          <w:highlight w:val="none"/>
        </w:rPr>
      </w:pPr>
      <w:bookmarkStart w:id="20" w:name="_Toc407182105"/>
      <w:r>
        <w:rPr>
          <w:rFonts w:hint="eastAsia" w:ascii="宋体" w:hAnsi="宋体" w:cs="宋体"/>
          <w:color w:val="auto"/>
          <w:sz w:val="24"/>
          <w:highlight w:val="none"/>
        </w:rPr>
        <w:t>3.供应商可拒绝接受延期要求，若同意延长有效期的供应商，则不能修改磋商响应文件。</w:t>
      </w:r>
      <w:bookmarkEnd w:id="20"/>
      <w:r>
        <w:rPr>
          <w:rFonts w:hint="eastAsia" w:ascii="宋体" w:hAnsi="宋体" w:cs="宋体"/>
          <w:color w:val="auto"/>
          <w:sz w:val="24"/>
          <w:highlight w:val="none"/>
        </w:rPr>
        <w:t xml:space="preserve"> </w:t>
      </w:r>
    </w:p>
    <w:p>
      <w:pPr>
        <w:spacing w:line="430" w:lineRule="exact"/>
        <w:rPr>
          <w:rFonts w:ascii="宋体" w:hAnsi="宋体" w:cs="宋体"/>
          <w:color w:val="auto"/>
          <w:sz w:val="24"/>
          <w:highlight w:val="none"/>
        </w:rPr>
      </w:pPr>
      <w:r>
        <w:rPr>
          <w:rFonts w:hint="eastAsia" w:ascii="宋体" w:hAnsi="宋体" w:cs="宋体"/>
          <w:color w:val="auto"/>
          <w:sz w:val="24"/>
          <w:highlight w:val="none"/>
        </w:rPr>
        <w:t>4.中标人的磋商响应文件自开标之日起至合同履行完毕止均应保持有效。</w:t>
      </w:r>
    </w:p>
    <w:bookmarkEnd w:id="18"/>
    <w:bookmarkEnd w:id="19"/>
    <w:p>
      <w:pPr>
        <w:spacing w:line="360" w:lineRule="auto"/>
        <w:rPr>
          <w:rFonts w:ascii="宋体" w:hAnsi="宋体" w:cs="宋体"/>
          <w:b/>
          <w:color w:val="auto"/>
          <w:sz w:val="24"/>
          <w:highlight w:val="none"/>
        </w:rPr>
      </w:pPr>
      <w:r>
        <w:rPr>
          <w:rFonts w:hint="eastAsia" w:ascii="宋体" w:hAnsi="宋体" w:cs="宋体"/>
          <w:b/>
          <w:color w:val="auto"/>
          <w:sz w:val="24"/>
          <w:highlight w:val="none"/>
        </w:rPr>
        <w:t>▲（五）履约保证金</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▲1.保证金形式：</w:t>
      </w:r>
      <w:r>
        <w:rPr>
          <w:rFonts w:hint="eastAsia" w:ascii="宋体" w:hAnsi="宋体" w:cs="宋体"/>
          <w:color w:val="auto"/>
          <w:sz w:val="24"/>
          <w:highlight w:val="none"/>
          <w:u w:val="single"/>
          <w:lang w:val="en-US" w:eastAsia="zh-CN"/>
        </w:rPr>
        <w:t>支票</w:t>
      </w:r>
      <w:r>
        <w:rPr>
          <w:rFonts w:hint="eastAsia" w:ascii="宋体" w:hAnsi="宋体" w:eastAsia="宋体" w:cs="宋体"/>
          <w:color w:val="auto"/>
          <w:sz w:val="24"/>
          <w:highlight w:val="none"/>
          <w:u w:val="single"/>
        </w:rPr>
        <w:t>、</w:t>
      </w:r>
      <w:r>
        <w:rPr>
          <w:rFonts w:hint="eastAsia" w:ascii="宋体" w:hAnsi="宋体" w:cs="宋体"/>
          <w:color w:val="auto"/>
          <w:sz w:val="24"/>
          <w:highlight w:val="none"/>
          <w:u w:val="single"/>
          <w:lang w:val="en-US" w:eastAsia="zh-CN"/>
        </w:rPr>
        <w:t>汇票</w:t>
      </w:r>
      <w:r>
        <w:rPr>
          <w:rFonts w:hint="eastAsia" w:ascii="宋体" w:hAnsi="宋体" w:eastAsia="宋体" w:cs="宋体"/>
          <w:color w:val="auto"/>
          <w:sz w:val="24"/>
          <w:highlight w:val="none"/>
          <w:u w:val="single"/>
        </w:rPr>
        <w:t>、</w:t>
      </w:r>
      <w:r>
        <w:rPr>
          <w:rFonts w:hint="eastAsia" w:ascii="宋体" w:hAnsi="宋体" w:cs="宋体"/>
          <w:color w:val="auto"/>
          <w:sz w:val="24"/>
          <w:highlight w:val="none"/>
          <w:u w:val="single"/>
          <w:lang w:val="en-US" w:eastAsia="zh-CN"/>
        </w:rPr>
        <w:t>本票</w:t>
      </w:r>
      <w:r>
        <w:rPr>
          <w:rFonts w:hint="eastAsia" w:ascii="宋体" w:hAnsi="宋体" w:eastAsia="宋体" w:cs="宋体"/>
          <w:color w:val="auto"/>
          <w:sz w:val="24"/>
          <w:highlight w:val="none"/>
          <w:u w:val="single"/>
        </w:rPr>
        <w:t>、保函</w:t>
      </w:r>
      <w:r>
        <w:rPr>
          <w:rFonts w:hint="eastAsia" w:ascii="宋体" w:hAnsi="宋体" w:eastAsia="宋体" w:cs="宋体"/>
          <w:color w:val="auto"/>
          <w:sz w:val="24"/>
          <w:highlight w:val="none"/>
        </w:rPr>
        <w:t xml:space="preserve">   </w:t>
      </w:r>
    </w:p>
    <w:p>
      <w:pPr>
        <w:numPr>
          <w:ilvl w:val="0"/>
          <w:numId w:val="0"/>
        </w:numPr>
        <w:spacing w:line="360" w:lineRule="auto"/>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rPr>
        <w:t>▲2.中标人在收到中标通知书后，需向采购人提供</w:t>
      </w:r>
      <w:r>
        <w:rPr>
          <w:rFonts w:hint="eastAsia" w:ascii="宋体" w:hAnsi="宋体" w:cs="宋体"/>
          <w:color w:val="auto"/>
          <w:sz w:val="24"/>
          <w:highlight w:val="none"/>
          <w:lang w:val="en-US" w:eastAsia="zh-CN"/>
        </w:rPr>
        <w:t>中标价的1</w:t>
      </w:r>
      <w:r>
        <w:rPr>
          <w:rFonts w:hint="eastAsia" w:ascii="宋体" w:hAnsi="宋体" w:eastAsia="宋体" w:cs="宋体"/>
          <w:color w:val="auto"/>
          <w:sz w:val="24"/>
          <w:highlight w:val="none"/>
        </w:rPr>
        <w:t>%的履约保证金，在中标人与采购人签订合同前递交，</w:t>
      </w:r>
      <w:r>
        <w:rPr>
          <w:rFonts w:hint="eastAsia" w:ascii="宋体" w:hAnsi="宋体" w:eastAsia="宋体" w:cs="宋体"/>
          <w:color w:val="auto"/>
          <w:sz w:val="24"/>
          <w:highlight w:val="none"/>
          <w:lang w:val="en-US" w:eastAsia="zh-CN"/>
        </w:rPr>
        <w:t>中标人</w:t>
      </w:r>
      <w:r>
        <w:rPr>
          <w:rFonts w:hint="eastAsia" w:ascii="宋体" w:hAnsi="宋体" w:eastAsia="宋体" w:cs="宋体"/>
          <w:color w:val="auto"/>
          <w:sz w:val="24"/>
          <w:highlight w:val="none"/>
        </w:rPr>
        <w:t>需以支票、汇票、本票或者金融机构、保险公司、担保机构出具的</w:t>
      </w:r>
      <w:r>
        <w:rPr>
          <w:rFonts w:hint="eastAsia" w:ascii="宋体" w:hAnsi="宋体" w:cs="宋体"/>
          <w:color w:val="auto"/>
          <w:sz w:val="24"/>
          <w:highlight w:val="none"/>
          <w:lang w:val="en-US" w:eastAsia="zh-CN"/>
        </w:rPr>
        <w:t>保函/保险（可在政采云平台购买，咨询热线4009039583）等非现金形式</w:t>
      </w:r>
      <w:r>
        <w:rPr>
          <w:rFonts w:hint="eastAsia" w:ascii="宋体" w:hAnsi="宋体" w:eastAsia="宋体" w:cs="宋体"/>
          <w:color w:val="auto"/>
          <w:sz w:val="24"/>
          <w:highlight w:val="none"/>
          <w:lang w:val="en-US" w:eastAsia="zh-CN"/>
        </w:rPr>
        <w:t>提交（保函期限应大于履约期限2个月）</w:t>
      </w:r>
      <w:r>
        <w:rPr>
          <w:rFonts w:hint="eastAsia" w:ascii="宋体" w:hAnsi="宋体" w:eastAsia="宋体" w:cs="宋体"/>
          <w:color w:val="auto"/>
          <w:sz w:val="24"/>
          <w:highlight w:val="none"/>
        </w:rPr>
        <w:t>。</w:t>
      </w:r>
    </w:p>
    <w:p>
      <w:pPr>
        <w:numPr>
          <w:ilvl w:val="0"/>
          <w:numId w:val="0"/>
        </w:numPr>
        <w:spacing w:line="360" w:lineRule="auto"/>
        <w:ind w:firstLine="480" w:firstLineChars="200"/>
        <w:rPr>
          <w:rFonts w:hint="eastAsia"/>
          <w:color w:val="auto"/>
          <w:highlight w:val="none"/>
        </w:rPr>
      </w:pPr>
      <w:r>
        <w:rPr>
          <w:rFonts w:hint="eastAsia" w:ascii="宋体" w:hAnsi="宋体" w:eastAsia="宋体" w:cs="宋体"/>
          <w:color w:val="auto"/>
          <w:sz w:val="24"/>
          <w:highlight w:val="none"/>
          <w:lang w:val="en-US" w:eastAsia="zh-CN"/>
        </w:rPr>
        <w:t>中标人也可登录政采云平台-【金融服务】—【我的项目】—【已备案合同】以保函形式提供：（1）中标人在合同列表选择需要投保的合同，点击[保函推荐]。（2）在弹框里查看推荐的保函产品，中标人自行选择保函产品，点击[立即申请]。（3）在弹框里填写保函申请信息。具体步骤：选择产品—填写供应商信息—选择中标项目—确认信息—等待保险/保函受理—确认保单—支付保费—成功出单。政采云金融专线400-903-9583。</w:t>
      </w:r>
    </w:p>
    <w:p>
      <w:pPr>
        <w:spacing w:line="430" w:lineRule="exact"/>
        <w:rPr>
          <w:rFonts w:ascii="宋体" w:hAnsi="宋体" w:cs="宋体"/>
          <w:b/>
          <w:color w:val="auto"/>
          <w:sz w:val="24"/>
          <w:highlight w:val="none"/>
        </w:rPr>
      </w:pPr>
      <w:r>
        <w:rPr>
          <w:rFonts w:hint="eastAsia" w:ascii="宋体" w:hAnsi="宋体" w:cs="宋体"/>
          <w:b/>
          <w:color w:val="auto"/>
          <w:sz w:val="24"/>
          <w:highlight w:val="none"/>
        </w:rPr>
        <w:t>（六）磋商响应文件的签署</w:t>
      </w:r>
    </w:p>
    <w:p>
      <w:pPr>
        <w:numPr>
          <w:ilvl w:val="0"/>
          <w:numId w:val="7"/>
        </w:numPr>
        <w:spacing w:line="430" w:lineRule="exact"/>
        <w:rPr>
          <w:rFonts w:ascii="宋体" w:hAnsi="宋体" w:cs="宋体"/>
          <w:color w:val="auto"/>
          <w:sz w:val="24"/>
          <w:highlight w:val="none"/>
        </w:rPr>
      </w:pPr>
      <w:r>
        <w:rPr>
          <w:rFonts w:hint="eastAsia" w:ascii="宋体" w:hAnsi="宋体" w:cs="宋体"/>
          <w:color w:val="auto"/>
          <w:sz w:val="24"/>
          <w:highlight w:val="none"/>
        </w:rPr>
        <w:t>供应商应按本磋商文件规定的格式和顺序编制磋商响应文件并标注页码，因磋商响应文件内容不完整、编排混乱、放弃关联点或关联点错误等原因导致磋商响应文件被误读、漏读或者查找不到相关内容等风险由供应商自行承担。</w:t>
      </w:r>
    </w:p>
    <w:p>
      <w:pPr>
        <w:spacing w:line="430" w:lineRule="exact"/>
        <w:rPr>
          <w:rFonts w:ascii="宋体" w:hAnsi="宋体" w:cs="宋体"/>
          <w:b/>
          <w:color w:val="auto"/>
          <w:sz w:val="24"/>
          <w:highlight w:val="none"/>
        </w:rPr>
      </w:pPr>
      <w:r>
        <w:rPr>
          <w:rFonts w:hint="eastAsia" w:ascii="宋体" w:hAnsi="宋体" w:cs="宋体"/>
          <w:b/>
          <w:color w:val="auto"/>
          <w:sz w:val="24"/>
          <w:highlight w:val="none"/>
        </w:rPr>
        <w:t>2. 磋商响应文件需盖章签字的地方必须由供应商法定代表人或法定代表人的授权委托人签署并加盖单位公章，供应商应写全称。</w:t>
      </w:r>
    </w:p>
    <w:p>
      <w:pPr>
        <w:spacing w:line="430" w:lineRule="exact"/>
        <w:rPr>
          <w:rFonts w:ascii="宋体" w:hAnsi="宋体" w:cs="宋体"/>
          <w:color w:val="auto"/>
          <w:sz w:val="24"/>
          <w:highlight w:val="none"/>
        </w:rPr>
      </w:pPr>
      <w:r>
        <w:rPr>
          <w:rFonts w:hint="eastAsia" w:ascii="宋体" w:hAnsi="宋体" w:cs="宋体"/>
          <w:color w:val="auto"/>
          <w:sz w:val="24"/>
          <w:highlight w:val="none"/>
        </w:rPr>
        <w:t>3.磋商响应文件不得涂改，若有修改错漏处，须加盖单位公章和由法定代表人或授权委托人签字或盖章。磋商响应文件因字迹潦草或表达不清所引起的后果由供应商负责。</w:t>
      </w:r>
    </w:p>
    <w:p>
      <w:pPr>
        <w:spacing w:line="430" w:lineRule="exact"/>
        <w:rPr>
          <w:rFonts w:ascii="宋体" w:hAnsi="宋体" w:cs="宋体"/>
          <w:b/>
          <w:color w:val="auto"/>
          <w:sz w:val="24"/>
          <w:highlight w:val="none"/>
        </w:rPr>
      </w:pPr>
      <w:r>
        <w:rPr>
          <w:rFonts w:hint="eastAsia" w:ascii="宋体" w:hAnsi="宋体" w:cs="宋体"/>
          <w:b/>
          <w:color w:val="auto"/>
          <w:sz w:val="24"/>
          <w:highlight w:val="none"/>
        </w:rPr>
        <w:t>▲（七）磋商响应文件的上传、递交、修改和撤回</w:t>
      </w:r>
    </w:p>
    <w:p>
      <w:pPr>
        <w:spacing w:line="430" w:lineRule="exact"/>
        <w:ind w:firstLine="495"/>
        <w:rPr>
          <w:rFonts w:ascii="宋体" w:hAnsi="宋体" w:cs="宋体"/>
          <w:color w:val="auto"/>
          <w:sz w:val="24"/>
          <w:highlight w:val="none"/>
        </w:rPr>
      </w:pPr>
      <w:r>
        <w:rPr>
          <w:rFonts w:hint="eastAsia" w:ascii="宋体" w:hAnsi="宋体" w:cs="宋体"/>
          <w:color w:val="auto"/>
          <w:sz w:val="24"/>
          <w:highlight w:val="none"/>
        </w:rPr>
        <w:t>1. 供应商应当在磋商截止时间前在“政采云”（电子交易平台）上自行上传加密的电子磋商响应文件。</w:t>
      </w:r>
    </w:p>
    <w:p>
      <w:pPr>
        <w:spacing w:line="43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2.未按规定上传的磋商响应文件将被拒绝，由此造成磋商响应文件解密失败或被误投的风险由供应商承担。</w:t>
      </w:r>
    </w:p>
    <w:p>
      <w:pPr>
        <w:spacing w:line="43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3. 供应商未在“政采云”（电子交易平台）上自行上传加密的电子磋商响应文件，仅提交电子备份磋商响应文件的，磋商无效。</w:t>
      </w:r>
    </w:p>
    <w:p>
      <w:pPr>
        <w:spacing w:line="43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4. 供应商应当在磋商截止时间前完成电子磋商响应文件的传输递交，并可以补充、修改或者撤回电子磋商响应文件。补充或者修改电子磋商响应文件的，应当先行撤回原文件，补充、修改后重新传输递交。磋商截止时间前未完成传输的，视为撤回磋商响应文件。磋商、响应截止时间后上传的磋商响应文件，将被政采云平台拒收。</w:t>
      </w:r>
    </w:p>
    <w:p>
      <w:pPr>
        <w:spacing w:line="43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供应商在磋商截止时间之前，可以对已提交的电子备份磋商响应文件进行修改或撤回，并书面通知招标采购单位；修改后重新递交的电子备份磋商响应文件应当按本磋商文件的要求签署、盖章。磋商截止时间后，供应商不得撤回、修改电子备份磋商响应文件。</w:t>
      </w:r>
    </w:p>
    <w:p>
      <w:pPr>
        <w:spacing w:line="43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5. 截止开标时间，政采云（电子交易平台）自动提取所有磋商响应文件，供应商须在开标时间截止后30分钟内对上传政采云的磋商响应文件进行解密，所有供应商在规定的解密时限内解密完成或解密时限到后，采购代理机构开启磋商响应文件；供应商超过解密时限的，系统默认自动放弃。</w:t>
      </w:r>
    </w:p>
    <w:p>
      <w:pPr>
        <w:spacing w:line="43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6. 电子磋商响应文件无法解密或解密失败时，供应商提供了电子备份磋商响应文件的，以电子备份磋商响应文件作为评审依据，否则视为磋商响应文件撤回。磋商响应文件已按时解密的，电子备份磋商响应文件自动失效。</w:t>
      </w:r>
    </w:p>
    <w:p>
      <w:pPr>
        <w:spacing w:line="430" w:lineRule="exact"/>
        <w:rPr>
          <w:rFonts w:ascii="宋体" w:hAnsi="宋体" w:cs="宋体"/>
          <w:b/>
          <w:color w:val="auto"/>
          <w:sz w:val="24"/>
          <w:highlight w:val="none"/>
        </w:rPr>
      </w:pPr>
      <w:r>
        <w:rPr>
          <w:rFonts w:hint="eastAsia" w:ascii="宋体" w:hAnsi="宋体" w:cs="宋体"/>
          <w:b/>
          <w:color w:val="auto"/>
          <w:sz w:val="24"/>
          <w:highlight w:val="none"/>
        </w:rPr>
        <w:t>（八）磋商无效的情形</w:t>
      </w:r>
    </w:p>
    <w:p>
      <w:pPr>
        <w:spacing w:line="43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实质上没有响应磋商文件要求的磋商将被视为无效磋商。供应商不得通过修正或撤消不合要求的偏离或保留从而使其磋商成为实质上响应的磋商，但经磋商小组认定属于供应商疏忽、笔误所造成的差错，应当允许其在磋商结束之前进行修改或者补正。限期内不补正或经补正后仍不符合磋商文件要求的，应认定其磋商无效。供应商修改、补正磋商响应文件后，不影响磋商小组对其磋商响应文件所作的评价和评分结果。</w:t>
      </w:r>
    </w:p>
    <w:p>
      <w:pPr>
        <w:spacing w:line="430" w:lineRule="exact"/>
        <w:rPr>
          <w:rFonts w:ascii="宋体" w:hAnsi="宋体" w:cs="宋体"/>
          <w:b/>
          <w:color w:val="auto"/>
          <w:sz w:val="24"/>
          <w:highlight w:val="none"/>
        </w:rPr>
      </w:pPr>
      <w:r>
        <w:rPr>
          <w:rFonts w:hint="eastAsia" w:ascii="宋体" w:hAnsi="宋体" w:cs="宋体"/>
          <w:b/>
          <w:color w:val="auto"/>
          <w:sz w:val="24"/>
          <w:highlight w:val="none"/>
        </w:rPr>
        <w:t>1.在符合性审查和商务评审时，如发现下列情形之一的，磋商响应文件将被视为无效：</w:t>
      </w:r>
    </w:p>
    <w:p>
      <w:pPr>
        <w:spacing w:line="430" w:lineRule="exact"/>
        <w:rPr>
          <w:rFonts w:ascii="宋体" w:hAnsi="宋体" w:cs="宋体"/>
          <w:color w:val="auto"/>
          <w:sz w:val="24"/>
          <w:highlight w:val="none"/>
        </w:rPr>
      </w:pPr>
      <w:r>
        <w:rPr>
          <w:rFonts w:hint="eastAsia" w:ascii="宋体" w:hAnsi="宋体" w:cs="宋体"/>
          <w:color w:val="auto"/>
          <w:sz w:val="24"/>
          <w:highlight w:val="none"/>
        </w:rPr>
        <w:t>（1）供应商仅提交电子备份磋商响应文件的；</w:t>
      </w:r>
    </w:p>
    <w:p>
      <w:pPr>
        <w:spacing w:line="430" w:lineRule="exact"/>
        <w:ind w:firstLine="120" w:firstLineChars="50"/>
        <w:rPr>
          <w:rFonts w:ascii="宋体" w:hAnsi="宋体" w:cs="宋体"/>
          <w:color w:val="auto"/>
          <w:sz w:val="24"/>
          <w:highlight w:val="none"/>
        </w:rPr>
      </w:pPr>
      <w:r>
        <w:rPr>
          <w:rFonts w:hint="eastAsia" w:ascii="宋体" w:hAnsi="宋体" w:cs="宋体"/>
          <w:color w:val="auto"/>
          <w:sz w:val="24"/>
          <w:highlight w:val="none"/>
        </w:rPr>
        <w:t>(2) 在开磋商时出现电子磋商响应文件无法解密或解密失败等情况，供应商未提供电子备份磋商响应文件，无法对供应商继续进行评审的；</w:t>
      </w:r>
    </w:p>
    <w:p>
      <w:pPr>
        <w:spacing w:line="430" w:lineRule="exact"/>
        <w:rPr>
          <w:rFonts w:ascii="宋体" w:hAnsi="宋体" w:cs="宋体"/>
          <w:color w:val="auto"/>
          <w:sz w:val="24"/>
          <w:highlight w:val="none"/>
        </w:rPr>
      </w:pPr>
      <w:r>
        <w:rPr>
          <w:rFonts w:hint="eastAsia" w:ascii="宋体" w:hAnsi="宋体" w:cs="宋体"/>
          <w:color w:val="auto"/>
          <w:sz w:val="24"/>
          <w:highlight w:val="none"/>
        </w:rPr>
        <w:t>（3）供应商未在规定的时间内对电子询标函进行澄清回复、拒绝澄清回复或澄清回复的内容改变了磋商响应文件的实质性内容的；</w:t>
      </w:r>
    </w:p>
    <w:p>
      <w:pPr>
        <w:spacing w:line="430" w:lineRule="exact"/>
        <w:rPr>
          <w:rFonts w:ascii="宋体" w:hAnsi="宋体" w:cs="宋体"/>
          <w:color w:val="auto"/>
          <w:sz w:val="24"/>
          <w:highlight w:val="none"/>
        </w:rPr>
      </w:pPr>
      <w:r>
        <w:rPr>
          <w:rFonts w:hint="eastAsia" w:ascii="宋体" w:hAnsi="宋体" w:cs="宋体"/>
          <w:color w:val="auto"/>
          <w:sz w:val="24"/>
          <w:highlight w:val="none"/>
        </w:rPr>
        <w:t xml:space="preserve">（4）网上下载的证明文件，不能通过真实性验证的（发现提供虚假资料的，按照提供虚假资料处理）； </w:t>
      </w:r>
    </w:p>
    <w:p>
      <w:pPr>
        <w:spacing w:line="430" w:lineRule="exact"/>
        <w:rPr>
          <w:rFonts w:ascii="宋体" w:hAnsi="宋体" w:cs="宋体"/>
          <w:color w:val="auto"/>
          <w:sz w:val="24"/>
          <w:highlight w:val="none"/>
        </w:rPr>
      </w:pPr>
      <w:r>
        <w:rPr>
          <w:rFonts w:hint="eastAsia" w:ascii="宋体" w:hAnsi="宋体" w:cs="宋体"/>
          <w:color w:val="auto"/>
          <w:sz w:val="24"/>
          <w:highlight w:val="none"/>
        </w:rPr>
        <w:t>（5）资格证明文件不全的，或者不符合磋商文件标明的资格要求的，及未提供磋商文件中标有“*”、“ ▲”、“※”、“★”等特殊符号的证明文件的；</w:t>
      </w:r>
    </w:p>
    <w:p>
      <w:pPr>
        <w:spacing w:line="430" w:lineRule="exact"/>
        <w:rPr>
          <w:rFonts w:ascii="宋体" w:hAnsi="宋体" w:cs="宋体"/>
          <w:color w:val="auto"/>
          <w:sz w:val="24"/>
          <w:highlight w:val="none"/>
        </w:rPr>
      </w:pPr>
      <w:r>
        <w:rPr>
          <w:rFonts w:hint="eastAsia" w:ascii="宋体" w:hAnsi="宋体" w:cs="宋体"/>
          <w:color w:val="auto"/>
          <w:sz w:val="24"/>
          <w:highlight w:val="none"/>
        </w:rPr>
        <w:t>（6）本项目投标截止之日前三年内，相关主体在“信用中国”网站、中国政府采购网有失信行为或被列入受惩黑名单。</w:t>
      </w:r>
    </w:p>
    <w:p>
      <w:pPr>
        <w:spacing w:line="430" w:lineRule="exact"/>
        <w:rPr>
          <w:rFonts w:ascii="宋体" w:hAnsi="宋体" w:cs="宋体"/>
          <w:color w:val="auto"/>
          <w:sz w:val="24"/>
          <w:highlight w:val="none"/>
        </w:rPr>
      </w:pPr>
      <w:r>
        <w:rPr>
          <w:rFonts w:hint="eastAsia" w:ascii="宋体" w:hAnsi="宋体" w:cs="宋体"/>
          <w:color w:val="auto"/>
          <w:sz w:val="24"/>
          <w:highlight w:val="none"/>
        </w:rPr>
        <w:t>（7）磋商响应文件无法定代表人签字,或未提供法定代表人授权委托书、磋商声明书或者填写项目不齐全的；</w:t>
      </w:r>
    </w:p>
    <w:p>
      <w:pPr>
        <w:spacing w:line="430" w:lineRule="exact"/>
        <w:rPr>
          <w:rFonts w:ascii="宋体" w:hAnsi="宋体" w:cs="宋体"/>
          <w:color w:val="auto"/>
          <w:sz w:val="24"/>
          <w:highlight w:val="none"/>
        </w:rPr>
      </w:pPr>
      <w:r>
        <w:rPr>
          <w:rFonts w:hint="eastAsia" w:ascii="宋体" w:hAnsi="宋体" w:cs="宋体"/>
          <w:color w:val="auto"/>
          <w:sz w:val="24"/>
          <w:highlight w:val="none"/>
        </w:rPr>
        <w:t xml:space="preserve">（8）磋商代表人未能出具身份证明或与法定代表人授权委托人身份不符的； </w:t>
      </w:r>
    </w:p>
    <w:p>
      <w:pPr>
        <w:spacing w:line="430" w:lineRule="exact"/>
        <w:rPr>
          <w:rFonts w:ascii="宋体" w:hAnsi="宋体" w:cs="宋体"/>
          <w:color w:val="auto"/>
          <w:sz w:val="24"/>
          <w:highlight w:val="none"/>
        </w:rPr>
      </w:pPr>
      <w:r>
        <w:rPr>
          <w:rFonts w:hint="eastAsia" w:ascii="宋体" w:hAnsi="宋体" w:cs="宋体"/>
          <w:color w:val="auto"/>
          <w:sz w:val="24"/>
          <w:highlight w:val="none"/>
        </w:rPr>
        <w:t>（9）磋商响应文件格式未按磋商文件附件规定的格式、未按磋商文件规定的内容编制磋商响应文件的或者内容虚假的、未按规定签字或盖章的；</w:t>
      </w:r>
    </w:p>
    <w:p>
      <w:pPr>
        <w:spacing w:line="430" w:lineRule="exact"/>
        <w:rPr>
          <w:rFonts w:ascii="宋体" w:hAnsi="宋体" w:cs="宋体"/>
          <w:color w:val="auto"/>
          <w:sz w:val="24"/>
          <w:highlight w:val="none"/>
        </w:rPr>
      </w:pPr>
      <w:r>
        <w:rPr>
          <w:rFonts w:hint="eastAsia" w:ascii="宋体" w:hAnsi="宋体" w:cs="宋体"/>
          <w:color w:val="auto"/>
          <w:sz w:val="24"/>
          <w:highlight w:val="none"/>
        </w:rPr>
        <w:t>（10）磋商响应文件的实质性内容未使用中文表述的或意思表述不明确、前后矛盾的或者使用计量单位不符合磋商文件要求的（经磋商小组认定并允许其当场更正的笔误除外）；</w:t>
      </w:r>
    </w:p>
    <w:p>
      <w:pPr>
        <w:spacing w:line="430" w:lineRule="exact"/>
        <w:rPr>
          <w:rFonts w:ascii="宋体" w:hAnsi="宋体" w:cs="宋体"/>
          <w:color w:val="auto"/>
          <w:sz w:val="24"/>
          <w:highlight w:val="none"/>
        </w:rPr>
      </w:pPr>
      <w:r>
        <w:rPr>
          <w:rFonts w:hint="eastAsia" w:ascii="宋体" w:hAnsi="宋体" w:cs="宋体"/>
          <w:color w:val="auto"/>
          <w:sz w:val="24"/>
          <w:highlight w:val="none"/>
        </w:rPr>
        <w:t>（11）磋商有效期、服务期（交货期）、质保期、付款方式等商务条款不能满足磋商文件要求的；</w:t>
      </w:r>
    </w:p>
    <w:p>
      <w:pPr>
        <w:spacing w:line="430" w:lineRule="exact"/>
        <w:rPr>
          <w:rFonts w:ascii="宋体" w:hAnsi="宋体" w:cs="宋体"/>
          <w:color w:val="auto"/>
          <w:sz w:val="24"/>
          <w:highlight w:val="none"/>
        </w:rPr>
      </w:pPr>
      <w:r>
        <w:rPr>
          <w:rFonts w:hint="eastAsia" w:ascii="宋体" w:hAnsi="宋体" w:cs="宋体"/>
          <w:color w:val="auto"/>
          <w:sz w:val="24"/>
          <w:highlight w:val="none"/>
        </w:rPr>
        <w:t>（12）未实质性响应磋商文件要求或者磋商响应文件有招标方不能接受的附加条件的；</w:t>
      </w:r>
    </w:p>
    <w:p>
      <w:pPr>
        <w:spacing w:line="430" w:lineRule="exact"/>
        <w:rPr>
          <w:rFonts w:ascii="宋体" w:hAnsi="宋体" w:cs="宋体"/>
          <w:color w:val="auto"/>
          <w:sz w:val="24"/>
          <w:highlight w:val="none"/>
        </w:rPr>
      </w:pPr>
      <w:r>
        <w:rPr>
          <w:rFonts w:hint="eastAsia" w:ascii="宋体" w:hAnsi="宋体" w:cs="宋体"/>
          <w:color w:val="auto"/>
          <w:sz w:val="24"/>
          <w:highlight w:val="none"/>
        </w:rPr>
        <w:t>（13）磋商文件规定的其它磋商无效的情况；</w:t>
      </w:r>
    </w:p>
    <w:p>
      <w:pPr>
        <w:tabs>
          <w:tab w:val="left" w:pos="401"/>
        </w:tabs>
        <w:spacing w:line="430" w:lineRule="exact"/>
        <w:rPr>
          <w:rFonts w:ascii="宋体" w:hAnsi="宋体" w:cs="宋体"/>
          <w:color w:val="auto"/>
          <w:sz w:val="24"/>
          <w:highlight w:val="none"/>
        </w:rPr>
      </w:pPr>
      <w:r>
        <w:rPr>
          <w:rFonts w:hint="eastAsia" w:ascii="宋体" w:hAnsi="宋体" w:cs="宋体"/>
          <w:color w:val="auto"/>
          <w:sz w:val="24"/>
          <w:highlight w:val="none"/>
        </w:rPr>
        <w:t>（14）法律、法规规定的其它磋商无效情况。</w:t>
      </w:r>
    </w:p>
    <w:p>
      <w:pPr>
        <w:spacing w:line="430" w:lineRule="exact"/>
        <w:rPr>
          <w:rFonts w:ascii="宋体" w:hAnsi="宋体" w:cs="宋体"/>
          <w:b/>
          <w:color w:val="auto"/>
          <w:sz w:val="24"/>
          <w:highlight w:val="none"/>
        </w:rPr>
      </w:pPr>
      <w:r>
        <w:rPr>
          <w:rFonts w:hint="eastAsia" w:ascii="宋体" w:hAnsi="宋体" w:cs="宋体"/>
          <w:b/>
          <w:color w:val="auto"/>
          <w:sz w:val="24"/>
          <w:highlight w:val="none"/>
        </w:rPr>
        <w:t>2.在技术资信评审时，如发现下列情形之一的，磋商响应文件将被视为无效：</w:t>
      </w:r>
    </w:p>
    <w:p>
      <w:pPr>
        <w:spacing w:line="430" w:lineRule="exact"/>
        <w:rPr>
          <w:rFonts w:ascii="宋体" w:hAnsi="宋体" w:cs="宋体"/>
          <w:b/>
          <w:color w:val="auto"/>
          <w:sz w:val="24"/>
          <w:highlight w:val="none"/>
        </w:rPr>
      </w:pPr>
      <w:r>
        <w:rPr>
          <w:rFonts w:hint="eastAsia" w:ascii="宋体" w:hAnsi="宋体" w:cs="宋体"/>
          <w:color w:val="auto"/>
          <w:sz w:val="24"/>
          <w:highlight w:val="none"/>
        </w:rPr>
        <w:t>（1）供应商未在规定的时间内对电子询标函进行澄清回复、拒绝澄清回复或澄清回复的内容改变了磋商响应文件的实质性内容的；</w:t>
      </w:r>
    </w:p>
    <w:p>
      <w:pPr>
        <w:spacing w:line="430" w:lineRule="exact"/>
        <w:rPr>
          <w:rFonts w:ascii="宋体" w:hAnsi="宋体" w:cs="宋体"/>
          <w:color w:val="auto"/>
          <w:sz w:val="24"/>
          <w:highlight w:val="none"/>
        </w:rPr>
      </w:pPr>
      <w:r>
        <w:rPr>
          <w:rFonts w:hint="eastAsia" w:ascii="宋体" w:hAnsi="宋体" w:cs="宋体"/>
          <w:color w:val="auto"/>
          <w:sz w:val="24"/>
          <w:highlight w:val="none"/>
        </w:rPr>
        <w:t>（2）磋商响应文件标明的响应或偏离与事实不符的或虚假响应的；</w:t>
      </w:r>
    </w:p>
    <w:p>
      <w:pPr>
        <w:spacing w:line="430" w:lineRule="exact"/>
        <w:rPr>
          <w:rFonts w:ascii="宋体" w:hAnsi="宋体" w:cs="宋体"/>
          <w:color w:val="auto"/>
          <w:sz w:val="24"/>
          <w:highlight w:val="none"/>
        </w:rPr>
      </w:pPr>
      <w:r>
        <w:rPr>
          <w:rFonts w:hint="eastAsia" w:ascii="宋体" w:hAnsi="宋体" w:cs="宋体"/>
          <w:color w:val="auto"/>
          <w:sz w:val="24"/>
          <w:highlight w:val="none"/>
        </w:rPr>
        <w:t>（3）明显不符合磋商文件质量标准的，或者与磋商文件中标有“*”、“ ▲”、“※”、“★”等特殊符号的技术指标、主要功能项目发生实质性偏离的；</w:t>
      </w:r>
    </w:p>
    <w:p>
      <w:pPr>
        <w:spacing w:line="430" w:lineRule="exact"/>
        <w:rPr>
          <w:rFonts w:ascii="宋体" w:hAnsi="宋体" w:cs="宋体"/>
          <w:color w:val="auto"/>
          <w:sz w:val="24"/>
          <w:highlight w:val="none"/>
        </w:rPr>
      </w:pPr>
      <w:r>
        <w:rPr>
          <w:rFonts w:hint="eastAsia" w:ascii="宋体" w:hAnsi="宋体" w:cs="宋体"/>
          <w:color w:val="auto"/>
          <w:sz w:val="24"/>
          <w:highlight w:val="none"/>
        </w:rPr>
        <w:t>（4）磋商文件中允许偏离的技术、性能指标或者辅助功能发生较大负偏离的，经磋商小组认定对项目实际使用造成影响的；</w:t>
      </w:r>
    </w:p>
    <w:p>
      <w:pPr>
        <w:spacing w:line="430" w:lineRule="exact"/>
        <w:rPr>
          <w:rFonts w:ascii="宋体" w:hAnsi="宋体" w:cs="宋体"/>
          <w:color w:val="auto"/>
          <w:sz w:val="24"/>
          <w:highlight w:val="none"/>
        </w:rPr>
      </w:pPr>
      <w:r>
        <w:rPr>
          <w:rFonts w:hint="eastAsia" w:ascii="宋体" w:hAnsi="宋体" w:cs="宋体"/>
          <w:color w:val="auto"/>
          <w:sz w:val="24"/>
          <w:highlight w:val="none"/>
        </w:rPr>
        <w:t>（5）磋商响应文件技术方案不明确，存在一个或一个以上备选（替代）磋商响应方案的；</w:t>
      </w:r>
    </w:p>
    <w:p>
      <w:pPr>
        <w:spacing w:line="430" w:lineRule="exact"/>
        <w:rPr>
          <w:rFonts w:ascii="宋体" w:hAnsi="宋体" w:cs="宋体"/>
          <w:color w:val="auto"/>
          <w:sz w:val="24"/>
          <w:highlight w:val="none"/>
        </w:rPr>
      </w:pPr>
      <w:r>
        <w:rPr>
          <w:rFonts w:hint="eastAsia" w:ascii="宋体" w:hAnsi="宋体" w:cs="宋体"/>
          <w:color w:val="auto"/>
          <w:sz w:val="24"/>
          <w:highlight w:val="none"/>
        </w:rPr>
        <w:t>（6）与其他参加本次磋商供应商的磋商响应文件的文字表述内容相同连续20行以上或者差错相同2处以上的；</w:t>
      </w:r>
    </w:p>
    <w:p>
      <w:pPr>
        <w:spacing w:line="430" w:lineRule="exact"/>
        <w:rPr>
          <w:rFonts w:ascii="宋体" w:hAnsi="宋体" w:cs="宋体"/>
          <w:color w:val="auto"/>
          <w:sz w:val="24"/>
          <w:highlight w:val="none"/>
        </w:rPr>
      </w:pPr>
      <w:r>
        <w:rPr>
          <w:rFonts w:hint="eastAsia" w:ascii="宋体" w:hAnsi="宋体" w:cs="宋体"/>
          <w:color w:val="auto"/>
          <w:sz w:val="24"/>
          <w:highlight w:val="none"/>
        </w:rPr>
        <w:t>（7）在资信及商务标、技术标内出现商务报价；</w:t>
      </w:r>
    </w:p>
    <w:p>
      <w:pPr>
        <w:spacing w:line="430" w:lineRule="exact"/>
        <w:rPr>
          <w:rFonts w:ascii="宋体" w:hAnsi="宋体" w:cs="宋体"/>
          <w:color w:val="auto"/>
          <w:sz w:val="24"/>
          <w:highlight w:val="none"/>
        </w:rPr>
      </w:pPr>
      <w:r>
        <w:rPr>
          <w:rFonts w:hint="eastAsia" w:ascii="宋体" w:hAnsi="宋体" w:cs="宋体"/>
          <w:color w:val="auto"/>
          <w:sz w:val="24"/>
          <w:highlight w:val="none"/>
        </w:rPr>
        <w:t>（8）磋商文件规定的其它磋商无效的情况；</w:t>
      </w:r>
    </w:p>
    <w:p>
      <w:pPr>
        <w:spacing w:line="430" w:lineRule="exact"/>
        <w:rPr>
          <w:rFonts w:ascii="宋体" w:hAnsi="宋体" w:cs="宋体"/>
          <w:color w:val="auto"/>
          <w:sz w:val="24"/>
          <w:highlight w:val="none"/>
        </w:rPr>
      </w:pPr>
      <w:r>
        <w:rPr>
          <w:rFonts w:hint="eastAsia" w:ascii="宋体" w:hAnsi="宋体" w:cs="宋体"/>
          <w:color w:val="auto"/>
          <w:sz w:val="24"/>
          <w:highlight w:val="none"/>
        </w:rPr>
        <w:t>（9）法律、法规规定的其它磋商无效情况。</w:t>
      </w:r>
    </w:p>
    <w:p>
      <w:pPr>
        <w:spacing w:line="430" w:lineRule="exact"/>
        <w:rPr>
          <w:rFonts w:ascii="宋体" w:hAnsi="宋体" w:cs="宋体"/>
          <w:b/>
          <w:color w:val="auto"/>
          <w:sz w:val="24"/>
          <w:highlight w:val="none"/>
        </w:rPr>
      </w:pPr>
      <w:r>
        <w:rPr>
          <w:rFonts w:hint="eastAsia" w:ascii="宋体" w:hAnsi="宋体" w:cs="宋体"/>
          <w:b/>
          <w:color w:val="auto"/>
          <w:sz w:val="24"/>
          <w:highlight w:val="none"/>
        </w:rPr>
        <w:t>3.在报价评审时，如发现下列情形之一的，磋商响应文件将被视为无效：</w:t>
      </w:r>
    </w:p>
    <w:p>
      <w:pPr>
        <w:spacing w:line="430" w:lineRule="exact"/>
        <w:rPr>
          <w:rFonts w:ascii="宋体" w:hAnsi="宋体" w:cs="宋体"/>
          <w:color w:val="auto"/>
          <w:sz w:val="24"/>
          <w:highlight w:val="none"/>
        </w:rPr>
      </w:pPr>
      <w:r>
        <w:rPr>
          <w:rFonts w:hint="eastAsia" w:ascii="宋体" w:hAnsi="宋体" w:cs="宋体"/>
          <w:color w:val="auto"/>
          <w:sz w:val="24"/>
          <w:highlight w:val="none"/>
        </w:rPr>
        <w:t>（1）供应商未在规定的时间内对电子询标函进行澄清回复、拒绝澄清回复或者澄清回复的内容改变了磋商响应文件的实质性内容的；</w:t>
      </w:r>
    </w:p>
    <w:p>
      <w:pPr>
        <w:spacing w:line="430" w:lineRule="exact"/>
        <w:rPr>
          <w:rFonts w:ascii="宋体" w:hAnsi="宋体" w:cs="宋体"/>
          <w:color w:val="auto"/>
          <w:sz w:val="24"/>
          <w:highlight w:val="none"/>
        </w:rPr>
      </w:pPr>
      <w:r>
        <w:rPr>
          <w:rFonts w:hint="eastAsia" w:ascii="宋体" w:hAnsi="宋体" w:cs="宋体"/>
          <w:color w:val="auto"/>
          <w:sz w:val="24"/>
          <w:highlight w:val="none"/>
        </w:rPr>
        <w:t>（2）未采用人民币报价或者未按照磋商文件标明的币种报价的；</w:t>
      </w:r>
    </w:p>
    <w:p>
      <w:pPr>
        <w:spacing w:line="430" w:lineRule="exact"/>
        <w:rPr>
          <w:rFonts w:ascii="宋体" w:hAnsi="宋体" w:cs="宋体"/>
          <w:color w:val="auto"/>
          <w:sz w:val="24"/>
          <w:highlight w:val="none"/>
        </w:rPr>
      </w:pPr>
      <w:r>
        <w:rPr>
          <w:rFonts w:hint="eastAsia" w:ascii="宋体" w:hAnsi="宋体" w:cs="宋体"/>
          <w:color w:val="auto"/>
          <w:sz w:val="24"/>
          <w:highlight w:val="none"/>
        </w:rPr>
        <w:t>（3）磋商报价具有选择性的，或者开标价格与磋商响应文件承诺的优惠（折扣）价格不一致的；</w:t>
      </w:r>
    </w:p>
    <w:p>
      <w:pPr>
        <w:spacing w:line="430" w:lineRule="exact"/>
        <w:rPr>
          <w:rFonts w:ascii="宋体" w:hAnsi="宋体" w:cs="宋体"/>
          <w:color w:val="auto"/>
          <w:sz w:val="24"/>
          <w:highlight w:val="none"/>
        </w:rPr>
      </w:pPr>
      <w:r>
        <w:rPr>
          <w:rFonts w:hint="eastAsia" w:ascii="宋体" w:hAnsi="宋体" w:cs="宋体"/>
          <w:color w:val="auto"/>
          <w:sz w:val="24"/>
          <w:highlight w:val="none"/>
        </w:rPr>
        <w:t>（4）报价超出用户设定的最高限价或预算金额的；</w:t>
      </w:r>
    </w:p>
    <w:p>
      <w:pPr>
        <w:spacing w:line="430" w:lineRule="exact"/>
        <w:rPr>
          <w:rFonts w:ascii="宋体" w:hAnsi="宋体" w:cs="宋体"/>
          <w:color w:val="auto"/>
          <w:sz w:val="24"/>
          <w:highlight w:val="none"/>
        </w:rPr>
      </w:pPr>
      <w:r>
        <w:rPr>
          <w:rFonts w:hint="eastAsia" w:ascii="宋体" w:hAnsi="宋体" w:cs="宋体"/>
          <w:color w:val="auto"/>
          <w:sz w:val="24"/>
          <w:highlight w:val="none"/>
        </w:rPr>
        <w:t>（5）磋商文件规定的其它磋商无效的情况；</w:t>
      </w:r>
    </w:p>
    <w:p>
      <w:pPr>
        <w:spacing w:line="430" w:lineRule="exact"/>
        <w:rPr>
          <w:rFonts w:ascii="宋体" w:hAnsi="宋体" w:cs="宋体"/>
          <w:color w:val="auto"/>
          <w:sz w:val="24"/>
          <w:highlight w:val="none"/>
        </w:rPr>
      </w:pPr>
      <w:r>
        <w:rPr>
          <w:rFonts w:hint="eastAsia" w:ascii="宋体" w:hAnsi="宋体" w:cs="宋体"/>
          <w:color w:val="auto"/>
          <w:sz w:val="24"/>
          <w:highlight w:val="none"/>
        </w:rPr>
        <w:t>（6）法律、法规规定的其它磋商无效情况。</w:t>
      </w:r>
    </w:p>
    <w:p>
      <w:pPr>
        <w:spacing w:line="430" w:lineRule="exact"/>
        <w:rPr>
          <w:rFonts w:ascii="宋体" w:hAnsi="宋体" w:cs="宋体"/>
          <w:b/>
          <w:color w:val="auto"/>
          <w:sz w:val="24"/>
          <w:highlight w:val="none"/>
        </w:rPr>
      </w:pPr>
      <w:r>
        <w:rPr>
          <w:rFonts w:hint="eastAsia" w:ascii="宋体" w:hAnsi="宋体" w:cs="宋体"/>
          <w:b/>
          <w:color w:val="auto"/>
          <w:sz w:val="24"/>
          <w:highlight w:val="none"/>
        </w:rPr>
        <w:t>4.被拒绝的磋商响应文件为无效。</w:t>
      </w:r>
    </w:p>
    <w:p>
      <w:pPr>
        <w:spacing w:line="430" w:lineRule="exact"/>
        <w:rPr>
          <w:rFonts w:ascii="宋体" w:hAnsi="宋体" w:cs="宋体"/>
          <w:b/>
          <w:color w:val="auto"/>
          <w:sz w:val="24"/>
          <w:highlight w:val="none"/>
        </w:rPr>
      </w:pPr>
      <w:r>
        <w:rPr>
          <w:rFonts w:hint="eastAsia" w:ascii="宋体" w:hAnsi="宋体" w:cs="宋体"/>
          <w:b/>
          <w:color w:val="auto"/>
          <w:sz w:val="24"/>
          <w:highlight w:val="none"/>
        </w:rPr>
        <w:t>5.根据有关法律、法规规定为无效、废标的，按法律、法规规定执行。</w:t>
      </w:r>
    </w:p>
    <w:p>
      <w:pPr>
        <w:pStyle w:val="6"/>
        <w:keepNext w:val="0"/>
        <w:keepLines w:val="0"/>
        <w:pageBreakBefore/>
        <w:spacing w:line="360" w:lineRule="auto"/>
        <w:jc w:val="center"/>
        <w:rPr>
          <w:rFonts w:ascii="宋体" w:hAnsi="宋体" w:eastAsia="宋体" w:cs="宋体"/>
          <w:color w:val="auto"/>
          <w:sz w:val="24"/>
          <w:szCs w:val="24"/>
          <w:highlight w:val="none"/>
        </w:rPr>
      </w:pPr>
      <w:bookmarkStart w:id="21" w:name="_Toc458697270"/>
      <w:bookmarkStart w:id="22" w:name="_Toc4828"/>
      <w:r>
        <w:rPr>
          <w:rFonts w:hint="eastAsia" w:ascii="宋体" w:hAnsi="宋体" w:eastAsia="宋体" w:cs="宋体"/>
          <w:color w:val="auto"/>
          <w:sz w:val="24"/>
          <w:szCs w:val="24"/>
          <w:highlight w:val="none"/>
        </w:rPr>
        <w:t>四、开标</w:t>
      </w:r>
      <w:bookmarkEnd w:id="21"/>
      <w:bookmarkEnd w:id="22"/>
    </w:p>
    <w:p>
      <w:pPr>
        <w:spacing w:line="360" w:lineRule="auto"/>
        <w:rPr>
          <w:rFonts w:ascii="宋体" w:hAnsi="宋体" w:cs="宋体"/>
          <w:b/>
          <w:color w:val="auto"/>
          <w:sz w:val="24"/>
          <w:highlight w:val="none"/>
        </w:rPr>
      </w:pPr>
      <w:bookmarkStart w:id="23" w:name="_Toc458697271"/>
      <w:r>
        <w:rPr>
          <w:rFonts w:hint="eastAsia" w:ascii="宋体" w:hAnsi="宋体" w:cs="宋体"/>
          <w:b/>
          <w:color w:val="auto"/>
          <w:sz w:val="24"/>
          <w:highlight w:val="none"/>
        </w:rPr>
        <w:t xml:space="preserve">（一）开标准备   </w:t>
      </w:r>
    </w:p>
    <w:p>
      <w:pPr>
        <w:spacing w:line="360" w:lineRule="auto"/>
        <w:ind w:firstLine="720" w:firstLineChars="300"/>
        <w:rPr>
          <w:rFonts w:ascii="宋体" w:hAnsi="宋体" w:cs="宋体"/>
          <w:bCs/>
          <w:color w:val="auto"/>
          <w:sz w:val="24"/>
          <w:highlight w:val="none"/>
        </w:rPr>
      </w:pPr>
      <w:r>
        <w:rPr>
          <w:rFonts w:hint="eastAsia" w:ascii="宋体" w:hAnsi="宋体" w:cs="宋体"/>
          <w:bCs/>
          <w:color w:val="auto"/>
          <w:sz w:val="24"/>
          <w:highlight w:val="none"/>
        </w:rPr>
        <w:t>采购代理机构将在规定的时间和地点进行电子开标，供应商的法定代表人或其委托代理人【委托代理人应当是供应商的在职正式职工（以供应商本单位缴纳社保花名册为准）】应做好磋商准备，准时在线参加电子开标会议，随时关注磋商进度。</w:t>
      </w:r>
    </w:p>
    <w:p>
      <w:pPr>
        <w:spacing w:line="360" w:lineRule="auto"/>
        <w:rPr>
          <w:rFonts w:ascii="宋体" w:hAnsi="宋体" w:cs="宋体"/>
          <w:b/>
          <w:color w:val="auto"/>
          <w:sz w:val="24"/>
          <w:highlight w:val="none"/>
        </w:rPr>
      </w:pPr>
      <w:r>
        <w:rPr>
          <w:rFonts w:hint="eastAsia" w:ascii="宋体" w:hAnsi="宋体" w:cs="宋体"/>
          <w:b/>
          <w:color w:val="auto"/>
          <w:sz w:val="24"/>
          <w:highlight w:val="none"/>
        </w:rPr>
        <w:t>（二）电子磋商开标程序</w:t>
      </w:r>
    </w:p>
    <w:p>
      <w:pPr>
        <w:spacing w:line="360" w:lineRule="auto"/>
        <w:rPr>
          <w:rFonts w:ascii="宋体" w:hAnsi="宋体" w:cs="宋体"/>
          <w:bCs/>
          <w:color w:val="auto"/>
          <w:sz w:val="24"/>
          <w:highlight w:val="none"/>
        </w:rPr>
      </w:pPr>
      <w:r>
        <w:rPr>
          <w:rFonts w:hint="eastAsia" w:ascii="宋体" w:hAnsi="宋体" w:cs="宋体"/>
          <w:bCs/>
          <w:color w:val="auto"/>
          <w:sz w:val="24"/>
          <w:highlight w:val="none"/>
        </w:rPr>
        <w:t>1.开标会由招标代理机构主持，主持人宣布开标会议开始；</w:t>
      </w:r>
    </w:p>
    <w:p>
      <w:pPr>
        <w:spacing w:line="360" w:lineRule="auto"/>
        <w:rPr>
          <w:rFonts w:ascii="宋体" w:hAnsi="宋体" w:cs="宋体"/>
          <w:bCs/>
          <w:color w:val="auto"/>
          <w:sz w:val="24"/>
          <w:highlight w:val="none"/>
        </w:rPr>
      </w:pPr>
      <w:r>
        <w:rPr>
          <w:rFonts w:hint="eastAsia" w:ascii="宋体" w:hAnsi="宋体" w:cs="宋体"/>
          <w:bCs/>
          <w:color w:val="auto"/>
          <w:sz w:val="24"/>
          <w:highlight w:val="none"/>
        </w:rPr>
        <w:t>2.主持人宣布会议纪律及磋商期间的有关事项；告知应当回避的情形,提请有关人员回避；</w:t>
      </w:r>
    </w:p>
    <w:p>
      <w:pPr>
        <w:spacing w:line="360" w:lineRule="auto"/>
        <w:rPr>
          <w:rFonts w:ascii="宋体" w:hAnsi="宋体" w:cs="宋体"/>
          <w:color w:val="auto"/>
          <w:sz w:val="24"/>
          <w:highlight w:val="none"/>
        </w:rPr>
      </w:pPr>
      <w:r>
        <w:rPr>
          <w:rFonts w:hint="eastAsia" w:ascii="宋体" w:hAnsi="宋体" w:cs="宋体"/>
          <w:color w:val="auto"/>
          <w:sz w:val="24"/>
          <w:highlight w:val="none"/>
        </w:rPr>
        <w:t>3.开标及评审程序</w:t>
      </w:r>
    </w:p>
    <w:p>
      <w:pPr>
        <w:spacing w:line="360" w:lineRule="auto"/>
        <w:rPr>
          <w:rFonts w:ascii="宋体" w:hAnsi="宋体" w:cs="宋体"/>
          <w:color w:val="auto"/>
          <w:sz w:val="24"/>
          <w:highlight w:val="none"/>
        </w:rPr>
      </w:pPr>
      <w:r>
        <w:rPr>
          <w:rFonts w:hint="eastAsia" w:ascii="宋体" w:hAnsi="宋体" w:cs="宋体"/>
          <w:color w:val="auto"/>
          <w:sz w:val="24"/>
          <w:highlight w:val="none"/>
        </w:rPr>
        <w:t>3.1在开标时间截止后30分钟内由各供应商自行对磋商响应文件进行解密；</w:t>
      </w:r>
    </w:p>
    <w:p>
      <w:pPr>
        <w:spacing w:line="360" w:lineRule="auto"/>
        <w:ind w:left="480" w:hanging="480" w:hangingChars="200"/>
        <w:rPr>
          <w:rFonts w:ascii="宋体" w:hAnsi="宋体" w:cs="宋体"/>
          <w:color w:val="auto"/>
          <w:sz w:val="24"/>
          <w:highlight w:val="none"/>
        </w:rPr>
      </w:pPr>
      <w:r>
        <w:rPr>
          <w:rFonts w:hint="eastAsia" w:ascii="宋体" w:hAnsi="宋体" w:cs="宋体"/>
          <w:color w:val="auto"/>
          <w:sz w:val="24"/>
          <w:highlight w:val="none"/>
        </w:rPr>
        <w:t>3.2由采购人进行资格审查；</w:t>
      </w:r>
    </w:p>
    <w:p>
      <w:pPr>
        <w:spacing w:line="360" w:lineRule="auto"/>
        <w:rPr>
          <w:rFonts w:hint="eastAsia" w:ascii="宋体" w:hAnsi="宋体" w:cs="宋体"/>
          <w:color w:val="auto"/>
          <w:sz w:val="24"/>
          <w:highlight w:val="none"/>
        </w:rPr>
      </w:pPr>
      <w:r>
        <w:rPr>
          <w:rFonts w:hint="eastAsia" w:ascii="宋体" w:hAnsi="宋体" w:cs="宋体"/>
          <w:color w:val="auto"/>
          <w:sz w:val="24"/>
          <w:highlight w:val="none"/>
        </w:rPr>
        <w:t>3.</w:t>
      </w:r>
      <w:r>
        <w:rPr>
          <w:rFonts w:hint="eastAsia" w:ascii="宋体" w:hAnsi="宋体" w:cs="宋体"/>
          <w:color w:val="auto"/>
          <w:sz w:val="24"/>
          <w:highlight w:val="none"/>
          <w:lang w:val="en-US" w:eastAsia="zh-CN"/>
        </w:rPr>
        <w:t>3</w:t>
      </w:r>
      <w:r>
        <w:rPr>
          <w:rFonts w:hint="eastAsia" w:ascii="宋体" w:hAnsi="宋体" w:cs="宋体"/>
          <w:color w:val="auto"/>
          <w:sz w:val="24"/>
          <w:highlight w:val="none"/>
        </w:rPr>
        <w:t>通过资格审查的供应商进行在线磋商；</w:t>
      </w:r>
    </w:p>
    <w:p>
      <w:pPr>
        <w:spacing w:line="360" w:lineRule="auto"/>
        <w:rPr>
          <w:rFonts w:ascii="宋体" w:hAnsi="宋体" w:cs="宋体"/>
          <w:color w:val="auto"/>
          <w:sz w:val="24"/>
          <w:highlight w:val="none"/>
        </w:rPr>
      </w:pPr>
      <w:r>
        <w:rPr>
          <w:rFonts w:hint="eastAsia" w:ascii="宋体" w:hAnsi="宋体" w:cs="宋体"/>
          <w:color w:val="auto"/>
          <w:sz w:val="24"/>
          <w:highlight w:val="none"/>
        </w:rPr>
        <w:t>3.</w:t>
      </w:r>
      <w:r>
        <w:rPr>
          <w:rFonts w:hint="eastAsia" w:ascii="宋体" w:hAnsi="宋体" w:cs="宋体"/>
          <w:color w:val="auto"/>
          <w:sz w:val="24"/>
          <w:highlight w:val="none"/>
          <w:lang w:val="en-US" w:eastAsia="zh-CN"/>
        </w:rPr>
        <w:t>4</w:t>
      </w:r>
      <w:r>
        <w:rPr>
          <w:rFonts w:hint="eastAsia" w:ascii="宋体" w:hAnsi="宋体" w:cs="宋体"/>
          <w:color w:val="auto"/>
          <w:sz w:val="24"/>
          <w:highlight w:val="none"/>
        </w:rPr>
        <w:t>供应商提交最终报价；</w:t>
      </w:r>
    </w:p>
    <w:p>
      <w:pPr>
        <w:spacing w:line="360" w:lineRule="auto"/>
        <w:rPr>
          <w:rFonts w:ascii="宋体" w:hAnsi="宋体" w:cs="宋体"/>
          <w:color w:val="auto"/>
          <w:sz w:val="24"/>
          <w:highlight w:val="none"/>
        </w:rPr>
      </w:pPr>
      <w:r>
        <w:rPr>
          <w:rFonts w:hint="eastAsia" w:ascii="宋体" w:hAnsi="宋体" w:cs="宋体"/>
          <w:color w:val="auto"/>
          <w:sz w:val="24"/>
          <w:highlight w:val="none"/>
        </w:rPr>
        <w:t>3.</w:t>
      </w:r>
      <w:r>
        <w:rPr>
          <w:rFonts w:hint="eastAsia" w:ascii="宋体" w:hAnsi="宋体" w:cs="宋体"/>
          <w:color w:val="auto"/>
          <w:sz w:val="24"/>
          <w:highlight w:val="none"/>
          <w:lang w:val="en-US" w:eastAsia="zh-CN"/>
        </w:rPr>
        <w:t>5专家对</w:t>
      </w:r>
      <w:r>
        <w:rPr>
          <w:rFonts w:hint="eastAsia" w:ascii="宋体" w:hAnsi="宋体" w:cs="宋体"/>
          <w:color w:val="auto"/>
          <w:sz w:val="24"/>
          <w:highlight w:val="none"/>
        </w:rPr>
        <w:t>商务技术响应文件进行评审</w:t>
      </w:r>
      <w:r>
        <w:rPr>
          <w:rFonts w:hint="eastAsia" w:ascii="宋体" w:hAnsi="宋体" w:cs="宋体"/>
          <w:color w:val="auto"/>
          <w:sz w:val="24"/>
          <w:highlight w:val="none"/>
          <w:lang w:eastAsia="zh-CN"/>
        </w:rPr>
        <w:t>，</w:t>
      </w:r>
      <w:r>
        <w:rPr>
          <w:rFonts w:hint="eastAsia" w:ascii="宋体" w:hAnsi="宋体" w:cs="宋体"/>
          <w:color w:val="auto"/>
          <w:sz w:val="24"/>
          <w:highlight w:val="none"/>
        </w:rPr>
        <w:t>系统对各供应商的商务技术进行汇总；</w:t>
      </w:r>
    </w:p>
    <w:p>
      <w:pPr>
        <w:spacing w:line="360" w:lineRule="auto"/>
        <w:rPr>
          <w:rFonts w:ascii="宋体" w:hAnsi="宋体" w:cs="宋体"/>
          <w:color w:val="auto"/>
          <w:sz w:val="24"/>
          <w:highlight w:val="none"/>
        </w:rPr>
      </w:pPr>
      <w:r>
        <w:rPr>
          <w:rFonts w:hint="eastAsia" w:ascii="宋体" w:hAnsi="宋体" w:cs="宋体"/>
          <w:color w:val="auto"/>
          <w:sz w:val="24"/>
          <w:highlight w:val="none"/>
        </w:rPr>
        <w:t>3.</w:t>
      </w:r>
      <w:r>
        <w:rPr>
          <w:rFonts w:hint="eastAsia" w:ascii="宋体" w:hAnsi="宋体" w:cs="宋体"/>
          <w:color w:val="auto"/>
          <w:sz w:val="24"/>
          <w:highlight w:val="none"/>
          <w:lang w:val="en-US" w:eastAsia="zh-CN"/>
        </w:rPr>
        <w:t>6</w:t>
      </w:r>
      <w:r>
        <w:rPr>
          <w:rFonts w:hint="eastAsia" w:ascii="宋体" w:hAnsi="宋体" w:cs="宋体"/>
          <w:color w:val="auto"/>
          <w:sz w:val="24"/>
          <w:highlight w:val="none"/>
        </w:rPr>
        <w:t>在系统上公布评审结果。</w:t>
      </w:r>
    </w:p>
    <w:p>
      <w:pPr>
        <w:spacing w:line="360" w:lineRule="auto"/>
        <w:rPr>
          <w:rFonts w:ascii="宋体" w:hAnsi="宋体" w:cs="宋体"/>
          <w:b/>
          <w:color w:val="auto"/>
          <w:sz w:val="24"/>
          <w:highlight w:val="none"/>
        </w:rPr>
      </w:pPr>
      <w:r>
        <w:rPr>
          <w:rFonts w:hint="eastAsia" w:ascii="宋体" w:hAnsi="宋体" w:cs="宋体"/>
          <w:b/>
          <w:color w:val="auto"/>
          <w:sz w:val="24"/>
          <w:highlight w:val="none"/>
        </w:rPr>
        <w:t>特别说明：政采云公司如对电子化开标及评审程序有调整的，按调整后的程序操作。</w:t>
      </w:r>
    </w:p>
    <w:p>
      <w:pPr>
        <w:spacing w:line="360" w:lineRule="auto"/>
        <w:rPr>
          <w:rFonts w:ascii="宋体" w:hAnsi="宋体" w:cs="宋体"/>
          <w:color w:val="auto"/>
          <w:sz w:val="24"/>
          <w:highlight w:val="none"/>
        </w:rPr>
      </w:pPr>
      <w:r>
        <w:rPr>
          <w:rFonts w:hint="eastAsia" w:ascii="宋体" w:hAnsi="宋体" w:cs="宋体"/>
          <w:color w:val="auto"/>
          <w:sz w:val="24"/>
          <w:highlight w:val="none"/>
        </w:rPr>
        <w:t>4、本项目采用政采云电子磋商开标及评审程序，磋商时出现电子磋商响应文件无法解密或解密失败等情况时，采购代理机构可上传供应商的电子备份磋商响应文件继续评审。</w:t>
      </w:r>
    </w:p>
    <w:p>
      <w:pPr>
        <w:pStyle w:val="6"/>
        <w:keepNext w:val="0"/>
        <w:keepLines w:val="0"/>
        <w:pageBreakBefore/>
        <w:spacing w:line="360" w:lineRule="auto"/>
        <w:jc w:val="center"/>
        <w:rPr>
          <w:rFonts w:ascii="宋体" w:hAnsi="宋体" w:eastAsia="宋体" w:cs="宋体"/>
          <w:color w:val="auto"/>
          <w:sz w:val="24"/>
          <w:szCs w:val="24"/>
          <w:highlight w:val="none"/>
        </w:rPr>
      </w:pPr>
      <w:bookmarkStart w:id="24" w:name="_Toc20183"/>
      <w:r>
        <w:rPr>
          <w:rFonts w:hint="eastAsia" w:ascii="宋体" w:hAnsi="宋体" w:eastAsia="宋体" w:cs="宋体"/>
          <w:color w:val="auto"/>
          <w:sz w:val="24"/>
          <w:szCs w:val="24"/>
          <w:highlight w:val="none"/>
        </w:rPr>
        <w:t>五、</w:t>
      </w:r>
      <w:bookmarkEnd w:id="23"/>
      <w:r>
        <w:rPr>
          <w:rFonts w:hint="eastAsia" w:ascii="宋体" w:hAnsi="宋体" w:eastAsia="宋体" w:cs="宋体"/>
          <w:color w:val="auto"/>
          <w:sz w:val="24"/>
          <w:szCs w:val="24"/>
          <w:highlight w:val="none"/>
        </w:rPr>
        <w:t>磋商</w:t>
      </w:r>
      <w:bookmarkEnd w:id="24"/>
    </w:p>
    <w:p>
      <w:pPr>
        <w:spacing w:line="360" w:lineRule="auto"/>
        <w:rPr>
          <w:rFonts w:ascii="宋体" w:hAnsi="宋体" w:cs="宋体"/>
          <w:b/>
          <w:color w:val="auto"/>
          <w:sz w:val="24"/>
          <w:highlight w:val="none"/>
        </w:rPr>
      </w:pPr>
      <w:r>
        <w:rPr>
          <w:rFonts w:hint="eastAsia" w:ascii="宋体" w:hAnsi="宋体" w:cs="宋体"/>
          <w:b/>
          <w:color w:val="auto"/>
          <w:sz w:val="24"/>
          <w:highlight w:val="none"/>
        </w:rPr>
        <w:t>（一）组建磋商小组</w:t>
      </w:r>
    </w:p>
    <w:p>
      <w:pPr>
        <w:spacing w:line="360" w:lineRule="auto"/>
        <w:rPr>
          <w:rFonts w:ascii="宋体" w:hAnsi="宋体" w:cs="宋体"/>
          <w:color w:val="auto"/>
          <w:sz w:val="24"/>
          <w:highlight w:val="none"/>
        </w:rPr>
      </w:pPr>
      <w:r>
        <w:rPr>
          <w:rFonts w:hint="eastAsia" w:ascii="宋体" w:hAnsi="宋体" w:cs="宋体"/>
          <w:color w:val="auto"/>
          <w:sz w:val="24"/>
          <w:highlight w:val="none"/>
        </w:rPr>
        <w:t>本项目磋商小组由政府采购评审专家</w:t>
      </w:r>
      <w:r>
        <w:rPr>
          <w:rFonts w:hint="eastAsia" w:ascii="宋体" w:hAnsi="宋体" w:cs="宋体"/>
          <w:color w:val="auto"/>
          <w:sz w:val="24"/>
          <w:highlight w:val="none"/>
          <w:lang w:val="en-US" w:eastAsia="zh-CN"/>
        </w:rPr>
        <w:t>2</w:t>
      </w:r>
      <w:r>
        <w:rPr>
          <w:rFonts w:hint="eastAsia" w:ascii="宋体" w:hAnsi="宋体" w:cs="宋体"/>
          <w:color w:val="auto"/>
          <w:sz w:val="24"/>
          <w:highlight w:val="none"/>
        </w:rPr>
        <w:t>人和采购人代表</w:t>
      </w:r>
      <w:r>
        <w:rPr>
          <w:rFonts w:hint="eastAsia" w:ascii="宋体" w:hAnsi="宋体" w:cs="宋体"/>
          <w:color w:val="auto"/>
          <w:sz w:val="24"/>
          <w:highlight w:val="none"/>
          <w:u w:val="none"/>
          <w:lang w:val="en-US" w:eastAsia="zh-CN"/>
        </w:rPr>
        <w:t>1</w:t>
      </w:r>
      <w:r>
        <w:rPr>
          <w:rFonts w:hint="eastAsia" w:ascii="宋体" w:hAnsi="宋体" w:cs="宋体"/>
          <w:color w:val="auto"/>
          <w:sz w:val="24"/>
          <w:highlight w:val="none"/>
        </w:rPr>
        <w:t>人,共</w:t>
      </w:r>
      <w:r>
        <w:rPr>
          <w:rFonts w:hint="eastAsia" w:ascii="宋体" w:hAnsi="宋体" w:cs="宋体"/>
          <w:color w:val="auto"/>
          <w:sz w:val="24"/>
          <w:highlight w:val="none"/>
          <w:u w:val="none"/>
          <w:lang w:val="en-US" w:eastAsia="zh-CN"/>
        </w:rPr>
        <w:t>3</w:t>
      </w:r>
      <w:r>
        <w:rPr>
          <w:rFonts w:hint="eastAsia" w:ascii="宋体" w:hAnsi="宋体" w:cs="宋体"/>
          <w:color w:val="auto"/>
          <w:sz w:val="24"/>
          <w:highlight w:val="none"/>
        </w:rPr>
        <w:t>人组成。</w:t>
      </w:r>
    </w:p>
    <w:p>
      <w:pPr>
        <w:spacing w:line="360" w:lineRule="auto"/>
        <w:rPr>
          <w:rFonts w:ascii="宋体" w:hAnsi="宋体" w:cs="宋体"/>
          <w:b/>
          <w:color w:val="auto"/>
          <w:sz w:val="24"/>
          <w:highlight w:val="none"/>
        </w:rPr>
      </w:pPr>
      <w:r>
        <w:rPr>
          <w:rFonts w:hint="eastAsia" w:ascii="宋体" w:hAnsi="宋体" w:cs="宋体"/>
          <w:b/>
          <w:color w:val="auto"/>
          <w:sz w:val="24"/>
          <w:highlight w:val="none"/>
        </w:rPr>
        <w:t>（二）磋商的方式</w:t>
      </w:r>
    </w:p>
    <w:p>
      <w:pPr>
        <w:spacing w:line="360" w:lineRule="auto"/>
        <w:rPr>
          <w:rFonts w:ascii="宋体" w:hAnsi="宋体" w:cs="宋体"/>
          <w:color w:val="auto"/>
          <w:sz w:val="24"/>
          <w:highlight w:val="none"/>
        </w:rPr>
      </w:pPr>
      <w:r>
        <w:rPr>
          <w:rFonts w:hint="eastAsia" w:ascii="宋体" w:hAnsi="宋体" w:cs="宋体"/>
          <w:color w:val="auto"/>
          <w:sz w:val="24"/>
          <w:highlight w:val="none"/>
        </w:rPr>
        <w:t>本项目采用不公开方式磋商，磋商的依据为磋商文件和磋商响应文件。</w:t>
      </w:r>
    </w:p>
    <w:p>
      <w:pPr>
        <w:spacing w:line="360" w:lineRule="auto"/>
        <w:rPr>
          <w:rFonts w:ascii="宋体" w:hAnsi="宋体" w:cs="宋体"/>
          <w:b/>
          <w:color w:val="auto"/>
          <w:sz w:val="24"/>
          <w:highlight w:val="none"/>
        </w:rPr>
      </w:pPr>
      <w:r>
        <w:rPr>
          <w:rFonts w:hint="eastAsia" w:ascii="宋体" w:hAnsi="宋体" w:cs="宋体"/>
          <w:b/>
          <w:color w:val="auto"/>
          <w:sz w:val="24"/>
          <w:highlight w:val="none"/>
        </w:rPr>
        <w:t>（三）磋商程序</w:t>
      </w:r>
    </w:p>
    <w:p>
      <w:pPr>
        <w:spacing w:line="360" w:lineRule="auto"/>
        <w:rPr>
          <w:rFonts w:ascii="宋体" w:hAnsi="宋体" w:cs="宋体"/>
          <w:b/>
          <w:bCs/>
          <w:color w:val="auto"/>
          <w:sz w:val="24"/>
          <w:highlight w:val="none"/>
        </w:rPr>
      </w:pPr>
      <w:r>
        <w:rPr>
          <w:rFonts w:hint="eastAsia" w:ascii="宋体" w:hAnsi="宋体" w:cs="宋体"/>
          <w:b/>
          <w:bCs/>
          <w:color w:val="auto"/>
          <w:sz w:val="24"/>
          <w:highlight w:val="none"/>
        </w:rPr>
        <w:t>1.形式审查</w:t>
      </w:r>
    </w:p>
    <w:p>
      <w:pPr>
        <w:spacing w:line="360" w:lineRule="auto"/>
        <w:rPr>
          <w:rFonts w:ascii="宋体" w:hAnsi="宋体" w:cs="宋体"/>
          <w:b/>
          <w:color w:val="auto"/>
          <w:sz w:val="24"/>
          <w:highlight w:val="none"/>
        </w:rPr>
      </w:pPr>
      <w:r>
        <w:rPr>
          <w:rFonts w:hint="eastAsia" w:ascii="宋体" w:hAnsi="宋体" w:cs="宋体"/>
          <w:color w:val="auto"/>
          <w:sz w:val="24"/>
          <w:highlight w:val="none"/>
        </w:rPr>
        <w:t>招标方工作人员协助磋商小组对供应商的商务技术文件、报价文件的完整性、合法性等进行审查。</w:t>
      </w:r>
    </w:p>
    <w:p>
      <w:pPr>
        <w:spacing w:line="360" w:lineRule="auto"/>
        <w:rPr>
          <w:rFonts w:ascii="宋体" w:hAnsi="宋体" w:cs="宋体"/>
          <w:b/>
          <w:bCs/>
          <w:color w:val="auto"/>
          <w:sz w:val="24"/>
          <w:highlight w:val="none"/>
        </w:rPr>
      </w:pPr>
      <w:r>
        <w:rPr>
          <w:rFonts w:hint="eastAsia" w:ascii="宋体" w:hAnsi="宋体" w:cs="宋体"/>
          <w:b/>
          <w:bCs/>
          <w:color w:val="auto"/>
          <w:sz w:val="24"/>
          <w:highlight w:val="none"/>
        </w:rPr>
        <w:t>2.实质审查与比较</w:t>
      </w:r>
    </w:p>
    <w:p>
      <w:pPr>
        <w:spacing w:line="360" w:lineRule="auto"/>
        <w:rPr>
          <w:rFonts w:ascii="宋体" w:hAnsi="宋体" w:cs="宋体"/>
          <w:color w:val="auto"/>
          <w:sz w:val="24"/>
          <w:highlight w:val="none"/>
        </w:rPr>
      </w:pPr>
      <w:r>
        <w:rPr>
          <w:rFonts w:hint="eastAsia" w:ascii="宋体" w:hAnsi="宋体" w:cs="宋体"/>
          <w:color w:val="auto"/>
          <w:sz w:val="24"/>
          <w:highlight w:val="none"/>
        </w:rPr>
        <w:t>（1）磋商小组审查磋商响应文件的实质性内容是否符合磋商文件的实质性要求。</w:t>
      </w:r>
    </w:p>
    <w:p>
      <w:pPr>
        <w:spacing w:line="360" w:lineRule="auto"/>
        <w:rPr>
          <w:rFonts w:ascii="宋体" w:hAnsi="宋体" w:cs="宋体"/>
          <w:color w:val="auto"/>
          <w:sz w:val="24"/>
          <w:highlight w:val="none"/>
        </w:rPr>
      </w:pPr>
      <w:r>
        <w:rPr>
          <w:rFonts w:hint="eastAsia" w:ascii="宋体" w:hAnsi="宋体" w:cs="宋体"/>
          <w:color w:val="auto"/>
          <w:sz w:val="24"/>
          <w:highlight w:val="none"/>
        </w:rPr>
        <w:t>（2）磋商小组将对供应商的磋商响应文件进行审查、核对,如有疑问,将对供应商进行电子询标,供应商须在规定的时间内向磋商小组澄清有关问题,并在政采云上进行询标答复。</w:t>
      </w:r>
    </w:p>
    <w:p>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供应商代表未在规定的时间内进行澄清、拒绝澄清或者澄清的内容改变了磋商响应文件的实质性内容的，磋商小组有权对该磋商响应文件作出不利于供应商的评判。</w:t>
      </w:r>
    </w:p>
    <w:p>
      <w:pPr>
        <w:spacing w:line="360" w:lineRule="auto"/>
        <w:rPr>
          <w:rFonts w:ascii="宋体" w:hAnsi="宋体" w:cs="宋体"/>
          <w:color w:val="auto"/>
          <w:sz w:val="24"/>
          <w:highlight w:val="none"/>
        </w:rPr>
      </w:pPr>
      <w:r>
        <w:rPr>
          <w:rFonts w:hint="eastAsia" w:ascii="宋体" w:hAnsi="宋体" w:cs="宋体"/>
          <w:color w:val="auto"/>
          <w:sz w:val="24"/>
          <w:highlight w:val="none"/>
        </w:rPr>
        <w:t>（3）各供应商的技术得分为所有评委的有效评分的算术平均数，由指定专人进行计算复核。</w:t>
      </w:r>
    </w:p>
    <w:p>
      <w:pPr>
        <w:spacing w:line="360" w:lineRule="auto"/>
        <w:rPr>
          <w:rFonts w:ascii="宋体" w:hAnsi="宋体" w:cs="宋体"/>
          <w:color w:val="auto"/>
          <w:sz w:val="24"/>
          <w:highlight w:val="none"/>
        </w:rPr>
      </w:pPr>
      <w:r>
        <w:rPr>
          <w:rFonts w:hint="eastAsia" w:ascii="宋体" w:hAnsi="宋体" w:cs="宋体"/>
          <w:color w:val="auto"/>
          <w:sz w:val="24"/>
          <w:highlight w:val="none"/>
        </w:rPr>
        <w:t>（4）招标方工作人员协助磋商小组审核商务报价有无计算错误，并根据本项目的评分标准计算各供应商的商务报价得分。</w:t>
      </w:r>
    </w:p>
    <w:p>
      <w:pPr>
        <w:spacing w:line="360" w:lineRule="auto"/>
        <w:rPr>
          <w:rFonts w:ascii="宋体" w:hAnsi="宋体" w:cs="宋体"/>
          <w:color w:val="auto"/>
          <w:sz w:val="24"/>
          <w:highlight w:val="none"/>
        </w:rPr>
      </w:pPr>
      <w:r>
        <w:rPr>
          <w:rFonts w:hint="eastAsia" w:ascii="宋体" w:hAnsi="宋体" w:cs="宋体"/>
          <w:color w:val="auto"/>
          <w:sz w:val="24"/>
          <w:highlight w:val="none"/>
        </w:rPr>
        <w:t>（5）磋商小组完成磋商后,招标方工作人员对系统中的得分汇总进行复核,计算出本项目最终得分，磋商小组按磋商原则推荐中标候选人并起草磋商报告。</w:t>
      </w:r>
    </w:p>
    <w:p>
      <w:pPr>
        <w:spacing w:line="360" w:lineRule="auto"/>
        <w:rPr>
          <w:rFonts w:ascii="宋体" w:hAnsi="宋体" w:cs="宋体"/>
          <w:b/>
          <w:color w:val="auto"/>
          <w:sz w:val="24"/>
          <w:highlight w:val="none"/>
        </w:rPr>
      </w:pPr>
      <w:r>
        <w:rPr>
          <w:rFonts w:hint="eastAsia" w:ascii="宋体" w:hAnsi="宋体" w:cs="宋体"/>
          <w:b/>
          <w:color w:val="auto"/>
          <w:sz w:val="24"/>
          <w:highlight w:val="none"/>
        </w:rPr>
        <w:t>（四）澄清问题的形式</w:t>
      </w:r>
    </w:p>
    <w:p>
      <w:pPr>
        <w:spacing w:line="360" w:lineRule="auto"/>
        <w:rPr>
          <w:rFonts w:ascii="宋体" w:hAnsi="宋体" w:cs="宋体"/>
          <w:color w:val="auto"/>
          <w:sz w:val="24"/>
          <w:highlight w:val="none"/>
        </w:rPr>
      </w:pPr>
      <w:r>
        <w:rPr>
          <w:rFonts w:hint="eastAsia" w:ascii="宋体" w:hAnsi="宋体" w:cs="宋体"/>
          <w:color w:val="auto"/>
          <w:sz w:val="24"/>
          <w:highlight w:val="none"/>
        </w:rPr>
        <w:t>对磋商响应文件中含义不明确、同类问题表述不一致或者有明显文字和计算错误的内容，磋商小组可要求供应商作出必要的澄清、说明或者纠正，供应商应在询标规定时间内进行澄清或说明（需盖CA电子签章或实体公章），并不得超出磋商响应文件的范围或者改变磋商响应文件的实质性内容。</w:t>
      </w:r>
    </w:p>
    <w:p>
      <w:pPr>
        <w:spacing w:line="360" w:lineRule="auto"/>
        <w:rPr>
          <w:rFonts w:ascii="宋体" w:hAnsi="宋体" w:cs="宋体"/>
          <w:b/>
          <w:color w:val="auto"/>
          <w:sz w:val="24"/>
          <w:highlight w:val="none"/>
        </w:rPr>
      </w:pPr>
      <w:r>
        <w:rPr>
          <w:rFonts w:hint="eastAsia" w:ascii="宋体" w:hAnsi="宋体" w:cs="宋体"/>
          <w:b/>
          <w:color w:val="auto"/>
          <w:sz w:val="24"/>
          <w:highlight w:val="none"/>
        </w:rPr>
        <w:t>（五）错误修正</w:t>
      </w:r>
    </w:p>
    <w:p>
      <w:pPr>
        <w:spacing w:line="360" w:lineRule="auto"/>
        <w:ind w:firstLine="360" w:firstLineChars="150"/>
        <w:rPr>
          <w:rFonts w:ascii="宋体" w:hAnsi="宋体" w:cs="宋体"/>
          <w:color w:val="auto"/>
          <w:sz w:val="24"/>
          <w:highlight w:val="none"/>
        </w:rPr>
      </w:pPr>
      <w:r>
        <w:rPr>
          <w:rFonts w:hint="eastAsia" w:ascii="宋体" w:hAnsi="宋体" w:cs="宋体"/>
          <w:color w:val="auto"/>
          <w:sz w:val="24"/>
          <w:highlight w:val="none"/>
        </w:rPr>
        <w:t>磋商响应文件如果出现计算或表达上的错误，修正错误的原则如下：</w:t>
      </w:r>
    </w:p>
    <w:p>
      <w:pPr>
        <w:spacing w:line="360" w:lineRule="auto"/>
        <w:ind w:firstLine="360" w:firstLineChars="150"/>
        <w:rPr>
          <w:rFonts w:ascii="宋体" w:hAnsi="宋体" w:cs="宋体"/>
          <w:color w:val="auto"/>
          <w:sz w:val="24"/>
          <w:highlight w:val="none"/>
        </w:rPr>
      </w:pPr>
      <w:r>
        <w:rPr>
          <w:rFonts w:hint="eastAsia" w:ascii="宋体" w:hAnsi="宋体" w:cs="宋体"/>
          <w:color w:val="auto"/>
          <w:sz w:val="24"/>
          <w:highlight w:val="none"/>
        </w:rPr>
        <w:t>1. 磋商响应文件中开标一览表（报价表）内容与与磋商响应文件中相应内容不一致的，以开标一览表（报价表）为准；</w:t>
      </w:r>
    </w:p>
    <w:p>
      <w:pPr>
        <w:spacing w:line="360" w:lineRule="auto"/>
        <w:ind w:firstLine="360" w:firstLineChars="150"/>
        <w:rPr>
          <w:rFonts w:ascii="宋体" w:hAnsi="宋体" w:cs="宋体"/>
          <w:color w:val="auto"/>
          <w:sz w:val="24"/>
          <w:highlight w:val="none"/>
        </w:rPr>
      </w:pPr>
      <w:r>
        <w:rPr>
          <w:rFonts w:hint="eastAsia" w:ascii="宋体" w:hAnsi="宋体" w:cs="宋体"/>
          <w:color w:val="auto"/>
          <w:sz w:val="24"/>
          <w:highlight w:val="none"/>
        </w:rPr>
        <w:t>2.大写金额和小写金额不一致的，以大写金额为准；</w:t>
      </w:r>
    </w:p>
    <w:p>
      <w:pPr>
        <w:spacing w:line="360" w:lineRule="auto"/>
        <w:ind w:left="359" w:leftChars="171"/>
        <w:rPr>
          <w:rFonts w:ascii="宋体" w:hAnsi="宋体" w:cs="宋体"/>
          <w:color w:val="auto"/>
          <w:sz w:val="24"/>
          <w:highlight w:val="none"/>
        </w:rPr>
      </w:pPr>
      <w:r>
        <w:rPr>
          <w:rFonts w:hint="eastAsia" w:ascii="宋体" w:hAnsi="宋体" w:cs="宋体"/>
          <w:color w:val="auto"/>
          <w:sz w:val="24"/>
          <w:highlight w:val="none"/>
        </w:rPr>
        <w:t>3.单价金额小数点或者百分比有明显错位的，以开标一览表的总价为准，并修改单价；4.总价金额与按单价汇总金额不一致的，以单价金额计算结果为准；</w:t>
      </w:r>
    </w:p>
    <w:p>
      <w:pPr>
        <w:spacing w:line="360" w:lineRule="auto"/>
        <w:ind w:firstLine="360" w:firstLineChars="150"/>
        <w:rPr>
          <w:rFonts w:hint="eastAsia" w:ascii="宋体" w:hAnsi="宋体" w:cs="宋体"/>
          <w:color w:val="auto"/>
          <w:sz w:val="24"/>
          <w:highlight w:val="none"/>
        </w:rPr>
      </w:pPr>
      <w:r>
        <w:rPr>
          <w:rFonts w:hint="eastAsia" w:ascii="宋体" w:hAnsi="宋体" w:cs="宋体"/>
          <w:color w:val="auto"/>
          <w:sz w:val="24"/>
          <w:highlight w:val="none"/>
        </w:rPr>
        <w:t>5.政采云系统磋商报价与磋商响应文件中开标一览表（报价表）相应内容不一致的，以开标一览表（报价表）为准。</w:t>
      </w:r>
    </w:p>
    <w:p>
      <w:pPr>
        <w:spacing w:line="360" w:lineRule="auto"/>
        <w:ind w:firstLine="360" w:firstLineChars="150"/>
        <w:rPr>
          <w:rFonts w:hint="eastAsia" w:ascii="宋体" w:hAnsi="宋体" w:cs="宋体"/>
          <w:color w:val="auto"/>
          <w:sz w:val="24"/>
          <w:highlight w:val="none"/>
        </w:rPr>
      </w:pPr>
      <w:r>
        <w:rPr>
          <w:rFonts w:hint="eastAsia" w:ascii="宋体" w:hAnsi="宋体" w:cs="宋体"/>
          <w:color w:val="auto"/>
          <w:sz w:val="24"/>
          <w:highlight w:val="none"/>
        </w:rPr>
        <w:t>6.对不同文字文本磋商响应文件的解释发生异议的，以中文文本为准。</w:t>
      </w:r>
    </w:p>
    <w:p>
      <w:pPr>
        <w:spacing w:line="360" w:lineRule="auto"/>
        <w:ind w:firstLine="240" w:firstLineChars="100"/>
        <w:rPr>
          <w:rFonts w:ascii="宋体" w:hAnsi="宋体" w:cs="宋体"/>
          <w:color w:val="auto"/>
          <w:sz w:val="24"/>
          <w:highlight w:val="none"/>
        </w:rPr>
      </w:pPr>
      <w:r>
        <w:rPr>
          <w:rFonts w:hint="eastAsia" w:ascii="宋体" w:hAnsi="宋体" w:cs="宋体"/>
          <w:color w:val="auto"/>
          <w:sz w:val="24"/>
          <w:highlight w:val="none"/>
        </w:rPr>
        <w:t>同时出现两种以上不一致的，按照前款规定的顺序修正。修正后的报价按照《政府采购货物和服务招标投标管理办法》（第87号令）第五十一条第二款规定：供应商的澄清、说明或者补正应当采用书面形式，并加盖公章，或者由法定代表人或其授权的代表签字。供应商的澄清、说明或者补正不得超出磋商响应文件的范围或者改变磋商响应文件的实质性内容的规定经供应商确认后产生约束力，供应商不确认的，其磋商无效。</w:t>
      </w:r>
    </w:p>
    <w:p>
      <w:pPr>
        <w:spacing w:line="360" w:lineRule="auto"/>
        <w:rPr>
          <w:rFonts w:ascii="宋体" w:hAnsi="宋体" w:cs="宋体"/>
          <w:b/>
          <w:bCs/>
          <w:color w:val="auto"/>
          <w:sz w:val="24"/>
          <w:highlight w:val="none"/>
        </w:rPr>
      </w:pPr>
      <w:r>
        <w:rPr>
          <w:rFonts w:hint="eastAsia" w:ascii="宋体" w:hAnsi="宋体" w:cs="宋体"/>
          <w:b/>
          <w:color w:val="auto"/>
          <w:sz w:val="24"/>
          <w:highlight w:val="none"/>
        </w:rPr>
        <w:t>（六）磋商原则和磋商办法</w:t>
      </w:r>
    </w:p>
    <w:p>
      <w:pPr>
        <w:spacing w:line="360" w:lineRule="auto"/>
        <w:ind w:firstLine="240" w:firstLineChars="100"/>
        <w:rPr>
          <w:rFonts w:ascii="宋体" w:hAnsi="宋体" w:cs="宋体"/>
          <w:color w:val="auto"/>
          <w:sz w:val="24"/>
          <w:highlight w:val="none"/>
        </w:rPr>
      </w:pPr>
      <w:r>
        <w:rPr>
          <w:rFonts w:hint="eastAsia" w:ascii="宋体" w:hAnsi="宋体" w:cs="宋体"/>
          <w:color w:val="auto"/>
          <w:sz w:val="24"/>
          <w:highlight w:val="none"/>
        </w:rPr>
        <w:t>1.磋商小组必须公平、公正评审，遵纪守法，客观、廉洁地履行职责。</w:t>
      </w:r>
    </w:p>
    <w:p>
      <w:pPr>
        <w:spacing w:line="360" w:lineRule="auto"/>
        <w:ind w:firstLine="240" w:firstLineChars="100"/>
        <w:rPr>
          <w:rFonts w:ascii="宋体" w:hAnsi="宋体" w:cs="宋体"/>
          <w:color w:val="auto"/>
          <w:sz w:val="24"/>
          <w:highlight w:val="none"/>
        </w:rPr>
      </w:pPr>
      <w:r>
        <w:rPr>
          <w:rFonts w:hint="eastAsia" w:ascii="宋体" w:hAnsi="宋体" w:cs="宋体"/>
          <w:color w:val="auto"/>
          <w:sz w:val="24"/>
          <w:highlight w:val="none"/>
        </w:rPr>
        <w:t>2.磋商小组在评审开始前，应关闭并上交随身携带的各种通信工具。</w:t>
      </w:r>
    </w:p>
    <w:p>
      <w:pPr>
        <w:spacing w:line="360" w:lineRule="auto"/>
        <w:ind w:firstLine="240" w:firstLineChars="100"/>
        <w:rPr>
          <w:rFonts w:ascii="宋体" w:hAnsi="宋体" w:cs="宋体"/>
          <w:color w:val="auto"/>
          <w:sz w:val="24"/>
          <w:highlight w:val="none"/>
        </w:rPr>
      </w:pPr>
      <w:r>
        <w:rPr>
          <w:rFonts w:hint="eastAsia" w:ascii="宋体" w:hAnsi="宋体" w:cs="宋体"/>
          <w:color w:val="auto"/>
          <w:sz w:val="24"/>
          <w:highlight w:val="none"/>
        </w:rPr>
        <w:t>3.磋商小组在评审过程中，未经许可不得中途离开评审现场，不得迟到早退。</w:t>
      </w:r>
    </w:p>
    <w:p>
      <w:pPr>
        <w:spacing w:line="360" w:lineRule="auto"/>
        <w:ind w:firstLine="240" w:firstLineChars="100"/>
        <w:rPr>
          <w:rFonts w:ascii="宋体" w:hAnsi="宋体" w:cs="宋体"/>
          <w:color w:val="auto"/>
          <w:sz w:val="24"/>
          <w:highlight w:val="none"/>
        </w:rPr>
      </w:pPr>
      <w:r>
        <w:rPr>
          <w:rFonts w:hint="eastAsia" w:ascii="宋体" w:hAnsi="宋体" w:cs="宋体"/>
          <w:color w:val="auto"/>
          <w:sz w:val="24"/>
          <w:highlight w:val="none"/>
        </w:rPr>
        <w:t>4.磋商小组和工作人员不得透露评审过程中的讨论情况和评审结果。</w:t>
      </w:r>
    </w:p>
    <w:p>
      <w:pPr>
        <w:spacing w:line="360" w:lineRule="auto"/>
        <w:ind w:firstLine="240" w:firstLineChars="100"/>
        <w:rPr>
          <w:rFonts w:ascii="宋体" w:hAnsi="宋体" w:cs="宋体"/>
          <w:color w:val="auto"/>
          <w:sz w:val="24"/>
          <w:highlight w:val="none"/>
        </w:rPr>
      </w:pPr>
      <w:r>
        <w:rPr>
          <w:rFonts w:hint="eastAsia" w:ascii="宋体" w:hAnsi="宋体" w:cs="宋体"/>
          <w:color w:val="auto"/>
          <w:sz w:val="24"/>
          <w:highlight w:val="none"/>
        </w:rPr>
        <w:t>5.评审时，磋商小组须按竞争性磋商文件规定的程序、条件和标准，对供应商投标文件的合规性、完整性和有效性进行审查、比较和评估，其中对供应商的资格条件、主要技术参数、商务报价和其他评审要素等，磋商小组应逐项进行审查、比较，不得漏评少评。如发现与竞争性磋商文件要求相偏离的，应对其偏离情形进行必要的核实，并在工作底稿中予以说明；如属于实质性偏离或符合无效投标文件的，可询问供应商，并允许供应商进行陈述申辩，但不允许其对偏离条款进行补充、修正或撤回。</w:t>
      </w:r>
    </w:p>
    <w:p>
      <w:pPr>
        <w:spacing w:line="360" w:lineRule="auto"/>
        <w:ind w:firstLine="240" w:firstLineChars="100"/>
        <w:rPr>
          <w:rFonts w:ascii="宋体" w:hAnsi="宋体" w:cs="宋体"/>
          <w:color w:val="auto"/>
          <w:sz w:val="24"/>
          <w:highlight w:val="none"/>
        </w:rPr>
      </w:pPr>
      <w:r>
        <w:rPr>
          <w:rFonts w:hint="eastAsia" w:ascii="宋体" w:hAnsi="宋体" w:cs="宋体"/>
          <w:color w:val="auto"/>
          <w:sz w:val="24"/>
          <w:highlight w:val="none"/>
        </w:rPr>
        <w:t>6.采购人、采购代理机构不得向评审委员会的磋商小组作倾向性、误导性的解释或者说明。</w:t>
      </w:r>
    </w:p>
    <w:p>
      <w:pPr>
        <w:spacing w:line="360" w:lineRule="auto"/>
        <w:ind w:firstLine="240" w:firstLineChars="100"/>
        <w:rPr>
          <w:rFonts w:ascii="宋体" w:hAnsi="宋体" w:cs="宋体"/>
          <w:color w:val="auto"/>
          <w:sz w:val="24"/>
          <w:highlight w:val="none"/>
        </w:rPr>
      </w:pPr>
      <w:r>
        <w:rPr>
          <w:rFonts w:hint="eastAsia" w:ascii="宋体" w:hAnsi="宋体" w:cs="宋体"/>
          <w:color w:val="auto"/>
          <w:sz w:val="24"/>
          <w:highlight w:val="none"/>
        </w:rPr>
        <w:t>7.采购代理机构应当为磋商小组提供必要的评审条件和相应的评审工作底稿，并严格按规定程序组织磋商小组有步骤地进行项目评审，对各磋商小组的评审情况和评审意见进行合理性和合规性审查，对明显畸高、畸低的重大差异评审情况（其总评分偏离平均分30%以上），提醒相关磋商小组进行复核或书面说明理由。</w:t>
      </w:r>
    </w:p>
    <w:p>
      <w:pPr>
        <w:spacing w:line="360" w:lineRule="auto"/>
        <w:ind w:firstLine="240" w:firstLineChars="100"/>
        <w:rPr>
          <w:rFonts w:ascii="宋体" w:hAnsi="宋体" w:cs="宋体"/>
          <w:color w:val="auto"/>
          <w:sz w:val="24"/>
          <w:highlight w:val="none"/>
        </w:rPr>
      </w:pPr>
      <w:r>
        <w:rPr>
          <w:rFonts w:hint="eastAsia" w:ascii="宋体" w:hAnsi="宋体" w:cs="宋体"/>
          <w:color w:val="auto"/>
          <w:sz w:val="24"/>
          <w:highlight w:val="none"/>
        </w:rPr>
        <w:t>8.磋商小组在评审过程中不得将自己的观点强加给其他磋商小组，磋商小组应自主发表见解，对评审意见承担个人责任。</w:t>
      </w:r>
    </w:p>
    <w:p>
      <w:pPr>
        <w:spacing w:line="360" w:lineRule="auto"/>
        <w:ind w:firstLine="240" w:firstLineChars="100"/>
        <w:rPr>
          <w:rFonts w:ascii="宋体" w:hAnsi="宋体" w:cs="宋体"/>
          <w:color w:val="auto"/>
          <w:sz w:val="24"/>
          <w:highlight w:val="none"/>
        </w:rPr>
      </w:pPr>
      <w:r>
        <w:rPr>
          <w:rFonts w:hint="eastAsia" w:ascii="宋体" w:hAnsi="宋体" w:cs="宋体"/>
          <w:color w:val="auto"/>
          <w:sz w:val="24"/>
          <w:highlight w:val="none"/>
        </w:rPr>
        <w:t>9.评审结束后，评审委员会应向采购代理机构提交项目评审报告。评审报告是采购人确定中标人的合法依据，评审委员会应当如实、客观地反映评审情况，按竞争性磋商文件的评审办法和细则的规定推荐中标候选人，说明推荐理由，并重点对中标候选人的技术、服务和价格等情况进行评价和比较。如排名第一的供应商报价为最高报价的，评审报告中须对其报价的合理性等进行分析和特别说明。</w:t>
      </w:r>
    </w:p>
    <w:p>
      <w:pPr>
        <w:spacing w:line="360" w:lineRule="auto"/>
        <w:ind w:firstLine="240" w:firstLineChars="100"/>
        <w:rPr>
          <w:rFonts w:ascii="宋体" w:hAnsi="宋体" w:cs="宋体"/>
          <w:color w:val="auto"/>
          <w:sz w:val="24"/>
          <w:highlight w:val="none"/>
        </w:rPr>
      </w:pPr>
      <w:r>
        <w:rPr>
          <w:rFonts w:hint="eastAsia" w:ascii="宋体" w:hAnsi="宋体" w:cs="宋体"/>
          <w:color w:val="auto"/>
          <w:sz w:val="24"/>
          <w:highlight w:val="none"/>
        </w:rPr>
        <w:t>10.磋商小组应当独立、客观、公正地提出评审意见，不得带有倾向性，不得影响其他磋商小组评审，并在评审报告上签字；如对评审报告有异议的，可在报告上签署不同意见，并说明理由，否则将视为同意。</w:t>
      </w:r>
    </w:p>
    <w:p>
      <w:pPr>
        <w:spacing w:line="360" w:lineRule="auto"/>
        <w:ind w:firstLine="240" w:firstLineChars="100"/>
        <w:rPr>
          <w:rFonts w:ascii="宋体" w:hAnsi="宋体" w:cs="宋体"/>
          <w:color w:val="auto"/>
          <w:sz w:val="24"/>
          <w:highlight w:val="none"/>
        </w:rPr>
      </w:pPr>
      <w:r>
        <w:rPr>
          <w:rFonts w:hint="eastAsia" w:ascii="宋体" w:hAnsi="宋体" w:cs="宋体"/>
          <w:color w:val="auto"/>
          <w:sz w:val="24"/>
          <w:highlight w:val="none"/>
        </w:rPr>
        <w:t>11.磋商小组应当遵守评审工作纪律，不得泄露评审文件、评审情况和评审中获悉的商业秘密。</w:t>
      </w:r>
    </w:p>
    <w:p>
      <w:pPr>
        <w:spacing w:line="360" w:lineRule="auto"/>
        <w:ind w:firstLine="240" w:firstLineChars="100"/>
        <w:rPr>
          <w:rFonts w:ascii="宋体" w:hAnsi="宋体" w:cs="宋体"/>
          <w:color w:val="auto"/>
          <w:sz w:val="24"/>
          <w:highlight w:val="none"/>
        </w:rPr>
      </w:pPr>
      <w:r>
        <w:rPr>
          <w:rFonts w:hint="eastAsia" w:ascii="宋体" w:hAnsi="宋体" w:cs="宋体"/>
          <w:color w:val="auto"/>
          <w:sz w:val="24"/>
          <w:highlight w:val="none"/>
        </w:rPr>
        <w:t>评审委员会在评审过程中发现供应商有行贿、提供虚假材料或者串通等违法行为的，应当及时向财政部门报告。</w:t>
      </w:r>
    </w:p>
    <w:p>
      <w:pPr>
        <w:spacing w:line="360" w:lineRule="auto"/>
        <w:ind w:firstLine="240" w:firstLineChars="100"/>
        <w:rPr>
          <w:rFonts w:ascii="宋体" w:hAnsi="宋体" w:cs="宋体"/>
          <w:color w:val="auto"/>
          <w:sz w:val="24"/>
          <w:highlight w:val="none"/>
        </w:rPr>
      </w:pPr>
      <w:r>
        <w:rPr>
          <w:rFonts w:hint="eastAsia" w:ascii="宋体" w:hAnsi="宋体" w:cs="宋体"/>
          <w:color w:val="auto"/>
          <w:sz w:val="24"/>
          <w:highlight w:val="none"/>
        </w:rPr>
        <w:t>12.竞争性磋商文件内容违反国家有关强制性规定的，评审委员会应当停止评审并向采购代理机构说明情况。</w:t>
      </w:r>
    </w:p>
    <w:p>
      <w:pPr>
        <w:spacing w:line="360" w:lineRule="auto"/>
        <w:ind w:firstLine="240" w:firstLineChars="100"/>
        <w:rPr>
          <w:rFonts w:ascii="宋体" w:hAnsi="宋体" w:cs="宋体"/>
          <w:color w:val="auto"/>
          <w:sz w:val="24"/>
          <w:highlight w:val="none"/>
        </w:rPr>
      </w:pPr>
      <w:r>
        <w:rPr>
          <w:rFonts w:hint="eastAsia" w:ascii="宋体" w:hAnsi="宋体" w:cs="宋体"/>
          <w:color w:val="auto"/>
          <w:sz w:val="24"/>
          <w:highlight w:val="none"/>
        </w:rPr>
        <w:t>13.磋商小组应当配合采购代理机构答复供应商提出的质疑。</w:t>
      </w:r>
    </w:p>
    <w:p>
      <w:pPr>
        <w:spacing w:line="360" w:lineRule="auto"/>
        <w:ind w:firstLine="240" w:firstLineChars="100"/>
        <w:rPr>
          <w:rFonts w:ascii="宋体" w:hAnsi="宋体" w:cs="宋体"/>
          <w:color w:val="auto"/>
          <w:sz w:val="24"/>
          <w:highlight w:val="none"/>
        </w:rPr>
      </w:pPr>
      <w:r>
        <w:rPr>
          <w:rFonts w:hint="eastAsia" w:ascii="宋体" w:hAnsi="宋体" w:cs="宋体"/>
          <w:color w:val="auto"/>
          <w:sz w:val="24"/>
          <w:highlight w:val="none"/>
        </w:rPr>
        <w:t>14.磋商小组应当配合财政部门的投诉处理工作。</w:t>
      </w:r>
    </w:p>
    <w:p>
      <w:pPr>
        <w:spacing w:line="360" w:lineRule="auto"/>
        <w:ind w:firstLine="240" w:firstLineChars="100"/>
        <w:rPr>
          <w:rFonts w:ascii="宋体" w:hAnsi="宋体" w:cs="宋体"/>
          <w:color w:val="auto"/>
          <w:sz w:val="24"/>
          <w:highlight w:val="none"/>
        </w:rPr>
      </w:pPr>
      <w:r>
        <w:rPr>
          <w:rFonts w:hint="eastAsia" w:ascii="宋体" w:hAnsi="宋体" w:cs="宋体"/>
          <w:color w:val="auto"/>
          <w:sz w:val="24"/>
          <w:highlight w:val="none"/>
        </w:rPr>
        <w:t>15.磋商小组有如下行为之一的，责令改正，给予警告，可以并处一千元以下的罚款：</w:t>
      </w:r>
    </w:p>
    <w:p>
      <w:pPr>
        <w:spacing w:line="360" w:lineRule="auto"/>
        <w:ind w:firstLine="240" w:firstLineChars="100"/>
        <w:rPr>
          <w:rFonts w:ascii="宋体" w:hAnsi="宋体" w:cs="宋体"/>
          <w:color w:val="auto"/>
          <w:sz w:val="24"/>
          <w:highlight w:val="none"/>
        </w:rPr>
      </w:pPr>
      <w:r>
        <w:rPr>
          <w:rFonts w:hint="eastAsia" w:ascii="宋体" w:hAnsi="宋体" w:cs="宋体"/>
          <w:color w:val="auto"/>
          <w:sz w:val="24"/>
          <w:highlight w:val="none"/>
        </w:rPr>
        <w:t>①明知应当回避而未主动回避的；</w:t>
      </w:r>
    </w:p>
    <w:p>
      <w:pPr>
        <w:spacing w:line="360" w:lineRule="auto"/>
        <w:ind w:firstLine="240" w:firstLineChars="100"/>
        <w:rPr>
          <w:rFonts w:ascii="宋体" w:hAnsi="宋体" w:cs="宋体"/>
          <w:color w:val="auto"/>
          <w:sz w:val="24"/>
          <w:highlight w:val="none"/>
        </w:rPr>
      </w:pPr>
      <w:r>
        <w:rPr>
          <w:rFonts w:hint="eastAsia" w:ascii="宋体" w:hAnsi="宋体" w:cs="宋体"/>
          <w:color w:val="auto"/>
          <w:sz w:val="24"/>
          <w:highlight w:val="none"/>
        </w:rPr>
        <w:t>②在得知自己为磋商小组身份后至评审结束前时段内私下接触供应商的；</w:t>
      </w:r>
    </w:p>
    <w:p>
      <w:pPr>
        <w:spacing w:line="360" w:lineRule="auto"/>
        <w:ind w:firstLine="240" w:firstLineChars="100"/>
        <w:rPr>
          <w:rFonts w:ascii="宋体" w:hAnsi="宋体" w:cs="宋体"/>
          <w:color w:val="auto"/>
          <w:sz w:val="24"/>
          <w:highlight w:val="none"/>
        </w:rPr>
      </w:pPr>
      <w:r>
        <w:rPr>
          <w:rFonts w:hint="eastAsia" w:ascii="宋体" w:hAnsi="宋体" w:cs="宋体"/>
          <w:color w:val="auto"/>
          <w:sz w:val="24"/>
          <w:highlight w:val="none"/>
        </w:rPr>
        <w:t>③在评审过程中擅离职守，影响评审程序正常进行的；</w:t>
      </w:r>
    </w:p>
    <w:p>
      <w:pPr>
        <w:spacing w:line="360" w:lineRule="auto"/>
        <w:ind w:firstLine="240" w:firstLineChars="100"/>
        <w:rPr>
          <w:rFonts w:ascii="宋体" w:hAnsi="宋体" w:cs="宋体"/>
          <w:color w:val="auto"/>
          <w:sz w:val="24"/>
          <w:highlight w:val="none"/>
        </w:rPr>
      </w:pPr>
      <w:r>
        <w:rPr>
          <w:rFonts w:hint="eastAsia" w:ascii="宋体" w:hAnsi="宋体" w:cs="宋体"/>
          <w:color w:val="auto"/>
          <w:sz w:val="24"/>
          <w:highlight w:val="none"/>
        </w:rPr>
        <w:t>④在评审过程有明显不合理或者不正当倾向性的；</w:t>
      </w:r>
    </w:p>
    <w:p>
      <w:pPr>
        <w:spacing w:line="360" w:lineRule="auto"/>
        <w:ind w:firstLine="240" w:firstLineChars="100"/>
        <w:rPr>
          <w:rFonts w:ascii="宋体" w:hAnsi="宋体" w:cs="宋体"/>
          <w:color w:val="auto"/>
          <w:sz w:val="24"/>
          <w:highlight w:val="none"/>
        </w:rPr>
      </w:pPr>
      <w:r>
        <w:rPr>
          <w:rFonts w:hint="eastAsia" w:ascii="宋体" w:hAnsi="宋体" w:cs="宋体"/>
          <w:color w:val="auto"/>
          <w:sz w:val="24"/>
          <w:highlight w:val="none"/>
        </w:rPr>
        <w:t>⑤未按竞争性磋商文件规定的评审方法和标准进行评审的。</w:t>
      </w:r>
    </w:p>
    <w:p>
      <w:pPr>
        <w:spacing w:line="360" w:lineRule="auto"/>
        <w:ind w:firstLine="240" w:firstLineChars="100"/>
        <w:rPr>
          <w:rFonts w:ascii="宋体" w:hAnsi="宋体" w:cs="宋体"/>
          <w:color w:val="auto"/>
          <w:sz w:val="24"/>
          <w:highlight w:val="none"/>
        </w:rPr>
      </w:pPr>
      <w:r>
        <w:rPr>
          <w:rFonts w:hint="eastAsia" w:ascii="宋体" w:hAnsi="宋体" w:cs="宋体"/>
          <w:color w:val="auto"/>
          <w:sz w:val="24"/>
          <w:highlight w:val="none"/>
        </w:rPr>
        <w:t>⑥上述①至⑤行为影响中标结果的，中标结果无效。</w:t>
      </w:r>
    </w:p>
    <w:p>
      <w:pPr>
        <w:spacing w:line="360" w:lineRule="auto"/>
        <w:ind w:firstLine="240" w:firstLineChars="100"/>
        <w:rPr>
          <w:rFonts w:ascii="宋体" w:hAnsi="宋体" w:cs="宋体"/>
          <w:color w:val="auto"/>
          <w:sz w:val="24"/>
          <w:highlight w:val="none"/>
        </w:rPr>
      </w:pPr>
      <w:r>
        <w:rPr>
          <w:rFonts w:hint="eastAsia" w:ascii="宋体" w:hAnsi="宋体" w:cs="宋体"/>
          <w:color w:val="auto"/>
          <w:sz w:val="24"/>
          <w:highlight w:val="none"/>
        </w:rPr>
        <w:t>16.政府采购磋商小组未按照竞争性磋商文件规定的评审程序、评审方法和评审标准进行独立评审或者泄露评审文件、评审情况的，由财政部门给予警告，并处2000元以上2万元以下的罚款；影响中标、成交结果的，处2万元以上5万元以下的罚款，禁止其参加政府采购评审活动。</w:t>
      </w:r>
    </w:p>
    <w:p>
      <w:pPr>
        <w:spacing w:line="360" w:lineRule="auto"/>
        <w:ind w:firstLine="240" w:firstLineChars="100"/>
        <w:rPr>
          <w:rFonts w:ascii="宋体" w:hAnsi="宋体" w:cs="宋体"/>
          <w:color w:val="auto"/>
          <w:sz w:val="24"/>
          <w:highlight w:val="none"/>
        </w:rPr>
      </w:pPr>
      <w:r>
        <w:rPr>
          <w:rFonts w:hint="eastAsia" w:ascii="宋体" w:hAnsi="宋体" w:cs="宋体"/>
          <w:color w:val="auto"/>
          <w:sz w:val="24"/>
          <w:highlight w:val="none"/>
        </w:rPr>
        <w:t>政府采购磋商小组与供应商存在利害关系未回避的，处2万元以上5万元以下的罚款，禁止其参加政府采购评审活动。</w:t>
      </w:r>
    </w:p>
    <w:p>
      <w:pPr>
        <w:spacing w:line="360" w:lineRule="auto"/>
        <w:ind w:firstLine="240" w:firstLineChars="100"/>
        <w:rPr>
          <w:rFonts w:ascii="宋体" w:hAnsi="宋体" w:cs="宋体"/>
          <w:color w:val="auto"/>
          <w:sz w:val="24"/>
          <w:highlight w:val="none"/>
        </w:rPr>
      </w:pPr>
      <w:r>
        <w:rPr>
          <w:rFonts w:hint="eastAsia" w:ascii="宋体" w:hAnsi="宋体" w:cs="宋体"/>
          <w:color w:val="auto"/>
          <w:sz w:val="24"/>
          <w:highlight w:val="none"/>
        </w:rPr>
        <w:t>政府采购磋商小组收受采购人、采购代理机构、供应商贿赂或者获取其他不正当利益，构成犯罪的，依法追究刑事责任；尚不构成犯罪的，处2万元以上5万元以下的罚款，禁止其参加政府采购评审活动。</w:t>
      </w:r>
    </w:p>
    <w:p>
      <w:pPr>
        <w:spacing w:line="360" w:lineRule="auto"/>
        <w:ind w:firstLine="240" w:firstLineChars="100"/>
        <w:rPr>
          <w:rFonts w:ascii="宋体" w:hAnsi="宋体" w:cs="宋体"/>
          <w:color w:val="auto"/>
          <w:sz w:val="24"/>
          <w:highlight w:val="none"/>
        </w:rPr>
      </w:pPr>
      <w:r>
        <w:rPr>
          <w:rFonts w:hint="eastAsia" w:ascii="宋体" w:hAnsi="宋体" w:cs="宋体"/>
          <w:color w:val="auto"/>
          <w:sz w:val="24"/>
          <w:highlight w:val="none"/>
        </w:rPr>
        <w:t>政府采购磋商小组有上述违法行为的，其评审意见无效，不得获取评审费；有违法所得的，没收违法所得；给他人造成损失的，依法承担民事责任。</w:t>
      </w:r>
    </w:p>
    <w:p>
      <w:pPr>
        <w:spacing w:line="360" w:lineRule="auto"/>
        <w:rPr>
          <w:rFonts w:ascii="宋体" w:hAnsi="宋体" w:cs="宋体"/>
          <w:color w:val="auto"/>
          <w:sz w:val="24"/>
          <w:highlight w:val="none"/>
        </w:rPr>
      </w:pPr>
      <w:r>
        <w:rPr>
          <w:rFonts w:hint="eastAsia" w:ascii="宋体" w:hAnsi="宋体" w:cs="宋体"/>
          <w:color w:val="auto"/>
          <w:sz w:val="24"/>
          <w:highlight w:val="none"/>
        </w:rPr>
        <w:t>17.磋商办法。本项目磋商办法是：综合评分法（其中报价分为两轮），具体磋商内容及评分标准等详见《第四章：磋商办法及评分标准》。</w:t>
      </w:r>
    </w:p>
    <w:p>
      <w:pPr>
        <w:spacing w:line="360" w:lineRule="auto"/>
        <w:rPr>
          <w:rFonts w:ascii="宋体" w:hAnsi="宋体" w:cs="宋体"/>
          <w:b/>
          <w:color w:val="auto"/>
          <w:sz w:val="24"/>
          <w:highlight w:val="none"/>
        </w:rPr>
      </w:pPr>
      <w:r>
        <w:rPr>
          <w:rFonts w:hint="eastAsia" w:ascii="宋体" w:hAnsi="宋体" w:cs="宋体"/>
          <w:b/>
          <w:color w:val="auto"/>
          <w:sz w:val="24"/>
          <w:highlight w:val="none"/>
        </w:rPr>
        <w:t>（七）</w:t>
      </w:r>
      <w:r>
        <w:rPr>
          <w:rFonts w:hint="eastAsia" w:ascii="宋体" w:hAnsi="宋体" w:cs="宋体"/>
          <w:b/>
          <w:bCs/>
          <w:color w:val="auto"/>
          <w:sz w:val="24"/>
          <w:highlight w:val="none"/>
        </w:rPr>
        <w:t>磋商</w:t>
      </w:r>
      <w:r>
        <w:rPr>
          <w:rFonts w:hint="eastAsia" w:ascii="宋体" w:hAnsi="宋体" w:cs="宋体"/>
          <w:b/>
          <w:color w:val="auto"/>
          <w:sz w:val="24"/>
          <w:highlight w:val="none"/>
        </w:rPr>
        <w:t>过程的监控</w:t>
      </w:r>
    </w:p>
    <w:p>
      <w:pPr>
        <w:spacing w:line="360" w:lineRule="auto"/>
        <w:ind w:firstLine="120" w:firstLineChars="50"/>
        <w:rPr>
          <w:rFonts w:ascii="宋体" w:hAnsi="宋体" w:cs="宋体"/>
          <w:color w:val="auto"/>
          <w:sz w:val="24"/>
          <w:highlight w:val="none"/>
        </w:rPr>
      </w:pPr>
      <w:r>
        <w:rPr>
          <w:rFonts w:hint="eastAsia" w:ascii="宋体" w:hAnsi="宋体" w:cs="宋体"/>
          <w:color w:val="auto"/>
          <w:sz w:val="24"/>
          <w:highlight w:val="none"/>
        </w:rPr>
        <w:t>本项目磋商过程实行全程录音、录像监控，供应商在磋商过程中所进行的试图影响磋商结果的不公正活动，可能导致其磋商被拒绝。</w:t>
      </w:r>
    </w:p>
    <w:p>
      <w:pPr>
        <w:spacing w:line="360" w:lineRule="auto"/>
        <w:rPr>
          <w:rFonts w:ascii="宋体" w:hAnsi="宋体" w:cs="宋体"/>
          <w:b/>
          <w:color w:val="auto"/>
          <w:sz w:val="24"/>
          <w:highlight w:val="none"/>
        </w:rPr>
      </w:pPr>
      <w:r>
        <w:rPr>
          <w:rFonts w:hint="eastAsia" w:ascii="宋体" w:hAnsi="宋体" w:cs="宋体"/>
          <w:b/>
          <w:color w:val="auto"/>
          <w:sz w:val="24"/>
          <w:highlight w:val="none"/>
        </w:rPr>
        <w:t>（八）其他</w:t>
      </w:r>
    </w:p>
    <w:p>
      <w:pPr>
        <w:spacing w:line="360" w:lineRule="auto"/>
        <w:ind w:firstLine="470" w:firstLineChars="196"/>
        <w:rPr>
          <w:rFonts w:ascii="宋体" w:hAnsi="宋体" w:cs="宋体"/>
          <w:color w:val="auto"/>
          <w:sz w:val="24"/>
          <w:highlight w:val="none"/>
        </w:rPr>
      </w:pPr>
      <w:r>
        <w:rPr>
          <w:rFonts w:hint="eastAsia" w:ascii="宋体" w:hAnsi="宋体" w:cs="宋体"/>
          <w:color w:val="auto"/>
          <w:sz w:val="24"/>
          <w:highlight w:val="none"/>
        </w:rPr>
        <w:t>采购过程中出现以下情形，导致电子交易平台无法正常运行，或者无法保证电子交易的公平、公正和安全时，采购组织机构可中止电子交易活动：</w:t>
      </w:r>
    </w:p>
    <w:p>
      <w:pPr>
        <w:spacing w:line="400" w:lineRule="exact"/>
        <w:ind w:firstLine="352" w:firstLineChars="147"/>
        <w:rPr>
          <w:rFonts w:ascii="宋体" w:hAnsi="宋体" w:cs="宋体"/>
          <w:color w:val="auto"/>
          <w:sz w:val="24"/>
          <w:highlight w:val="none"/>
        </w:rPr>
      </w:pPr>
      <w:r>
        <w:rPr>
          <w:rFonts w:hint="eastAsia" w:ascii="宋体" w:hAnsi="宋体" w:cs="宋体"/>
          <w:color w:val="auto"/>
          <w:sz w:val="24"/>
          <w:highlight w:val="none"/>
        </w:rPr>
        <w:t>1、电子交易平台发生故障而无法登录访问的；</w:t>
      </w:r>
    </w:p>
    <w:p>
      <w:pPr>
        <w:spacing w:line="400" w:lineRule="exact"/>
        <w:ind w:firstLine="352" w:firstLineChars="147"/>
        <w:rPr>
          <w:rFonts w:ascii="宋体" w:hAnsi="宋体" w:cs="宋体"/>
          <w:color w:val="auto"/>
          <w:sz w:val="24"/>
          <w:highlight w:val="none"/>
        </w:rPr>
      </w:pPr>
      <w:r>
        <w:rPr>
          <w:rFonts w:hint="eastAsia" w:ascii="宋体" w:hAnsi="宋体" w:cs="宋体"/>
          <w:color w:val="auto"/>
          <w:sz w:val="24"/>
          <w:highlight w:val="none"/>
        </w:rPr>
        <w:t>2、电子交易平台应用或数据库出现错误，不能进行正常操作的；</w:t>
      </w:r>
    </w:p>
    <w:p>
      <w:pPr>
        <w:spacing w:line="400" w:lineRule="exact"/>
        <w:ind w:firstLine="352" w:firstLineChars="147"/>
        <w:rPr>
          <w:rFonts w:ascii="宋体" w:hAnsi="宋体" w:cs="宋体"/>
          <w:color w:val="auto"/>
          <w:sz w:val="24"/>
          <w:highlight w:val="none"/>
        </w:rPr>
      </w:pPr>
      <w:r>
        <w:rPr>
          <w:rFonts w:hint="eastAsia" w:ascii="宋体" w:hAnsi="宋体" w:cs="宋体"/>
          <w:color w:val="auto"/>
          <w:sz w:val="24"/>
          <w:highlight w:val="none"/>
        </w:rPr>
        <w:t>3、电子交易平台发现严重安全漏洞，有潜在泄密危险的；</w:t>
      </w:r>
    </w:p>
    <w:p>
      <w:pPr>
        <w:spacing w:line="400" w:lineRule="exact"/>
        <w:ind w:firstLine="352" w:firstLineChars="147"/>
        <w:rPr>
          <w:rFonts w:ascii="宋体" w:hAnsi="宋体" w:cs="宋体"/>
          <w:color w:val="auto"/>
          <w:sz w:val="24"/>
          <w:highlight w:val="none"/>
        </w:rPr>
      </w:pPr>
      <w:r>
        <w:rPr>
          <w:rFonts w:hint="eastAsia" w:ascii="宋体" w:hAnsi="宋体" w:cs="宋体"/>
          <w:color w:val="auto"/>
          <w:sz w:val="24"/>
          <w:highlight w:val="none"/>
        </w:rPr>
        <w:t>4、病毒发作导致不能进行正常操作的；</w:t>
      </w:r>
    </w:p>
    <w:p>
      <w:pPr>
        <w:spacing w:line="400" w:lineRule="exact"/>
        <w:ind w:firstLine="352" w:firstLineChars="147"/>
        <w:rPr>
          <w:rFonts w:ascii="宋体" w:hAnsi="宋体" w:cs="宋体"/>
          <w:color w:val="auto"/>
          <w:sz w:val="24"/>
          <w:highlight w:val="none"/>
        </w:rPr>
      </w:pPr>
      <w:r>
        <w:rPr>
          <w:rFonts w:hint="eastAsia" w:ascii="宋体" w:hAnsi="宋体" w:cs="宋体"/>
          <w:color w:val="auto"/>
          <w:sz w:val="24"/>
          <w:highlight w:val="none"/>
        </w:rPr>
        <w:t>5、其他无法保证电子交易的公平、公正和安全的情况。</w:t>
      </w:r>
    </w:p>
    <w:p>
      <w:pPr>
        <w:spacing w:line="400" w:lineRule="exact"/>
        <w:ind w:firstLine="352" w:firstLineChars="147"/>
        <w:rPr>
          <w:rFonts w:ascii="宋体" w:hAnsi="宋体" w:cs="宋体"/>
          <w:color w:val="auto"/>
          <w:sz w:val="24"/>
          <w:highlight w:val="none"/>
        </w:rPr>
      </w:pPr>
      <w:r>
        <w:rPr>
          <w:rFonts w:hint="eastAsia" w:ascii="宋体" w:hAnsi="宋体" w:cs="宋体"/>
          <w:color w:val="auto"/>
          <w:sz w:val="24"/>
          <w:highlight w:val="none"/>
        </w:rPr>
        <w:t>出现前款规定情形，不影响采购公平、公正性的，采购组织机构可以待上述情形消除后继续组织电子交易活动；影响或可能影响采购公平、公正性的，应当重新采购。</w:t>
      </w:r>
    </w:p>
    <w:p>
      <w:pPr>
        <w:spacing w:line="400" w:lineRule="exact"/>
        <w:ind w:firstLine="352" w:firstLineChars="147"/>
        <w:rPr>
          <w:rFonts w:ascii="宋体" w:hAnsi="宋体" w:cs="宋体"/>
          <w:color w:val="auto"/>
          <w:sz w:val="24"/>
          <w:highlight w:val="none"/>
        </w:rPr>
      </w:pPr>
      <w:r>
        <w:rPr>
          <w:rFonts w:hint="eastAsia" w:ascii="宋体" w:hAnsi="宋体" w:cs="宋体"/>
          <w:color w:val="auto"/>
          <w:sz w:val="24"/>
          <w:highlight w:val="none"/>
        </w:rPr>
        <w:t>6、投标截止时间后及评审过程中，有效供应商不足2家的项目，则予以废标。</w:t>
      </w:r>
    </w:p>
    <w:p>
      <w:pPr>
        <w:pStyle w:val="6"/>
        <w:keepNext w:val="0"/>
        <w:keepLines w:val="0"/>
        <w:pageBreakBefore/>
        <w:spacing w:line="360" w:lineRule="auto"/>
        <w:jc w:val="center"/>
        <w:rPr>
          <w:rFonts w:ascii="宋体" w:hAnsi="宋体" w:eastAsia="宋体" w:cs="宋体"/>
          <w:color w:val="auto"/>
          <w:sz w:val="24"/>
          <w:szCs w:val="24"/>
          <w:highlight w:val="none"/>
        </w:rPr>
      </w:pPr>
      <w:bookmarkStart w:id="25" w:name="_Toc458697272"/>
      <w:bookmarkStart w:id="26" w:name="_Toc20040"/>
      <w:r>
        <w:rPr>
          <w:rFonts w:hint="eastAsia" w:ascii="宋体" w:hAnsi="宋体" w:eastAsia="宋体" w:cs="宋体"/>
          <w:color w:val="auto"/>
          <w:sz w:val="24"/>
          <w:szCs w:val="24"/>
          <w:highlight w:val="none"/>
        </w:rPr>
        <w:t>六、定标</w:t>
      </w:r>
      <w:bookmarkEnd w:id="25"/>
      <w:bookmarkEnd w:id="26"/>
    </w:p>
    <w:p>
      <w:pPr>
        <w:spacing w:line="360" w:lineRule="auto"/>
        <w:rPr>
          <w:rFonts w:ascii="宋体" w:hAnsi="宋体" w:cs="宋体"/>
          <w:color w:val="auto"/>
          <w:sz w:val="24"/>
          <w:highlight w:val="none"/>
        </w:rPr>
      </w:pPr>
      <w:r>
        <w:rPr>
          <w:rFonts w:hint="eastAsia" w:ascii="宋体" w:hAnsi="宋体" w:cs="宋体"/>
          <w:color w:val="auto"/>
          <w:sz w:val="24"/>
          <w:highlight w:val="none"/>
        </w:rPr>
        <w:t>（一）确定中标人 。</w:t>
      </w:r>
      <w:r>
        <w:rPr>
          <w:rFonts w:hint="eastAsia" w:ascii="宋体" w:hAnsi="宋体" w:cs="宋体"/>
          <w:b/>
          <w:bCs/>
          <w:color w:val="auto"/>
          <w:sz w:val="24"/>
          <w:highlight w:val="none"/>
        </w:rPr>
        <w:t>本项目由采购人授权磋商小组确定中标人。</w:t>
      </w:r>
    </w:p>
    <w:p>
      <w:pPr>
        <w:spacing w:line="360" w:lineRule="auto"/>
        <w:rPr>
          <w:rFonts w:ascii="宋体" w:hAnsi="宋体" w:cs="宋体"/>
          <w:color w:val="auto"/>
          <w:sz w:val="24"/>
          <w:highlight w:val="none"/>
        </w:rPr>
      </w:pPr>
      <w:r>
        <w:rPr>
          <w:rFonts w:hint="eastAsia" w:ascii="宋体" w:hAnsi="宋体" w:cs="宋体"/>
          <w:color w:val="auto"/>
          <w:sz w:val="24"/>
          <w:highlight w:val="none"/>
        </w:rPr>
        <w:t>1.招标方在磋商结束后2个工作日内将磋商报告交采购人确认。</w:t>
      </w:r>
    </w:p>
    <w:p>
      <w:pPr>
        <w:spacing w:line="360" w:lineRule="auto"/>
        <w:rPr>
          <w:rFonts w:ascii="宋体" w:hAnsi="宋体" w:cs="宋体"/>
          <w:color w:val="auto"/>
          <w:sz w:val="24"/>
          <w:highlight w:val="none"/>
        </w:rPr>
      </w:pPr>
      <w:r>
        <w:rPr>
          <w:rFonts w:hint="eastAsia" w:ascii="宋体" w:hAnsi="宋体" w:cs="宋体"/>
          <w:color w:val="auto"/>
          <w:sz w:val="24"/>
          <w:highlight w:val="none"/>
        </w:rPr>
        <w:t>2.采购人应在收到磋商报告后5个工作日内对磋商结果进行确认。如有供应商对磋商结果提出质疑的，采购人可在质疑处理完毕后确定中标人。</w:t>
      </w:r>
    </w:p>
    <w:p>
      <w:pPr>
        <w:spacing w:line="360" w:lineRule="auto"/>
        <w:rPr>
          <w:rFonts w:ascii="宋体" w:hAnsi="宋体" w:cs="宋体"/>
          <w:color w:val="auto"/>
          <w:sz w:val="24"/>
          <w:highlight w:val="none"/>
        </w:rPr>
      </w:pPr>
      <w:r>
        <w:rPr>
          <w:rFonts w:hint="eastAsia" w:ascii="宋体" w:hAnsi="宋体" w:cs="宋体"/>
          <w:color w:val="auto"/>
          <w:sz w:val="24"/>
          <w:highlight w:val="none"/>
        </w:rPr>
        <w:t>3.采购人依法确定中标人后2个工作日内，招标方以书面形式发出《中标通知书》,并同时在相关网站上发布中标公告。</w:t>
      </w:r>
    </w:p>
    <w:p>
      <w:pPr>
        <w:spacing w:line="360" w:lineRule="auto"/>
        <w:rPr>
          <w:rFonts w:ascii="宋体" w:hAnsi="宋体" w:cs="宋体"/>
          <w:color w:val="auto"/>
          <w:sz w:val="24"/>
          <w:highlight w:val="none"/>
        </w:rPr>
      </w:pPr>
      <w:r>
        <w:rPr>
          <w:rFonts w:hint="eastAsia" w:ascii="宋体" w:hAnsi="宋体" w:cs="宋体"/>
          <w:color w:val="auto"/>
          <w:sz w:val="24"/>
          <w:highlight w:val="none"/>
        </w:rPr>
        <w:t>4. 确定中标人后，中标人应在三个工作日内，向招标方领取《中标通知书》，否则按放弃中标资格处理，并因违反诚信原则，提交财政部门列入政府采购黑名单。</w:t>
      </w:r>
    </w:p>
    <w:p>
      <w:pPr>
        <w:pStyle w:val="6"/>
        <w:keepNext w:val="0"/>
        <w:keepLines w:val="0"/>
        <w:pageBreakBefore/>
        <w:spacing w:line="360" w:lineRule="auto"/>
        <w:jc w:val="center"/>
        <w:rPr>
          <w:rFonts w:ascii="宋体" w:hAnsi="宋体" w:eastAsia="宋体" w:cs="宋体"/>
          <w:color w:val="auto"/>
          <w:sz w:val="24"/>
          <w:szCs w:val="24"/>
          <w:highlight w:val="none"/>
        </w:rPr>
      </w:pPr>
      <w:bookmarkStart w:id="27" w:name="_Toc22523"/>
      <w:bookmarkStart w:id="28" w:name="_Toc458697273"/>
      <w:r>
        <w:rPr>
          <w:rFonts w:hint="eastAsia" w:ascii="宋体" w:hAnsi="宋体" w:eastAsia="宋体" w:cs="宋体"/>
          <w:color w:val="auto"/>
          <w:sz w:val="24"/>
          <w:szCs w:val="24"/>
          <w:highlight w:val="none"/>
        </w:rPr>
        <w:t>七、合同授予</w:t>
      </w:r>
      <w:bookmarkEnd w:id="27"/>
      <w:bookmarkEnd w:id="28"/>
    </w:p>
    <w:p>
      <w:pPr>
        <w:spacing w:line="360" w:lineRule="auto"/>
        <w:rPr>
          <w:rFonts w:ascii="宋体" w:hAnsi="宋体" w:cs="宋体"/>
          <w:b/>
          <w:color w:val="auto"/>
          <w:sz w:val="24"/>
          <w:highlight w:val="none"/>
        </w:rPr>
      </w:pPr>
      <w:r>
        <w:rPr>
          <w:rFonts w:hint="eastAsia" w:ascii="宋体" w:hAnsi="宋体" w:cs="宋体"/>
          <w:b/>
          <w:color w:val="auto"/>
          <w:sz w:val="24"/>
          <w:highlight w:val="none"/>
        </w:rPr>
        <w:t>（一）签订合同</w:t>
      </w:r>
    </w:p>
    <w:p>
      <w:pPr>
        <w:spacing w:line="360" w:lineRule="auto"/>
        <w:rPr>
          <w:rFonts w:ascii="宋体" w:hAnsi="宋体" w:cs="宋体"/>
          <w:color w:val="auto"/>
          <w:sz w:val="24"/>
          <w:highlight w:val="none"/>
        </w:rPr>
      </w:pPr>
      <w:r>
        <w:rPr>
          <w:rFonts w:hint="eastAsia" w:ascii="宋体" w:hAnsi="宋体" w:cs="宋体"/>
          <w:color w:val="auto"/>
          <w:sz w:val="24"/>
          <w:highlight w:val="none"/>
        </w:rPr>
        <w:t>1.除不可抗力等特殊情况外，采购人原则上应当在中标通知书发出之日起20日内，与成交人按照采购文件确定的事项签订政府采购合同，并在签订之日起2个工作日内将政府采购合同在浙江政府采购网上公告。</w:t>
      </w:r>
    </w:p>
    <w:p>
      <w:pPr>
        <w:spacing w:line="360" w:lineRule="auto"/>
        <w:rPr>
          <w:rFonts w:ascii="宋体" w:hAnsi="宋体" w:cs="宋体"/>
          <w:color w:val="auto"/>
          <w:sz w:val="24"/>
          <w:highlight w:val="none"/>
        </w:rPr>
      </w:pPr>
      <w:r>
        <w:rPr>
          <w:rFonts w:hint="eastAsia" w:ascii="宋体" w:hAnsi="宋体" w:cs="宋体"/>
          <w:color w:val="auto"/>
          <w:sz w:val="24"/>
          <w:highlight w:val="none"/>
        </w:rPr>
        <w:t>2.成交人按规定的日期、时间、地点，由法定代表人或其授权代表与采购人代表签订合同。如成交人为联合体的，由联合体成员各方法定代表人或其授权代表与采购人代表签订合同。</w:t>
      </w:r>
    </w:p>
    <w:p>
      <w:pPr>
        <w:spacing w:line="360" w:lineRule="auto"/>
        <w:rPr>
          <w:rFonts w:ascii="宋体" w:hAnsi="宋体" w:cs="宋体"/>
          <w:color w:val="auto"/>
          <w:sz w:val="24"/>
          <w:highlight w:val="none"/>
        </w:rPr>
      </w:pPr>
      <w:r>
        <w:rPr>
          <w:rFonts w:hint="eastAsia" w:ascii="宋体" w:hAnsi="宋体" w:cs="宋体"/>
          <w:color w:val="auto"/>
          <w:sz w:val="24"/>
          <w:highlight w:val="none"/>
        </w:rPr>
        <w:t>3.如签订合同并生效后，供应商无故拒绝或延期，除按照合同条款处理外，列入不良行为记录一次，并给予通报。</w:t>
      </w:r>
    </w:p>
    <w:p>
      <w:pPr>
        <w:spacing w:line="360" w:lineRule="auto"/>
        <w:rPr>
          <w:rFonts w:ascii="宋体" w:hAnsi="宋体" w:cs="宋体"/>
          <w:color w:val="auto"/>
          <w:sz w:val="24"/>
          <w:highlight w:val="none"/>
        </w:rPr>
      </w:pPr>
      <w:r>
        <w:rPr>
          <w:rFonts w:hint="eastAsia" w:ascii="宋体" w:hAnsi="宋体" w:cs="宋体"/>
          <w:color w:val="auto"/>
          <w:sz w:val="24"/>
          <w:highlight w:val="none"/>
        </w:rPr>
        <w:t>4.成交人拒绝与采购人签订合同的，采购人可以按照评审报告推荐的中标或者成交候选人名单排序，确定下一候选人为成交人，也可以重新开展政府采购活动。</w:t>
      </w:r>
    </w:p>
    <w:p>
      <w:pPr>
        <w:spacing w:line="360" w:lineRule="auto"/>
        <w:rPr>
          <w:rFonts w:ascii="宋体" w:hAnsi="宋体" w:cs="宋体"/>
          <w:color w:val="auto"/>
          <w:sz w:val="24"/>
          <w:highlight w:val="none"/>
        </w:rPr>
      </w:pPr>
      <w:r>
        <w:rPr>
          <w:rFonts w:hint="eastAsia" w:ascii="宋体" w:hAnsi="宋体" w:cs="宋体"/>
          <w:color w:val="auto"/>
          <w:sz w:val="24"/>
          <w:highlight w:val="none"/>
        </w:rPr>
        <w:t>5.采购人与成交人根据采购文件、磋商响应文件等内容签订政府采购合同，合同签订后送东阳市财政局采监科备案。</w:t>
      </w:r>
    </w:p>
    <w:p>
      <w:pPr>
        <w:spacing w:line="360" w:lineRule="auto"/>
        <w:rPr>
          <w:rFonts w:hint="eastAsia" w:ascii="宋体" w:hAnsi="宋体" w:cs="宋体"/>
          <w:bCs/>
          <w:color w:val="auto"/>
          <w:sz w:val="24"/>
          <w:highlight w:val="none"/>
        </w:rPr>
      </w:pPr>
      <w:r>
        <w:rPr>
          <w:rFonts w:hint="eastAsia" w:ascii="宋体" w:hAnsi="宋体" w:cs="宋体"/>
          <w:bCs/>
          <w:color w:val="auto"/>
          <w:sz w:val="24"/>
          <w:highlight w:val="none"/>
        </w:rPr>
        <w:t>6.政府采购货物和服务项目不得收取质量保证金。政府采购工程以及与工程建设有关的货物、服务，采用招标方式采购的，按国家和省有关规定执行。</w:t>
      </w:r>
    </w:p>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（二）履约保证金</w:t>
      </w:r>
    </w:p>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cs="宋体"/>
          <w:color w:val="auto"/>
          <w:sz w:val="24"/>
          <w:highlight w:val="none"/>
          <w:lang w:eastAsia="zh-CN"/>
        </w:rPr>
      </w:pPr>
      <w:r>
        <w:rPr>
          <w:rFonts w:hint="eastAsia" w:ascii="宋体" w:hAnsi="宋体" w:eastAsia="宋体" w:cs="宋体"/>
          <w:color w:val="auto"/>
          <w:sz w:val="24"/>
          <w:highlight w:val="none"/>
        </w:rPr>
        <w:t>1</w:t>
      </w:r>
      <w:r>
        <w:rPr>
          <w:rFonts w:hint="eastAsia" w:ascii="宋体" w:hAnsi="宋体" w:cs="宋体"/>
          <w:color w:val="auto"/>
          <w:sz w:val="24"/>
          <w:highlight w:val="none"/>
          <w:lang w:val="en-US" w:eastAsia="zh-CN"/>
        </w:rPr>
        <w:t>.</w:t>
      </w:r>
      <w:r>
        <w:rPr>
          <w:rFonts w:hint="eastAsia" w:ascii="宋体" w:hAnsi="宋体" w:cs="宋体"/>
          <w:color w:val="auto"/>
          <w:sz w:val="24"/>
          <w:highlight w:val="none"/>
        </w:rPr>
        <w:t>中标人在收到中标通知书后，需向采购人提供</w:t>
      </w:r>
      <w:r>
        <w:rPr>
          <w:rFonts w:hint="eastAsia" w:ascii="宋体" w:hAnsi="宋体" w:cs="宋体"/>
          <w:color w:val="auto"/>
          <w:sz w:val="24"/>
          <w:highlight w:val="none"/>
          <w:lang w:val="en-US" w:eastAsia="zh-CN"/>
        </w:rPr>
        <w:t>中标价的1</w:t>
      </w:r>
      <w:r>
        <w:rPr>
          <w:rFonts w:hint="eastAsia" w:ascii="宋体" w:hAnsi="宋体" w:eastAsia="宋体" w:cs="宋体"/>
          <w:color w:val="auto"/>
          <w:sz w:val="24"/>
          <w:highlight w:val="none"/>
        </w:rPr>
        <w:t>%</w:t>
      </w:r>
      <w:r>
        <w:rPr>
          <w:rFonts w:hint="eastAsia" w:ascii="宋体" w:hAnsi="宋体" w:cs="宋体"/>
          <w:color w:val="auto"/>
          <w:sz w:val="24"/>
          <w:highlight w:val="none"/>
        </w:rPr>
        <w:t>的履约保证金，在中标人与采购人签订合同前递交，投标人需以支票、汇票、本票或者金融机构、保险公司、担保机构出具的保函/保险（可在政采云平台购买，咨询热线4009039583）等非现金形式提交（保函期限应大于履约期限2个月）</w:t>
      </w:r>
      <w:r>
        <w:rPr>
          <w:rFonts w:hint="eastAsia" w:ascii="宋体" w:hAnsi="宋体" w:cs="宋体"/>
          <w:color w:val="auto"/>
          <w:sz w:val="24"/>
          <w:highlight w:val="none"/>
          <w:lang w:eastAsia="zh-CN"/>
        </w:rPr>
        <w:t>。</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color w:val="auto"/>
          <w:highlight w:val="none"/>
          <w:lang w:eastAsia="zh-CN"/>
        </w:rPr>
      </w:pPr>
      <w:r>
        <w:rPr>
          <w:rFonts w:hint="eastAsia" w:ascii="宋体" w:hAnsi="宋体" w:cs="宋体"/>
          <w:color w:val="auto"/>
          <w:sz w:val="24"/>
          <w:highlight w:val="none"/>
          <w:lang w:val="en-US" w:eastAsia="zh-CN"/>
        </w:rPr>
        <w:t>中标人也</w:t>
      </w:r>
      <w:r>
        <w:rPr>
          <w:rFonts w:hint="eastAsia" w:ascii="宋体" w:hAnsi="宋体" w:cs="宋体"/>
          <w:color w:val="auto"/>
          <w:sz w:val="24"/>
          <w:highlight w:val="none"/>
        </w:rPr>
        <w:t>可登录政采云平台-【金融服务】—【我的项目】—【已备案合同】以保函形式提供：</w:t>
      </w:r>
      <w:r>
        <w:rPr>
          <w:rFonts w:hint="eastAsia" w:ascii="宋体" w:hAnsi="宋体" w:cs="宋体"/>
          <w:color w:val="auto"/>
          <w:sz w:val="24"/>
          <w:highlight w:val="none"/>
          <w:lang w:eastAsia="zh-CN"/>
        </w:rPr>
        <w:t>（</w:t>
      </w:r>
      <w:r>
        <w:rPr>
          <w:rFonts w:hint="eastAsia" w:ascii="宋体" w:hAnsi="宋体" w:cs="宋体"/>
          <w:color w:val="auto"/>
          <w:sz w:val="24"/>
          <w:highlight w:val="none"/>
          <w:lang w:val="en-US" w:eastAsia="zh-CN"/>
        </w:rPr>
        <w:t>1</w:t>
      </w:r>
      <w:r>
        <w:rPr>
          <w:rFonts w:hint="eastAsia" w:ascii="宋体" w:hAnsi="宋体" w:cs="宋体"/>
          <w:color w:val="auto"/>
          <w:sz w:val="24"/>
          <w:highlight w:val="none"/>
          <w:lang w:eastAsia="zh-CN"/>
        </w:rPr>
        <w:t>）</w:t>
      </w:r>
      <w:r>
        <w:rPr>
          <w:rFonts w:hint="eastAsia" w:ascii="宋体" w:hAnsi="宋体" w:cs="宋体"/>
          <w:color w:val="auto"/>
          <w:sz w:val="24"/>
          <w:highlight w:val="none"/>
          <w:lang w:val="en-US" w:eastAsia="zh-CN"/>
        </w:rPr>
        <w:t>中标人</w:t>
      </w:r>
      <w:r>
        <w:rPr>
          <w:rFonts w:hint="eastAsia" w:ascii="宋体" w:hAnsi="宋体" w:cs="宋体"/>
          <w:color w:val="auto"/>
          <w:sz w:val="24"/>
          <w:highlight w:val="none"/>
        </w:rPr>
        <w:t>在合同列表选择需要投保的合同，点击[保函推荐]。</w:t>
      </w:r>
      <w:r>
        <w:rPr>
          <w:rFonts w:hint="eastAsia" w:ascii="宋体" w:hAnsi="宋体" w:cs="宋体"/>
          <w:color w:val="auto"/>
          <w:sz w:val="24"/>
          <w:highlight w:val="none"/>
          <w:lang w:eastAsia="zh-CN"/>
        </w:rPr>
        <w:t>（</w:t>
      </w:r>
      <w:r>
        <w:rPr>
          <w:rFonts w:hint="eastAsia" w:ascii="宋体" w:hAnsi="宋体" w:cs="宋体"/>
          <w:color w:val="auto"/>
          <w:sz w:val="24"/>
          <w:highlight w:val="none"/>
          <w:lang w:val="en-US" w:eastAsia="zh-CN"/>
        </w:rPr>
        <w:t>2</w:t>
      </w:r>
      <w:r>
        <w:rPr>
          <w:rFonts w:hint="eastAsia" w:ascii="宋体" w:hAnsi="宋体" w:cs="宋体"/>
          <w:color w:val="auto"/>
          <w:sz w:val="24"/>
          <w:highlight w:val="none"/>
          <w:lang w:eastAsia="zh-CN"/>
        </w:rPr>
        <w:t>）</w:t>
      </w:r>
      <w:r>
        <w:rPr>
          <w:rFonts w:hint="eastAsia" w:ascii="宋体" w:hAnsi="宋体" w:cs="宋体"/>
          <w:color w:val="auto"/>
          <w:sz w:val="24"/>
          <w:highlight w:val="none"/>
        </w:rPr>
        <w:t>在弹框里查看推荐的保函产品，</w:t>
      </w:r>
      <w:r>
        <w:rPr>
          <w:rFonts w:hint="eastAsia" w:ascii="宋体" w:hAnsi="宋体" w:cs="宋体"/>
          <w:color w:val="auto"/>
          <w:sz w:val="24"/>
          <w:highlight w:val="none"/>
          <w:lang w:val="en-US" w:eastAsia="zh-CN"/>
        </w:rPr>
        <w:t>中标人</w:t>
      </w:r>
      <w:r>
        <w:rPr>
          <w:rFonts w:hint="eastAsia" w:ascii="宋体" w:hAnsi="宋体" w:cs="宋体"/>
          <w:color w:val="auto"/>
          <w:sz w:val="24"/>
          <w:highlight w:val="none"/>
        </w:rPr>
        <w:t>自行选择保函产品，点击[立即申请]。</w:t>
      </w:r>
      <w:r>
        <w:rPr>
          <w:rFonts w:hint="eastAsia" w:ascii="宋体" w:hAnsi="宋体" w:cs="宋体"/>
          <w:color w:val="auto"/>
          <w:sz w:val="24"/>
          <w:highlight w:val="none"/>
          <w:lang w:eastAsia="zh-CN"/>
        </w:rPr>
        <w:t>（</w:t>
      </w:r>
      <w:r>
        <w:rPr>
          <w:rFonts w:hint="eastAsia" w:ascii="宋体" w:hAnsi="宋体" w:cs="宋体"/>
          <w:color w:val="auto"/>
          <w:sz w:val="24"/>
          <w:highlight w:val="none"/>
          <w:lang w:val="en-US" w:eastAsia="zh-CN"/>
        </w:rPr>
        <w:t>3</w:t>
      </w:r>
      <w:r>
        <w:rPr>
          <w:rFonts w:hint="eastAsia" w:ascii="宋体" w:hAnsi="宋体" w:cs="宋体"/>
          <w:color w:val="auto"/>
          <w:sz w:val="24"/>
          <w:highlight w:val="none"/>
          <w:lang w:eastAsia="zh-CN"/>
        </w:rPr>
        <w:t>）</w:t>
      </w:r>
      <w:r>
        <w:rPr>
          <w:rFonts w:hint="eastAsia" w:ascii="宋体" w:hAnsi="宋体" w:cs="宋体"/>
          <w:color w:val="auto"/>
          <w:sz w:val="24"/>
          <w:highlight w:val="none"/>
        </w:rPr>
        <w:t>在弹框里填写保函申请信息。具体步骤：选择产品—填写供应商信息—选择中标项目—确认信息—等待保险/保函受理—确认保单—支付保费—成功出单。政采云金融专线400-903-9583。</w:t>
      </w:r>
    </w:p>
    <w:p>
      <w:pPr>
        <w:keepNext w:val="0"/>
        <w:keepLines w:val="0"/>
        <w:pageBreakBefore w:val="0"/>
        <w:widowControl w:val="0"/>
        <w:kinsoku/>
        <w:wordWrap/>
        <w:overflowPunct/>
        <w:topLinePunct w:val="0"/>
        <w:autoSpaceDE/>
        <w:autoSpaceDN/>
        <w:bidi w:val="0"/>
        <w:adjustRightInd/>
        <w:snapToGrid/>
        <w:spacing w:line="440" w:lineRule="exact"/>
        <w:textAlignment w:val="auto"/>
        <w:rPr>
          <w:color w:val="auto"/>
          <w:highlight w:val="none"/>
        </w:rPr>
      </w:pPr>
      <w:r>
        <w:rPr>
          <w:rFonts w:hint="eastAsia" w:ascii="宋体" w:hAnsi="宋体" w:eastAsia="宋体" w:cs="宋体"/>
          <w:color w:val="auto"/>
          <w:sz w:val="24"/>
          <w:highlight w:val="none"/>
        </w:rPr>
        <w:t>2.签订合同后，如中标人不按双方合同约定履约，则没收其全部履约保证金，履约保证金不足以赔偿损失的，按实际损失赔偿。</w:t>
      </w:r>
    </w:p>
    <w:p>
      <w:pPr>
        <w:pStyle w:val="22"/>
        <w:pageBreakBefore/>
        <w:snapToGrid w:val="0"/>
        <w:spacing w:before="120" w:after="120" w:line="360" w:lineRule="auto"/>
        <w:jc w:val="center"/>
        <w:outlineLvl w:val="0"/>
        <w:rPr>
          <w:rFonts w:ascii="宋体" w:hAnsi="宋体" w:cs="宋体"/>
          <w:b/>
          <w:color w:val="auto"/>
          <w:szCs w:val="24"/>
          <w:highlight w:val="none"/>
        </w:rPr>
      </w:pPr>
      <w:bookmarkStart w:id="29" w:name="_Toc31805"/>
      <w:r>
        <w:rPr>
          <w:rFonts w:hint="eastAsia" w:ascii="宋体" w:hAnsi="宋体" w:cs="宋体"/>
          <w:b/>
          <w:color w:val="auto"/>
          <w:szCs w:val="24"/>
          <w:highlight w:val="none"/>
        </w:rPr>
        <w:t>第四章  磋商办法及评分标准</w:t>
      </w:r>
      <w:bookmarkEnd w:id="29"/>
    </w:p>
    <w:p>
      <w:pPr>
        <w:spacing w:line="54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为公正、公平、科学地选择中标人，根据《中华人民共和国政府采购法》等有关法律法规的规定，并结合本项目的实际，制定本办法。</w:t>
      </w:r>
    </w:p>
    <w:p>
      <w:pPr>
        <w:spacing w:line="54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本办法适用于</w:t>
      </w:r>
      <w:r>
        <w:rPr>
          <w:rFonts w:hint="eastAsia" w:ascii="宋体" w:hAnsi="宋体" w:cs="宋体"/>
          <w:color w:val="auto"/>
          <w:sz w:val="24"/>
          <w:highlight w:val="none"/>
          <w:lang w:eastAsia="zh-CN"/>
        </w:rPr>
        <w:t xml:space="preserve">三单乡三单村一事一议财政奖补支持打造共富乡村试点项目软装工程 </w:t>
      </w:r>
      <w:r>
        <w:rPr>
          <w:rFonts w:hint="eastAsia" w:ascii="宋体" w:hAnsi="宋体" w:cs="宋体"/>
          <w:color w:val="auto"/>
          <w:sz w:val="24"/>
          <w:highlight w:val="none"/>
        </w:rPr>
        <w:t>的磋商。</w:t>
      </w:r>
    </w:p>
    <w:p>
      <w:pPr>
        <w:spacing w:line="540" w:lineRule="exact"/>
        <w:rPr>
          <w:rFonts w:ascii="宋体" w:hAnsi="宋体" w:cs="宋体"/>
          <w:b/>
          <w:color w:val="auto"/>
          <w:sz w:val="24"/>
          <w:highlight w:val="none"/>
        </w:rPr>
      </w:pPr>
      <w:bookmarkStart w:id="30" w:name="_Toc12525"/>
      <w:bookmarkStart w:id="31" w:name="_Toc452728219"/>
      <w:bookmarkStart w:id="32" w:name="_Toc26574"/>
      <w:bookmarkStart w:id="33" w:name="_Toc31315"/>
      <w:r>
        <w:rPr>
          <w:rFonts w:hint="eastAsia" w:ascii="宋体" w:hAnsi="宋体" w:cs="宋体"/>
          <w:b/>
          <w:color w:val="auto"/>
          <w:sz w:val="24"/>
          <w:highlight w:val="none"/>
        </w:rPr>
        <w:t>一、总则</w:t>
      </w:r>
      <w:bookmarkEnd w:id="30"/>
      <w:bookmarkEnd w:id="31"/>
      <w:bookmarkEnd w:id="32"/>
      <w:bookmarkEnd w:id="33"/>
    </w:p>
    <w:p>
      <w:pPr>
        <w:spacing w:line="54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本次磋商采用综合评分法，总分为100分，其中价格分30分，技术、商务、资信及其他分70分；合格供应商的磋商得分为各项目汇总得分，中标候选资格按磋商综合得分由高到低顺序排列，得分相同的，按最终轮磋商报价由低到高顺序排列；得分且最终轮磋商报价相同的，按技术得分由高到低顺序排列。有效投标人为 3家时推荐2名中标候选人，有效</w:t>
      </w:r>
      <w:r>
        <w:rPr>
          <w:rFonts w:hint="eastAsia" w:ascii="宋体" w:hAnsi="宋体" w:cs="宋体"/>
          <w:color w:val="auto"/>
          <w:sz w:val="24"/>
          <w:highlight w:val="none"/>
          <w:lang w:val="en-US" w:eastAsia="zh-CN"/>
        </w:rPr>
        <w:t>投标人</w:t>
      </w:r>
      <w:r>
        <w:rPr>
          <w:rFonts w:hint="eastAsia" w:ascii="宋体" w:hAnsi="宋体" w:cs="宋体"/>
          <w:color w:val="auto"/>
          <w:sz w:val="24"/>
          <w:highlight w:val="none"/>
        </w:rPr>
        <w:t>大于 3 家时，推荐 3名中标候选人</w:t>
      </w:r>
      <w:r>
        <w:rPr>
          <w:rFonts w:hint="eastAsia" w:ascii="宋体" w:hAnsi="宋体" w:eastAsia="宋体" w:cs="宋体"/>
          <w:color w:val="auto"/>
          <w:sz w:val="24"/>
          <w:highlight w:val="none"/>
        </w:rPr>
        <w:t>（排名第一的中标候选人为中标人，排名第二的中标候选人为替补中标人）</w:t>
      </w:r>
      <w:r>
        <w:rPr>
          <w:rFonts w:hint="eastAsia" w:ascii="宋体" w:hAnsi="宋体" w:cs="宋体"/>
          <w:color w:val="auto"/>
          <w:sz w:val="24"/>
          <w:highlight w:val="none"/>
        </w:rPr>
        <w:t>……其他供应商中标候选资格依此类推。评分过程中采用四舍五入法，并保留小数2位。</w:t>
      </w:r>
    </w:p>
    <w:p>
      <w:pPr>
        <w:spacing w:line="54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供应商磋商综合得分=价格分+(技术分+商务分+资信及其他分)</w:t>
      </w:r>
    </w:p>
    <w:p>
      <w:pPr>
        <w:numPr>
          <w:ilvl w:val="0"/>
          <w:numId w:val="6"/>
        </w:numPr>
        <w:spacing w:line="540" w:lineRule="exact"/>
        <w:rPr>
          <w:rFonts w:ascii="宋体" w:hAnsi="宋体" w:cs="宋体"/>
          <w:b/>
          <w:color w:val="auto"/>
          <w:sz w:val="24"/>
          <w:highlight w:val="none"/>
        </w:rPr>
      </w:pPr>
      <w:bookmarkStart w:id="34" w:name="_Toc6122"/>
      <w:bookmarkStart w:id="35" w:name="_Toc16785"/>
      <w:bookmarkStart w:id="36" w:name="_Toc452728220"/>
      <w:bookmarkStart w:id="37" w:name="_Toc12387"/>
      <w:r>
        <w:rPr>
          <w:rFonts w:hint="eastAsia" w:ascii="宋体" w:hAnsi="宋体" w:cs="宋体"/>
          <w:b/>
          <w:color w:val="auto"/>
          <w:sz w:val="24"/>
          <w:highlight w:val="none"/>
        </w:rPr>
        <w:t>磋商内容及标准</w:t>
      </w:r>
      <w:bookmarkEnd w:id="34"/>
      <w:bookmarkEnd w:id="35"/>
      <w:bookmarkEnd w:id="36"/>
      <w:bookmarkEnd w:id="37"/>
      <w:bookmarkStart w:id="38" w:name="_Toc502652282"/>
      <w:bookmarkStart w:id="39" w:name="_Hlt452359758"/>
      <w:bookmarkStart w:id="40" w:name="_Hlt452359757"/>
    </w:p>
    <w:p>
      <w:pPr>
        <w:pStyle w:val="22"/>
        <w:spacing w:before="120" w:after="120" w:line="540" w:lineRule="exact"/>
        <w:rPr>
          <w:rFonts w:ascii="宋体" w:hAnsi="宋体"/>
          <w:b/>
          <w:bCs/>
          <w:color w:val="auto"/>
          <w:szCs w:val="24"/>
          <w:highlight w:val="none"/>
        </w:rPr>
      </w:pPr>
      <w:r>
        <w:rPr>
          <w:rFonts w:hint="eastAsia" w:ascii="宋体" w:hAnsi="宋体"/>
          <w:b/>
          <w:bCs/>
          <w:color w:val="auto"/>
          <w:szCs w:val="24"/>
          <w:highlight w:val="none"/>
        </w:rPr>
        <w:t>（一）技术、商务、资信及其他分（70分）</w:t>
      </w:r>
    </w:p>
    <w:p>
      <w:pPr>
        <w:spacing w:line="540" w:lineRule="exact"/>
        <w:ind w:firstLine="480" w:firstLineChars="200"/>
        <w:rPr>
          <w:rFonts w:ascii="宋体" w:hAnsi="宋体"/>
          <w:color w:val="auto"/>
          <w:sz w:val="24"/>
          <w:highlight w:val="none"/>
        </w:rPr>
      </w:pPr>
      <w:r>
        <w:rPr>
          <w:rFonts w:hint="eastAsia" w:ascii="宋体" w:hAnsi="宋体"/>
          <w:color w:val="auto"/>
          <w:sz w:val="24"/>
          <w:highlight w:val="none"/>
        </w:rPr>
        <w:t>技术、商务资信及其他分响应标书要求的磋商单位全部进入商务报价评审。</w:t>
      </w:r>
    </w:p>
    <w:p>
      <w:pPr>
        <w:pStyle w:val="14"/>
        <w:spacing w:line="540" w:lineRule="exact"/>
        <w:ind w:left="0" w:leftChars="0"/>
        <w:rPr>
          <w:rFonts w:ascii="宋体" w:hAnsi="宋体"/>
          <w:b/>
          <w:bCs/>
          <w:color w:val="auto"/>
          <w:sz w:val="24"/>
          <w:highlight w:val="none"/>
        </w:rPr>
      </w:pPr>
      <w:r>
        <w:rPr>
          <w:rFonts w:hint="eastAsia" w:ascii="宋体" w:hAnsi="宋体"/>
          <w:b/>
          <w:color w:val="auto"/>
          <w:sz w:val="24"/>
          <w:highlight w:val="none"/>
        </w:rPr>
        <w:t>（二）</w:t>
      </w:r>
      <w:r>
        <w:rPr>
          <w:rFonts w:hint="eastAsia" w:ascii="宋体" w:hAnsi="宋体"/>
          <w:b/>
          <w:bCs/>
          <w:color w:val="auto"/>
          <w:sz w:val="24"/>
          <w:highlight w:val="none"/>
        </w:rPr>
        <w:t xml:space="preserve">价格分（30分） </w:t>
      </w:r>
    </w:p>
    <w:p>
      <w:pPr>
        <w:spacing w:beforeLines="50" w:afterLines="50" w:line="540" w:lineRule="exact"/>
        <w:ind w:firstLine="464" w:firstLineChars="200"/>
        <w:rPr>
          <w:rFonts w:hAnsi="宋体"/>
          <w:bCs/>
          <w:color w:val="auto"/>
          <w:sz w:val="24"/>
          <w:highlight w:val="none"/>
        </w:rPr>
      </w:pPr>
      <w:r>
        <w:rPr>
          <w:rFonts w:hint="eastAsia" w:ascii="宋体" w:hAnsi="宋体"/>
          <w:bCs/>
          <w:color w:val="auto"/>
          <w:spacing w:val="-4"/>
          <w:sz w:val="24"/>
          <w:szCs w:val="20"/>
          <w:highlight w:val="none"/>
        </w:rPr>
        <w:t>（1）</w:t>
      </w:r>
      <w:r>
        <w:rPr>
          <w:rFonts w:hint="eastAsia" w:hAnsi="宋体"/>
          <w:bCs/>
          <w:color w:val="auto"/>
          <w:sz w:val="24"/>
          <w:highlight w:val="none"/>
        </w:rPr>
        <w:t>价格分采用低价优先法计算，取所有技术、资信商务得分入围供应商中，</w:t>
      </w:r>
      <w:r>
        <w:rPr>
          <w:rFonts w:hint="eastAsia" w:ascii="宋体" w:hAnsi="宋体" w:cs="宋体"/>
          <w:color w:val="auto"/>
          <w:sz w:val="24"/>
          <w:highlight w:val="none"/>
        </w:rPr>
        <w:t>最终轮磋商报价以</w:t>
      </w:r>
      <w:r>
        <w:rPr>
          <w:rFonts w:hint="eastAsia" w:hAnsi="宋体"/>
          <w:bCs/>
          <w:color w:val="auto"/>
          <w:sz w:val="24"/>
          <w:highlight w:val="none"/>
        </w:rPr>
        <w:t>最低的磋商报价为基准价，其他供应商的价格分按照下列公式计算：</w:t>
      </w:r>
    </w:p>
    <w:p>
      <w:pPr>
        <w:spacing w:beforeLines="50" w:afterLines="50" w:line="540" w:lineRule="exact"/>
        <w:ind w:firstLine="720" w:firstLineChars="300"/>
        <w:rPr>
          <w:rFonts w:ascii="宋体" w:hAnsi="宋体" w:cs="宋体"/>
          <w:color w:val="auto"/>
          <w:sz w:val="24"/>
          <w:highlight w:val="none"/>
        </w:rPr>
      </w:pPr>
      <w:r>
        <w:rPr>
          <w:rFonts w:hint="eastAsia" w:ascii="宋体" w:hAnsi="宋体" w:cs="宋体"/>
          <w:color w:val="auto"/>
          <w:sz w:val="24"/>
          <w:highlight w:val="none"/>
        </w:rPr>
        <w:t>价格分=基准价/最终轮磋商报价×30</w:t>
      </w:r>
    </w:p>
    <w:p>
      <w:pPr>
        <w:spacing w:line="540" w:lineRule="exact"/>
        <w:rPr>
          <w:rFonts w:ascii="宋体" w:hAnsi="宋体"/>
          <w:b/>
          <w:bCs/>
          <w:color w:val="auto"/>
          <w:sz w:val="24"/>
          <w:highlight w:val="none"/>
        </w:rPr>
      </w:pPr>
      <w:r>
        <w:rPr>
          <w:rFonts w:hint="eastAsia" w:ascii="宋体" w:hAnsi="宋体"/>
          <w:b/>
          <w:bCs/>
          <w:color w:val="auto"/>
          <w:sz w:val="24"/>
          <w:highlight w:val="none"/>
        </w:rPr>
        <w:t>（三）技术、商务、资信及其他分的计算</w:t>
      </w:r>
    </w:p>
    <w:p>
      <w:pPr>
        <w:spacing w:beforeLines="50" w:afterLines="50" w:line="540" w:lineRule="exact"/>
        <w:ind w:firstLine="480" w:firstLineChars="200"/>
        <w:rPr>
          <w:rFonts w:ascii="宋体" w:hAnsi="宋体"/>
          <w:color w:val="auto"/>
          <w:sz w:val="24"/>
          <w:highlight w:val="none"/>
        </w:rPr>
      </w:pPr>
      <w:r>
        <w:rPr>
          <w:rFonts w:hint="eastAsia" w:ascii="宋体" w:hAnsi="宋体"/>
          <w:color w:val="auto"/>
          <w:sz w:val="24"/>
          <w:highlight w:val="none"/>
        </w:rPr>
        <w:t>技术、商务、资信及其他分按照磋商小组成员的独立评分结果的算术平均分计算，计算公式为：</w:t>
      </w:r>
    </w:p>
    <w:p>
      <w:pPr>
        <w:spacing w:beforeLines="50" w:afterLines="50" w:line="540" w:lineRule="exact"/>
        <w:ind w:firstLine="480" w:firstLineChars="200"/>
        <w:rPr>
          <w:rFonts w:hint="eastAsia" w:ascii="宋体" w:hAnsi="宋体" w:eastAsia="宋体"/>
          <w:b/>
          <w:color w:val="auto"/>
          <w:sz w:val="24"/>
          <w:highlight w:val="none"/>
          <w:lang w:eastAsia="zh-CN"/>
        </w:rPr>
      </w:pPr>
      <w:r>
        <w:rPr>
          <w:rFonts w:hint="eastAsia" w:ascii="宋体" w:hAnsi="宋体"/>
          <w:color w:val="auto"/>
          <w:sz w:val="24"/>
          <w:highlight w:val="none"/>
        </w:rPr>
        <w:t>技术商务资信及其他分=磋商小组所有成员有效评分合计数/</w:t>
      </w:r>
      <w:r>
        <w:rPr>
          <w:rFonts w:hint="eastAsia" w:ascii="宋体" w:hAnsi="宋体"/>
          <w:color w:val="auto"/>
          <w:sz w:val="24"/>
          <w:highlight w:val="none"/>
          <w:lang w:val="en-US" w:eastAsia="zh-CN"/>
        </w:rPr>
        <w:t>3</w:t>
      </w:r>
    </w:p>
    <w:p>
      <w:pPr>
        <w:numPr>
          <w:ilvl w:val="0"/>
          <w:numId w:val="8"/>
        </w:numPr>
        <w:spacing w:line="540" w:lineRule="exact"/>
        <w:rPr>
          <w:rFonts w:ascii="宋体" w:hAnsi="宋体"/>
          <w:b/>
          <w:color w:val="auto"/>
          <w:sz w:val="24"/>
          <w:highlight w:val="none"/>
        </w:rPr>
      </w:pPr>
      <w:r>
        <w:rPr>
          <w:rFonts w:hint="eastAsia" w:ascii="宋体" w:hAnsi="宋体"/>
          <w:b/>
          <w:color w:val="auto"/>
          <w:sz w:val="24"/>
          <w:highlight w:val="none"/>
        </w:rPr>
        <w:t>技术分、商务分、资信及其他分评分标准，共70分</w:t>
      </w:r>
    </w:p>
    <w:tbl>
      <w:tblPr>
        <w:tblStyle w:val="40"/>
        <w:tblpPr w:leftFromText="180" w:rightFromText="180" w:vertAnchor="text" w:horzAnchor="page" w:tblpX="1000" w:tblpY="539"/>
        <w:tblOverlap w:val="never"/>
        <w:tblW w:w="10158" w:type="dxa"/>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838"/>
        <w:gridCol w:w="462"/>
        <w:gridCol w:w="1637"/>
        <w:gridCol w:w="6411"/>
        <w:gridCol w:w="810"/>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14" w:hRule="atLeast"/>
        </w:trPr>
        <w:tc>
          <w:tcPr>
            <w:tcW w:w="838"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rPr>
              <w:t>序号</w:t>
            </w:r>
          </w:p>
        </w:tc>
        <w:tc>
          <w:tcPr>
            <w:tcW w:w="2099" w:type="dxa"/>
            <w:gridSpan w:val="2"/>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rPr>
              <w:t>评审内容</w:t>
            </w:r>
          </w:p>
        </w:tc>
        <w:tc>
          <w:tcPr>
            <w:tcW w:w="641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rPr>
              <w:t>评分标准</w:t>
            </w:r>
          </w:p>
        </w:tc>
        <w:tc>
          <w:tcPr>
            <w:tcW w:w="810"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rPr>
              <w:t>分值</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38" w:hRule="atLeast"/>
        </w:trPr>
        <w:tc>
          <w:tcPr>
            <w:tcW w:w="838"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rPr>
              <w:t>一</w:t>
            </w:r>
          </w:p>
        </w:tc>
        <w:tc>
          <w:tcPr>
            <w:tcW w:w="8510" w:type="dxa"/>
            <w:gridSpan w:val="3"/>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rPr>
              <w:t>技术分</w:t>
            </w:r>
          </w:p>
        </w:tc>
        <w:tc>
          <w:tcPr>
            <w:tcW w:w="810"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rPr>
              <w:t>5</w:t>
            </w:r>
            <w:r>
              <w:rPr>
                <w:rFonts w:hint="eastAsia" w:ascii="宋体" w:hAnsi="宋体" w:cs="宋体"/>
                <w:b/>
                <w:bCs/>
                <w:color w:val="auto"/>
                <w:sz w:val="24"/>
                <w:szCs w:val="24"/>
                <w:highlight w:val="none"/>
                <w:lang w:val="en-US" w:eastAsia="zh-CN"/>
              </w:rPr>
              <w:t>6</w:t>
            </w:r>
            <w:r>
              <w:rPr>
                <w:rFonts w:hint="eastAsia" w:ascii="宋体" w:hAnsi="宋体" w:eastAsia="宋体" w:cs="宋体"/>
                <w:b/>
                <w:bCs/>
                <w:color w:val="auto"/>
                <w:sz w:val="24"/>
                <w:szCs w:val="24"/>
                <w:highlight w:val="none"/>
              </w:rPr>
              <w:t>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002" w:hRule="atLeast"/>
        </w:trPr>
        <w:tc>
          <w:tcPr>
            <w:tcW w:w="838"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w:t>
            </w:r>
          </w:p>
        </w:tc>
        <w:tc>
          <w:tcPr>
            <w:tcW w:w="462" w:type="dxa"/>
            <w:vMerge w:val="restart"/>
            <w:tcBorders>
              <w:top w:val="nil"/>
              <w:left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rPr>
                <w:rFonts w:hint="eastAsia" w:ascii="宋体" w:hAnsi="宋体" w:eastAsia="宋体" w:cs="宋体"/>
                <w:color w:val="auto"/>
                <w:sz w:val="24"/>
                <w:szCs w:val="24"/>
                <w:highlight w:val="none"/>
              </w:rPr>
            </w:pPr>
          </w:p>
          <w:p>
            <w:pPr>
              <w:keepNext w:val="0"/>
              <w:keepLines w:val="0"/>
              <w:pageBreakBefore w:val="0"/>
              <w:kinsoku/>
              <w:wordWrap/>
              <w:overflowPunct/>
              <w:topLinePunct w:val="0"/>
              <w:autoSpaceDE/>
              <w:autoSpaceDN/>
              <w:bidi w:val="0"/>
              <w:adjustRightInd/>
              <w:snapToGrid/>
              <w:spacing w:line="360" w:lineRule="auto"/>
              <w:rPr>
                <w:rFonts w:hint="eastAsia" w:ascii="宋体" w:hAnsi="宋体" w:eastAsia="宋体" w:cs="宋体"/>
                <w:color w:val="auto"/>
                <w:sz w:val="24"/>
                <w:szCs w:val="24"/>
                <w:highlight w:val="none"/>
              </w:rPr>
            </w:pPr>
          </w:p>
          <w:p>
            <w:pPr>
              <w:keepNext w:val="0"/>
              <w:keepLines w:val="0"/>
              <w:pageBreakBefore w:val="0"/>
              <w:kinsoku/>
              <w:wordWrap/>
              <w:overflowPunct/>
              <w:topLinePunct w:val="0"/>
              <w:autoSpaceDE/>
              <w:autoSpaceDN/>
              <w:bidi w:val="0"/>
              <w:adjustRightInd/>
              <w:snapToGrid/>
              <w:spacing w:line="360" w:lineRule="auto"/>
              <w:rPr>
                <w:rFonts w:hint="eastAsia" w:ascii="宋体" w:hAnsi="宋体" w:eastAsia="宋体" w:cs="宋体"/>
                <w:color w:val="auto"/>
                <w:sz w:val="24"/>
                <w:szCs w:val="24"/>
                <w:highlight w:val="none"/>
              </w:rPr>
            </w:pPr>
          </w:p>
          <w:p>
            <w:pPr>
              <w:keepNext w:val="0"/>
              <w:keepLines w:val="0"/>
              <w:pageBreakBefore w:val="0"/>
              <w:kinsoku/>
              <w:wordWrap/>
              <w:overflowPunct/>
              <w:topLinePunct w:val="0"/>
              <w:autoSpaceDE/>
              <w:autoSpaceDN/>
              <w:bidi w:val="0"/>
              <w:adjustRightInd/>
              <w:snapToGrid/>
              <w:spacing w:line="360" w:lineRule="auto"/>
              <w:rPr>
                <w:rFonts w:hint="eastAsia" w:ascii="宋体" w:hAnsi="宋体" w:eastAsia="宋体" w:cs="宋体"/>
                <w:color w:val="auto"/>
                <w:sz w:val="24"/>
                <w:szCs w:val="24"/>
                <w:highlight w:val="none"/>
              </w:rPr>
            </w:pPr>
          </w:p>
          <w:p>
            <w:pPr>
              <w:keepNext w:val="0"/>
              <w:keepLines w:val="0"/>
              <w:pageBreakBefore w:val="0"/>
              <w:kinsoku/>
              <w:wordWrap/>
              <w:overflowPunct/>
              <w:topLinePunct w:val="0"/>
              <w:autoSpaceDE/>
              <w:autoSpaceDN/>
              <w:bidi w:val="0"/>
              <w:adjustRightInd/>
              <w:snapToGrid/>
              <w:spacing w:line="360" w:lineRule="auto"/>
              <w:rPr>
                <w:rFonts w:hint="eastAsia" w:ascii="宋体" w:hAnsi="宋体" w:eastAsia="宋体" w:cs="宋体"/>
                <w:color w:val="auto"/>
                <w:sz w:val="24"/>
                <w:szCs w:val="24"/>
                <w:highlight w:val="none"/>
              </w:rPr>
            </w:pPr>
          </w:p>
          <w:p>
            <w:pPr>
              <w:keepNext w:val="0"/>
              <w:keepLines w:val="0"/>
              <w:pageBreakBefore w:val="0"/>
              <w:kinsoku/>
              <w:wordWrap/>
              <w:overflowPunct/>
              <w:topLinePunct w:val="0"/>
              <w:autoSpaceDE/>
              <w:autoSpaceDN/>
              <w:bidi w:val="0"/>
              <w:adjustRightInd/>
              <w:snapToGrid/>
              <w:spacing w:line="360" w:lineRule="auto"/>
              <w:rPr>
                <w:rFonts w:hint="eastAsia" w:ascii="宋体" w:hAnsi="宋体" w:eastAsia="宋体" w:cs="宋体"/>
                <w:color w:val="auto"/>
                <w:sz w:val="24"/>
                <w:szCs w:val="24"/>
                <w:highlight w:val="none"/>
              </w:rPr>
            </w:pPr>
          </w:p>
          <w:p>
            <w:pPr>
              <w:keepNext w:val="0"/>
              <w:keepLines w:val="0"/>
              <w:pageBreakBefore w:val="0"/>
              <w:kinsoku/>
              <w:wordWrap/>
              <w:overflowPunct/>
              <w:topLinePunct w:val="0"/>
              <w:autoSpaceDE/>
              <w:autoSpaceDN/>
              <w:bidi w:val="0"/>
              <w:adjustRightInd/>
              <w:snapToGrid/>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技术服务水平</w:t>
            </w:r>
          </w:p>
        </w:tc>
        <w:tc>
          <w:tcPr>
            <w:tcW w:w="163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项目理解</w:t>
            </w:r>
          </w:p>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情况</w:t>
            </w:r>
          </w:p>
        </w:tc>
        <w:tc>
          <w:tcPr>
            <w:tcW w:w="641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对项目实施思路、技术要求、项目特点的理解情况，根据其科学性、合理性进行打分。</w:t>
            </w:r>
          </w:p>
        </w:tc>
        <w:tc>
          <w:tcPr>
            <w:tcW w:w="810"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863" w:hRule="atLeast"/>
        </w:trPr>
        <w:tc>
          <w:tcPr>
            <w:tcW w:w="838"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2</w:t>
            </w:r>
          </w:p>
        </w:tc>
        <w:tc>
          <w:tcPr>
            <w:tcW w:w="462" w:type="dxa"/>
            <w:vMerge w:val="continue"/>
            <w:tcBorders>
              <w:left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rPr>
                <w:rFonts w:hint="eastAsia" w:ascii="宋体" w:hAnsi="宋体" w:eastAsia="宋体" w:cs="宋体"/>
                <w:color w:val="auto"/>
                <w:sz w:val="24"/>
                <w:szCs w:val="24"/>
                <w:highlight w:val="none"/>
              </w:rPr>
            </w:pPr>
          </w:p>
        </w:tc>
        <w:tc>
          <w:tcPr>
            <w:tcW w:w="163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施工方案</w:t>
            </w:r>
          </w:p>
        </w:tc>
        <w:tc>
          <w:tcPr>
            <w:tcW w:w="641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施工方案内容齐全、结构完整、表述准确、条理清晰程度，与需求的吻合程度（0-3分），是否涵盖本次</w:t>
            </w:r>
            <w:r>
              <w:rPr>
                <w:rFonts w:hint="eastAsia" w:ascii="宋体" w:hAnsi="宋体" w:eastAsia="宋体" w:cs="宋体"/>
                <w:color w:val="auto"/>
                <w:sz w:val="24"/>
                <w:szCs w:val="24"/>
                <w:highlight w:val="none"/>
                <w:lang w:val="en-US" w:eastAsia="zh-CN"/>
              </w:rPr>
              <w:t>项目</w:t>
            </w:r>
            <w:r>
              <w:rPr>
                <w:rFonts w:hint="eastAsia" w:ascii="宋体" w:hAnsi="宋体" w:eastAsia="宋体" w:cs="宋体"/>
                <w:color w:val="auto"/>
                <w:sz w:val="24"/>
                <w:szCs w:val="24"/>
                <w:highlight w:val="none"/>
              </w:rPr>
              <w:t>实施有关的内容（0-3分），包括方案的先进性、可行性和扩展性，进行打分。</w:t>
            </w:r>
          </w:p>
        </w:tc>
        <w:tc>
          <w:tcPr>
            <w:tcW w:w="810"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110" w:hRule="atLeast"/>
        </w:trPr>
        <w:tc>
          <w:tcPr>
            <w:tcW w:w="838"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3</w:t>
            </w:r>
          </w:p>
        </w:tc>
        <w:tc>
          <w:tcPr>
            <w:tcW w:w="462" w:type="dxa"/>
            <w:vMerge w:val="continue"/>
            <w:tcBorders>
              <w:left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rPr>
                <w:rFonts w:hint="eastAsia" w:ascii="宋体" w:hAnsi="宋体" w:eastAsia="宋体" w:cs="宋体"/>
                <w:color w:val="auto"/>
                <w:sz w:val="24"/>
                <w:szCs w:val="24"/>
                <w:highlight w:val="none"/>
              </w:rPr>
            </w:pPr>
          </w:p>
        </w:tc>
        <w:tc>
          <w:tcPr>
            <w:tcW w:w="163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b w:val="0"/>
                <w:bCs w:val="0"/>
                <w:color w:val="auto"/>
                <w:sz w:val="24"/>
                <w:szCs w:val="24"/>
                <w:highlight w:val="none"/>
                <w:lang w:eastAsia="zh-CN"/>
              </w:rPr>
            </w:pPr>
            <w:r>
              <w:rPr>
                <w:rFonts w:hint="eastAsia" w:ascii="宋体" w:hAnsi="宋体" w:eastAsia="宋体" w:cs="宋体"/>
                <w:b w:val="0"/>
                <w:bCs w:val="0"/>
                <w:color w:val="auto"/>
                <w:sz w:val="24"/>
                <w:szCs w:val="24"/>
                <w:highlight w:val="none"/>
              </w:rPr>
              <w:t>布置图、</w:t>
            </w:r>
            <w:r>
              <w:rPr>
                <w:rFonts w:hint="eastAsia" w:ascii="宋体" w:hAnsi="宋体" w:eastAsia="宋体" w:cs="宋体"/>
                <w:b w:val="0"/>
                <w:bCs w:val="0"/>
                <w:color w:val="auto"/>
                <w:sz w:val="24"/>
                <w:szCs w:val="24"/>
                <w:highlight w:val="none"/>
                <w:lang w:eastAsia="zh-CN"/>
              </w:rPr>
              <w:t>效</w:t>
            </w:r>
          </w:p>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b w:val="0"/>
                <w:bCs w:val="0"/>
                <w:color w:val="auto"/>
                <w:sz w:val="24"/>
                <w:szCs w:val="24"/>
                <w:highlight w:val="none"/>
                <w:lang w:eastAsia="zh-CN"/>
              </w:rPr>
              <w:t>果图</w:t>
            </w:r>
          </w:p>
        </w:tc>
        <w:tc>
          <w:tcPr>
            <w:tcW w:w="641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left"/>
              <w:rPr>
                <w:rFonts w:hint="eastAsia" w:ascii="宋体" w:hAnsi="宋体" w:eastAsia="宋体" w:cs="宋体"/>
                <w:b w:val="0"/>
                <w:bCs w:val="0"/>
                <w:color w:val="auto"/>
                <w:kern w:val="2"/>
                <w:sz w:val="24"/>
                <w:szCs w:val="24"/>
                <w:highlight w:val="none"/>
                <w:lang w:val="en-US" w:eastAsia="zh-CN" w:bidi="ar-SA"/>
              </w:rPr>
            </w:pPr>
            <w:r>
              <w:rPr>
                <w:rFonts w:hint="eastAsia" w:ascii="宋体" w:hAnsi="宋体" w:eastAsia="宋体" w:cs="宋体"/>
                <w:b w:val="0"/>
                <w:bCs w:val="0"/>
                <w:color w:val="auto"/>
                <w:sz w:val="24"/>
                <w:szCs w:val="24"/>
                <w:highlight w:val="none"/>
              </w:rPr>
              <w:t>根据</w:t>
            </w:r>
            <w:r>
              <w:rPr>
                <w:rFonts w:hint="eastAsia" w:ascii="宋体" w:hAnsi="宋体" w:eastAsia="宋体" w:cs="宋体"/>
                <w:color w:val="auto"/>
                <w:sz w:val="24"/>
                <w:szCs w:val="24"/>
                <w:highlight w:val="none"/>
              </w:rPr>
              <w:t>供应商</w:t>
            </w:r>
            <w:r>
              <w:rPr>
                <w:rFonts w:hint="eastAsia" w:ascii="宋体" w:hAnsi="宋体" w:eastAsia="宋体" w:cs="宋体"/>
                <w:b w:val="0"/>
                <w:bCs w:val="0"/>
                <w:color w:val="auto"/>
                <w:sz w:val="24"/>
                <w:szCs w:val="24"/>
                <w:highlight w:val="none"/>
              </w:rPr>
              <w:t>提供</w:t>
            </w:r>
            <w:r>
              <w:rPr>
                <w:rFonts w:hint="eastAsia" w:ascii="宋体" w:hAnsi="宋体" w:eastAsia="宋体" w:cs="宋体"/>
                <w:b w:val="0"/>
                <w:bCs w:val="0"/>
                <w:color w:val="auto"/>
                <w:sz w:val="24"/>
                <w:szCs w:val="24"/>
                <w:highlight w:val="none"/>
                <w:lang w:val="en-US" w:eastAsia="zh-CN"/>
              </w:rPr>
              <w:t>的投标</w:t>
            </w:r>
            <w:r>
              <w:rPr>
                <w:rFonts w:hint="eastAsia" w:ascii="宋体" w:hAnsi="宋体" w:eastAsia="宋体" w:cs="宋体"/>
                <w:b w:val="0"/>
                <w:bCs w:val="0"/>
                <w:color w:val="auto"/>
                <w:sz w:val="24"/>
                <w:szCs w:val="24"/>
                <w:highlight w:val="none"/>
                <w:lang w:eastAsia="zh-CN"/>
              </w:rPr>
              <w:t>产品</w:t>
            </w:r>
            <w:r>
              <w:rPr>
                <w:rFonts w:hint="eastAsia" w:ascii="宋体" w:hAnsi="宋体" w:eastAsia="宋体" w:cs="宋体"/>
                <w:b w:val="0"/>
                <w:bCs w:val="0"/>
                <w:color w:val="auto"/>
                <w:sz w:val="24"/>
                <w:szCs w:val="24"/>
                <w:highlight w:val="none"/>
              </w:rPr>
              <w:t>布置图</w:t>
            </w:r>
            <w:r>
              <w:rPr>
                <w:rFonts w:hint="eastAsia" w:ascii="宋体" w:hAnsi="宋体" w:eastAsia="宋体" w:cs="宋体"/>
                <w:color w:val="auto"/>
                <w:sz w:val="24"/>
                <w:szCs w:val="24"/>
                <w:highlight w:val="none"/>
              </w:rPr>
              <w:t>（0-</w:t>
            </w:r>
            <w:r>
              <w:rPr>
                <w:rFonts w:hint="eastAsia" w:ascii="宋体" w:hAnsi="宋体" w:eastAsia="宋体" w:cs="宋体"/>
                <w:color w:val="auto"/>
                <w:sz w:val="24"/>
                <w:szCs w:val="24"/>
                <w:highlight w:val="none"/>
                <w:lang w:val="en-US" w:eastAsia="zh-CN"/>
              </w:rPr>
              <w:t>3</w:t>
            </w:r>
            <w:r>
              <w:rPr>
                <w:rFonts w:hint="eastAsia" w:ascii="宋体" w:hAnsi="宋体" w:eastAsia="宋体" w:cs="宋体"/>
                <w:color w:val="auto"/>
                <w:sz w:val="24"/>
                <w:szCs w:val="24"/>
                <w:highlight w:val="none"/>
              </w:rPr>
              <w:t>分）</w:t>
            </w:r>
            <w:r>
              <w:rPr>
                <w:rFonts w:hint="eastAsia" w:ascii="宋体" w:hAnsi="宋体" w:eastAsia="宋体" w:cs="宋体"/>
                <w:b w:val="0"/>
                <w:bCs w:val="0"/>
                <w:color w:val="auto"/>
                <w:sz w:val="24"/>
                <w:szCs w:val="24"/>
                <w:highlight w:val="none"/>
              </w:rPr>
              <w:t>、</w:t>
            </w:r>
            <w:r>
              <w:rPr>
                <w:rFonts w:hint="eastAsia" w:ascii="宋体" w:hAnsi="宋体" w:eastAsia="宋体" w:cs="宋体"/>
                <w:b w:val="0"/>
                <w:bCs w:val="0"/>
                <w:color w:val="auto"/>
                <w:sz w:val="24"/>
                <w:szCs w:val="24"/>
                <w:highlight w:val="none"/>
                <w:lang w:eastAsia="zh-CN"/>
              </w:rPr>
              <w:t>效果图</w:t>
            </w:r>
            <w:r>
              <w:rPr>
                <w:rFonts w:hint="eastAsia" w:ascii="宋体" w:hAnsi="宋体" w:eastAsia="宋体" w:cs="宋体"/>
                <w:color w:val="auto"/>
                <w:sz w:val="24"/>
                <w:szCs w:val="24"/>
                <w:highlight w:val="none"/>
              </w:rPr>
              <w:t>（0-</w:t>
            </w:r>
            <w:r>
              <w:rPr>
                <w:rFonts w:hint="eastAsia" w:ascii="宋体" w:hAnsi="宋体" w:eastAsia="宋体" w:cs="宋体"/>
                <w:color w:val="auto"/>
                <w:sz w:val="24"/>
                <w:szCs w:val="24"/>
                <w:highlight w:val="none"/>
                <w:lang w:val="en-US" w:eastAsia="zh-CN"/>
              </w:rPr>
              <w:t>3</w:t>
            </w:r>
            <w:r>
              <w:rPr>
                <w:rFonts w:hint="eastAsia" w:ascii="宋体" w:hAnsi="宋体" w:eastAsia="宋体" w:cs="宋体"/>
                <w:color w:val="auto"/>
                <w:sz w:val="24"/>
                <w:szCs w:val="24"/>
                <w:highlight w:val="none"/>
              </w:rPr>
              <w:t>分）</w:t>
            </w:r>
            <w:r>
              <w:rPr>
                <w:rFonts w:hint="eastAsia" w:ascii="宋体" w:hAnsi="宋体" w:eastAsia="宋体" w:cs="宋体"/>
                <w:b w:val="0"/>
                <w:bCs w:val="0"/>
                <w:color w:val="auto"/>
                <w:sz w:val="24"/>
                <w:szCs w:val="24"/>
                <w:highlight w:val="none"/>
                <w:lang w:eastAsia="zh-CN"/>
              </w:rPr>
              <w:t>等情况进行打分</w:t>
            </w:r>
            <w:r>
              <w:rPr>
                <w:rFonts w:hint="eastAsia" w:ascii="宋体" w:hAnsi="宋体" w:eastAsia="宋体" w:cs="宋体"/>
                <w:b w:val="0"/>
                <w:bCs w:val="0"/>
                <w:color w:val="auto"/>
                <w:sz w:val="24"/>
                <w:szCs w:val="24"/>
                <w:highlight w:val="none"/>
                <w:lang w:val="en-US" w:eastAsia="zh-CN"/>
              </w:rPr>
              <w:t>。</w:t>
            </w:r>
          </w:p>
        </w:tc>
        <w:tc>
          <w:tcPr>
            <w:tcW w:w="810"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161" w:hRule="atLeast"/>
        </w:trPr>
        <w:tc>
          <w:tcPr>
            <w:tcW w:w="838"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w:t>
            </w:r>
          </w:p>
        </w:tc>
        <w:tc>
          <w:tcPr>
            <w:tcW w:w="462" w:type="dxa"/>
            <w:vMerge w:val="continue"/>
            <w:tcBorders>
              <w:left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rPr>
                <w:rFonts w:hint="eastAsia" w:ascii="宋体" w:hAnsi="宋体" w:eastAsia="宋体" w:cs="宋体"/>
                <w:color w:val="auto"/>
                <w:sz w:val="24"/>
                <w:szCs w:val="24"/>
                <w:highlight w:val="none"/>
              </w:rPr>
            </w:pPr>
          </w:p>
        </w:tc>
        <w:tc>
          <w:tcPr>
            <w:tcW w:w="163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cs="宋体"/>
                <w:b w:val="0"/>
                <w:bCs w:val="0"/>
                <w:color w:val="auto"/>
                <w:sz w:val="24"/>
                <w:szCs w:val="24"/>
                <w:highlight w:val="none"/>
                <w:lang w:eastAsia="zh-CN"/>
              </w:rPr>
            </w:pPr>
            <w:r>
              <w:rPr>
                <w:rFonts w:hint="eastAsia" w:ascii="宋体" w:hAnsi="宋体" w:cs="宋体"/>
                <w:b w:val="0"/>
                <w:bCs w:val="0"/>
                <w:color w:val="auto"/>
                <w:sz w:val="24"/>
                <w:szCs w:val="24"/>
                <w:highlight w:val="none"/>
                <w:lang w:eastAsia="zh-CN"/>
              </w:rPr>
              <w:t>产品技术</w:t>
            </w:r>
          </w:p>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rPr>
            </w:pPr>
            <w:r>
              <w:rPr>
                <w:rFonts w:hint="eastAsia" w:ascii="宋体" w:hAnsi="宋体" w:cs="宋体"/>
                <w:b w:val="0"/>
                <w:bCs w:val="0"/>
                <w:color w:val="auto"/>
                <w:sz w:val="24"/>
                <w:szCs w:val="24"/>
                <w:highlight w:val="none"/>
                <w:lang w:eastAsia="zh-CN"/>
              </w:rPr>
              <w:t>指标</w:t>
            </w:r>
          </w:p>
        </w:tc>
        <w:tc>
          <w:tcPr>
            <w:tcW w:w="641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left"/>
              <w:rPr>
                <w:rFonts w:hint="eastAsia" w:ascii="宋体" w:hAnsi="宋体" w:eastAsia="宋体" w:cs="宋体"/>
                <w:b w:val="0"/>
                <w:bCs w:val="0"/>
                <w:color w:val="auto"/>
                <w:sz w:val="24"/>
                <w:szCs w:val="24"/>
                <w:highlight w:val="none"/>
              </w:rPr>
            </w:pPr>
            <w:r>
              <w:rPr>
                <w:rFonts w:hint="eastAsia" w:ascii="宋体" w:hAnsi="宋体" w:eastAsia="宋体" w:cs="宋体"/>
                <w:b w:val="0"/>
                <w:bCs w:val="0"/>
                <w:color w:val="auto"/>
                <w:sz w:val="24"/>
                <w:szCs w:val="24"/>
                <w:highlight w:val="none"/>
              </w:rPr>
              <w:t>根据</w:t>
            </w:r>
            <w:r>
              <w:rPr>
                <w:rFonts w:hint="eastAsia" w:ascii="宋体" w:hAnsi="宋体" w:eastAsia="宋体" w:cs="宋体"/>
                <w:color w:val="auto"/>
                <w:sz w:val="24"/>
                <w:szCs w:val="24"/>
                <w:highlight w:val="none"/>
              </w:rPr>
              <w:t>供应商</w:t>
            </w:r>
            <w:r>
              <w:rPr>
                <w:rFonts w:hint="eastAsia" w:ascii="宋体" w:hAnsi="宋体" w:eastAsia="宋体" w:cs="宋体"/>
                <w:b w:val="0"/>
                <w:bCs w:val="0"/>
                <w:color w:val="auto"/>
                <w:sz w:val="24"/>
                <w:szCs w:val="24"/>
                <w:highlight w:val="none"/>
                <w:lang w:val="en-US" w:eastAsia="zh-CN"/>
              </w:rPr>
              <w:t>所投产品</w:t>
            </w:r>
            <w:r>
              <w:rPr>
                <w:rFonts w:hint="eastAsia" w:ascii="宋体" w:hAnsi="宋体" w:eastAsia="宋体" w:cs="宋体"/>
                <w:b w:val="0"/>
                <w:bCs w:val="0"/>
                <w:color w:val="auto"/>
                <w:sz w:val="24"/>
                <w:szCs w:val="24"/>
                <w:highlight w:val="none"/>
              </w:rPr>
              <w:t>及所选施工材料的</w:t>
            </w:r>
            <w:r>
              <w:rPr>
                <w:rFonts w:hint="eastAsia" w:ascii="宋体" w:hAnsi="宋体" w:eastAsia="宋体" w:cs="宋体"/>
                <w:b w:val="0"/>
                <w:bCs w:val="0"/>
                <w:color w:val="auto"/>
                <w:sz w:val="24"/>
                <w:szCs w:val="24"/>
                <w:highlight w:val="none"/>
                <w:lang w:val="en-US" w:eastAsia="zh-CN"/>
              </w:rPr>
              <w:t>配置情况，是否</w:t>
            </w:r>
            <w:r>
              <w:rPr>
                <w:rFonts w:hint="eastAsia" w:ascii="宋体" w:hAnsi="宋体" w:eastAsia="宋体" w:cs="宋体"/>
                <w:strike w:val="0"/>
                <w:dstrike w:val="0"/>
                <w:color w:val="auto"/>
                <w:sz w:val="24"/>
                <w:szCs w:val="24"/>
                <w:highlight w:val="none"/>
              </w:rPr>
              <w:t>优于</w:t>
            </w:r>
            <w:r>
              <w:rPr>
                <w:rFonts w:hint="eastAsia" w:ascii="宋体" w:hAnsi="宋体" w:eastAsia="宋体" w:cs="宋体"/>
                <w:strike w:val="0"/>
                <w:dstrike w:val="0"/>
                <w:color w:val="auto"/>
                <w:sz w:val="24"/>
                <w:szCs w:val="24"/>
                <w:highlight w:val="none"/>
                <w:lang w:val="en-US" w:eastAsia="zh-CN"/>
              </w:rPr>
              <w:t>本项目</w:t>
            </w:r>
            <w:r>
              <w:rPr>
                <w:rFonts w:hint="eastAsia" w:ascii="宋体" w:hAnsi="宋体" w:eastAsia="宋体" w:cs="宋体"/>
                <w:strike w:val="0"/>
                <w:dstrike w:val="0"/>
                <w:color w:val="auto"/>
                <w:sz w:val="24"/>
                <w:szCs w:val="24"/>
                <w:highlight w:val="none"/>
              </w:rPr>
              <w:t>实施的需要，且与项目相适应</w:t>
            </w:r>
            <w:r>
              <w:rPr>
                <w:rFonts w:hint="eastAsia" w:ascii="宋体" w:hAnsi="宋体" w:eastAsia="宋体" w:cs="宋体"/>
                <w:strike w:val="0"/>
                <w:dstrike w:val="0"/>
                <w:color w:val="auto"/>
                <w:sz w:val="24"/>
                <w:szCs w:val="24"/>
                <w:highlight w:val="none"/>
                <w:lang w:eastAsia="zh-CN"/>
              </w:rPr>
              <w:t>，</w:t>
            </w:r>
            <w:r>
              <w:rPr>
                <w:rFonts w:hint="eastAsia" w:ascii="宋体" w:hAnsi="宋体" w:eastAsia="宋体" w:cs="宋体"/>
                <w:b w:val="0"/>
                <w:bCs w:val="0"/>
                <w:color w:val="auto"/>
                <w:sz w:val="24"/>
                <w:szCs w:val="24"/>
                <w:highlight w:val="none"/>
                <w:lang w:eastAsia="zh-CN"/>
              </w:rPr>
              <w:t>进行打分</w:t>
            </w:r>
            <w:r>
              <w:rPr>
                <w:rFonts w:hint="eastAsia" w:ascii="宋体" w:hAnsi="宋体" w:eastAsia="宋体" w:cs="宋体"/>
                <w:b w:val="0"/>
                <w:bCs w:val="0"/>
                <w:color w:val="auto"/>
                <w:sz w:val="24"/>
                <w:szCs w:val="24"/>
                <w:highlight w:val="none"/>
                <w:lang w:val="en-US" w:eastAsia="zh-CN"/>
              </w:rPr>
              <w:t>。</w:t>
            </w:r>
          </w:p>
        </w:tc>
        <w:tc>
          <w:tcPr>
            <w:tcW w:w="810"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lang w:val="en-US" w:eastAsia="zh-CN"/>
              </w:rPr>
            </w:pPr>
            <w:r>
              <w:rPr>
                <w:rFonts w:hint="eastAsia" w:ascii="宋体" w:hAnsi="宋体" w:cs="宋体"/>
                <w:color w:val="auto"/>
                <w:sz w:val="24"/>
                <w:szCs w:val="24"/>
                <w:highlight w:val="none"/>
                <w:lang w:val="en-US" w:eastAsia="zh-CN"/>
              </w:rPr>
              <w:t>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107" w:hRule="atLeast"/>
        </w:trPr>
        <w:tc>
          <w:tcPr>
            <w:tcW w:w="838"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5</w:t>
            </w:r>
          </w:p>
        </w:tc>
        <w:tc>
          <w:tcPr>
            <w:tcW w:w="462" w:type="dxa"/>
            <w:vMerge w:val="continue"/>
            <w:tcBorders>
              <w:left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rPr>
                <w:rFonts w:hint="eastAsia" w:ascii="宋体" w:hAnsi="宋体" w:eastAsia="宋体" w:cs="宋体"/>
                <w:color w:val="auto"/>
                <w:sz w:val="24"/>
                <w:szCs w:val="24"/>
                <w:highlight w:val="none"/>
              </w:rPr>
            </w:pPr>
          </w:p>
        </w:tc>
        <w:tc>
          <w:tcPr>
            <w:tcW w:w="163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施工技术</w:t>
            </w:r>
          </w:p>
        </w:tc>
        <w:tc>
          <w:tcPr>
            <w:tcW w:w="641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针对本项目施工环境需要采取的专门的施工技术内容是否科学合理且针对性强等进行打分。</w:t>
            </w:r>
          </w:p>
        </w:tc>
        <w:tc>
          <w:tcPr>
            <w:tcW w:w="810"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4</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135" w:hRule="atLeast"/>
        </w:trPr>
        <w:tc>
          <w:tcPr>
            <w:tcW w:w="838"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6</w:t>
            </w:r>
          </w:p>
        </w:tc>
        <w:tc>
          <w:tcPr>
            <w:tcW w:w="462" w:type="dxa"/>
            <w:vMerge w:val="continue"/>
            <w:tcBorders>
              <w:left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rPr>
                <w:rFonts w:hint="eastAsia" w:ascii="宋体" w:hAnsi="宋体" w:eastAsia="宋体" w:cs="宋体"/>
                <w:color w:val="auto"/>
                <w:sz w:val="24"/>
                <w:szCs w:val="24"/>
                <w:highlight w:val="none"/>
              </w:rPr>
            </w:pPr>
          </w:p>
        </w:tc>
        <w:tc>
          <w:tcPr>
            <w:tcW w:w="163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施工进度</w:t>
            </w:r>
          </w:p>
        </w:tc>
        <w:tc>
          <w:tcPr>
            <w:tcW w:w="641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根据项目工期要求，施工进度安排合理、准确，关键节点的控制措施</w:t>
            </w:r>
            <w:r>
              <w:rPr>
                <w:rFonts w:hint="eastAsia" w:ascii="宋体" w:hAnsi="宋体" w:cs="宋体"/>
                <w:color w:val="auto"/>
                <w:sz w:val="24"/>
                <w:szCs w:val="24"/>
                <w:highlight w:val="none"/>
                <w:lang w:eastAsia="zh-CN"/>
              </w:rPr>
              <w:t>、</w:t>
            </w:r>
            <w:r>
              <w:rPr>
                <w:rFonts w:hint="eastAsia" w:ascii="宋体" w:hAnsi="宋体" w:eastAsia="宋体" w:cs="宋体"/>
                <w:b w:val="0"/>
                <w:bCs w:val="0"/>
                <w:color w:val="auto"/>
                <w:sz w:val="24"/>
                <w:szCs w:val="24"/>
                <w:highlight w:val="none"/>
              </w:rPr>
              <w:t>各工序搭配</w:t>
            </w:r>
            <w:r>
              <w:rPr>
                <w:rFonts w:hint="eastAsia" w:ascii="宋体" w:hAnsi="宋体" w:eastAsia="宋体" w:cs="宋体"/>
                <w:color w:val="auto"/>
                <w:sz w:val="24"/>
                <w:szCs w:val="24"/>
                <w:highlight w:val="none"/>
              </w:rPr>
              <w:t>进行打分。</w:t>
            </w:r>
          </w:p>
        </w:tc>
        <w:tc>
          <w:tcPr>
            <w:tcW w:w="810"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lang w:eastAsia="zh-CN"/>
              </w:rPr>
            </w:pPr>
            <w:r>
              <w:rPr>
                <w:rFonts w:hint="eastAsia" w:ascii="宋体" w:hAnsi="宋体" w:cs="宋体"/>
                <w:color w:val="auto"/>
                <w:sz w:val="24"/>
                <w:szCs w:val="24"/>
                <w:highlight w:val="none"/>
                <w:lang w:val="en-US" w:eastAsia="zh-CN"/>
              </w:rPr>
              <w:t>4</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135" w:hRule="atLeast"/>
        </w:trPr>
        <w:tc>
          <w:tcPr>
            <w:tcW w:w="838"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7</w:t>
            </w:r>
          </w:p>
        </w:tc>
        <w:tc>
          <w:tcPr>
            <w:tcW w:w="462" w:type="dxa"/>
            <w:vMerge w:val="continue"/>
            <w:tcBorders>
              <w:left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rPr>
                <w:rFonts w:hint="eastAsia" w:ascii="宋体" w:hAnsi="宋体" w:eastAsia="宋体" w:cs="宋体"/>
                <w:color w:val="auto"/>
                <w:sz w:val="24"/>
                <w:szCs w:val="24"/>
                <w:highlight w:val="none"/>
              </w:rPr>
            </w:pPr>
          </w:p>
        </w:tc>
        <w:tc>
          <w:tcPr>
            <w:tcW w:w="163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360" w:lineRule="auto"/>
              <w:jc w:val="center"/>
              <w:textAlignment w:val="center"/>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highlight w:val="none"/>
              </w:rPr>
              <w:t>应急预案</w:t>
            </w:r>
          </w:p>
        </w:tc>
        <w:tc>
          <w:tcPr>
            <w:tcW w:w="641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360" w:lineRule="auto"/>
              <w:textAlignment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根据供应商的应急预案措施全面性、合理性及可行性等内容进行打分。</w:t>
            </w:r>
          </w:p>
        </w:tc>
        <w:tc>
          <w:tcPr>
            <w:tcW w:w="810"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lang w:eastAsia="zh-CN"/>
              </w:rPr>
            </w:pPr>
            <w:r>
              <w:rPr>
                <w:rFonts w:hint="eastAsia" w:ascii="宋体" w:hAnsi="宋体" w:cs="宋体"/>
                <w:color w:val="auto"/>
                <w:sz w:val="24"/>
                <w:szCs w:val="24"/>
                <w:highlight w:val="none"/>
                <w:lang w:val="en-US" w:eastAsia="zh-CN"/>
              </w:rPr>
              <w:t>4</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73" w:hRule="atLeast"/>
        </w:trPr>
        <w:tc>
          <w:tcPr>
            <w:tcW w:w="838"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8</w:t>
            </w:r>
          </w:p>
        </w:tc>
        <w:tc>
          <w:tcPr>
            <w:tcW w:w="462" w:type="dxa"/>
            <w:vMerge w:val="continue"/>
            <w:tcBorders>
              <w:left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rPr>
                <w:rFonts w:hint="eastAsia" w:ascii="宋体" w:hAnsi="宋体" w:eastAsia="宋体" w:cs="宋体"/>
                <w:color w:val="auto"/>
                <w:sz w:val="24"/>
                <w:szCs w:val="24"/>
                <w:highlight w:val="none"/>
              </w:rPr>
            </w:pPr>
          </w:p>
        </w:tc>
        <w:tc>
          <w:tcPr>
            <w:tcW w:w="163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质量保障</w:t>
            </w:r>
          </w:p>
        </w:tc>
        <w:tc>
          <w:tcPr>
            <w:tcW w:w="641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施工质量目标明确，质量控制措施科学、合理、有技术支撑进行打分。</w:t>
            </w:r>
          </w:p>
        </w:tc>
        <w:tc>
          <w:tcPr>
            <w:tcW w:w="810"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4</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90" w:hRule="atLeast"/>
        </w:trPr>
        <w:tc>
          <w:tcPr>
            <w:tcW w:w="838"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9</w:t>
            </w:r>
          </w:p>
        </w:tc>
        <w:tc>
          <w:tcPr>
            <w:tcW w:w="462" w:type="dxa"/>
            <w:vMerge w:val="continue"/>
            <w:tcBorders>
              <w:left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rPr>
                <w:rFonts w:hint="eastAsia" w:ascii="宋体" w:hAnsi="宋体" w:eastAsia="宋体" w:cs="宋体"/>
                <w:color w:val="auto"/>
                <w:sz w:val="24"/>
                <w:szCs w:val="24"/>
                <w:highlight w:val="none"/>
              </w:rPr>
            </w:pPr>
          </w:p>
        </w:tc>
        <w:tc>
          <w:tcPr>
            <w:tcW w:w="1637" w:type="dxa"/>
            <w:tcBorders>
              <w:top w:val="single" w:color="auto" w:sz="4" w:space="0"/>
              <w:left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安全、文明施工等的保证措施</w:t>
            </w:r>
          </w:p>
        </w:tc>
        <w:tc>
          <w:tcPr>
            <w:tcW w:w="641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rPr>
                <w:rFonts w:hint="eastAsia" w:ascii="宋体" w:hAnsi="宋体" w:eastAsia="宋体" w:cs="宋体"/>
                <w:color w:val="auto"/>
                <w:sz w:val="24"/>
                <w:szCs w:val="24"/>
                <w:highlight w:val="none"/>
              </w:rPr>
            </w:pPr>
            <w:r>
              <w:rPr>
                <w:rFonts w:hint="eastAsia" w:ascii="宋体" w:hAnsi="宋体" w:eastAsia="宋体" w:cs="宋体"/>
                <w:b w:val="0"/>
                <w:bCs w:val="0"/>
                <w:color w:val="auto"/>
                <w:sz w:val="24"/>
                <w:szCs w:val="24"/>
                <w:highlight w:val="none"/>
              </w:rPr>
              <w:t>根据项目安全生产、文明作业、环境保护措施</w:t>
            </w:r>
            <w:r>
              <w:rPr>
                <w:rFonts w:hint="eastAsia" w:ascii="宋体" w:hAnsi="宋体" w:eastAsia="宋体" w:cs="宋体"/>
                <w:b w:val="0"/>
                <w:bCs w:val="0"/>
                <w:color w:val="auto"/>
                <w:sz w:val="24"/>
                <w:szCs w:val="24"/>
                <w:highlight w:val="none"/>
                <w:lang w:eastAsia="zh-CN"/>
              </w:rPr>
              <w:t>等</w:t>
            </w:r>
            <w:r>
              <w:rPr>
                <w:rFonts w:hint="eastAsia" w:ascii="宋体" w:hAnsi="宋体" w:eastAsia="宋体" w:cs="宋体"/>
                <w:b w:val="0"/>
                <w:bCs w:val="0"/>
                <w:color w:val="auto"/>
                <w:sz w:val="24"/>
                <w:szCs w:val="24"/>
                <w:highlight w:val="none"/>
              </w:rPr>
              <w:t>情况</w:t>
            </w:r>
            <w:r>
              <w:rPr>
                <w:rFonts w:hint="eastAsia" w:ascii="宋体" w:hAnsi="宋体" w:eastAsia="宋体" w:cs="宋体"/>
                <w:color w:val="auto"/>
                <w:sz w:val="24"/>
                <w:szCs w:val="24"/>
                <w:highlight w:val="none"/>
              </w:rPr>
              <w:t>进行打分</w:t>
            </w:r>
            <w:r>
              <w:rPr>
                <w:rFonts w:hint="eastAsia" w:ascii="宋体" w:hAnsi="宋体" w:eastAsia="宋体" w:cs="宋体"/>
                <w:b w:val="0"/>
                <w:bCs w:val="0"/>
                <w:color w:val="auto"/>
                <w:sz w:val="24"/>
                <w:szCs w:val="24"/>
                <w:highlight w:val="none"/>
              </w:rPr>
              <w:t>。</w:t>
            </w:r>
          </w:p>
        </w:tc>
        <w:tc>
          <w:tcPr>
            <w:tcW w:w="810"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592" w:hRule="atLeast"/>
        </w:trPr>
        <w:tc>
          <w:tcPr>
            <w:tcW w:w="838"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rPr>
              <w:t>1</w:t>
            </w:r>
            <w:r>
              <w:rPr>
                <w:rFonts w:hint="eastAsia" w:ascii="宋体" w:hAnsi="宋体" w:cs="宋体"/>
                <w:color w:val="auto"/>
                <w:sz w:val="24"/>
                <w:szCs w:val="24"/>
                <w:highlight w:val="none"/>
                <w:lang w:val="en-US" w:eastAsia="zh-CN"/>
              </w:rPr>
              <w:t>0</w:t>
            </w:r>
          </w:p>
        </w:tc>
        <w:tc>
          <w:tcPr>
            <w:tcW w:w="462" w:type="dxa"/>
            <w:vMerge w:val="continue"/>
            <w:tcBorders>
              <w:left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rPr>
                <w:rFonts w:hint="eastAsia" w:ascii="宋体" w:hAnsi="宋体" w:eastAsia="宋体" w:cs="宋体"/>
                <w:color w:val="auto"/>
                <w:sz w:val="24"/>
                <w:szCs w:val="24"/>
                <w:highlight w:val="none"/>
              </w:rPr>
            </w:pPr>
          </w:p>
        </w:tc>
        <w:tc>
          <w:tcPr>
            <w:tcW w:w="163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人员配置</w:t>
            </w:r>
          </w:p>
        </w:tc>
        <w:tc>
          <w:tcPr>
            <w:tcW w:w="641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根据拟派</w:t>
            </w:r>
            <w:r>
              <w:rPr>
                <w:rFonts w:hint="eastAsia" w:ascii="宋体" w:hAnsi="宋体" w:cs="宋体"/>
                <w:color w:val="auto"/>
                <w:sz w:val="24"/>
                <w:szCs w:val="24"/>
                <w:highlight w:val="none"/>
                <w:lang w:val="en-US" w:eastAsia="zh-CN"/>
              </w:rPr>
              <w:t>本项目人员包括项目负责人、其他项目成员</w:t>
            </w:r>
            <w:r>
              <w:rPr>
                <w:rFonts w:hint="eastAsia" w:ascii="宋体" w:hAnsi="宋体" w:eastAsia="宋体" w:cs="宋体"/>
                <w:color w:val="auto"/>
                <w:sz w:val="24"/>
                <w:szCs w:val="24"/>
                <w:highlight w:val="none"/>
              </w:rPr>
              <w:t>的人员结构、专业配备的合理性、岗位设置情况，同类工作经验等情况进行打分。</w:t>
            </w:r>
          </w:p>
          <w:p>
            <w:pPr>
              <w:keepNext w:val="0"/>
              <w:keepLines w:val="0"/>
              <w:pageBreakBefore w:val="0"/>
              <w:kinsoku/>
              <w:wordWrap/>
              <w:overflowPunct/>
              <w:topLinePunct w:val="0"/>
              <w:autoSpaceDE/>
              <w:autoSpaceDN/>
              <w:bidi w:val="0"/>
              <w:adjustRightInd/>
              <w:snapToGrid/>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注：须提供</w:t>
            </w:r>
            <w:r>
              <w:rPr>
                <w:rFonts w:hint="eastAsia" w:ascii="宋体" w:hAnsi="宋体" w:eastAsia="宋体" w:cs="宋体"/>
                <w:color w:val="auto"/>
                <w:sz w:val="24"/>
                <w:szCs w:val="24"/>
                <w:highlight w:val="none"/>
                <w:lang w:val="en-US" w:eastAsia="zh-CN"/>
              </w:rPr>
              <w:t>相关证明材料</w:t>
            </w:r>
            <w:r>
              <w:rPr>
                <w:rFonts w:hint="eastAsia" w:ascii="宋体" w:hAnsi="宋体" w:eastAsia="宋体" w:cs="宋体"/>
                <w:color w:val="auto"/>
                <w:sz w:val="24"/>
                <w:szCs w:val="24"/>
                <w:highlight w:val="none"/>
              </w:rPr>
              <w:t>，并且必须是供应商本单位在职员工，还须提供已在本单位缴纳社保的承诺书并加盖供应商公章，否则不得分。</w:t>
            </w:r>
          </w:p>
        </w:tc>
        <w:tc>
          <w:tcPr>
            <w:tcW w:w="810"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lang w:eastAsia="zh-CN"/>
              </w:rPr>
            </w:pPr>
            <w:r>
              <w:rPr>
                <w:rFonts w:hint="eastAsia" w:ascii="宋体" w:hAnsi="宋体" w:cs="宋体"/>
                <w:color w:val="auto"/>
                <w:sz w:val="24"/>
                <w:szCs w:val="24"/>
                <w:highlight w:val="none"/>
                <w:lang w:val="en-US" w:eastAsia="zh-CN"/>
              </w:rPr>
              <w:t>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004" w:hRule="atLeast"/>
        </w:trPr>
        <w:tc>
          <w:tcPr>
            <w:tcW w:w="838"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default"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w:t>
            </w:r>
            <w:r>
              <w:rPr>
                <w:rFonts w:hint="eastAsia" w:ascii="宋体" w:hAnsi="宋体" w:cs="宋体"/>
                <w:color w:val="auto"/>
                <w:sz w:val="24"/>
                <w:szCs w:val="24"/>
                <w:highlight w:val="none"/>
                <w:lang w:val="en-US" w:eastAsia="zh-CN"/>
              </w:rPr>
              <w:t>1</w:t>
            </w:r>
          </w:p>
        </w:tc>
        <w:tc>
          <w:tcPr>
            <w:tcW w:w="462" w:type="dxa"/>
            <w:vMerge w:val="continue"/>
            <w:tcBorders>
              <w:left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rPr>
                <w:rFonts w:hint="eastAsia" w:ascii="宋体" w:hAnsi="宋体" w:eastAsia="宋体" w:cs="宋体"/>
                <w:color w:val="auto"/>
                <w:sz w:val="24"/>
                <w:szCs w:val="24"/>
                <w:highlight w:val="none"/>
              </w:rPr>
            </w:pPr>
          </w:p>
        </w:tc>
        <w:tc>
          <w:tcPr>
            <w:tcW w:w="163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布置情况</w:t>
            </w:r>
          </w:p>
        </w:tc>
        <w:tc>
          <w:tcPr>
            <w:tcW w:w="641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根据供应商提供的材料堆场、施工通道的安排计划是否符合施工现场实际情况，安排是否科学、合理进行打分。</w:t>
            </w:r>
          </w:p>
        </w:tc>
        <w:tc>
          <w:tcPr>
            <w:tcW w:w="810"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590" w:hRule="atLeast"/>
        </w:trPr>
        <w:tc>
          <w:tcPr>
            <w:tcW w:w="838"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rPr>
              <w:t>1</w:t>
            </w:r>
            <w:r>
              <w:rPr>
                <w:rFonts w:hint="eastAsia" w:ascii="宋体" w:hAnsi="宋体" w:cs="宋体"/>
                <w:color w:val="auto"/>
                <w:sz w:val="24"/>
                <w:szCs w:val="24"/>
                <w:highlight w:val="none"/>
                <w:lang w:val="en-US" w:eastAsia="zh-CN"/>
              </w:rPr>
              <w:t>2</w:t>
            </w:r>
          </w:p>
        </w:tc>
        <w:tc>
          <w:tcPr>
            <w:tcW w:w="462" w:type="dxa"/>
            <w:vMerge w:val="continue"/>
            <w:tcBorders>
              <w:left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rPr>
                <w:rFonts w:hint="eastAsia" w:ascii="宋体" w:hAnsi="宋体" w:eastAsia="宋体" w:cs="宋体"/>
                <w:color w:val="auto"/>
                <w:sz w:val="24"/>
                <w:szCs w:val="24"/>
                <w:highlight w:val="none"/>
              </w:rPr>
            </w:pPr>
          </w:p>
        </w:tc>
        <w:tc>
          <w:tcPr>
            <w:tcW w:w="163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施工重点</w:t>
            </w:r>
          </w:p>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难点分析</w:t>
            </w:r>
          </w:p>
        </w:tc>
        <w:tc>
          <w:tcPr>
            <w:tcW w:w="641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针对本项目施工重点、难点分析，以及提出的重点、难点的相应解决方案，根据其分析的全面性，解决方案的针对性，进行打分。</w:t>
            </w:r>
          </w:p>
        </w:tc>
        <w:tc>
          <w:tcPr>
            <w:tcW w:w="810"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4</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121" w:hRule="atLeast"/>
        </w:trPr>
        <w:tc>
          <w:tcPr>
            <w:tcW w:w="838"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rPr>
              <w:t>1</w:t>
            </w:r>
            <w:r>
              <w:rPr>
                <w:rFonts w:hint="eastAsia" w:ascii="宋体" w:hAnsi="宋体" w:cs="宋体"/>
                <w:color w:val="auto"/>
                <w:sz w:val="24"/>
                <w:szCs w:val="24"/>
                <w:highlight w:val="none"/>
                <w:lang w:val="en-US" w:eastAsia="zh-CN"/>
              </w:rPr>
              <w:t>3</w:t>
            </w:r>
          </w:p>
        </w:tc>
        <w:tc>
          <w:tcPr>
            <w:tcW w:w="462" w:type="dxa"/>
            <w:vMerge w:val="continue"/>
            <w:tcBorders>
              <w:left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rPr>
                <w:rFonts w:hint="eastAsia" w:ascii="宋体" w:hAnsi="宋体" w:eastAsia="宋体" w:cs="宋体"/>
                <w:color w:val="auto"/>
                <w:sz w:val="24"/>
                <w:szCs w:val="24"/>
                <w:highlight w:val="none"/>
              </w:rPr>
            </w:pPr>
          </w:p>
        </w:tc>
        <w:tc>
          <w:tcPr>
            <w:tcW w:w="163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成品保护的保证措施</w:t>
            </w:r>
          </w:p>
        </w:tc>
        <w:tc>
          <w:tcPr>
            <w:tcW w:w="641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供应商对成品保护的保证措施，是否合理、科学，具有可操作性，进行打分。</w:t>
            </w:r>
          </w:p>
        </w:tc>
        <w:tc>
          <w:tcPr>
            <w:tcW w:w="810"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928" w:hRule="atLeast"/>
        </w:trPr>
        <w:tc>
          <w:tcPr>
            <w:tcW w:w="838"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rPr>
              <w:t>1</w:t>
            </w:r>
            <w:r>
              <w:rPr>
                <w:rFonts w:hint="eastAsia" w:ascii="宋体" w:hAnsi="宋体" w:cs="宋体"/>
                <w:color w:val="auto"/>
                <w:sz w:val="24"/>
                <w:szCs w:val="24"/>
                <w:highlight w:val="none"/>
                <w:lang w:val="en-US" w:eastAsia="zh-CN"/>
              </w:rPr>
              <w:t>4</w:t>
            </w:r>
          </w:p>
        </w:tc>
        <w:tc>
          <w:tcPr>
            <w:tcW w:w="462" w:type="dxa"/>
            <w:vMerge w:val="continue"/>
            <w:tcBorders>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rPr>
                <w:rFonts w:hint="eastAsia" w:ascii="宋体" w:hAnsi="宋体" w:eastAsia="宋体" w:cs="宋体"/>
                <w:color w:val="auto"/>
                <w:sz w:val="24"/>
                <w:szCs w:val="24"/>
                <w:highlight w:val="none"/>
              </w:rPr>
            </w:pPr>
          </w:p>
        </w:tc>
        <w:tc>
          <w:tcPr>
            <w:tcW w:w="163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管理协调</w:t>
            </w:r>
          </w:p>
        </w:tc>
        <w:tc>
          <w:tcPr>
            <w:tcW w:w="641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与其他部门或人员的管理和协调具体措施进行打分。</w:t>
            </w:r>
          </w:p>
        </w:tc>
        <w:tc>
          <w:tcPr>
            <w:tcW w:w="810"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581" w:hRule="atLeast"/>
        </w:trPr>
        <w:tc>
          <w:tcPr>
            <w:tcW w:w="838"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rPr>
              <w:t>二</w:t>
            </w:r>
          </w:p>
        </w:tc>
        <w:tc>
          <w:tcPr>
            <w:tcW w:w="8510" w:type="dxa"/>
            <w:gridSpan w:val="3"/>
            <w:tcBorders>
              <w:left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rPr>
              <w:t>商务、资信及其他分</w:t>
            </w:r>
          </w:p>
        </w:tc>
        <w:tc>
          <w:tcPr>
            <w:tcW w:w="810"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rPr>
              <w:t>1</w:t>
            </w:r>
            <w:r>
              <w:rPr>
                <w:rFonts w:hint="eastAsia" w:ascii="宋体" w:hAnsi="宋体" w:cs="宋体"/>
                <w:b/>
                <w:bCs/>
                <w:color w:val="auto"/>
                <w:sz w:val="24"/>
                <w:szCs w:val="24"/>
                <w:highlight w:val="none"/>
                <w:lang w:val="en-US" w:eastAsia="zh-CN"/>
              </w:rPr>
              <w:t>4</w:t>
            </w:r>
            <w:r>
              <w:rPr>
                <w:rFonts w:hint="eastAsia" w:ascii="宋体" w:hAnsi="宋体" w:eastAsia="宋体" w:cs="宋体"/>
                <w:b/>
                <w:bCs/>
                <w:color w:val="auto"/>
                <w:sz w:val="24"/>
                <w:szCs w:val="24"/>
                <w:highlight w:val="none"/>
              </w:rPr>
              <w:t>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1107" w:hRule="atLeast"/>
        </w:trPr>
        <w:tc>
          <w:tcPr>
            <w:tcW w:w="838"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default" w:ascii="宋体" w:hAnsi="宋体" w:eastAsia="宋体" w:cs="宋体"/>
                <w:color w:val="auto"/>
                <w:sz w:val="24"/>
                <w:szCs w:val="24"/>
                <w:highlight w:val="none"/>
                <w:lang w:val="en-US" w:eastAsia="zh-CN"/>
              </w:rPr>
            </w:pPr>
            <w:r>
              <w:rPr>
                <w:rFonts w:hint="eastAsia" w:ascii="宋体" w:hAnsi="宋体" w:cs="宋体"/>
                <w:color w:val="auto"/>
                <w:sz w:val="24"/>
                <w:szCs w:val="24"/>
                <w:highlight w:val="none"/>
                <w:lang w:val="en-US" w:eastAsia="zh-CN"/>
              </w:rPr>
              <w:t>15</w:t>
            </w:r>
          </w:p>
        </w:tc>
        <w:tc>
          <w:tcPr>
            <w:tcW w:w="462" w:type="dxa"/>
            <w:vMerge w:val="restart"/>
            <w:tcBorders>
              <w:top w:val="single" w:color="auto" w:sz="4" w:space="0"/>
              <w:left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履约能力</w:t>
            </w:r>
          </w:p>
        </w:tc>
        <w:tc>
          <w:tcPr>
            <w:tcW w:w="1637"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color w:val="auto"/>
                <w:sz w:val="24"/>
                <w:szCs w:val="24"/>
                <w:highlight w:val="none"/>
                <w:lang w:val="en-US" w:eastAsia="zh-CN"/>
              </w:rPr>
            </w:pPr>
            <w:r>
              <w:rPr>
                <w:rFonts w:hint="eastAsia" w:hAnsi="宋体" w:cs="宋体"/>
                <w:color w:val="auto"/>
                <w:sz w:val="24"/>
                <w:highlight w:val="none"/>
              </w:rPr>
              <w:t>质保期</w:t>
            </w:r>
          </w:p>
        </w:tc>
        <w:tc>
          <w:tcPr>
            <w:tcW w:w="6411" w:type="dxa"/>
            <w:tcBorders>
              <w:top w:val="single" w:color="auto" w:sz="4" w:space="0"/>
              <w:left w:val="single" w:color="auto" w:sz="4" w:space="0"/>
              <w:bottom w:val="single" w:color="auto" w:sz="4" w:space="0"/>
              <w:right w:val="single" w:color="auto" w:sz="4" w:space="0"/>
            </w:tcBorders>
            <w:vAlign w:val="center"/>
          </w:tcPr>
          <w:p>
            <w:pPr>
              <w:spacing w:line="360" w:lineRule="auto"/>
              <w:rPr>
                <w:rFonts w:hint="eastAsia" w:ascii="宋体" w:hAnsi="宋体" w:eastAsia="宋体" w:cs="宋体"/>
                <w:color w:val="auto"/>
                <w:sz w:val="24"/>
                <w:szCs w:val="24"/>
                <w:highlight w:val="none"/>
              </w:rPr>
            </w:pPr>
            <w:r>
              <w:rPr>
                <w:rFonts w:hint="eastAsia" w:hAnsi="宋体" w:cs="宋体"/>
                <w:color w:val="auto"/>
                <w:sz w:val="24"/>
                <w:highlight w:val="none"/>
              </w:rPr>
              <w:t>质保期超过招标文件规定的，每增加</w:t>
            </w:r>
            <w:r>
              <w:rPr>
                <w:rFonts w:hint="eastAsia" w:hAnsi="宋体" w:cs="宋体"/>
                <w:color w:val="auto"/>
                <w:sz w:val="24"/>
                <w:highlight w:val="none"/>
                <w:lang w:val="en-US" w:eastAsia="zh-CN"/>
              </w:rPr>
              <w:t>一</w:t>
            </w:r>
            <w:r>
              <w:rPr>
                <w:rFonts w:hint="eastAsia" w:hAnsi="宋体" w:cs="宋体"/>
                <w:color w:val="auto"/>
                <w:sz w:val="24"/>
                <w:highlight w:val="none"/>
              </w:rPr>
              <w:t>年得</w:t>
            </w:r>
            <w:r>
              <w:rPr>
                <w:rFonts w:hint="eastAsia" w:hAnsi="宋体" w:cs="宋体"/>
                <w:color w:val="auto"/>
                <w:sz w:val="24"/>
                <w:highlight w:val="none"/>
                <w:lang w:val="en-US" w:eastAsia="zh-CN"/>
              </w:rPr>
              <w:t>1</w:t>
            </w:r>
            <w:r>
              <w:rPr>
                <w:rFonts w:hint="eastAsia" w:hAnsi="宋体" w:cs="宋体"/>
                <w:color w:val="auto"/>
                <w:sz w:val="24"/>
                <w:highlight w:val="none"/>
              </w:rPr>
              <w:t>分，最多得</w:t>
            </w:r>
            <w:r>
              <w:rPr>
                <w:rFonts w:hint="eastAsia" w:hAnsi="宋体" w:cs="宋体"/>
                <w:color w:val="auto"/>
                <w:sz w:val="24"/>
                <w:highlight w:val="none"/>
                <w:lang w:val="en-US" w:eastAsia="zh-CN"/>
              </w:rPr>
              <w:t>2</w:t>
            </w:r>
            <w:r>
              <w:rPr>
                <w:rFonts w:hint="eastAsia" w:hAnsi="宋体" w:cs="宋体"/>
                <w:color w:val="auto"/>
                <w:sz w:val="24"/>
                <w:highlight w:val="none"/>
              </w:rPr>
              <w:t>分。</w:t>
            </w:r>
          </w:p>
        </w:tc>
        <w:tc>
          <w:tcPr>
            <w:tcW w:w="810"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lang w:val="en-US" w:eastAsia="zh-CN"/>
              </w:rPr>
            </w:pPr>
            <w:r>
              <w:rPr>
                <w:rFonts w:hint="eastAsia" w:ascii="宋体" w:hAnsi="宋体" w:cs="宋体"/>
                <w:color w:val="auto"/>
                <w:sz w:val="24"/>
                <w:szCs w:val="24"/>
                <w:highlight w:val="none"/>
                <w:lang w:val="en-US" w:eastAsia="zh-CN"/>
              </w:rPr>
              <w:t>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1489" w:hRule="atLeast"/>
        </w:trPr>
        <w:tc>
          <w:tcPr>
            <w:tcW w:w="838"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rPr>
              <w:t>1</w:t>
            </w:r>
            <w:r>
              <w:rPr>
                <w:rFonts w:hint="eastAsia" w:ascii="宋体" w:hAnsi="宋体" w:cs="宋体"/>
                <w:color w:val="auto"/>
                <w:sz w:val="24"/>
                <w:szCs w:val="24"/>
                <w:highlight w:val="none"/>
                <w:lang w:val="en-US" w:eastAsia="zh-CN"/>
              </w:rPr>
              <w:t>6</w:t>
            </w:r>
          </w:p>
        </w:tc>
        <w:tc>
          <w:tcPr>
            <w:tcW w:w="462" w:type="dxa"/>
            <w:vMerge w:val="continue"/>
            <w:tcBorders>
              <w:left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rPr>
                <w:rFonts w:hint="eastAsia" w:ascii="宋体" w:hAnsi="宋体" w:eastAsia="宋体" w:cs="宋体"/>
                <w:color w:val="auto"/>
                <w:sz w:val="24"/>
                <w:szCs w:val="24"/>
                <w:highlight w:val="none"/>
              </w:rPr>
            </w:pPr>
          </w:p>
        </w:tc>
        <w:tc>
          <w:tcPr>
            <w:tcW w:w="163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认证证书</w:t>
            </w:r>
          </w:p>
        </w:tc>
        <w:tc>
          <w:tcPr>
            <w:tcW w:w="641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供应商具有质量管理体系认证证书、环境管理体系认证证书、职业健康安全管理认证证书，且在有效期内，每个证书得</w:t>
            </w:r>
            <w:r>
              <w:rPr>
                <w:rFonts w:hint="eastAsia" w:ascii="宋体" w:hAnsi="宋体" w:cs="宋体"/>
                <w:color w:val="auto"/>
                <w:sz w:val="24"/>
                <w:szCs w:val="24"/>
                <w:highlight w:val="none"/>
                <w:lang w:val="en-US" w:eastAsia="zh-CN"/>
              </w:rPr>
              <w:t>0.5</w:t>
            </w:r>
            <w:r>
              <w:rPr>
                <w:rFonts w:hint="eastAsia" w:ascii="宋体" w:hAnsi="宋体" w:eastAsia="宋体" w:cs="宋体"/>
                <w:color w:val="auto"/>
                <w:sz w:val="24"/>
                <w:szCs w:val="24"/>
                <w:highlight w:val="none"/>
              </w:rPr>
              <w:t>分，最多得</w:t>
            </w:r>
            <w:r>
              <w:rPr>
                <w:rFonts w:hint="eastAsia" w:ascii="宋体" w:hAnsi="宋体" w:cs="宋体"/>
                <w:color w:val="auto"/>
                <w:sz w:val="24"/>
                <w:szCs w:val="24"/>
                <w:highlight w:val="none"/>
                <w:lang w:val="en-US" w:eastAsia="zh-CN"/>
              </w:rPr>
              <w:t>1.5</w:t>
            </w:r>
            <w:r>
              <w:rPr>
                <w:rFonts w:hint="eastAsia" w:ascii="宋体" w:hAnsi="宋体" w:eastAsia="宋体" w:cs="宋体"/>
                <w:color w:val="auto"/>
                <w:sz w:val="24"/>
                <w:szCs w:val="24"/>
                <w:highlight w:val="none"/>
              </w:rPr>
              <w:t>分，没有不得分。</w:t>
            </w:r>
          </w:p>
        </w:tc>
        <w:tc>
          <w:tcPr>
            <w:tcW w:w="810"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default" w:ascii="宋体" w:hAnsi="宋体" w:eastAsia="宋体" w:cs="宋体"/>
                <w:color w:val="auto"/>
                <w:sz w:val="24"/>
                <w:szCs w:val="24"/>
                <w:highlight w:val="none"/>
                <w:lang w:val="en-US" w:eastAsia="zh-CN"/>
              </w:rPr>
            </w:pPr>
            <w:r>
              <w:rPr>
                <w:rFonts w:hint="eastAsia" w:ascii="宋体" w:hAnsi="宋体" w:cs="宋体"/>
                <w:color w:val="auto"/>
                <w:sz w:val="24"/>
                <w:szCs w:val="24"/>
                <w:highlight w:val="none"/>
                <w:lang w:val="en-US" w:eastAsia="zh-CN"/>
              </w:rPr>
              <w:t>1.5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1532" w:hRule="atLeast"/>
        </w:trPr>
        <w:tc>
          <w:tcPr>
            <w:tcW w:w="838"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rPr>
              <w:t>1</w:t>
            </w:r>
            <w:r>
              <w:rPr>
                <w:rFonts w:hint="eastAsia" w:ascii="宋体" w:hAnsi="宋体" w:cs="宋体"/>
                <w:color w:val="auto"/>
                <w:sz w:val="24"/>
                <w:szCs w:val="24"/>
                <w:highlight w:val="none"/>
                <w:lang w:val="en-US" w:eastAsia="zh-CN"/>
              </w:rPr>
              <w:t>7</w:t>
            </w:r>
          </w:p>
        </w:tc>
        <w:tc>
          <w:tcPr>
            <w:tcW w:w="462" w:type="dxa"/>
            <w:vMerge w:val="continue"/>
            <w:tcBorders>
              <w:left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rPr>
                <w:rFonts w:hint="eastAsia" w:ascii="宋体" w:hAnsi="宋体" w:eastAsia="宋体" w:cs="宋体"/>
                <w:color w:val="auto"/>
                <w:sz w:val="24"/>
                <w:szCs w:val="24"/>
                <w:highlight w:val="none"/>
              </w:rPr>
            </w:pPr>
          </w:p>
        </w:tc>
        <w:tc>
          <w:tcPr>
            <w:tcW w:w="163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同类项目</w:t>
            </w:r>
          </w:p>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业绩</w:t>
            </w:r>
          </w:p>
        </w:tc>
        <w:tc>
          <w:tcPr>
            <w:tcW w:w="641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供应商自202</w:t>
            </w: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rPr>
              <w:t>年1月以来有同类项目业绩的，每个业绩得</w:t>
            </w:r>
            <w:r>
              <w:rPr>
                <w:rFonts w:hint="eastAsia" w:ascii="宋体" w:hAnsi="宋体" w:cs="宋体"/>
                <w:color w:val="auto"/>
                <w:sz w:val="24"/>
                <w:szCs w:val="24"/>
                <w:highlight w:val="none"/>
                <w:lang w:val="en-US" w:eastAsia="zh-CN"/>
              </w:rPr>
              <w:t>0.5</w:t>
            </w:r>
            <w:r>
              <w:rPr>
                <w:rFonts w:hint="eastAsia" w:ascii="宋体" w:hAnsi="宋体" w:eastAsia="宋体" w:cs="宋体"/>
                <w:color w:val="auto"/>
                <w:sz w:val="24"/>
                <w:szCs w:val="24"/>
                <w:highlight w:val="none"/>
              </w:rPr>
              <w:t>分，最高得</w:t>
            </w:r>
            <w:r>
              <w:rPr>
                <w:rFonts w:hint="eastAsia" w:ascii="宋体" w:hAnsi="宋体" w:cs="宋体"/>
                <w:color w:val="auto"/>
                <w:sz w:val="24"/>
                <w:szCs w:val="24"/>
                <w:highlight w:val="none"/>
                <w:lang w:val="en-US" w:eastAsia="zh-CN"/>
              </w:rPr>
              <w:t>1.5</w:t>
            </w:r>
            <w:r>
              <w:rPr>
                <w:rFonts w:hint="eastAsia" w:ascii="宋体" w:hAnsi="宋体" w:eastAsia="宋体" w:cs="宋体"/>
                <w:color w:val="auto"/>
                <w:sz w:val="24"/>
                <w:szCs w:val="24"/>
                <w:highlight w:val="none"/>
              </w:rPr>
              <w:t>分。（以提供中标通知书或合同复印件为准）</w:t>
            </w:r>
          </w:p>
        </w:tc>
        <w:tc>
          <w:tcPr>
            <w:tcW w:w="810"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default" w:ascii="宋体" w:hAnsi="宋体" w:eastAsia="宋体" w:cs="宋体"/>
                <w:color w:val="auto"/>
                <w:sz w:val="24"/>
                <w:szCs w:val="24"/>
                <w:highlight w:val="none"/>
                <w:lang w:val="en-US" w:eastAsia="zh-CN"/>
              </w:rPr>
            </w:pPr>
            <w:r>
              <w:rPr>
                <w:rFonts w:hint="eastAsia" w:ascii="宋体" w:hAnsi="宋体" w:cs="宋体"/>
                <w:color w:val="auto"/>
                <w:sz w:val="24"/>
                <w:szCs w:val="24"/>
                <w:highlight w:val="none"/>
                <w:lang w:val="en-US" w:eastAsia="zh-CN"/>
              </w:rPr>
              <w:t>1.5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944" w:hRule="atLeast"/>
        </w:trPr>
        <w:tc>
          <w:tcPr>
            <w:tcW w:w="838"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default"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w:t>
            </w:r>
            <w:r>
              <w:rPr>
                <w:rFonts w:hint="eastAsia" w:ascii="宋体" w:hAnsi="宋体" w:cs="宋体"/>
                <w:color w:val="auto"/>
                <w:sz w:val="24"/>
                <w:szCs w:val="24"/>
                <w:highlight w:val="none"/>
                <w:lang w:val="en-US" w:eastAsia="zh-CN"/>
              </w:rPr>
              <w:t>8</w:t>
            </w:r>
          </w:p>
        </w:tc>
        <w:tc>
          <w:tcPr>
            <w:tcW w:w="462" w:type="dxa"/>
            <w:vMerge w:val="continue"/>
            <w:tcBorders>
              <w:left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rPr>
                <w:rFonts w:hint="eastAsia" w:ascii="宋体" w:hAnsi="宋体" w:eastAsia="宋体" w:cs="宋体"/>
                <w:color w:val="auto"/>
                <w:sz w:val="24"/>
                <w:szCs w:val="24"/>
                <w:highlight w:val="none"/>
              </w:rPr>
            </w:pPr>
          </w:p>
        </w:tc>
        <w:tc>
          <w:tcPr>
            <w:tcW w:w="1637" w:type="dxa"/>
            <w:vMerge w:val="restar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售后保障</w:t>
            </w:r>
          </w:p>
        </w:tc>
        <w:tc>
          <w:tcPr>
            <w:tcW w:w="641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根据供应商提供的售后服务方案、售后服务承诺的可行性、完整性进行打分。</w:t>
            </w:r>
          </w:p>
        </w:tc>
        <w:tc>
          <w:tcPr>
            <w:tcW w:w="810"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4</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985" w:hRule="atLeast"/>
        </w:trPr>
        <w:tc>
          <w:tcPr>
            <w:tcW w:w="838"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default" w:ascii="宋体" w:hAnsi="宋体" w:eastAsia="宋体" w:cs="宋体"/>
                <w:color w:val="auto"/>
                <w:sz w:val="24"/>
                <w:szCs w:val="24"/>
                <w:highlight w:val="none"/>
                <w:lang w:val="en-US" w:eastAsia="zh-CN"/>
              </w:rPr>
            </w:pPr>
            <w:r>
              <w:rPr>
                <w:rFonts w:hint="eastAsia" w:ascii="宋体" w:hAnsi="宋体" w:cs="宋体"/>
                <w:color w:val="auto"/>
                <w:sz w:val="24"/>
                <w:szCs w:val="24"/>
                <w:highlight w:val="none"/>
                <w:lang w:val="en-US" w:eastAsia="zh-CN"/>
              </w:rPr>
              <w:t>19</w:t>
            </w:r>
          </w:p>
        </w:tc>
        <w:tc>
          <w:tcPr>
            <w:tcW w:w="462" w:type="dxa"/>
            <w:vMerge w:val="continue"/>
            <w:tcBorders>
              <w:left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rPr>
                <w:rFonts w:hint="eastAsia" w:ascii="宋体" w:hAnsi="宋体" w:eastAsia="宋体" w:cs="宋体"/>
                <w:color w:val="auto"/>
                <w:sz w:val="24"/>
                <w:szCs w:val="24"/>
                <w:highlight w:val="none"/>
              </w:rPr>
            </w:pPr>
          </w:p>
        </w:tc>
        <w:tc>
          <w:tcPr>
            <w:tcW w:w="1637"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rPr>
            </w:pPr>
          </w:p>
        </w:tc>
        <w:tc>
          <w:tcPr>
            <w:tcW w:w="641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根据供应商提供售后服务的便捷性、售后服务响应时间的及时性进行打分。</w:t>
            </w:r>
          </w:p>
        </w:tc>
        <w:tc>
          <w:tcPr>
            <w:tcW w:w="810"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1032" w:hRule="atLeast"/>
        </w:trPr>
        <w:tc>
          <w:tcPr>
            <w:tcW w:w="838"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rPr>
              <w:t>2</w:t>
            </w:r>
            <w:r>
              <w:rPr>
                <w:rFonts w:hint="eastAsia" w:ascii="宋体" w:hAnsi="宋体" w:cs="宋体"/>
                <w:color w:val="auto"/>
                <w:sz w:val="24"/>
                <w:szCs w:val="24"/>
                <w:highlight w:val="none"/>
                <w:lang w:val="en-US" w:eastAsia="zh-CN"/>
              </w:rPr>
              <w:t>0</w:t>
            </w:r>
          </w:p>
        </w:tc>
        <w:tc>
          <w:tcPr>
            <w:tcW w:w="462" w:type="dxa"/>
            <w:vMerge w:val="continue"/>
            <w:tcBorders>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rPr>
                <w:rFonts w:hint="eastAsia" w:ascii="宋体" w:hAnsi="宋体" w:eastAsia="宋体" w:cs="宋体"/>
                <w:color w:val="auto"/>
                <w:sz w:val="24"/>
                <w:szCs w:val="24"/>
                <w:highlight w:val="none"/>
              </w:rPr>
            </w:pPr>
          </w:p>
        </w:tc>
        <w:tc>
          <w:tcPr>
            <w:tcW w:w="163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合理化建议</w:t>
            </w:r>
          </w:p>
        </w:tc>
        <w:tc>
          <w:tcPr>
            <w:tcW w:w="641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根据供应商提供的针对本项目合理化建议，是否具有可操作性、针对性，进行打分。</w:t>
            </w:r>
          </w:p>
        </w:tc>
        <w:tc>
          <w:tcPr>
            <w:tcW w:w="810"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auto"/>
              <w:jc w:val="center"/>
              <w:rPr>
                <w:rFonts w:hint="eastAsia" w:ascii="宋体" w:hAnsi="宋体" w:eastAsia="宋体" w:cs="宋体"/>
                <w:color w:val="auto"/>
                <w:sz w:val="24"/>
                <w:szCs w:val="24"/>
                <w:highlight w:val="none"/>
                <w:lang w:eastAsia="zh-CN"/>
              </w:rPr>
            </w:pPr>
            <w:r>
              <w:rPr>
                <w:rFonts w:hint="eastAsia" w:ascii="宋体" w:hAnsi="宋体" w:cs="宋体"/>
                <w:color w:val="auto"/>
                <w:sz w:val="24"/>
                <w:szCs w:val="24"/>
                <w:highlight w:val="none"/>
                <w:lang w:val="en-US" w:eastAsia="zh-CN"/>
              </w:rPr>
              <w:t>3</w:t>
            </w:r>
          </w:p>
        </w:tc>
      </w:tr>
    </w:tbl>
    <w:p>
      <w:pPr>
        <w:spacing w:beforeLines="50" w:afterLines="50" w:line="360" w:lineRule="auto"/>
        <w:ind w:firstLine="480" w:firstLineChars="200"/>
        <w:rPr>
          <w:rFonts w:hint="eastAsia" w:ascii="宋体" w:hAnsi="宋体"/>
          <w:color w:val="auto"/>
          <w:sz w:val="24"/>
          <w:highlight w:val="none"/>
        </w:rPr>
      </w:pPr>
    </w:p>
    <w:p>
      <w:pPr>
        <w:spacing w:beforeLines="50" w:afterLines="50" w:line="360" w:lineRule="auto"/>
        <w:ind w:firstLine="480" w:firstLineChars="200"/>
        <w:rPr>
          <w:rFonts w:ascii="宋体" w:hAnsi="宋体"/>
          <w:color w:val="auto"/>
          <w:sz w:val="24"/>
          <w:highlight w:val="none"/>
        </w:rPr>
      </w:pPr>
      <w:r>
        <w:rPr>
          <w:rFonts w:hint="eastAsia" w:ascii="宋体" w:hAnsi="宋体"/>
          <w:color w:val="auto"/>
          <w:sz w:val="24"/>
          <w:highlight w:val="none"/>
        </w:rPr>
        <w:t>1.1开启参加磋商的供应商的第一次报价。</w:t>
      </w:r>
    </w:p>
    <w:p>
      <w:pPr>
        <w:spacing w:beforeLines="50" w:afterLines="50" w:line="360" w:lineRule="auto"/>
        <w:ind w:firstLine="480" w:firstLineChars="200"/>
        <w:rPr>
          <w:rFonts w:ascii="宋体" w:hAnsi="宋体"/>
          <w:color w:val="auto"/>
          <w:sz w:val="24"/>
          <w:highlight w:val="none"/>
        </w:rPr>
      </w:pPr>
      <w:r>
        <w:rPr>
          <w:rFonts w:hint="eastAsia" w:ascii="宋体" w:hAnsi="宋体"/>
          <w:color w:val="auto"/>
          <w:sz w:val="24"/>
          <w:highlight w:val="none"/>
        </w:rPr>
        <w:t>1.2磋商小组会对上述供应商的报价文件进行评审。</w:t>
      </w:r>
    </w:p>
    <w:p>
      <w:pPr>
        <w:spacing w:beforeLines="50" w:afterLines="50" w:line="360" w:lineRule="auto"/>
        <w:ind w:firstLine="480" w:firstLineChars="200"/>
        <w:rPr>
          <w:rFonts w:ascii="宋体" w:hAnsi="宋体"/>
          <w:strike/>
          <w:color w:val="auto"/>
          <w:sz w:val="24"/>
          <w:highlight w:val="none"/>
        </w:rPr>
      </w:pPr>
      <w:r>
        <w:rPr>
          <w:rFonts w:hint="eastAsia" w:ascii="宋体" w:hAnsi="宋体"/>
          <w:color w:val="auto"/>
          <w:sz w:val="24"/>
          <w:highlight w:val="none"/>
        </w:rPr>
        <w:t>1.3第一次报价评审有效的供应商在规定时间在线进行最终报价（如果出现异常，无法通过在线提交的，供应商应及时联系采购代理机构，通过指定的电子邮箱提供（最终报价表格式见附件，指定邮箱：1816352277@qq.com）。</w:t>
      </w:r>
    </w:p>
    <w:p>
      <w:pPr>
        <w:spacing w:beforeLines="50" w:afterLines="50" w:line="360" w:lineRule="auto"/>
        <w:ind w:firstLine="480" w:firstLineChars="200"/>
        <w:rPr>
          <w:rFonts w:ascii="宋体" w:hAnsi="宋体"/>
          <w:color w:val="auto"/>
          <w:sz w:val="24"/>
          <w:highlight w:val="none"/>
        </w:rPr>
      </w:pPr>
      <w:r>
        <w:rPr>
          <w:rFonts w:hint="eastAsia" w:ascii="宋体" w:hAnsi="宋体"/>
          <w:color w:val="auto"/>
          <w:sz w:val="24"/>
          <w:highlight w:val="none"/>
        </w:rPr>
        <w:t>1.4磋商小组对供应商的最终报价进行评审，磋商小组认为供应商的报价明显低于其他通过符合性审查供应商的报价，有可能影响服务质量或者不能诚信履约的，要求其在评审系统合理的时间内提供书面说明，必要时提交相关证明材料；供应商不能证明其报价合理性的，磋商小组应当将其作为无效磋商响应处理。</w:t>
      </w:r>
    </w:p>
    <w:p>
      <w:pPr>
        <w:spacing w:beforeLines="50" w:afterLines="50" w:line="360" w:lineRule="auto"/>
        <w:ind w:firstLine="480" w:firstLineChars="200"/>
        <w:rPr>
          <w:rFonts w:ascii="宋体" w:hAnsi="宋体"/>
          <w:color w:val="auto"/>
          <w:sz w:val="24"/>
          <w:highlight w:val="none"/>
        </w:rPr>
      </w:pPr>
      <w:r>
        <w:rPr>
          <w:rFonts w:hint="eastAsia" w:ascii="宋体" w:hAnsi="宋体"/>
          <w:color w:val="auto"/>
          <w:sz w:val="24"/>
          <w:highlight w:val="none"/>
        </w:rPr>
        <w:t>1.5磋商小组对最终报价审核有效的供应商，采用综合评分法进行综合评分（详见评分细则）。</w:t>
      </w:r>
    </w:p>
    <w:p>
      <w:pPr>
        <w:spacing w:beforeLines="50" w:afterLines="50" w:line="360" w:lineRule="auto"/>
        <w:ind w:firstLine="480" w:firstLineChars="200"/>
        <w:rPr>
          <w:rFonts w:ascii="宋体" w:hAnsi="宋体"/>
          <w:color w:val="auto"/>
          <w:sz w:val="24"/>
          <w:highlight w:val="none"/>
        </w:rPr>
      </w:pPr>
      <w:r>
        <w:rPr>
          <w:rFonts w:hint="eastAsia" w:ascii="宋体" w:hAnsi="宋体"/>
          <w:color w:val="auto"/>
          <w:sz w:val="24"/>
          <w:highlight w:val="none"/>
        </w:rPr>
        <w:t>1.6磋商小组根据评审相关情况作出评审报告。</w:t>
      </w:r>
    </w:p>
    <w:p>
      <w:pPr>
        <w:spacing w:beforeLines="50" w:afterLines="50" w:line="360" w:lineRule="auto"/>
        <w:ind w:firstLine="480" w:firstLineChars="200"/>
        <w:rPr>
          <w:rFonts w:ascii="宋体" w:hAnsi="宋体"/>
          <w:color w:val="auto"/>
          <w:sz w:val="24"/>
          <w:highlight w:val="none"/>
        </w:rPr>
      </w:pPr>
      <w:r>
        <w:rPr>
          <w:rFonts w:hint="eastAsia" w:ascii="宋体" w:hAnsi="宋体"/>
          <w:color w:val="auto"/>
          <w:sz w:val="24"/>
          <w:highlight w:val="none"/>
        </w:rPr>
        <w:t>1.7磋商结束后，在线公布最终的评审结果和成交供应商。</w:t>
      </w:r>
    </w:p>
    <w:p>
      <w:pPr>
        <w:spacing w:beforeLines="50" w:afterLines="50" w:line="360" w:lineRule="auto"/>
        <w:ind w:firstLine="482" w:firstLineChars="200"/>
        <w:rPr>
          <w:rFonts w:ascii="宋体" w:hAnsi="宋体"/>
          <w:b/>
          <w:bCs/>
          <w:color w:val="auto"/>
          <w:sz w:val="24"/>
          <w:highlight w:val="none"/>
        </w:rPr>
      </w:pPr>
      <w:r>
        <w:rPr>
          <w:rFonts w:hint="eastAsia" w:ascii="宋体" w:hAnsi="宋体"/>
          <w:b/>
          <w:bCs/>
          <w:color w:val="auto"/>
          <w:sz w:val="24"/>
          <w:highlight w:val="none"/>
        </w:rPr>
        <w:t>特别说明：“政采云”如对电子化磋商程序有调整的，按调整后的程序操作。</w:t>
      </w:r>
    </w:p>
    <w:p>
      <w:pPr>
        <w:pStyle w:val="5"/>
        <w:keepNext w:val="0"/>
        <w:keepLines w:val="0"/>
        <w:pageBreakBefore/>
        <w:numPr>
          <w:ilvl w:val="0"/>
          <w:numId w:val="9"/>
        </w:numPr>
        <w:spacing w:line="240" w:lineRule="auto"/>
        <w:jc w:val="center"/>
        <w:rPr>
          <w:rFonts w:ascii="宋体" w:hAnsi="宋体" w:cs="宋体"/>
          <w:bCs w:val="0"/>
          <w:color w:val="auto"/>
          <w:sz w:val="32"/>
          <w:szCs w:val="32"/>
          <w:highlight w:val="none"/>
        </w:rPr>
      </w:pPr>
      <w:bookmarkStart w:id="41" w:name="_Toc32539"/>
      <w:r>
        <w:rPr>
          <w:rFonts w:hint="eastAsia" w:ascii="宋体" w:hAnsi="宋体" w:cs="宋体"/>
          <w:bCs w:val="0"/>
          <w:color w:val="auto"/>
          <w:sz w:val="32"/>
          <w:szCs w:val="32"/>
          <w:highlight w:val="none"/>
        </w:rPr>
        <w:t>合同主要条款</w:t>
      </w:r>
      <w:bookmarkEnd w:id="38"/>
      <w:bookmarkEnd w:id="41"/>
    </w:p>
    <w:p>
      <w:pPr>
        <w:pStyle w:val="6"/>
        <w:jc w:val="center"/>
        <w:rPr>
          <w:rFonts w:ascii="宋体" w:hAnsi="宋体" w:eastAsia="宋体"/>
          <w:bCs w:val="0"/>
          <w:color w:val="auto"/>
          <w:sz w:val="24"/>
          <w:szCs w:val="24"/>
          <w:highlight w:val="none"/>
        </w:rPr>
      </w:pPr>
      <w:bookmarkStart w:id="42" w:name="_Toc14942605"/>
      <w:bookmarkStart w:id="43" w:name="_Toc19588"/>
      <w:bookmarkStart w:id="44" w:name="_Toc26017"/>
      <w:bookmarkStart w:id="45" w:name="_Toc22775"/>
      <w:r>
        <w:rPr>
          <w:rFonts w:hint="eastAsia" w:ascii="宋体" w:hAnsi="宋体" w:eastAsia="宋体"/>
          <w:bCs w:val="0"/>
          <w:color w:val="auto"/>
          <w:sz w:val="24"/>
          <w:szCs w:val="24"/>
          <w:highlight w:val="none"/>
        </w:rPr>
        <w:t>东阳市政府采购合同（样本）</w:t>
      </w:r>
      <w:bookmarkEnd w:id="42"/>
      <w:bookmarkEnd w:id="43"/>
      <w:bookmarkEnd w:id="44"/>
      <w:bookmarkEnd w:id="45"/>
    </w:p>
    <w:p>
      <w:pPr>
        <w:keepNext w:val="0"/>
        <w:keepLines w:val="0"/>
        <w:pageBreakBefore w:val="0"/>
        <w:widowControl w:val="0"/>
        <w:kinsoku/>
        <w:wordWrap/>
        <w:overflowPunct/>
        <w:topLinePunct w:val="0"/>
        <w:autoSpaceDE/>
        <w:autoSpaceDN/>
        <w:bidi w:val="0"/>
        <w:adjustRightInd/>
        <w:snapToGrid w:val="0"/>
        <w:spacing w:before="120" w:after="120" w:line="360" w:lineRule="auto"/>
        <w:textAlignment w:val="auto"/>
        <w:rPr>
          <w:rFonts w:ascii="宋体" w:hAnsi="宋体"/>
          <w:color w:val="auto"/>
          <w:sz w:val="24"/>
          <w:highlight w:val="none"/>
        </w:rPr>
      </w:pPr>
      <w:r>
        <w:rPr>
          <w:rFonts w:ascii="宋体" w:hAnsi="宋体"/>
          <w:color w:val="auto"/>
          <w:sz w:val="24"/>
          <w:highlight w:val="none"/>
        </w:rPr>
        <w:t>项目名称：</w:t>
      </w:r>
      <w:r>
        <w:rPr>
          <w:rFonts w:hint="eastAsia" w:ascii="宋体" w:hAnsi="宋体"/>
          <w:color w:val="auto"/>
          <w:sz w:val="24"/>
          <w:highlight w:val="none"/>
        </w:rPr>
        <w:t xml:space="preserve">   </w:t>
      </w:r>
    </w:p>
    <w:p>
      <w:pPr>
        <w:keepNext w:val="0"/>
        <w:keepLines w:val="0"/>
        <w:pageBreakBefore w:val="0"/>
        <w:widowControl w:val="0"/>
        <w:kinsoku/>
        <w:wordWrap/>
        <w:overflowPunct/>
        <w:topLinePunct w:val="0"/>
        <w:autoSpaceDE/>
        <w:autoSpaceDN/>
        <w:bidi w:val="0"/>
        <w:adjustRightInd/>
        <w:snapToGrid w:val="0"/>
        <w:spacing w:before="120" w:after="120" w:line="360" w:lineRule="auto"/>
        <w:textAlignment w:val="auto"/>
        <w:rPr>
          <w:rFonts w:ascii="宋体" w:hAnsi="宋体"/>
          <w:color w:val="auto"/>
          <w:sz w:val="24"/>
          <w:highlight w:val="none"/>
        </w:rPr>
      </w:pPr>
      <w:r>
        <w:rPr>
          <w:rFonts w:ascii="宋体" w:hAnsi="宋体"/>
          <w:color w:val="auto"/>
          <w:sz w:val="24"/>
          <w:highlight w:val="none"/>
        </w:rPr>
        <w:t>项目编号：</w:t>
      </w:r>
      <w:r>
        <w:rPr>
          <w:rFonts w:hint="eastAsia" w:ascii="宋体" w:hAnsi="宋体"/>
          <w:color w:val="auto"/>
          <w:sz w:val="24"/>
          <w:highlight w:val="none"/>
        </w:rPr>
        <w:t xml:space="preserve">              </w:t>
      </w:r>
      <w:r>
        <w:rPr>
          <w:rFonts w:hint="eastAsia" w:ascii="宋体" w:hAnsi="宋体"/>
          <w:color w:val="auto"/>
          <w:sz w:val="24"/>
          <w:highlight w:val="none"/>
          <w:lang w:val="en-US" w:eastAsia="zh-CN"/>
        </w:rPr>
        <w:t xml:space="preserve">                              </w:t>
      </w:r>
    </w:p>
    <w:p>
      <w:pPr>
        <w:keepNext w:val="0"/>
        <w:keepLines w:val="0"/>
        <w:pageBreakBefore w:val="0"/>
        <w:widowControl w:val="0"/>
        <w:kinsoku/>
        <w:wordWrap/>
        <w:overflowPunct/>
        <w:topLinePunct w:val="0"/>
        <w:autoSpaceDE/>
        <w:autoSpaceDN/>
        <w:bidi w:val="0"/>
        <w:adjustRightInd/>
        <w:snapToGrid w:val="0"/>
        <w:spacing w:before="120" w:after="120" w:line="360" w:lineRule="auto"/>
        <w:textAlignment w:val="auto"/>
        <w:rPr>
          <w:rFonts w:ascii="宋体" w:hAnsi="宋体"/>
          <w:color w:val="auto"/>
          <w:sz w:val="24"/>
          <w:highlight w:val="none"/>
        </w:rPr>
      </w:pPr>
      <w:r>
        <w:rPr>
          <w:rFonts w:ascii="宋体" w:hAnsi="宋体"/>
          <w:color w:val="auto"/>
          <w:sz w:val="24"/>
          <w:highlight w:val="none"/>
        </w:rPr>
        <w:t>甲方</w:t>
      </w:r>
      <w:r>
        <w:rPr>
          <w:rFonts w:hint="eastAsia" w:ascii="宋体" w:hAnsi="宋体"/>
          <w:color w:val="auto"/>
          <w:sz w:val="24"/>
          <w:highlight w:val="none"/>
        </w:rPr>
        <w:t>：</w:t>
      </w:r>
    </w:p>
    <w:p>
      <w:pPr>
        <w:keepNext w:val="0"/>
        <w:keepLines w:val="0"/>
        <w:pageBreakBefore w:val="0"/>
        <w:widowControl w:val="0"/>
        <w:kinsoku/>
        <w:wordWrap/>
        <w:overflowPunct/>
        <w:topLinePunct w:val="0"/>
        <w:autoSpaceDE/>
        <w:autoSpaceDN/>
        <w:bidi w:val="0"/>
        <w:adjustRightInd/>
        <w:snapToGrid w:val="0"/>
        <w:spacing w:before="120" w:after="120" w:line="360" w:lineRule="auto"/>
        <w:textAlignment w:val="auto"/>
        <w:rPr>
          <w:rFonts w:ascii="宋体" w:hAnsi="宋体"/>
          <w:color w:val="auto"/>
          <w:sz w:val="24"/>
          <w:highlight w:val="none"/>
        </w:rPr>
      </w:pPr>
      <w:r>
        <w:rPr>
          <w:rFonts w:ascii="宋体" w:hAnsi="宋体"/>
          <w:color w:val="auto"/>
          <w:sz w:val="24"/>
          <w:highlight w:val="none"/>
        </w:rPr>
        <w:t>乙方</w:t>
      </w:r>
      <w:r>
        <w:rPr>
          <w:rFonts w:hint="eastAsia" w:ascii="宋体" w:hAnsi="宋体"/>
          <w:color w:val="auto"/>
          <w:sz w:val="24"/>
          <w:highlight w:val="none"/>
        </w:rPr>
        <w:t>：</w:t>
      </w:r>
    </w:p>
    <w:p>
      <w:pPr>
        <w:keepNext w:val="0"/>
        <w:keepLines w:val="0"/>
        <w:pageBreakBefore w:val="0"/>
        <w:widowControl w:val="0"/>
        <w:kinsoku/>
        <w:wordWrap/>
        <w:overflowPunct/>
        <w:topLinePunct w:val="0"/>
        <w:autoSpaceDE/>
        <w:autoSpaceDN/>
        <w:bidi w:val="0"/>
        <w:adjustRightInd/>
        <w:snapToGrid w:val="0"/>
        <w:spacing w:before="120" w:after="120" w:line="360" w:lineRule="auto"/>
        <w:textAlignment w:val="auto"/>
        <w:rPr>
          <w:rFonts w:hint="default" w:ascii="宋体" w:hAnsi="宋体" w:eastAsia="宋体"/>
          <w:color w:val="auto"/>
          <w:sz w:val="24"/>
          <w:highlight w:val="none"/>
          <w:lang w:val="en-US" w:eastAsia="zh-CN"/>
        </w:rPr>
      </w:pPr>
      <w:r>
        <w:rPr>
          <w:rFonts w:hint="eastAsia" w:ascii="宋体" w:hAnsi="宋体"/>
          <w:color w:val="auto"/>
          <w:sz w:val="24"/>
          <w:highlight w:val="none"/>
        </w:rPr>
        <w:t>鉴证方（招标方）：</w:t>
      </w:r>
    </w:p>
    <w:p>
      <w:pPr>
        <w:keepNext w:val="0"/>
        <w:keepLines w:val="0"/>
        <w:pageBreakBefore w:val="0"/>
        <w:widowControl w:val="0"/>
        <w:kinsoku/>
        <w:wordWrap/>
        <w:overflowPunct/>
        <w:topLinePunct w:val="0"/>
        <w:autoSpaceDE/>
        <w:autoSpaceDN/>
        <w:bidi w:val="0"/>
        <w:adjustRightInd/>
        <w:snapToGrid w:val="0"/>
        <w:spacing w:before="120" w:after="120" w:line="360" w:lineRule="auto"/>
        <w:ind w:firstLine="495"/>
        <w:textAlignment w:val="auto"/>
        <w:rPr>
          <w:rFonts w:ascii="宋体" w:hAnsi="宋体"/>
          <w:color w:val="auto"/>
          <w:sz w:val="24"/>
          <w:highlight w:val="none"/>
          <w:u w:val="single"/>
        </w:rPr>
      </w:pPr>
      <w:r>
        <w:rPr>
          <w:rFonts w:hint="eastAsia" w:ascii="宋体" w:hAnsi="宋体"/>
          <w:color w:val="auto"/>
          <w:sz w:val="24"/>
          <w:highlight w:val="none"/>
        </w:rPr>
        <w:t>甲、乙双方根据</w:t>
      </w:r>
      <w:r>
        <w:rPr>
          <w:rFonts w:hint="eastAsia" w:ascii="宋体" w:hAnsi="宋体"/>
          <w:color w:val="auto"/>
          <w:sz w:val="24"/>
          <w:highlight w:val="none"/>
          <w:lang w:val="en-US" w:eastAsia="zh-CN"/>
        </w:rPr>
        <w:t>2024</w:t>
      </w:r>
      <w:r>
        <w:rPr>
          <w:rFonts w:hint="eastAsia" w:ascii="宋体" w:hAnsi="宋体"/>
          <w:color w:val="auto"/>
          <w:sz w:val="24"/>
          <w:highlight w:val="none"/>
        </w:rPr>
        <w:t>年</w:t>
      </w:r>
      <w:r>
        <w:rPr>
          <w:rFonts w:hint="eastAsia" w:ascii="宋体" w:hAnsi="宋体"/>
          <w:color w:val="auto"/>
          <w:sz w:val="24"/>
          <w:highlight w:val="none"/>
          <w:lang w:val="en-US" w:eastAsia="zh-CN"/>
        </w:rPr>
        <w:t xml:space="preserve">  </w:t>
      </w:r>
      <w:r>
        <w:rPr>
          <w:rFonts w:hint="eastAsia" w:ascii="宋体" w:hAnsi="宋体"/>
          <w:color w:val="auto"/>
          <w:sz w:val="24"/>
          <w:highlight w:val="none"/>
        </w:rPr>
        <w:t>月</w:t>
      </w:r>
      <w:r>
        <w:rPr>
          <w:rFonts w:hint="eastAsia" w:ascii="宋体" w:hAnsi="宋体"/>
          <w:color w:val="auto"/>
          <w:sz w:val="24"/>
          <w:highlight w:val="none"/>
          <w:lang w:val="en-US" w:eastAsia="zh-CN"/>
        </w:rPr>
        <w:t xml:space="preserve">  </w:t>
      </w:r>
      <w:r>
        <w:rPr>
          <w:rFonts w:hint="eastAsia" w:ascii="宋体" w:hAnsi="宋体"/>
          <w:color w:val="auto"/>
          <w:sz w:val="24"/>
          <w:highlight w:val="none"/>
        </w:rPr>
        <w:t>日东阳市鑫盛工程咨询有限公司关于</w:t>
      </w:r>
      <w:r>
        <w:rPr>
          <w:rFonts w:hint="eastAsia" w:ascii="宋体" w:hAnsi="宋体"/>
          <w:color w:val="auto"/>
          <w:sz w:val="24"/>
          <w:highlight w:val="none"/>
          <w:lang w:eastAsia="zh-CN"/>
        </w:rPr>
        <w:t>三单乡三单村一事一议财政奖补支持打造共富乡村试点项目软装工程</w:t>
      </w:r>
      <w:r>
        <w:rPr>
          <w:rFonts w:hint="eastAsia" w:ascii="宋体" w:hAnsi="宋体"/>
          <w:color w:val="auto"/>
          <w:sz w:val="24"/>
          <w:highlight w:val="none"/>
          <w:lang w:val="en-US" w:eastAsia="zh-CN"/>
        </w:rPr>
        <w:t>竞争性磋商</w:t>
      </w:r>
      <w:r>
        <w:rPr>
          <w:rFonts w:hint="eastAsia" w:ascii="宋体" w:hAnsi="宋体"/>
          <w:color w:val="auto"/>
          <w:sz w:val="24"/>
          <w:highlight w:val="none"/>
        </w:rPr>
        <w:t>的结果，签署本合同。</w:t>
      </w:r>
    </w:p>
    <w:p>
      <w:pPr>
        <w:keepNext w:val="0"/>
        <w:keepLines w:val="0"/>
        <w:pageBreakBefore w:val="0"/>
        <w:widowControl w:val="0"/>
        <w:kinsoku/>
        <w:wordWrap/>
        <w:overflowPunct/>
        <w:topLinePunct w:val="0"/>
        <w:autoSpaceDE/>
        <w:autoSpaceDN/>
        <w:bidi w:val="0"/>
        <w:adjustRightInd/>
        <w:snapToGrid w:val="0"/>
        <w:spacing w:before="120" w:after="120" w:line="360" w:lineRule="auto"/>
        <w:textAlignment w:val="auto"/>
        <w:rPr>
          <w:rFonts w:hint="eastAsia" w:ascii="宋体" w:hAnsi="宋体"/>
          <w:b/>
          <w:color w:val="auto"/>
          <w:sz w:val="24"/>
          <w:highlight w:val="none"/>
          <w:lang w:val="en-US" w:eastAsia="zh-CN"/>
        </w:rPr>
      </w:pPr>
      <w:r>
        <w:rPr>
          <w:rFonts w:ascii="宋体" w:hAnsi="宋体"/>
          <w:b/>
          <w:color w:val="auto"/>
          <w:sz w:val="24"/>
          <w:highlight w:val="none"/>
        </w:rPr>
        <w:t>一、服务内容</w:t>
      </w:r>
      <w:r>
        <w:rPr>
          <w:rFonts w:hint="eastAsia" w:ascii="宋体" w:hAnsi="宋体"/>
          <w:b/>
          <w:color w:val="auto"/>
          <w:sz w:val="24"/>
          <w:highlight w:val="none"/>
        </w:rPr>
        <w:t>：</w:t>
      </w:r>
      <w:r>
        <w:rPr>
          <w:rFonts w:hint="eastAsia" w:ascii="宋体" w:hAnsi="宋体"/>
          <w:b/>
          <w:color w:val="auto"/>
          <w:sz w:val="24"/>
          <w:highlight w:val="none"/>
          <w:lang w:val="en-US" w:eastAsia="zh-CN"/>
        </w:rPr>
        <w:t>详见竞争性磋商文件、图纸、清单</w:t>
      </w:r>
    </w:p>
    <w:p>
      <w:pPr>
        <w:keepNext w:val="0"/>
        <w:keepLines w:val="0"/>
        <w:pageBreakBefore w:val="0"/>
        <w:widowControl w:val="0"/>
        <w:kinsoku/>
        <w:wordWrap/>
        <w:overflowPunct/>
        <w:topLinePunct w:val="0"/>
        <w:autoSpaceDE/>
        <w:autoSpaceDN/>
        <w:bidi w:val="0"/>
        <w:adjustRightInd/>
        <w:snapToGrid w:val="0"/>
        <w:spacing w:before="120" w:after="120" w:line="360" w:lineRule="auto"/>
        <w:textAlignment w:val="auto"/>
        <w:rPr>
          <w:rFonts w:ascii="宋体" w:hAnsi="宋体"/>
          <w:b/>
          <w:color w:val="auto"/>
          <w:sz w:val="24"/>
          <w:highlight w:val="none"/>
        </w:rPr>
      </w:pPr>
      <w:r>
        <w:rPr>
          <w:rFonts w:ascii="宋体" w:hAnsi="宋体"/>
          <w:b/>
          <w:color w:val="auto"/>
          <w:sz w:val="24"/>
          <w:highlight w:val="none"/>
        </w:rPr>
        <w:t>二、合同金额</w:t>
      </w:r>
    </w:p>
    <w:p>
      <w:pPr>
        <w:keepNext w:val="0"/>
        <w:keepLines w:val="0"/>
        <w:pageBreakBefore w:val="0"/>
        <w:widowControl w:val="0"/>
        <w:kinsoku/>
        <w:wordWrap/>
        <w:overflowPunct/>
        <w:topLinePunct w:val="0"/>
        <w:autoSpaceDE/>
        <w:autoSpaceDN/>
        <w:bidi w:val="0"/>
        <w:adjustRightInd/>
        <w:snapToGrid w:val="0"/>
        <w:spacing w:before="120" w:after="120" w:line="360" w:lineRule="auto"/>
        <w:ind w:firstLine="495"/>
        <w:textAlignment w:val="auto"/>
        <w:rPr>
          <w:rFonts w:hint="eastAsia" w:ascii="宋体" w:hAnsi="宋体"/>
          <w:color w:val="auto"/>
          <w:sz w:val="24"/>
          <w:highlight w:val="none"/>
        </w:rPr>
      </w:pPr>
      <w:r>
        <w:rPr>
          <w:rFonts w:hint="eastAsia" w:ascii="宋体" w:hAnsi="宋体"/>
          <w:color w:val="auto"/>
          <w:sz w:val="24"/>
          <w:highlight w:val="none"/>
        </w:rPr>
        <w:t>本合同金额为（人民币大写）：</w:t>
      </w:r>
      <w:r>
        <w:rPr>
          <w:rFonts w:hint="eastAsia" w:ascii="宋体" w:hAnsi="宋体"/>
          <w:color w:val="auto"/>
          <w:sz w:val="24"/>
          <w:highlight w:val="none"/>
          <w:u w:val="single"/>
          <w:lang w:val="en-US" w:eastAsia="zh-CN"/>
        </w:rPr>
        <w:t xml:space="preserve">              </w:t>
      </w:r>
      <w:r>
        <w:rPr>
          <w:rFonts w:hint="eastAsia" w:ascii="宋体" w:hAnsi="宋体"/>
          <w:color w:val="auto"/>
          <w:sz w:val="24"/>
          <w:highlight w:val="none"/>
          <w:lang w:eastAsia="zh-CN"/>
        </w:rPr>
        <w:t>，</w:t>
      </w:r>
      <w:r>
        <w:rPr>
          <w:rFonts w:hint="eastAsia" w:ascii="宋体" w:hAnsi="宋体"/>
          <w:color w:val="auto"/>
          <w:sz w:val="24"/>
          <w:highlight w:val="none"/>
          <w:lang w:val="en-US" w:eastAsia="zh-CN"/>
        </w:rPr>
        <w:t>让利下浮率：</w:t>
      </w:r>
      <w:r>
        <w:rPr>
          <w:rFonts w:hint="eastAsia" w:ascii="宋体" w:hAnsi="宋体"/>
          <w:color w:val="auto"/>
          <w:sz w:val="24"/>
          <w:highlight w:val="none"/>
          <w:u w:val="single"/>
          <w:lang w:val="en-US" w:eastAsia="zh-CN"/>
        </w:rPr>
        <w:t xml:space="preserve">        </w:t>
      </w:r>
      <w:r>
        <w:rPr>
          <w:rFonts w:hint="eastAsia" w:ascii="宋体" w:hAnsi="宋体"/>
          <w:color w:val="auto"/>
          <w:sz w:val="24"/>
          <w:highlight w:val="none"/>
        </w:rPr>
        <w:t>。</w:t>
      </w:r>
    </w:p>
    <w:p>
      <w:pPr>
        <w:keepNext w:val="0"/>
        <w:keepLines w:val="0"/>
        <w:pageBreakBefore w:val="0"/>
        <w:widowControl w:val="0"/>
        <w:kinsoku/>
        <w:wordWrap/>
        <w:overflowPunct/>
        <w:topLinePunct w:val="0"/>
        <w:autoSpaceDE/>
        <w:autoSpaceDN/>
        <w:bidi w:val="0"/>
        <w:adjustRightInd/>
        <w:snapToGrid w:val="0"/>
        <w:spacing w:before="120" w:after="120" w:line="360" w:lineRule="auto"/>
        <w:ind w:left="408" w:hanging="408"/>
        <w:textAlignment w:val="auto"/>
        <w:rPr>
          <w:rFonts w:hint="eastAsia" w:ascii="宋体" w:hAnsi="宋体" w:eastAsia="宋体"/>
          <w:b/>
          <w:strike w:val="0"/>
          <w:dstrike w:val="0"/>
          <w:color w:val="auto"/>
          <w:sz w:val="24"/>
          <w:highlight w:val="none"/>
          <w:lang w:val="en-US" w:eastAsia="zh-CN"/>
        </w:rPr>
      </w:pPr>
      <w:r>
        <w:rPr>
          <w:rFonts w:hint="eastAsia" w:ascii="宋体" w:hAnsi="宋体"/>
          <w:b/>
          <w:color w:val="auto"/>
          <w:sz w:val="24"/>
          <w:highlight w:val="none"/>
          <w:lang w:val="en-US" w:eastAsia="zh-CN"/>
        </w:rPr>
        <w:t>三</w:t>
      </w:r>
      <w:r>
        <w:rPr>
          <w:rFonts w:ascii="宋体" w:hAnsi="宋体"/>
          <w:b/>
          <w:color w:val="auto"/>
          <w:sz w:val="24"/>
          <w:highlight w:val="none"/>
        </w:rPr>
        <w:t>、</w:t>
      </w:r>
      <w:r>
        <w:rPr>
          <w:rFonts w:hint="eastAsia" w:ascii="宋体" w:hAnsi="宋体"/>
          <w:b/>
          <w:strike w:val="0"/>
          <w:dstrike w:val="0"/>
          <w:color w:val="auto"/>
          <w:sz w:val="24"/>
          <w:highlight w:val="none"/>
        </w:rPr>
        <w:t>项目质量</w:t>
      </w:r>
      <w:r>
        <w:rPr>
          <w:rFonts w:hint="eastAsia" w:ascii="宋体" w:hAnsi="宋体"/>
          <w:b/>
          <w:strike w:val="0"/>
          <w:dstrike w:val="0"/>
          <w:color w:val="auto"/>
          <w:sz w:val="24"/>
          <w:highlight w:val="none"/>
          <w:lang w:val="en-US" w:eastAsia="zh-CN"/>
        </w:rPr>
        <w:t>及</w:t>
      </w:r>
      <w:r>
        <w:rPr>
          <w:rFonts w:hint="eastAsia" w:ascii="宋体" w:hAnsi="宋体"/>
          <w:b/>
          <w:strike w:val="0"/>
          <w:dstrike w:val="0"/>
          <w:color w:val="auto"/>
          <w:sz w:val="24"/>
          <w:highlight w:val="none"/>
        </w:rPr>
        <w:t>施工安全</w:t>
      </w:r>
      <w:r>
        <w:rPr>
          <w:rFonts w:hint="eastAsia" w:ascii="宋体" w:hAnsi="宋体"/>
          <w:b/>
          <w:strike w:val="0"/>
          <w:dstrike w:val="0"/>
          <w:color w:val="auto"/>
          <w:sz w:val="24"/>
          <w:highlight w:val="none"/>
          <w:lang w:val="en-US" w:eastAsia="zh-CN"/>
        </w:rPr>
        <w:t>要求</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cs="宋体"/>
          <w:color w:val="auto"/>
          <w:sz w:val="24"/>
          <w:highlight w:val="none"/>
        </w:rPr>
      </w:pPr>
      <w:r>
        <w:rPr>
          <w:rFonts w:hint="eastAsia" w:ascii="宋体" w:hAnsi="宋体" w:cs="宋体"/>
          <w:color w:val="auto"/>
          <w:sz w:val="24"/>
          <w:highlight w:val="none"/>
          <w:lang w:val="en-US" w:eastAsia="zh-CN"/>
        </w:rPr>
        <w:t>1</w:t>
      </w:r>
      <w:r>
        <w:rPr>
          <w:rFonts w:hint="eastAsia" w:ascii="宋体" w:hAnsi="宋体" w:cs="宋体"/>
          <w:color w:val="auto"/>
          <w:sz w:val="24"/>
          <w:highlight w:val="none"/>
        </w:rPr>
        <w:t>、质保期：</w:t>
      </w:r>
      <w:r>
        <w:rPr>
          <w:rFonts w:hint="eastAsia" w:ascii="宋体" w:hAnsi="宋体" w:cs="宋体"/>
          <w:color w:val="auto"/>
          <w:sz w:val="24"/>
          <w:highlight w:val="none"/>
          <w:u w:val="single"/>
          <w:lang w:val="en-US" w:eastAsia="zh-CN"/>
        </w:rPr>
        <w:t xml:space="preserve">    </w:t>
      </w:r>
      <w:r>
        <w:rPr>
          <w:rFonts w:hint="eastAsia" w:ascii="宋体" w:hAnsi="宋体" w:cs="宋体"/>
          <w:color w:val="auto"/>
          <w:sz w:val="24"/>
          <w:highlight w:val="none"/>
        </w:rPr>
        <w:t>年，自验收合格之日起计算。</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cs="宋体"/>
          <w:color w:val="auto"/>
          <w:sz w:val="24"/>
          <w:highlight w:val="none"/>
        </w:rPr>
      </w:pPr>
      <w:r>
        <w:rPr>
          <w:rFonts w:hint="eastAsia" w:ascii="宋体" w:hAnsi="宋体" w:cs="宋体"/>
          <w:color w:val="auto"/>
          <w:sz w:val="24"/>
          <w:highlight w:val="none"/>
          <w:lang w:val="en-US" w:eastAsia="zh-CN"/>
        </w:rPr>
        <w:t>2</w:t>
      </w:r>
      <w:r>
        <w:rPr>
          <w:rFonts w:hint="eastAsia" w:ascii="宋体" w:hAnsi="宋体" w:cs="宋体"/>
          <w:color w:val="auto"/>
          <w:sz w:val="24"/>
          <w:highlight w:val="none"/>
        </w:rPr>
        <w:t xml:space="preserve">、本项目所用材料应必须有合格证，工程质量以国家相关标准规范验收合格为准。   </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cs="宋体"/>
          <w:color w:val="auto"/>
          <w:sz w:val="24"/>
          <w:highlight w:val="none"/>
        </w:rPr>
      </w:pPr>
      <w:r>
        <w:rPr>
          <w:rFonts w:hint="eastAsia" w:ascii="宋体" w:hAnsi="宋体" w:cs="宋体"/>
          <w:color w:val="auto"/>
          <w:sz w:val="24"/>
          <w:highlight w:val="none"/>
          <w:lang w:val="en-US" w:eastAsia="zh-CN"/>
        </w:rPr>
        <w:t>3</w:t>
      </w:r>
      <w:r>
        <w:rPr>
          <w:rFonts w:hint="eastAsia" w:ascii="宋体" w:hAnsi="宋体" w:cs="宋体"/>
          <w:color w:val="auto"/>
          <w:sz w:val="24"/>
          <w:highlight w:val="none"/>
        </w:rPr>
        <w:t>、项目施工材料应按相关规定进行检验，合格后方可使用。</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cs="宋体"/>
          <w:color w:val="auto"/>
          <w:sz w:val="24"/>
          <w:highlight w:val="none"/>
        </w:rPr>
      </w:pPr>
      <w:r>
        <w:rPr>
          <w:rFonts w:hint="eastAsia" w:ascii="宋体" w:hAnsi="宋体" w:cs="宋体"/>
          <w:color w:val="auto"/>
          <w:sz w:val="24"/>
          <w:highlight w:val="none"/>
          <w:lang w:val="en-US" w:eastAsia="zh-CN"/>
        </w:rPr>
        <w:t>4</w:t>
      </w:r>
      <w:r>
        <w:rPr>
          <w:rFonts w:hint="eastAsia" w:ascii="宋体" w:hAnsi="宋体" w:cs="宋体"/>
          <w:color w:val="auto"/>
          <w:sz w:val="24"/>
          <w:highlight w:val="none"/>
        </w:rPr>
        <w:t>、应按国家、行业现行规范进行施工。</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cs="宋体"/>
          <w:color w:val="auto"/>
          <w:sz w:val="24"/>
          <w:highlight w:val="none"/>
        </w:rPr>
      </w:pPr>
      <w:r>
        <w:rPr>
          <w:rFonts w:hint="eastAsia" w:ascii="宋体" w:hAnsi="宋体" w:cs="宋体"/>
          <w:color w:val="auto"/>
          <w:sz w:val="24"/>
          <w:highlight w:val="none"/>
          <w:lang w:val="en-US" w:eastAsia="zh-CN"/>
        </w:rPr>
        <w:t>5</w:t>
      </w:r>
      <w:r>
        <w:rPr>
          <w:rFonts w:hint="eastAsia" w:ascii="宋体" w:hAnsi="宋体" w:cs="宋体"/>
          <w:color w:val="auto"/>
          <w:sz w:val="24"/>
          <w:highlight w:val="none"/>
        </w:rPr>
        <w:t>、施工过程应做好相关资料记录。</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cs="宋体"/>
          <w:color w:val="auto"/>
          <w:sz w:val="24"/>
          <w:highlight w:val="none"/>
        </w:rPr>
      </w:pPr>
      <w:r>
        <w:rPr>
          <w:rFonts w:hint="eastAsia" w:ascii="宋体" w:hAnsi="宋体" w:cs="宋体"/>
          <w:color w:val="auto"/>
          <w:sz w:val="24"/>
          <w:highlight w:val="none"/>
          <w:lang w:val="en-US" w:eastAsia="zh-CN"/>
        </w:rPr>
        <w:t>6</w:t>
      </w:r>
      <w:r>
        <w:rPr>
          <w:rFonts w:hint="eastAsia" w:ascii="宋体" w:hAnsi="宋体" w:cs="宋体"/>
          <w:color w:val="auto"/>
          <w:sz w:val="24"/>
          <w:highlight w:val="none"/>
        </w:rPr>
        <w:t>、必须按相关规定接受</w:t>
      </w:r>
      <w:r>
        <w:rPr>
          <w:rFonts w:hint="eastAsia" w:ascii="宋体" w:hAnsi="宋体" w:cs="宋体"/>
          <w:color w:val="auto"/>
          <w:sz w:val="24"/>
          <w:highlight w:val="none"/>
          <w:lang w:eastAsia="zh-CN"/>
        </w:rPr>
        <w:t>甲方</w:t>
      </w:r>
      <w:r>
        <w:rPr>
          <w:rFonts w:hint="eastAsia" w:ascii="宋体" w:hAnsi="宋体" w:cs="宋体"/>
          <w:color w:val="auto"/>
          <w:sz w:val="24"/>
          <w:highlight w:val="none"/>
        </w:rPr>
        <w:t>委托单位的监督和检查，并提供相关资料。</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cs="宋体"/>
          <w:color w:val="auto"/>
          <w:sz w:val="24"/>
          <w:highlight w:val="none"/>
        </w:rPr>
      </w:pPr>
      <w:r>
        <w:rPr>
          <w:rFonts w:hint="eastAsia" w:ascii="宋体" w:hAnsi="宋体" w:cs="宋体"/>
          <w:color w:val="auto"/>
          <w:sz w:val="24"/>
          <w:highlight w:val="none"/>
          <w:lang w:val="en-US" w:eastAsia="zh-CN"/>
        </w:rPr>
        <w:t>7</w:t>
      </w:r>
      <w:r>
        <w:rPr>
          <w:rFonts w:hint="eastAsia" w:ascii="宋体" w:hAnsi="宋体" w:cs="宋体"/>
          <w:color w:val="auto"/>
          <w:sz w:val="24"/>
          <w:highlight w:val="none"/>
        </w:rPr>
        <w:t>、</w:t>
      </w:r>
      <w:r>
        <w:rPr>
          <w:rFonts w:hint="eastAsia" w:ascii="宋体" w:hAnsi="宋体" w:cs="宋体"/>
          <w:color w:val="auto"/>
          <w:sz w:val="24"/>
          <w:highlight w:val="none"/>
          <w:lang w:eastAsia="zh-CN"/>
        </w:rPr>
        <w:t>乙方</w:t>
      </w:r>
      <w:r>
        <w:rPr>
          <w:rFonts w:hint="eastAsia" w:ascii="宋体" w:hAnsi="宋体" w:cs="宋体"/>
          <w:color w:val="auto"/>
          <w:sz w:val="24"/>
          <w:highlight w:val="none"/>
        </w:rPr>
        <w:t>在施工期间发生安全事故、人身安全和交通安全等大小事故，一切责任和经济补偿均由</w:t>
      </w:r>
      <w:r>
        <w:rPr>
          <w:rFonts w:hint="eastAsia" w:ascii="宋体" w:hAnsi="宋体" w:cs="宋体"/>
          <w:color w:val="auto"/>
          <w:sz w:val="24"/>
          <w:highlight w:val="none"/>
          <w:lang w:eastAsia="zh-CN"/>
        </w:rPr>
        <w:t>乙方</w:t>
      </w:r>
      <w:r>
        <w:rPr>
          <w:rFonts w:hint="eastAsia" w:ascii="宋体" w:hAnsi="宋体" w:cs="宋体"/>
          <w:color w:val="auto"/>
          <w:sz w:val="24"/>
          <w:highlight w:val="none"/>
        </w:rPr>
        <w:t>负责,</w:t>
      </w:r>
      <w:r>
        <w:rPr>
          <w:rFonts w:hint="eastAsia" w:ascii="宋体" w:hAnsi="宋体" w:cs="宋体"/>
          <w:color w:val="auto"/>
          <w:sz w:val="24"/>
          <w:highlight w:val="none"/>
          <w:lang w:eastAsia="zh-CN"/>
        </w:rPr>
        <w:t>甲方</w:t>
      </w:r>
      <w:r>
        <w:rPr>
          <w:rFonts w:hint="eastAsia" w:ascii="宋体" w:hAnsi="宋体" w:cs="宋体"/>
          <w:color w:val="auto"/>
          <w:sz w:val="24"/>
          <w:highlight w:val="none"/>
        </w:rPr>
        <w:t>不承担任何责任。</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cs="宋体"/>
          <w:color w:val="auto"/>
          <w:sz w:val="24"/>
          <w:highlight w:val="none"/>
        </w:rPr>
      </w:pPr>
      <w:r>
        <w:rPr>
          <w:rFonts w:hint="eastAsia" w:ascii="宋体" w:hAnsi="宋体" w:cs="宋体"/>
          <w:color w:val="auto"/>
          <w:sz w:val="24"/>
          <w:highlight w:val="none"/>
          <w:lang w:val="en-US" w:eastAsia="zh-CN"/>
        </w:rPr>
        <w:t>8</w:t>
      </w:r>
      <w:r>
        <w:rPr>
          <w:rFonts w:hint="eastAsia" w:ascii="宋体" w:hAnsi="宋体" w:cs="宋体"/>
          <w:color w:val="auto"/>
          <w:sz w:val="24"/>
          <w:highlight w:val="none"/>
        </w:rPr>
        <w:t>、</w:t>
      </w:r>
      <w:r>
        <w:rPr>
          <w:rFonts w:hint="eastAsia" w:ascii="宋体" w:hAnsi="宋体" w:cs="宋体"/>
          <w:color w:val="auto"/>
          <w:sz w:val="24"/>
          <w:highlight w:val="none"/>
          <w:lang w:eastAsia="zh-CN"/>
        </w:rPr>
        <w:t>乙方</w:t>
      </w:r>
      <w:r>
        <w:rPr>
          <w:rFonts w:hint="eastAsia" w:ascii="宋体" w:hAnsi="宋体" w:cs="宋体"/>
          <w:color w:val="auto"/>
          <w:sz w:val="24"/>
          <w:highlight w:val="none"/>
        </w:rPr>
        <w:t>不服从</w:t>
      </w:r>
      <w:r>
        <w:rPr>
          <w:rFonts w:hint="eastAsia" w:ascii="宋体" w:hAnsi="宋体" w:cs="宋体"/>
          <w:color w:val="auto"/>
          <w:sz w:val="24"/>
          <w:highlight w:val="none"/>
          <w:lang w:eastAsia="zh-CN"/>
        </w:rPr>
        <w:t>甲方</w:t>
      </w:r>
      <w:r>
        <w:rPr>
          <w:rFonts w:hint="eastAsia" w:ascii="宋体" w:hAnsi="宋体" w:cs="宋体"/>
          <w:color w:val="auto"/>
          <w:sz w:val="24"/>
          <w:highlight w:val="none"/>
        </w:rPr>
        <w:t>施工管理、施工管理不规范、安全质量达不到要求、不能在规定工期内完成等情形；</w:t>
      </w:r>
      <w:r>
        <w:rPr>
          <w:rFonts w:hint="eastAsia" w:ascii="宋体" w:hAnsi="宋体" w:cs="宋体"/>
          <w:color w:val="auto"/>
          <w:sz w:val="24"/>
          <w:highlight w:val="none"/>
          <w:lang w:eastAsia="zh-CN"/>
        </w:rPr>
        <w:t>甲方</w:t>
      </w:r>
      <w:r>
        <w:rPr>
          <w:rFonts w:hint="eastAsia" w:ascii="宋体" w:hAnsi="宋体" w:cs="宋体"/>
          <w:color w:val="auto"/>
          <w:sz w:val="24"/>
          <w:highlight w:val="none"/>
        </w:rPr>
        <w:t>有权暂停或取消其施工资格。</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cs="宋体"/>
          <w:color w:val="auto"/>
          <w:kern w:val="0"/>
          <w:sz w:val="24"/>
          <w:highlight w:val="none"/>
        </w:rPr>
      </w:pPr>
      <w:r>
        <w:rPr>
          <w:rFonts w:hint="eastAsia" w:ascii="宋体" w:hAnsi="宋体" w:cs="宋体"/>
          <w:color w:val="auto"/>
          <w:kern w:val="0"/>
          <w:sz w:val="24"/>
          <w:highlight w:val="none"/>
          <w:lang w:val="en-US" w:eastAsia="zh-CN"/>
        </w:rPr>
        <w:t>9</w:t>
      </w:r>
      <w:r>
        <w:rPr>
          <w:rFonts w:hint="eastAsia" w:ascii="宋体" w:hAnsi="宋体" w:cs="宋体"/>
          <w:color w:val="auto"/>
          <w:kern w:val="0"/>
          <w:sz w:val="24"/>
          <w:highlight w:val="none"/>
        </w:rPr>
        <w:t>、</w:t>
      </w:r>
      <w:r>
        <w:rPr>
          <w:rFonts w:hint="eastAsia" w:ascii="宋体" w:hAnsi="宋体" w:cs="宋体"/>
          <w:color w:val="auto"/>
          <w:kern w:val="0"/>
          <w:sz w:val="24"/>
          <w:highlight w:val="none"/>
          <w:lang w:eastAsia="zh-CN"/>
        </w:rPr>
        <w:t>乙方</w:t>
      </w:r>
      <w:r>
        <w:rPr>
          <w:rFonts w:hint="eastAsia" w:ascii="宋体" w:hAnsi="宋体" w:cs="宋体"/>
          <w:color w:val="auto"/>
          <w:kern w:val="0"/>
          <w:sz w:val="24"/>
          <w:highlight w:val="none"/>
        </w:rPr>
        <w:t>应做好现场施工噪音、环境卫生、材料堆放、安全警示等工作，并负责施工期间与环保、交通城管等部门的沟通协调工作，做好现场秩序的维护，如因</w:t>
      </w:r>
      <w:r>
        <w:rPr>
          <w:rFonts w:hint="eastAsia" w:ascii="宋体" w:hAnsi="宋体" w:cs="宋体"/>
          <w:color w:val="auto"/>
          <w:kern w:val="0"/>
          <w:sz w:val="24"/>
          <w:highlight w:val="none"/>
          <w:lang w:eastAsia="zh-CN"/>
        </w:rPr>
        <w:t>乙方</w:t>
      </w:r>
      <w:r>
        <w:rPr>
          <w:rFonts w:hint="eastAsia" w:ascii="宋体" w:hAnsi="宋体" w:cs="宋体"/>
          <w:color w:val="auto"/>
          <w:kern w:val="0"/>
          <w:sz w:val="24"/>
          <w:highlight w:val="none"/>
        </w:rPr>
        <w:t>原因受到处罚、赔款、纠纷或因此而引起</w:t>
      </w:r>
      <w:r>
        <w:rPr>
          <w:rFonts w:hint="eastAsia" w:ascii="宋体" w:hAnsi="宋体" w:cs="宋体"/>
          <w:color w:val="auto"/>
          <w:kern w:val="0"/>
          <w:sz w:val="24"/>
          <w:highlight w:val="none"/>
          <w:lang w:eastAsia="zh-CN"/>
        </w:rPr>
        <w:t>甲方</w:t>
      </w:r>
      <w:r>
        <w:rPr>
          <w:rFonts w:hint="eastAsia" w:ascii="宋体" w:hAnsi="宋体" w:cs="宋体"/>
          <w:color w:val="auto"/>
          <w:kern w:val="0"/>
          <w:sz w:val="24"/>
          <w:highlight w:val="none"/>
        </w:rPr>
        <w:t>经济损失的，均由</w:t>
      </w:r>
      <w:r>
        <w:rPr>
          <w:rFonts w:hint="eastAsia" w:ascii="宋体" w:hAnsi="宋体" w:cs="宋体"/>
          <w:color w:val="auto"/>
          <w:kern w:val="0"/>
          <w:sz w:val="24"/>
          <w:highlight w:val="none"/>
          <w:lang w:eastAsia="zh-CN"/>
        </w:rPr>
        <w:t>乙方</w:t>
      </w:r>
      <w:r>
        <w:rPr>
          <w:rFonts w:hint="eastAsia" w:ascii="宋体" w:hAnsi="宋体" w:cs="宋体"/>
          <w:color w:val="auto"/>
          <w:kern w:val="0"/>
          <w:sz w:val="24"/>
          <w:highlight w:val="none"/>
        </w:rPr>
        <w:t>承担责任。</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cs="宋体"/>
          <w:color w:val="auto"/>
          <w:kern w:val="0"/>
          <w:sz w:val="24"/>
          <w:highlight w:val="none"/>
        </w:rPr>
      </w:pPr>
      <w:r>
        <w:rPr>
          <w:rFonts w:hint="eastAsia" w:ascii="宋体" w:hAnsi="宋体" w:cs="宋体"/>
          <w:color w:val="auto"/>
          <w:kern w:val="0"/>
          <w:sz w:val="24"/>
          <w:highlight w:val="none"/>
          <w:lang w:val="en-US" w:eastAsia="zh-CN"/>
        </w:rPr>
        <w:t>10</w:t>
      </w:r>
      <w:r>
        <w:rPr>
          <w:rFonts w:hint="eastAsia" w:ascii="宋体" w:hAnsi="宋体" w:cs="宋体"/>
          <w:color w:val="auto"/>
          <w:kern w:val="0"/>
          <w:sz w:val="24"/>
          <w:highlight w:val="none"/>
        </w:rPr>
        <w:t>、工程质量以国家相关标准规范验收合格为准，如达不到约定的质量标准，</w:t>
      </w:r>
      <w:r>
        <w:rPr>
          <w:rFonts w:hint="eastAsia" w:ascii="宋体" w:hAnsi="宋体" w:cs="宋体"/>
          <w:color w:val="auto"/>
          <w:kern w:val="0"/>
          <w:sz w:val="24"/>
          <w:highlight w:val="none"/>
          <w:lang w:eastAsia="zh-CN"/>
        </w:rPr>
        <w:t>甲方</w:t>
      </w:r>
      <w:r>
        <w:rPr>
          <w:rFonts w:hint="eastAsia" w:ascii="宋体" w:hAnsi="宋体" w:cs="宋体"/>
          <w:color w:val="auto"/>
          <w:kern w:val="0"/>
          <w:sz w:val="24"/>
          <w:highlight w:val="none"/>
        </w:rPr>
        <w:t>可要求</w:t>
      </w:r>
      <w:r>
        <w:rPr>
          <w:rFonts w:hint="eastAsia" w:ascii="宋体" w:hAnsi="宋体" w:cs="宋体"/>
          <w:color w:val="auto"/>
          <w:kern w:val="0"/>
          <w:sz w:val="24"/>
          <w:highlight w:val="none"/>
          <w:lang w:eastAsia="zh-CN"/>
        </w:rPr>
        <w:t>乙方</w:t>
      </w:r>
      <w:r>
        <w:rPr>
          <w:rFonts w:hint="eastAsia" w:ascii="宋体" w:hAnsi="宋体" w:cs="宋体"/>
          <w:color w:val="auto"/>
          <w:kern w:val="0"/>
          <w:sz w:val="24"/>
          <w:highlight w:val="none"/>
        </w:rPr>
        <w:t>返工，直至达到约定的质量标准，并由</w:t>
      </w:r>
      <w:r>
        <w:rPr>
          <w:rFonts w:hint="eastAsia" w:ascii="宋体" w:hAnsi="宋体" w:cs="宋体"/>
          <w:color w:val="auto"/>
          <w:kern w:val="0"/>
          <w:sz w:val="24"/>
          <w:highlight w:val="none"/>
          <w:lang w:eastAsia="zh-CN"/>
        </w:rPr>
        <w:t>乙方</w:t>
      </w:r>
      <w:r>
        <w:rPr>
          <w:rFonts w:hint="eastAsia" w:ascii="宋体" w:hAnsi="宋体" w:cs="宋体"/>
          <w:color w:val="auto"/>
          <w:kern w:val="0"/>
          <w:sz w:val="24"/>
          <w:highlight w:val="none"/>
        </w:rPr>
        <w:t>承担返工的一切费用。</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cs="宋体"/>
          <w:color w:val="auto"/>
          <w:kern w:val="0"/>
          <w:sz w:val="24"/>
          <w:highlight w:val="none"/>
          <w:lang w:val="en-US" w:eastAsia="zh-CN"/>
        </w:rPr>
      </w:pPr>
      <w:r>
        <w:rPr>
          <w:rFonts w:hint="eastAsia" w:ascii="宋体" w:hAnsi="宋体" w:cs="宋体"/>
          <w:color w:val="auto"/>
          <w:kern w:val="0"/>
          <w:sz w:val="24"/>
          <w:highlight w:val="none"/>
          <w:lang w:val="en-US" w:eastAsia="zh-CN"/>
        </w:rPr>
        <w:t>11、项目实施过程中，若乙方有任何违规违法行为，由乙方负责整改到位且消除影响，甲方不负任何责任。</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宋体" w:hAnsi="宋体" w:cs="宋体"/>
          <w:color w:val="auto"/>
          <w:kern w:val="0"/>
          <w:sz w:val="24"/>
          <w:highlight w:val="none"/>
          <w:lang w:val="en-US" w:eastAsia="zh-CN"/>
        </w:rPr>
      </w:pPr>
      <w:r>
        <w:rPr>
          <w:rFonts w:hint="eastAsia" w:ascii="宋体" w:hAnsi="宋体" w:cs="宋体"/>
          <w:color w:val="auto"/>
          <w:kern w:val="0"/>
          <w:sz w:val="24"/>
          <w:highlight w:val="none"/>
          <w:lang w:val="en-US" w:eastAsia="zh-CN"/>
        </w:rPr>
        <w:t>12、乙方在施工过程中，如果发生随意更改设计不按图施工，存在偷工减料和在设计的施工范围外损坏林地、耕地等违法违规行为，甲方概不负责，一切责任全部由乙方承担。</w:t>
      </w:r>
    </w:p>
    <w:p>
      <w:pPr>
        <w:keepNext w:val="0"/>
        <w:keepLines w:val="0"/>
        <w:pageBreakBefore w:val="0"/>
        <w:widowControl w:val="0"/>
        <w:kinsoku/>
        <w:wordWrap/>
        <w:overflowPunct/>
        <w:topLinePunct w:val="0"/>
        <w:autoSpaceDE/>
        <w:autoSpaceDN/>
        <w:bidi w:val="0"/>
        <w:adjustRightInd/>
        <w:snapToGrid w:val="0"/>
        <w:spacing w:before="120" w:after="120" w:line="360" w:lineRule="auto"/>
        <w:textAlignment w:val="auto"/>
        <w:rPr>
          <w:rFonts w:ascii="宋体" w:hAnsi="宋体"/>
          <w:b/>
          <w:color w:val="auto"/>
          <w:sz w:val="24"/>
          <w:highlight w:val="none"/>
        </w:rPr>
      </w:pPr>
      <w:r>
        <w:rPr>
          <w:rFonts w:hint="eastAsia" w:ascii="宋体" w:hAnsi="宋体"/>
          <w:b/>
          <w:color w:val="auto"/>
          <w:sz w:val="24"/>
          <w:highlight w:val="none"/>
          <w:lang w:val="en-US" w:eastAsia="zh-CN"/>
        </w:rPr>
        <w:t>四</w:t>
      </w:r>
      <w:r>
        <w:rPr>
          <w:rFonts w:ascii="宋体" w:hAnsi="宋体"/>
          <w:b/>
          <w:color w:val="auto"/>
          <w:sz w:val="24"/>
          <w:highlight w:val="none"/>
        </w:rPr>
        <w:t>、技术资料</w:t>
      </w:r>
    </w:p>
    <w:p>
      <w:pPr>
        <w:keepNext w:val="0"/>
        <w:keepLines w:val="0"/>
        <w:pageBreakBefore w:val="0"/>
        <w:widowControl w:val="0"/>
        <w:kinsoku/>
        <w:wordWrap/>
        <w:overflowPunct/>
        <w:topLinePunct w:val="0"/>
        <w:autoSpaceDE/>
        <w:autoSpaceDN/>
        <w:bidi w:val="0"/>
        <w:adjustRightInd/>
        <w:snapToGrid w:val="0"/>
        <w:spacing w:before="120" w:after="120" w:line="360" w:lineRule="auto"/>
        <w:ind w:firstLine="480" w:firstLineChars="200"/>
        <w:textAlignment w:val="auto"/>
        <w:rPr>
          <w:rFonts w:ascii="宋体" w:hAnsi="宋体"/>
          <w:color w:val="auto"/>
          <w:sz w:val="24"/>
          <w:highlight w:val="none"/>
        </w:rPr>
      </w:pPr>
      <w:r>
        <w:rPr>
          <w:rFonts w:hint="eastAsia" w:ascii="宋体" w:hAnsi="宋体"/>
          <w:color w:val="auto"/>
          <w:sz w:val="24"/>
          <w:highlight w:val="none"/>
          <w:lang w:val="en-US" w:eastAsia="zh-CN"/>
        </w:rPr>
        <w:t>1、</w:t>
      </w:r>
      <w:r>
        <w:rPr>
          <w:rFonts w:ascii="宋体" w:hAnsi="宋体"/>
          <w:color w:val="auto"/>
          <w:sz w:val="24"/>
          <w:highlight w:val="none"/>
        </w:rPr>
        <w:t>乙方应按招标文件规定的时间向甲方提供有关技术资料。</w:t>
      </w:r>
    </w:p>
    <w:p>
      <w:pPr>
        <w:keepNext w:val="0"/>
        <w:keepLines w:val="0"/>
        <w:pageBreakBefore w:val="0"/>
        <w:widowControl w:val="0"/>
        <w:kinsoku/>
        <w:wordWrap/>
        <w:overflowPunct/>
        <w:topLinePunct w:val="0"/>
        <w:autoSpaceDE/>
        <w:autoSpaceDN/>
        <w:bidi w:val="0"/>
        <w:adjustRightInd/>
        <w:snapToGrid w:val="0"/>
        <w:spacing w:before="120" w:after="120" w:line="360" w:lineRule="auto"/>
        <w:ind w:firstLine="480" w:firstLineChars="200"/>
        <w:textAlignment w:val="auto"/>
        <w:rPr>
          <w:rFonts w:ascii="宋体" w:hAnsi="宋体"/>
          <w:color w:val="auto"/>
          <w:sz w:val="24"/>
          <w:highlight w:val="none"/>
        </w:rPr>
      </w:pPr>
      <w:r>
        <w:rPr>
          <w:rFonts w:hint="eastAsia" w:ascii="宋体" w:hAnsi="宋体"/>
          <w:color w:val="auto"/>
          <w:sz w:val="24"/>
          <w:highlight w:val="none"/>
          <w:lang w:val="en-US" w:eastAsia="zh-CN"/>
        </w:rPr>
        <w:t>2、</w:t>
      </w:r>
      <w:r>
        <w:rPr>
          <w:rFonts w:ascii="宋体" w:hAnsi="宋体"/>
          <w:color w:val="auto"/>
          <w:sz w:val="24"/>
          <w:highlight w:val="none"/>
        </w:rPr>
        <w:t>没有甲方事先书面同意，乙方不得将由甲方提供的有关合同或任何合同条文、规格、计划、图纸、样品或资料提供给与履行本合同无关的任何其他人。即使向履行本合同有关的人员提供，也应注意保密并限于履行合同的必需范围。</w:t>
      </w:r>
    </w:p>
    <w:p>
      <w:pPr>
        <w:keepNext w:val="0"/>
        <w:keepLines w:val="0"/>
        <w:pageBreakBefore w:val="0"/>
        <w:widowControl w:val="0"/>
        <w:kinsoku/>
        <w:wordWrap/>
        <w:overflowPunct/>
        <w:topLinePunct w:val="0"/>
        <w:autoSpaceDE/>
        <w:autoSpaceDN/>
        <w:bidi w:val="0"/>
        <w:adjustRightInd/>
        <w:snapToGrid w:val="0"/>
        <w:spacing w:before="120" w:after="120" w:line="360" w:lineRule="auto"/>
        <w:ind w:left="410" w:hanging="410"/>
        <w:textAlignment w:val="auto"/>
        <w:rPr>
          <w:rFonts w:ascii="宋体" w:hAnsi="宋体"/>
          <w:b/>
          <w:color w:val="auto"/>
          <w:sz w:val="24"/>
          <w:highlight w:val="none"/>
        </w:rPr>
      </w:pPr>
      <w:r>
        <w:rPr>
          <w:rFonts w:hint="eastAsia" w:ascii="宋体" w:hAnsi="宋体"/>
          <w:b/>
          <w:color w:val="auto"/>
          <w:sz w:val="24"/>
          <w:highlight w:val="none"/>
          <w:lang w:val="en-US" w:eastAsia="zh-CN"/>
        </w:rPr>
        <w:t>五</w:t>
      </w:r>
      <w:r>
        <w:rPr>
          <w:rFonts w:ascii="宋体" w:hAnsi="宋体"/>
          <w:b/>
          <w:color w:val="auto"/>
          <w:sz w:val="24"/>
          <w:highlight w:val="none"/>
        </w:rPr>
        <w:t>、知识产权</w:t>
      </w:r>
    </w:p>
    <w:p>
      <w:pPr>
        <w:keepNext w:val="0"/>
        <w:keepLines w:val="0"/>
        <w:pageBreakBefore w:val="0"/>
        <w:widowControl w:val="0"/>
        <w:kinsoku/>
        <w:wordWrap/>
        <w:overflowPunct/>
        <w:topLinePunct w:val="0"/>
        <w:autoSpaceDE/>
        <w:autoSpaceDN/>
        <w:bidi w:val="0"/>
        <w:adjustRightInd/>
        <w:snapToGrid w:val="0"/>
        <w:spacing w:before="120" w:after="120" w:line="360" w:lineRule="auto"/>
        <w:ind w:left="426" w:leftChars="203" w:firstLine="12" w:firstLineChars="5"/>
        <w:textAlignment w:val="auto"/>
        <w:rPr>
          <w:rFonts w:ascii="宋体" w:hAnsi="宋体"/>
          <w:color w:val="auto"/>
          <w:sz w:val="24"/>
          <w:highlight w:val="none"/>
        </w:rPr>
      </w:pPr>
      <w:r>
        <w:rPr>
          <w:rFonts w:ascii="宋体" w:hAnsi="宋体"/>
          <w:color w:val="auto"/>
          <w:sz w:val="24"/>
          <w:highlight w:val="none"/>
        </w:rPr>
        <w:t>乙方应保证提供服务过程中不会侵犯任何第三方的知识产权。</w:t>
      </w:r>
    </w:p>
    <w:p>
      <w:pPr>
        <w:keepNext w:val="0"/>
        <w:keepLines w:val="0"/>
        <w:pageBreakBefore w:val="0"/>
        <w:widowControl w:val="0"/>
        <w:kinsoku/>
        <w:wordWrap/>
        <w:overflowPunct/>
        <w:topLinePunct w:val="0"/>
        <w:autoSpaceDE/>
        <w:autoSpaceDN/>
        <w:bidi w:val="0"/>
        <w:adjustRightInd/>
        <w:snapToGrid w:val="0"/>
        <w:spacing w:before="120" w:after="120" w:line="360" w:lineRule="auto"/>
        <w:ind w:left="426" w:leftChars="203" w:firstLine="12" w:firstLineChars="5"/>
        <w:textAlignment w:val="auto"/>
        <w:rPr>
          <w:rFonts w:ascii="宋体" w:hAnsi="宋体"/>
          <w:color w:val="auto"/>
          <w:sz w:val="24"/>
          <w:highlight w:val="none"/>
        </w:rPr>
      </w:pPr>
      <w:r>
        <w:rPr>
          <w:rFonts w:hint="eastAsia" w:ascii="宋体" w:hAnsi="宋体"/>
          <w:color w:val="auto"/>
          <w:sz w:val="24"/>
          <w:highlight w:val="none"/>
        </w:rPr>
        <w:t>若乙方提供的服务或资料侵犯他人知识产权的，则乙方承担相应赔偿责任。</w:t>
      </w:r>
    </w:p>
    <w:p>
      <w:pPr>
        <w:keepNext w:val="0"/>
        <w:keepLines w:val="0"/>
        <w:pageBreakBefore w:val="0"/>
        <w:widowControl w:val="0"/>
        <w:kinsoku/>
        <w:wordWrap/>
        <w:overflowPunct/>
        <w:topLinePunct w:val="0"/>
        <w:autoSpaceDE/>
        <w:autoSpaceDN/>
        <w:bidi w:val="0"/>
        <w:adjustRightInd/>
        <w:snapToGrid w:val="0"/>
        <w:spacing w:before="120" w:after="120" w:line="360" w:lineRule="auto"/>
        <w:textAlignment w:val="auto"/>
        <w:rPr>
          <w:rFonts w:ascii="宋体" w:hAnsi="宋体"/>
          <w:b/>
          <w:color w:val="auto"/>
          <w:sz w:val="24"/>
          <w:highlight w:val="none"/>
        </w:rPr>
      </w:pPr>
      <w:r>
        <w:rPr>
          <w:rFonts w:hint="eastAsia" w:ascii="宋体" w:hAnsi="宋体"/>
          <w:b/>
          <w:color w:val="auto"/>
          <w:sz w:val="24"/>
          <w:highlight w:val="none"/>
        </w:rPr>
        <w:t>六、转包</w:t>
      </w:r>
    </w:p>
    <w:p>
      <w:pPr>
        <w:keepNext w:val="0"/>
        <w:keepLines w:val="0"/>
        <w:pageBreakBefore w:val="0"/>
        <w:widowControl w:val="0"/>
        <w:kinsoku/>
        <w:wordWrap/>
        <w:overflowPunct/>
        <w:topLinePunct w:val="0"/>
        <w:autoSpaceDE/>
        <w:autoSpaceDN/>
        <w:bidi w:val="0"/>
        <w:adjustRightInd/>
        <w:snapToGrid w:val="0"/>
        <w:spacing w:before="120" w:after="120" w:line="360" w:lineRule="auto"/>
        <w:ind w:firstLine="480" w:firstLineChars="200"/>
        <w:textAlignment w:val="auto"/>
        <w:rPr>
          <w:rFonts w:ascii="宋体" w:hAnsi="宋体"/>
          <w:color w:val="auto"/>
          <w:sz w:val="24"/>
          <w:highlight w:val="none"/>
        </w:rPr>
      </w:pPr>
      <w:r>
        <w:rPr>
          <w:rFonts w:hint="eastAsia" w:ascii="宋体" w:hAnsi="宋体"/>
          <w:color w:val="auto"/>
          <w:sz w:val="24"/>
          <w:highlight w:val="none"/>
          <w:lang w:val="en-US" w:eastAsia="zh-CN"/>
        </w:rPr>
        <w:t>1、</w:t>
      </w:r>
      <w:r>
        <w:rPr>
          <w:rFonts w:hint="eastAsia" w:ascii="宋体" w:hAnsi="宋体"/>
          <w:color w:val="auto"/>
          <w:sz w:val="24"/>
          <w:highlight w:val="none"/>
        </w:rPr>
        <w:t>本合同范围的服务，应由乙方直接供应，不得转让他人供应；</w:t>
      </w:r>
    </w:p>
    <w:p>
      <w:pPr>
        <w:keepNext w:val="0"/>
        <w:keepLines w:val="0"/>
        <w:pageBreakBefore w:val="0"/>
        <w:widowControl w:val="0"/>
        <w:kinsoku/>
        <w:wordWrap/>
        <w:overflowPunct/>
        <w:topLinePunct w:val="0"/>
        <w:autoSpaceDE/>
        <w:autoSpaceDN/>
        <w:bidi w:val="0"/>
        <w:adjustRightInd/>
        <w:snapToGrid w:val="0"/>
        <w:spacing w:before="120" w:after="120" w:line="360" w:lineRule="auto"/>
        <w:ind w:left="426" w:leftChars="203" w:firstLine="12" w:firstLineChars="5"/>
        <w:textAlignment w:val="auto"/>
        <w:rPr>
          <w:rFonts w:ascii="宋体" w:hAnsi="宋体"/>
          <w:color w:val="auto"/>
          <w:sz w:val="24"/>
          <w:highlight w:val="none"/>
        </w:rPr>
      </w:pPr>
      <w:r>
        <w:rPr>
          <w:rFonts w:hint="eastAsia" w:ascii="宋体" w:hAnsi="宋体"/>
          <w:color w:val="auto"/>
          <w:sz w:val="24"/>
          <w:highlight w:val="none"/>
          <w:lang w:val="en-US" w:eastAsia="zh-CN"/>
        </w:rPr>
        <w:t>2、</w:t>
      </w:r>
      <w:r>
        <w:rPr>
          <w:rFonts w:hint="eastAsia" w:ascii="宋体" w:hAnsi="宋体"/>
          <w:color w:val="auto"/>
          <w:sz w:val="24"/>
          <w:highlight w:val="none"/>
        </w:rPr>
        <w:t>如发现转包行为，甲方有权解除合同，并追究乙方的违约责任。</w:t>
      </w:r>
    </w:p>
    <w:p>
      <w:pPr>
        <w:keepNext w:val="0"/>
        <w:keepLines w:val="0"/>
        <w:pageBreakBefore w:val="0"/>
        <w:widowControl w:val="0"/>
        <w:kinsoku/>
        <w:wordWrap/>
        <w:overflowPunct/>
        <w:topLinePunct w:val="0"/>
        <w:autoSpaceDE/>
        <w:autoSpaceDN/>
        <w:bidi w:val="0"/>
        <w:adjustRightInd/>
        <w:snapToGrid w:val="0"/>
        <w:spacing w:before="120" w:after="120" w:line="360" w:lineRule="auto"/>
        <w:textAlignment w:val="auto"/>
        <w:rPr>
          <w:rFonts w:ascii="宋体" w:hAnsi="宋体"/>
          <w:b/>
          <w:color w:val="auto"/>
          <w:sz w:val="24"/>
          <w:highlight w:val="none"/>
        </w:rPr>
      </w:pPr>
      <w:r>
        <w:rPr>
          <w:rFonts w:hint="eastAsia" w:ascii="宋体" w:hAnsi="宋体"/>
          <w:b/>
          <w:color w:val="auto"/>
          <w:sz w:val="24"/>
          <w:highlight w:val="none"/>
        </w:rPr>
        <w:t>七</w:t>
      </w:r>
      <w:r>
        <w:rPr>
          <w:rFonts w:ascii="宋体" w:hAnsi="宋体"/>
          <w:b/>
          <w:color w:val="auto"/>
          <w:sz w:val="24"/>
          <w:highlight w:val="none"/>
        </w:rPr>
        <w:t>、</w:t>
      </w:r>
      <w:r>
        <w:rPr>
          <w:rFonts w:hint="eastAsia" w:ascii="宋体" w:hAnsi="宋体"/>
          <w:b/>
          <w:color w:val="auto"/>
          <w:sz w:val="24"/>
          <w:highlight w:val="none"/>
          <w:lang w:val="en-US" w:eastAsia="zh-CN"/>
        </w:rPr>
        <w:t>工期</w:t>
      </w:r>
      <w:r>
        <w:rPr>
          <w:rFonts w:ascii="宋体" w:hAnsi="宋体"/>
          <w:b/>
          <w:color w:val="auto"/>
          <w:sz w:val="24"/>
          <w:highlight w:val="none"/>
        </w:rPr>
        <w:t>、履行地点</w:t>
      </w:r>
    </w:p>
    <w:p>
      <w:pPr>
        <w:keepNext w:val="0"/>
        <w:keepLines w:val="0"/>
        <w:pageBreakBefore w:val="0"/>
        <w:widowControl w:val="0"/>
        <w:kinsoku/>
        <w:wordWrap/>
        <w:overflowPunct/>
        <w:topLinePunct w:val="0"/>
        <w:autoSpaceDE/>
        <w:autoSpaceDN/>
        <w:bidi w:val="0"/>
        <w:adjustRightInd/>
        <w:snapToGrid w:val="0"/>
        <w:spacing w:before="120" w:after="120" w:line="360" w:lineRule="auto"/>
        <w:ind w:firstLine="480" w:firstLineChars="200"/>
        <w:textAlignment w:val="auto"/>
        <w:rPr>
          <w:rFonts w:ascii="宋体" w:hAnsi="宋体"/>
          <w:bCs/>
          <w:color w:val="auto"/>
          <w:sz w:val="24"/>
          <w:highlight w:val="none"/>
        </w:rPr>
      </w:pPr>
      <w:r>
        <w:rPr>
          <w:rFonts w:hint="eastAsia" w:ascii="宋体" w:hAnsi="宋体"/>
          <w:color w:val="auto"/>
          <w:sz w:val="24"/>
          <w:highlight w:val="none"/>
          <w:lang w:val="en-US" w:eastAsia="zh-CN"/>
        </w:rPr>
        <w:t>1、</w:t>
      </w:r>
      <w:r>
        <w:rPr>
          <w:rFonts w:hint="eastAsia" w:ascii="宋体" w:hAnsi="宋体"/>
          <w:color w:val="auto"/>
          <w:sz w:val="24"/>
          <w:highlight w:val="none"/>
        </w:rPr>
        <w:t>工期</w:t>
      </w:r>
      <w:r>
        <w:rPr>
          <w:rFonts w:ascii="宋体" w:hAnsi="宋体"/>
          <w:bCs/>
          <w:color w:val="auto"/>
          <w:sz w:val="24"/>
          <w:highlight w:val="none"/>
        </w:rPr>
        <w:t>：</w:t>
      </w:r>
      <w:r>
        <w:rPr>
          <w:rFonts w:hint="eastAsia" w:ascii="宋体" w:hAnsi="宋体"/>
          <w:bCs/>
          <w:color w:val="auto"/>
          <w:sz w:val="24"/>
          <w:highlight w:val="none"/>
          <w:u w:val="single"/>
          <w:lang w:val="en-US" w:eastAsia="zh-CN"/>
        </w:rPr>
        <w:t xml:space="preserve">      </w:t>
      </w:r>
      <w:r>
        <w:rPr>
          <w:rFonts w:hint="eastAsia" w:ascii="宋体" w:hAnsi="宋体"/>
          <w:bCs/>
          <w:color w:val="auto"/>
          <w:sz w:val="24"/>
          <w:highlight w:val="none"/>
        </w:rPr>
        <w:t>天。</w:t>
      </w:r>
    </w:p>
    <w:p>
      <w:pPr>
        <w:keepNext w:val="0"/>
        <w:keepLines w:val="0"/>
        <w:pageBreakBefore w:val="0"/>
        <w:widowControl w:val="0"/>
        <w:kinsoku/>
        <w:wordWrap/>
        <w:overflowPunct/>
        <w:topLinePunct w:val="0"/>
        <w:autoSpaceDE/>
        <w:autoSpaceDN/>
        <w:bidi w:val="0"/>
        <w:adjustRightInd/>
        <w:snapToGrid w:val="0"/>
        <w:spacing w:before="120" w:after="120" w:line="360" w:lineRule="auto"/>
        <w:ind w:firstLine="480" w:firstLineChars="200"/>
        <w:textAlignment w:val="auto"/>
        <w:rPr>
          <w:rFonts w:ascii="宋体" w:hAnsi="宋体"/>
          <w:color w:val="auto"/>
          <w:sz w:val="24"/>
          <w:highlight w:val="none"/>
        </w:rPr>
      </w:pPr>
      <w:r>
        <w:rPr>
          <w:rFonts w:hint="eastAsia" w:ascii="宋体" w:hAnsi="宋体"/>
          <w:color w:val="auto"/>
          <w:sz w:val="24"/>
          <w:highlight w:val="none"/>
          <w:lang w:val="en-US" w:eastAsia="zh-CN"/>
        </w:rPr>
        <w:t>2、</w:t>
      </w:r>
      <w:r>
        <w:rPr>
          <w:rFonts w:ascii="宋体" w:hAnsi="宋体"/>
          <w:color w:val="auto"/>
          <w:sz w:val="24"/>
          <w:highlight w:val="none"/>
        </w:rPr>
        <w:t>履行地点</w:t>
      </w:r>
      <w:r>
        <w:rPr>
          <w:rFonts w:ascii="宋体" w:hAnsi="宋体"/>
          <w:bCs/>
          <w:color w:val="auto"/>
          <w:sz w:val="24"/>
          <w:highlight w:val="none"/>
        </w:rPr>
        <w:t>：</w:t>
      </w:r>
    </w:p>
    <w:p>
      <w:pPr>
        <w:keepNext w:val="0"/>
        <w:keepLines w:val="0"/>
        <w:pageBreakBefore w:val="0"/>
        <w:widowControl w:val="0"/>
        <w:kinsoku/>
        <w:wordWrap/>
        <w:overflowPunct/>
        <w:topLinePunct w:val="0"/>
        <w:autoSpaceDE/>
        <w:autoSpaceDN/>
        <w:bidi w:val="0"/>
        <w:adjustRightInd/>
        <w:spacing w:line="360" w:lineRule="auto"/>
        <w:textAlignment w:val="auto"/>
        <w:rPr>
          <w:rFonts w:ascii="宋体" w:hAnsi="宋体"/>
          <w:b/>
          <w:color w:val="auto"/>
          <w:sz w:val="24"/>
          <w:highlight w:val="none"/>
        </w:rPr>
      </w:pPr>
      <w:r>
        <w:rPr>
          <w:rFonts w:hint="eastAsia" w:ascii="宋体" w:hAnsi="宋体"/>
          <w:b/>
          <w:color w:val="auto"/>
          <w:sz w:val="24"/>
          <w:highlight w:val="none"/>
        </w:rPr>
        <w:t>八</w:t>
      </w:r>
      <w:r>
        <w:rPr>
          <w:rFonts w:ascii="宋体" w:hAnsi="宋体"/>
          <w:b/>
          <w:color w:val="auto"/>
          <w:sz w:val="24"/>
          <w:highlight w:val="none"/>
        </w:rPr>
        <w:t>、付款方式</w:t>
      </w:r>
      <w:r>
        <w:rPr>
          <w:rFonts w:hint="eastAsia" w:ascii="宋体" w:hAnsi="宋体"/>
          <w:b/>
          <w:color w:val="auto"/>
          <w:sz w:val="24"/>
          <w:highlight w:val="none"/>
        </w:rPr>
        <w:t>：</w:t>
      </w:r>
    </w:p>
    <w:p>
      <w:pPr>
        <w:keepNext w:val="0"/>
        <w:keepLines w:val="0"/>
        <w:pageBreakBefore w:val="0"/>
        <w:widowControl w:val="0"/>
        <w:kinsoku/>
        <w:wordWrap/>
        <w:overflowPunct/>
        <w:topLinePunct w:val="0"/>
        <w:autoSpaceDE/>
        <w:autoSpaceDN/>
        <w:bidi w:val="0"/>
        <w:adjustRightInd/>
        <w:snapToGrid w:val="0"/>
        <w:spacing w:before="120" w:after="120" w:line="360" w:lineRule="auto"/>
        <w:ind w:firstLine="480" w:firstLineChars="200"/>
        <w:textAlignment w:val="auto"/>
        <w:rPr>
          <w:rFonts w:hint="eastAsia" w:ascii="宋体" w:hAnsi="宋体"/>
          <w:b w:val="0"/>
          <w:bCs w:val="0"/>
          <w:color w:val="auto"/>
          <w:sz w:val="24"/>
          <w:highlight w:val="none"/>
        </w:rPr>
      </w:pPr>
      <w:r>
        <w:rPr>
          <w:rFonts w:hint="eastAsia" w:ascii="宋体" w:hAnsi="宋体"/>
          <w:b w:val="0"/>
          <w:bCs w:val="0"/>
          <w:color w:val="auto"/>
          <w:sz w:val="24"/>
          <w:highlight w:val="none"/>
        </w:rPr>
        <w:t>（1）合同生效以及具备实施条件后7个工作日内支付合同价款的40%作为预付款（中标人须提交预付款保函）；</w:t>
      </w:r>
    </w:p>
    <w:p>
      <w:pPr>
        <w:keepNext w:val="0"/>
        <w:keepLines w:val="0"/>
        <w:pageBreakBefore w:val="0"/>
        <w:widowControl w:val="0"/>
        <w:kinsoku/>
        <w:wordWrap/>
        <w:overflowPunct/>
        <w:topLinePunct w:val="0"/>
        <w:autoSpaceDE/>
        <w:autoSpaceDN/>
        <w:bidi w:val="0"/>
        <w:adjustRightInd/>
        <w:snapToGrid w:val="0"/>
        <w:spacing w:before="120" w:after="120" w:line="360" w:lineRule="auto"/>
        <w:ind w:firstLine="480" w:firstLineChars="200"/>
        <w:textAlignment w:val="auto"/>
        <w:rPr>
          <w:rFonts w:hint="eastAsia" w:ascii="宋体" w:hAnsi="宋体"/>
          <w:b w:val="0"/>
          <w:bCs w:val="0"/>
          <w:color w:val="auto"/>
          <w:sz w:val="24"/>
          <w:highlight w:val="none"/>
        </w:rPr>
      </w:pPr>
      <w:r>
        <w:rPr>
          <w:rFonts w:hint="eastAsia" w:ascii="宋体" w:hAnsi="宋体"/>
          <w:b w:val="0"/>
          <w:bCs w:val="0"/>
          <w:color w:val="auto"/>
          <w:sz w:val="24"/>
          <w:highlight w:val="none"/>
        </w:rPr>
        <w:t>（2）全部工程完工后支付至合同价款的85%；</w:t>
      </w:r>
    </w:p>
    <w:p>
      <w:pPr>
        <w:keepNext w:val="0"/>
        <w:keepLines w:val="0"/>
        <w:pageBreakBefore w:val="0"/>
        <w:widowControl w:val="0"/>
        <w:kinsoku/>
        <w:wordWrap/>
        <w:overflowPunct/>
        <w:topLinePunct w:val="0"/>
        <w:autoSpaceDE/>
        <w:autoSpaceDN/>
        <w:bidi w:val="0"/>
        <w:adjustRightInd/>
        <w:snapToGrid w:val="0"/>
        <w:spacing w:before="120" w:after="120" w:line="360" w:lineRule="auto"/>
        <w:ind w:firstLine="480" w:firstLineChars="200"/>
        <w:textAlignment w:val="auto"/>
        <w:rPr>
          <w:rFonts w:hint="eastAsia" w:ascii="宋体" w:hAnsi="宋体"/>
          <w:b w:val="0"/>
          <w:bCs w:val="0"/>
          <w:color w:val="auto"/>
          <w:sz w:val="24"/>
          <w:highlight w:val="none"/>
        </w:rPr>
      </w:pPr>
      <w:r>
        <w:rPr>
          <w:rFonts w:hint="eastAsia" w:ascii="宋体" w:hAnsi="宋体"/>
          <w:b w:val="0"/>
          <w:bCs w:val="0"/>
          <w:color w:val="auto"/>
          <w:sz w:val="24"/>
          <w:highlight w:val="none"/>
        </w:rPr>
        <w:t>（3）工程通过竣工验收合格后凭竣工验收报告支付至实际价款的100%。</w:t>
      </w:r>
    </w:p>
    <w:p>
      <w:pPr>
        <w:keepNext w:val="0"/>
        <w:keepLines w:val="0"/>
        <w:pageBreakBefore w:val="0"/>
        <w:widowControl w:val="0"/>
        <w:kinsoku/>
        <w:wordWrap/>
        <w:overflowPunct/>
        <w:topLinePunct w:val="0"/>
        <w:autoSpaceDE/>
        <w:autoSpaceDN/>
        <w:bidi w:val="0"/>
        <w:adjustRightInd/>
        <w:snapToGrid w:val="0"/>
        <w:spacing w:before="120" w:after="120" w:line="360" w:lineRule="auto"/>
        <w:textAlignment w:val="auto"/>
        <w:rPr>
          <w:rFonts w:ascii="宋体" w:hAnsi="宋体"/>
          <w:b/>
          <w:color w:val="auto"/>
          <w:sz w:val="24"/>
          <w:highlight w:val="none"/>
        </w:rPr>
      </w:pPr>
      <w:r>
        <w:rPr>
          <w:rFonts w:hint="eastAsia" w:ascii="宋体" w:hAnsi="宋体"/>
          <w:b/>
          <w:color w:val="auto"/>
          <w:sz w:val="24"/>
          <w:highlight w:val="none"/>
        </w:rPr>
        <w:t>九、税费</w:t>
      </w:r>
    </w:p>
    <w:p>
      <w:pPr>
        <w:keepNext w:val="0"/>
        <w:keepLines w:val="0"/>
        <w:pageBreakBefore w:val="0"/>
        <w:widowControl w:val="0"/>
        <w:kinsoku/>
        <w:wordWrap/>
        <w:overflowPunct/>
        <w:topLinePunct w:val="0"/>
        <w:autoSpaceDE/>
        <w:autoSpaceDN/>
        <w:bidi w:val="0"/>
        <w:adjustRightInd/>
        <w:snapToGrid w:val="0"/>
        <w:spacing w:before="120" w:after="120" w:line="360" w:lineRule="auto"/>
        <w:ind w:firstLine="480" w:firstLineChars="200"/>
        <w:textAlignment w:val="auto"/>
        <w:rPr>
          <w:rFonts w:hint="eastAsia" w:ascii="宋体" w:hAnsi="宋体"/>
          <w:color w:val="auto"/>
          <w:sz w:val="24"/>
          <w:highlight w:val="none"/>
        </w:rPr>
      </w:pPr>
      <w:r>
        <w:rPr>
          <w:rFonts w:hint="eastAsia" w:ascii="宋体" w:hAnsi="宋体"/>
          <w:color w:val="auto"/>
          <w:sz w:val="24"/>
          <w:highlight w:val="none"/>
        </w:rPr>
        <w:t>本合同执行中相关的一切税费均由</w:t>
      </w:r>
      <w:r>
        <w:rPr>
          <w:rFonts w:hAnsi="宋体"/>
          <w:color w:val="auto"/>
          <w:sz w:val="24"/>
          <w:highlight w:val="none"/>
        </w:rPr>
        <w:t>乙</w:t>
      </w:r>
      <w:r>
        <w:rPr>
          <w:rFonts w:hint="eastAsia" w:ascii="宋体" w:hAnsi="宋体"/>
          <w:color w:val="auto"/>
          <w:sz w:val="24"/>
          <w:highlight w:val="none"/>
        </w:rPr>
        <w:t>方负担。</w:t>
      </w:r>
    </w:p>
    <w:p>
      <w:pPr>
        <w:keepNext w:val="0"/>
        <w:keepLines w:val="0"/>
        <w:pageBreakBefore w:val="0"/>
        <w:widowControl w:val="0"/>
        <w:kinsoku/>
        <w:wordWrap/>
        <w:overflowPunct/>
        <w:topLinePunct w:val="0"/>
        <w:autoSpaceDE/>
        <w:autoSpaceDN/>
        <w:bidi w:val="0"/>
        <w:adjustRightInd/>
        <w:snapToGrid w:val="0"/>
        <w:spacing w:before="120" w:after="120" w:line="360" w:lineRule="auto"/>
        <w:textAlignment w:val="auto"/>
        <w:rPr>
          <w:color w:val="auto"/>
          <w:sz w:val="24"/>
          <w:highlight w:val="none"/>
        </w:rPr>
      </w:pPr>
      <w:r>
        <w:rPr>
          <w:rFonts w:hint="eastAsia"/>
          <w:b/>
          <w:bCs/>
          <w:color w:val="auto"/>
          <w:sz w:val="24"/>
          <w:szCs w:val="24"/>
          <w:highlight w:val="none"/>
        </w:rPr>
        <w:t>十、履约</w:t>
      </w:r>
      <w:r>
        <w:rPr>
          <w:b/>
          <w:bCs/>
          <w:color w:val="auto"/>
          <w:sz w:val="24"/>
          <w:szCs w:val="24"/>
          <w:highlight w:val="none"/>
        </w:rPr>
        <w:t>保证金</w:t>
      </w:r>
      <w:r>
        <w:rPr>
          <w:rFonts w:hint="eastAsia"/>
          <w:b/>
          <w:bCs/>
          <w:color w:val="auto"/>
          <w:sz w:val="24"/>
          <w:szCs w:val="24"/>
          <w:highlight w:val="none"/>
          <w:lang w:eastAsia="zh-CN"/>
        </w:rPr>
        <w:t>：</w:t>
      </w:r>
      <w:r>
        <w:rPr>
          <w:rFonts w:hint="eastAsia" w:ascii="宋体" w:hAnsi="宋体" w:cs="宋体"/>
          <w:color w:val="auto"/>
          <w:sz w:val="24"/>
          <w:highlight w:val="none"/>
        </w:rPr>
        <w:t>中标价</w:t>
      </w:r>
      <w:r>
        <w:rPr>
          <w:rFonts w:hint="eastAsia" w:ascii="宋体" w:hAnsi="宋体" w:cs="宋体"/>
          <w:color w:val="auto"/>
          <w:sz w:val="24"/>
          <w:highlight w:val="none"/>
          <w:lang w:val="en-US" w:eastAsia="zh-CN"/>
        </w:rPr>
        <w:t>的1%</w:t>
      </w:r>
      <w:r>
        <w:rPr>
          <w:rFonts w:hint="eastAsia" w:ascii="宋体" w:hAnsi="宋体" w:cs="宋体"/>
          <w:color w:val="auto"/>
          <w:sz w:val="24"/>
          <w:highlight w:val="none"/>
        </w:rPr>
        <w:t>。</w:t>
      </w:r>
    </w:p>
    <w:p>
      <w:pPr>
        <w:keepNext w:val="0"/>
        <w:keepLines w:val="0"/>
        <w:pageBreakBefore w:val="0"/>
        <w:widowControl w:val="0"/>
        <w:kinsoku/>
        <w:wordWrap/>
        <w:overflowPunct/>
        <w:topLinePunct w:val="0"/>
        <w:autoSpaceDE/>
        <w:autoSpaceDN/>
        <w:bidi w:val="0"/>
        <w:adjustRightInd/>
        <w:snapToGrid w:val="0"/>
        <w:spacing w:before="120" w:after="120" w:line="360" w:lineRule="auto"/>
        <w:ind w:left="410" w:hanging="410"/>
        <w:textAlignment w:val="auto"/>
        <w:rPr>
          <w:rFonts w:ascii="宋体" w:hAnsi="宋体"/>
          <w:color w:val="auto"/>
          <w:sz w:val="24"/>
          <w:highlight w:val="none"/>
        </w:rPr>
      </w:pPr>
      <w:r>
        <w:rPr>
          <w:rFonts w:ascii="宋体" w:hAnsi="宋体"/>
          <w:b/>
          <w:color w:val="auto"/>
          <w:sz w:val="24"/>
          <w:highlight w:val="none"/>
        </w:rPr>
        <w:t>十</w:t>
      </w:r>
      <w:r>
        <w:rPr>
          <w:rFonts w:hint="eastAsia" w:ascii="宋体" w:hAnsi="宋体"/>
          <w:b/>
          <w:color w:val="auto"/>
          <w:sz w:val="24"/>
          <w:highlight w:val="none"/>
        </w:rPr>
        <w:t>一</w:t>
      </w:r>
      <w:r>
        <w:rPr>
          <w:rFonts w:ascii="宋体" w:hAnsi="宋体"/>
          <w:b/>
          <w:color w:val="auto"/>
          <w:sz w:val="24"/>
          <w:highlight w:val="none"/>
        </w:rPr>
        <w:t>、质量保证及后续服务</w:t>
      </w:r>
    </w:p>
    <w:p>
      <w:pPr>
        <w:keepNext w:val="0"/>
        <w:keepLines w:val="0"/>
        <w:pageBreakBefore w:val="0"/>
        <w:widowControl w:val="0"/>
        <w:kinsoku/>
        <w:wordWrap/>
        <w:overflowPunct/>
        <w:topLinePunct w:val="0"/>
        <w:autoSpaceDE/>
        <w:autoSpaceDN/>
        <w:bidi w:val="0"/>
        <w:adjustRightInd/>
        <w:snapToGrid w:val="0"/>
        <w:spacing w:before="120" w:after="120" w:line="360" w:lineRule="auto"/>
        <w:ind w:left="426" w:leftChars="203" w:firstLine="12" w:firstLineChars="5"/>
        <w:textAlignment w:val="auto"/>
        <w:rPr>
          <w:rFonts w:ascii="宋体" w:hAnsi="宋体"/>
          <w:color w:val="auto"/>
          <w:sz w:val="24"/>
          <w:highlight w:val="none"/>
        </w:rPr>
      </w:pPr>
      <w:r>
        <w:rPr>
          <w:rFonts w:hint="eastAsia" w:ascii="宋体" w:hAnsi="宋体"/>
          <w:color w:val="auto"/>
          <w:sz w:val="24"/>
          <w:highlight w:val="none"/>
          <w:lang w:val="en-US" w:eastAsia="zh-CN"/>
        </w:rPr>
        <w:t>1、</w:t>
      </w:r>
      <w:r>
        <w:rPr>
          <w:rFonts w:ascii="宋体" w:hAnsi="宋体"/>
          <w:color w:val="auto"/>
          <w:sz w:val="24"/>
          <w:highlight w:val="none"/>
        </w:rPr>
        <w:t>乙方应按招标文件规定向甲方提供服务。</w:t>
      </w:r>
    </w:p>
    <w:p>
      <w:pPr>
        <w:keepNext w:val="0"/>
        <w:keepLines w:val="0"/>
        <w:pageBreakBefore w:val="0"/>
        <w:widowControl w:val="0"/>
        <w:kinsoku/>
        <w:wordWrap/>
        <w:overflowPunct/>
        <w:topLinePunct w:val="0"/>
        <w:autoSpaceDE/>
        <w:autoSpaceDN/>
        <w:bidi w:val="0"/>
        <w:adjustRightInd/>
        <w:snapToGrid w:val="0"/>
        <w:spacing w:before="120" w:after="120" w:line="360" w:lineRule="auto"/>
        <w:ind w:firstLine="480" w:firstLineChars="200"/>
        <w:textAlignment w:val="auto"/>
        <w:rPr>
          <w:rFonts w:ascii="宋体" w:hAnsi="宋体"/>
          <w:color w:val="auto"/>
          <w:sz w:val="24"/>
          <w:highlight w:val="none"/>
        </w:rPr>
      </w:pPr>
      <w:r>
        <w:rPr>
          <w:rFonts w:hint="eastAsia" w:ascii="宋体" w:hAnsi="宋体"/>
          <w:color w:val="auto"/>
          <w:sz w:val="24"/>
          <w:highlight w:val="none"/>
          <w:lang w:val="en-US" w:eastAsia="zh-CN"/>
        </w:rPr>
        <w:t>2、</w:t>
      </w:r>
      <w:r>
        <w:rPr>
          <w:rFonts w:ascii="宋体" w:hAnsi="宋体"/>
          <w:color w:val="auto"/>
          <w:sz w:val="24"/>
          <w:highlight w:val="none"/>
        </w:rPr>
        <w:t>乙方提供的服务成果在服务质量保证期内发生故障，乙方应负责免费提供后续服务。对达不到要求者，根据实际情况，经双方协商，可按以下办法处理：</w:t>
      </w:r>
    </w:p>
    <w:p>
      <w:pPr>
        <w:keepNext w:val="0"/>
        <w:keepLines w:val="0"/>
        <w:pageBreakBefore w:val="0"/>
        <w:widowControl w:val="0"/>
        <w:kinsoku/>
        <w:wordWrap/>
        <w:overflowPunct/>
        <w:topLinePunct w:val="0"/>
        <w:autoSpaceDE/>
        <w:autoSpaceDN/>
        <w:bidi w:val="0"/>
        <w:adjustRightInd/>
        <w:snapToGrid w:val="0"/>
        <w:spacing w:before="120" w:after="120" w:line="360" w:lineRule="auto"/>
        <w:ind w:firstLine="420"/>
        <w:textAlignment w:val="auto"/>
        <w:rPr>
          <w:rFonts w:ascii="宋体" w:hAnsi="宋体"/>
          <w:color w:val="auto"/>
          <w:sz w:val="24"/>
          <w:highlight w:val="none"/>
        </w:rPr>
      </w:pPr>
      <w:r>
        <w:rPr>
          <w:rFonts w:ascii="宋体" w:hAnsi="宋体"/>
          <w:color w:val="auto"/>
          <w:sz w:val="24"/>
          <w:highlight w:val="none"/>
        </w:rPr>
        <w:t>⑴重做：由乙方承担所发生的全部费用。</w:t>
      </w:r>
    </w:p>
    <w:p>
      <w:pPr>
        <w:keepNext w:val="0"/>
        <w:keepLines w:val="0"/>
        <w:pageBreakBefore w:val="0"/>
        <w:widowControl w:val="0"/>
        <w:kinsoku/>
        <w:wordWrap/>
        <w:overflowPunct/>
        <w:topLinePunct w:val="0"/>
        <w:autoSpaceDE/>
        <w:autoSpaceDN/>
        <w:bidi w:val="0"/>
        <w:adjustRightInd/>
        <w:snapToGrid w:val="0"/>
        <w:spacing w:before="120" w:after="120" w:line="360" w:lineRule="auto"/>
        <w:ind w:firstLine="420"/>
        <w:textAlignment w:val="auto"/>
        <w:rPr>
          <w:rFonts w:ascii="宋体" w:hAnsi="宋体"/>
          <w:color w:val="auto"/>
          <w:sz w:val="24"/>
          <w:highlight w:val="none"/>
        </w:rPr>
      </w:pPr>
      <w:r>
        <w:rPr>
          <w:rFonts w:ascii="宋体" w:hAnsi="宋体"/>
          <w:color w:val="auto"/>
          <w:sz w:val="24"/>
          <w:highlight w:val="none"/>
        </w:rPr>
        <w:t>⑵贬值处理：由甲乙双方合议定价。</w:t>
      </w:r>
    </w:p>
    <w:p>
      <w:pPr>
        <w:keepNext w:val="0"/>
        <w:keepLines w:val="0"/>
        <w:pageBreakBefore w:val="0"/>
        <w:widowControl w:val="0"/>
        <w:kinsoku/>
        <w:wordWrap/>
        <w:overflowPunct/>
        <w:topLinePunct w:val="0"/>
        <w:autoSpaceDE/>
        <w:autoSpaceDN/>
        <w:bidi w:val="0"/>
        <w:adjustRightInd/>
        <w:snapToGrid w:val="0"/>
        <w:spacing w:before="120" w:after="120" w:line="360" w:lineRule="auto"/>
        <w:ind w:left="420" w:leftChars="200"/>
        <w:textAlignment w:val="auto"/>
        <w:rPr>
          <w:rFonts w:ascii="宋体" w:hAnsi="宋体"/>
          <w:color w:val="auto"/>
          <w:sz w:val="24"/>
          <w:highlight w:val="none"/>
        </w:rPr>
      </w:pPr>
      <w:r>
        <w:rPr>
          <w:rFonts w:ascii="宋体" w:hAnsi="宋体"/>
          <w:color w:val="auto"/>
          <w:sz w:val="24"/>
          <w:highlight w:val="none"/>
        </w:rPr>
        <w:t>⑶解除合同。</w:t>
      </w:r>
    </w:p>
    <w:p>
      <w:pPr>
        <w:keepNext w:val="0"/>
        <w:keepLines w:val="0"/>
        <w:pageBreakBefore w:val="0"/>
        <w:widowControl w:val="0"/>
        <w:kinsoku/>
        <w:wordWrap/>
        <w:overflowPunct/>
        <w:topLinePunct w:val="0"/>
        <w:autoSpaceDE/>
        <w:autoSpaceDN/>
        <w:bidi w:val="0"/>
        <w:adjustRightInd/>
        <w:snapToGrid w:val="0"/>
        <w:spacing w:before="120" w:after="120" w:line="360" w:lineRule="auto"/>
        <w:ind w:firstLine="480" w:firstLineChars="200"/>
        <w:textAlignment w:val="auto"/>
        <w:rPr>
          <w:rFonts w:ascii="宋体" w:hAnsi="宋体"/>
          <w:color w:val="auto"/>
          <w:sz w:val="24"/>
          <w:highlight w:val="none"/>
        </w:rPr>
      </w:pPr>
      <w:r>
        <w:rPr>
          <w:rFonts w:hint="eastAsia" w:ascii="宋体" w:hAnsi="宋体"/>
          <w:color w:val="auto"/>
          <w:sz w:val="24"/>
          <w:highlight w:val="none"/>
          <w:lang w:val="en-US" w:eastAsia="zh-CN"/>
        </w:rPr>
        <w:t>3、</w:t>
      </w:r>
      <w:r>
        <w:rPr>
          <w:rFonts w:ascii="宋体" w:hAnsi="宋体"/>
          <w:color w:val="auto"/>
          <w:sz w:val="24"/>
          <w:highlight w:val="none"/>
        </w:rPr>
        <w:t>如在使用过程中发生问题，乙方在接到甲方通知后</w:t>
      </w:r>
      <w:r>
        <w:rPr>
          <w:rFonts w:hint="eastAsia" w:ascii="宋体" w:hAnsi="宋体"/>
          <w:color w:val="auto"/>
          <w:sz w:val="24"/>
          <w:highlight w:val="none"/>
          <w:u w:val="single"/>
        </w:rPr>
        <w:t>48</w:t>
      </w:r>
      <w:r>
        <w:rPr>
          <w:rFonts w:ascii="宋体" w:hAnsi="宋体"/>
          <w:color w:val="auto"/>
          <w:sz w:val="24"/>
          <w:highlight w:val="none"/>
        </w:rPr>
        <w:t>小时内到达甲方现场。</w:t>
      </w:r>
    </w:p>
    <w:p>
      <w:pPr>
        <w:keepNext w:val="0"/>
        <w:keepLines w:val="0"/>
        <w:pageBreakBefore w:val="0"/>
        <w:widowControl w:val="0"/>
        <w:kinsoku/>
        <w:wordWrap/>
        <w:overflowPunct/>
        <w:topLinePunct w:val="0"/>
        <w:autoSpaceDE/>
        <w:autoSpaceDN/>
        <w:bidi w:val="0"/>
        <w:adjustRightInd/>
        <w:snapToGrid w:val="0"/>
        <w:spacing w:before="120" w:after="120" w:line="360" w:lineRule="auto"/>
        <w:ind w:firstLine="480" w:firstLineChars="200"/>
        <w:textAlignment w:val="auto"/>
        <w:rPr>
          <w:rFonts w:ascii="宋体" w:hAnsi="宋体"/>
          <w:color w:val="auto"/>
          <w:sz w:val="24"/>
          <w:highlight w:val="none"/>
        </w:rPr>
      </w:pPr>
      <w:r>
        <w:rPr>
          <w:rFonts w:hint="eastAsia" w:ascii="宋体" w:hAnsi="宋体"/>
          <w:color w:val="auto"/>
          <w:sz w:val="24"/>
          <w:highlight w:val="none"/>
          <w:lang w:val="en-US" w:eastAsia="zh-CN"/>
        </w:rPr>
        <w:t>4、</w:t>
      </w:r>
      <w:r>
        <w:rPr>
          <w:rFonts w:ascii="宋体" w:hAnsi="宋体"/>
          <w:color w:val="auto"/>
          <w:sz w:val="24"/>
          <w:highlight w:val="none"/>
        </w:rPr>
        <w:t>在服务质量保证期内，乙方应对出现的质量及安全问题负责处理解决并承担一切费用。</w:t>
      </w:r>
    </w:p>
    <w:p>
      <w:pPr>
        <w:keepNext w:val="0"/>
        <w:keepLines w:val="0"/>
        <w:pageBreakBefore w:val="0"/>
        <w:widowControl w:val="0"/>
        <w:kinsoku/>
        <w:wordWrap/>
        <w:overflowPunct/>
        <w:topLinePunct w:val="0"/>
        <w:autoSpaceDE/>
        <w:autoSpaceDN/>
        <w:bidi w:val="0"/>
        <w:adjustRightInd/>
        <w:snapToGrid w:val="0"/>
        <w:spacing w:before="120" w:after="120" w:line="360" w:lineRule="auto"/>
        <w:textAlignment w:val="auto"/>
        <w:rPr>
          <w:rFonts w:ascii="宋体" w:hAnsi="宋体"/>
          <w:b/>
          <w:color w:val="auto"/>
          <w:sz w:val="24"/>
          <w:highlight w:val="none"/>
        </w:rPr>
      </w:pPr>
      <w:r>
        <w:rPr>
          <w:rFonts w:ascii="宋体" w:hAnsi="宋体"/>
          <w:b/>
          <w:color w:val="auto"/>
          <w:sz w:val="24"/>
          <w:highlight w:val="none"/>
        </w:rPr>
        <w:t>十</w:t>
      </w:r>
      <w:r>
        <w:rPr>
          <w:rFonts w:hint="eastAsia" w:ascii="宋体" w:hAnsi="宋体"/>
          <w:b/>
          <w:color w:val="auto"/>
          <w:sz w:val="24"/>
          <w:highlight w:val="none"/>
        </w:rPr>
        <w:t>二</w:t>
      </w:r>
      <w:r>
        <w:rPr>
          <w:rFonts w:ascii="宋体" w:hAnsi="宋体"/>
          <w:b/>
          <w:color w:val="auto"/>
          <w:sz w:val="24"/>
          <w:highlight w:val="none"/>
        </w:rPr>
        <w:t>、违约责任</w:t>
      </w:r>
    </w:p>
    <w:p>
      <w:pPr>
        <w:keepNext w:val="0"/>
        <w:keepLines w:val="0"/>
        <w:pageBreakBefore w:val="0"/>
        <w:widowControl w:val="0"/>
        <w:kinsoku/>
        <w:wordWrap/>
        <w:overflowPunct/>
        <w:topLinePunct w:val="0"/>
        <w:autoSpaceDE/>
        <w:autoSpaceDN/>
        <w:bidi w:val="0"/>
        <w:adjustRightInd/>
        <w:snapToGrid w:val="0"/>
        <w:spacing w:before="120" w:after="120" w:line="360" w:lineRule="auto"/>
        <w:ind w:left="426" w:leftChars="203" w:firstLine="12" w:firstLineChars="5"/>
        <w:textAlignment w:val="auto"/>
        <w:rPr>
          <w:rFonts w:ascii="宋体" w:hAnsi="宋体"/>
          <w:color w:val="auto"/>
          <w:sz w:val="24"/>
          <w:highlight w:val="none"/>
        </w:rPr>
      </w:pPr>
      <w:r>
        <w:rPr>
          <w:rFonts w:hint="eastAsia" w:ascii="宋体" w:hAnsi="宋体"/>
          <w:color w:val="auto"/>
          <w:sz w:val="24"/>
          <w:highlight w:val="none"/>
          <w:lang w:val="en-US" w:eastAsia="zh-CN"/>
        </w:rPr>
        <w:t>1、</w:t>
      </w:r>
      <w:r>
        <w:rPr>
          <w:rFonts w:ascii="宋体" w:hAnsi="宋体"/>
          <w:color w:val="auto"/>
          <w:sz w:val="24"/>
          <w:highlight w:val="none"/>
        </w:rPr>
        <w:t>甲方无正当理由拒收接受服务的，甲方向乙方偿付合同款项百分之五作为违约金。</w:t>
      </w:r>
    </w:p>
    <w:p>
      <w:pPr>
        <w:keepNext w:val="0"/>
        <w:keepLines w:val="0"/>
        <w:pageBreakBefore w:val="0"/>
        <w:widowControl w:val="0"/>
        <w:kinsoku/>
        <w:wordWrap/>
        <w:overflowPunct/>
        <w:topLinePunct w:val="0"/>
        <w:autoSpaceDE/>
        <w:autoSpaceDN/>
        <w:bidi w:val="0"/>
        <w:adjustRightInd/>
        <w:snapToGrid w:val="0"/>
        <w:spacing w:before="120" w:after="120" w:line="360" w:lineRule="auto"/>
        <w:ind w:firstLine="480" w:firstLineChars="200"/>
        <w:textAlignment w:val="auto"/>
        <w:rPr>
          <w:rFonts w:ascii="宋体" w:hAnsi="宋体"/>
          <w:color w:val="auto"/>
          <w:sz w:val="24"/>
          <w:highlight w:val="none"/>
        </w:rPr>
      </w:pPr>
      <w:r>
        <w:rPr>
          <w:rFonts w:hint="eastAsia" w:ascii="宋体" w:hAnsi="宋体"/>
          <w:color w:val="auto"/>
          <w:sz w:val="24"/>
          <w:highlight w:val="none"/>
          <w:lang w:val="en-US" w:eastAsia="zh-CN"/>
        </w:rPr>
        <w:t>2、</w:t>
      </w:r>
      <w:r>
        <w:rPr>
          <w:rFonts w:ascii="宋体" w:hAnsi="宋体"/>
          <w:color w:val="auto"/>
          <w:sz w:val="24"/>
          <w:highlight w:val="none"/>
        </w:rPr>
        <w:t>甲方无故逾期验收和办理款项支付手续的,甲方应按逾期付款总额每日万分之五向乙方支付违约金。</w:t>
      </w:r>
    </w:p>
    <w:p>
      <w:pPr>
        <w:keepNext w:val="0"/>
        <w:keepLines w:val="0"/>
        <w:pageBreakBefore w:val="0"/>
        <w:widowControl w:val="0"/>
        <w:kinsoku/>
        <w:wordWrap/>
        <w:overflowPunct/>
        <w:topLinePunct w:val="0"/>
        <w:autoSpaceDE/>
        <w:autoSpaceDN/>
        <w:bidi w:val="0"/>
        <w:adjustRightInd/>
        <w:snapToGrid w:val="0"/>
        <w:spacing w:before="120" w:after="120" w:line="360" w:lineRule="auto"/>
        <w:ind w:firstLine="480" w:firstLineChars="200"/>
        <w:textAlignment w:val="auto"/>
        <w:rPr>
          <w:rFonts w:ascii="宋体" w:hAnsi="宋体"/>
          <w:color w:val="auto"/>
          <w:sz w:val="24"/>
          <w:highlight w:val="none"/>
        </w:rPr>
      </w:pPr>
      <w:r>
        <w:rPr>
          <w:rFonts w:hint="eastAsia" w:ascii="宋体" w:hAnsi="宋体"/>
          <w:color w:val="auto"/>
          <w:sz w:val="24"/>
          <w:highlight w:val="none"/>
          <w:lang w:val="en-US" w:eastAsia="zh-CN"/>
        </w:rPr>
        <w:t>3、</w:t>
      </w:r>
      <w:r>
        <w:rPr>
          <w:rFonts w:ascii="宋体" w:hAnsi="宋体"/>
          <w:color w:val="auto"/>
          <w:sz w:val="24"/>
          <w:highlight w:val="none"/>
        </w:rPr>
        <w:t>乙方</w:t>
      </w:r>
      <w:r>
        <w:rPr>
          <w:rFonts w:hint="eastAsia" w:ascii="宋体" w:hAnsi="宋体"/>
          <w:color w:val="auto"/>
          <w:sz w:val="24"/>
          <w:highlight w:val="none"/>
        </w:rPr>
        <w:t>未能如</w:t>
      </w:r>
      <w:r>
        <w:rPr>
          <w:rFonts w:ascii="宋体" w:hAnsi="宋体"/>
          <w:color w:val="auto"/>
          <w:sz w:val="24"/>
          <w:highlight w:val="none"/>
        </w:rPr>
        <w:t>期提供服务的，每日向甲方支付</w:t>
      </w:r>
      <w:r>
        <w:rPr>
          <w:rFonts w:hint="eastAsia" w:ascii="宋体" w:hAnsi="宋体"/>
          <w:color w:val="auto"/>
          <w:sz w:val="24"/>
          <w:highlight w:val="none"/>
        </w:rPr>
        <w:t>合同款项的</w:t>
      </w:r>
      <w:r>
        <w:rPr>
          <w:rFonts w:ascii="宋体" w:hAnsi="宋体"/>
          <w:color w:val="auto"/>
          <w:sz w:val="24"/>
          <w:highlight w:val="none"/>
        </w:rPr>
        <w:t>千分之六</w:t>
      </w:r>
      <w:r>
        <w:rPr>
          <w:rFonts w:hint="eastAsia" w:ascii="宋体" w:hAnsi="宋体"/>
          <w:color w:val="auto"/>
          <w:sz w:val="24"/>
          <w:highlight w:val="none"/>
        </w:rPr>
        <w:t>作为</w:t>
      </w:r>
      <w:r>
        <w:rPr>
          <w:rFonts w:ascii="宋体" w:hAnsi="宋体"/>
          <w:color w:val="auto"/>
          <w:sz w:val="24"/>
          <w:highlight w:val="none"/>
        </w:rPr>
        <w:t>违约金。乙方超过约定日期10个工作日</w:t>
      </w:r>
      <w:r>
        <w:rPr>
          <w:rFonts w:hint="eastAsia" w:ascii="宋体" w:hAnsi="宋体"/>
          <w:color w:val="auto"/>
          <w:sz w:val="24"/>
          <w:highlight w:val="none"/>
        </w:rPr>
        <w:t>仍</w:t>
      </w:r>
      <w:r>
        <w:rPr>
          <w:rFonts w:ascii="宋体" w:hAnsi="宋体"/>
          <w:color w:val="auto"/>
          <w:sz w:val="24"/>
          <w:highlight w:val="none"/>
        </w:rPr>
        <w:t>不能</w:t>
      </w:r>
      <w:r>
        <w:rPr>
          <w:rFonts w:hint="eastAsia" w:ascii="宋体" w:hAnsi="宋体"/>
          <w:color w:val="auto"/>
          <w:sz w:val="24"/>
          <w:highlight w:val="none"/>
        </w:rPr>
        <w:t>提供服务</w:t>
      </w:r>
      <w:r>
        <w:rPr>
          <w:rFonts w:ascii="宋体" w:hAnsi="宋体"/>
          <w:color w:val="auto"/>
          <w:sz w:val="24"/>
          <w:highlight w:val="none"/>
        </w:rPr>
        <w:t>的，甲方可解除本合同。乙方因</w:t>
      </w:r>
      <w:r>
        <w:rPr>
          <w:rFonts w:hint="eastAsia" w:ascii="宋体" w:hAnsi="宋体"/>
          <w:color w:val="auto"/>
          <w:sz w:val="24"/>
          <w:highlight w:val="none"/>
        </w:rPr>
        <w:t>未能如</w:t>
      </w:r>
      <w:r>
        <w:rPr>
          <w:rFonts w:ascii="宋体" w:hAnsi="宋体"/>
          <w:color w:val="auto"/>
          <w:sz w:val="24"/>
          <w:highlight w:val="none"/>
        </w:rPr>
        <w:t xml:space="preserve">期提供服务或因其他违约行为导致甲方解除合同的，乙方应向甲方支付合同总值5%的违约金，如造成甲方损失超过违约金的，超出部分由乙方继续承担赔偿责任。 </w:t>
      </w:r>
    </w:p>
    <w:p>
      <w:pPr>
        <w:keepNext w:val="0"/>
        <w:keepLines w:val="0"/>
        <w:pageBreakBefore w:val="0"/>
        <w:widowControl w:val="0"/>
        <w:kinsoku/>
        <w:wordWrap/>
        <w:overflowPunct/>
        <w:topLinePunct w:val="0"/>
        <w:autoSpaceDE/>
        <w:autoSpaceDN/>
        <w:bidi w:val="0"/>
        <w:adjustRightInd/>
        <w:snapToGrid w:val="0"/>
        <w:spacing w:before="120" w:after="120" w:line="360" w:lineRule="auto"/>
        <w:textAlignment w:val="auto"/>
        <w:rPr>
          <w:rFonts w:ascii="宋体" w:hAnsi="宋体"/>
          <w:b/>
          <w:color w:val="auto"/>
          <w:sz w:val="24"/>
          <w:highlight w:val="none"/>
        </w:rPr>
      </w:pPr>
      <w:r>
        <w:rPr>
          <w:rFonts w:ascii="宋体" w:hAnsi="宋体"/>
          <w:b/>
          <w:color w:val="auto"/>
          <w:sz w:val="24"/>
          <w:highlight w:val="none"/>
        </w:rPr>
        <w:t>十</w:t>
      </w:r>
      <w:r>
        <w:rPr>
          <w:rFonts w:hint="eastAsia" w:ascii="宋体" w:hAnsi="宋体"/>
          <w:b/>
          <w:color w:val="auto"/>
          <w:sz w:val="24"/>
          <w:highlight w:val="none"/>
        </w:rPr>
        <w:t>三</w:t>
      </w:r>
      <w:r>
        <w:rPr>
          <w:rFonts w:ascii="宋体" w:hAnsi="宋体"/>
          <w:b/>
          <w:color w:val="auto"/>
          <w:sz w:val="24"/>
          <w:highlight w:val="none"/>
        </w:rPr>
        <w:t>、不可抗力事件处理</w:t>
      </w:r>
    </w:p>
    <w:p>
      <w:pPr>
        <w:keepNext w:val="0"/>
        <w:keepLines w:val="0"/>
        <w:pageBreakBefore w:val="0"/>
        <w:widowControl w:val="0"/>
        <w:kinsoku/>
        <w:wordWrap/>
        <w:overflowPunct/>
        <w:topLinePunct w:val="0"/>
        <w:autoSpaceDE/>
        <w:autoSpaceDN/>
        <w:bidi w:val="0"/>
        <w:adjustRightInd/>
        <w:snapToGrid w:val="0"/>
        <w:spacing w:before="120" w:after="120" w:line="360" w:lineRule="auto"/>
        <w:ind w:firstLine="480" w:firstLineChars="200"/>
        <w:textAlignment w:val="auto"/>
        <w:rPr>
          <w:rFonts w:ascii="宋体" w:hAnsi="宋体"/>
          <w:color w:val="auto"/>
          <w:sz w:val="24"/>
          <w:highlight w:val="none"/>
        </w:rPr>
      </w:pPr>
      <w:r>
        <w:rPr>
          <w:rFonts w:hint="eastAsia" w:ascii="宋体" w:hAnsi="宋体"/>
          <w:color w:val="auto"/>
          <w:sz w:val="24"/>
          <w:highlight w:val="none"/>
          <w:lang w:val="en-US" w:eastAsia="zh-CN"/>
        </w:rPr>
        <w:t>1、</w:t>
      </w:r>
      <w:r>
        <w:rPr>
          <w:rFonts w:ascii="宋体" w:hAnsi="宋体"/>
          <w:color w:val="auto"/>
          <w:sz w:val="24"/>
          <w:highlight w:val="none"/>
        </w:rPr>
        <w:t>在合同有效期内，任何一方因不可抗力事件导致不能履行合同，则合同履行期可延长，其延长期与不可抗力影响期相同。</w:t>
      </w:r>
    </w:p>
    <w:p>
      <w:pPr>
        <w:keepNext w:val="0"/>
        <w:keepLines w:val="0"/>
        <w:pageBreakBefore w:val="0"/>
        <w:widowControl w:val="0"/>
        <w:kinsoku/>
        <w:wordWrap/>
        <w:overflowPunct/>
        <w:topLinePunct w:val="0"/>
        <w:autoSpaceDE/>
        <w:autoSpaceDN/>
        <w:bidi w:val="0"/>
        <w:adjustRightInd/>
        <w:snapToGrid w:val="0"/>
        <w:spacing w:before="120" w:after="120" w:line="360" w:lineRule="auto"/>
        <w:ind w:firstLine="480" w:firstLineChars="200"/>
        <w:textAlignment w:val="auto"/>
        <w:rPr>
          <w:rFonts w:ascii="宋体" w:hAnsi="宋体"/>
          <w:color w:val="auto"/>
          <w:sz w:val="24"/>
          <w:highlight w:val="none"/>
        </w:rPr>
      </w:pPr>
      <w:r>
        <w:rPr>
          <w:rFonts w:hint="eastAsia" w:ascii="宋体" w:hAnsi="宋体"/>
          <w:color w:val="auto"/>
          <w:sz w:val="24"/>
          <w:highlight w:val="none"/>
          <w:lang w:val="en-US" w:eastAsia="zh-CN"/>
        </w:rPr>
        <w:t>2、</w:t>
      </w:r>
      <w:r>
        <w:rPr>
          <w:rFonts w:ascii="宋体" w:hAnsi="宋体"/>
          <w:color w:val="auto"/>
          <w:sz w:val="24"/>
          <w:highlight w:val="none"/>
        </w:rPr>
        <w:t>不可抗力事件发生后，应立即通知对方，并寄送有关权威机构出具的证明。</w:t>
      </w:r>
    </w:p>
    <w:p>
      <w:pPr>
        <w:keepNext w:val="0"/>
        <w:keepLines w:val="0"/>
        <w:pageBreakBefore w:val="0"/>
        <w:widowControl w:val="0"/>
        <w:kinsoku/>
        <w:wordWrap/>
        <w:overflowPunct/>
        <w:topLinePunct w:val="0"/>
        <w:autoSpaceDE/>
        <w:autoSpaceDN/>
        <w:bidi w:val="0"/>
        <w:adjustRightInd/>
        <w:snapToGrid w:val="0"/>
        <w:spacing w:before="120" w:after="120" w:line="360" w:lineRule="auto"/>
        <w:ind w:firstLine="480" w:firstLineChars="200"/>
        <w:textAlignment w:val="auto"/>
        <w:rPr>
          <w:rFonts w:ascii="宋体" w:hAnsi="宋体"/>
          <w:color w:val="auto"/>
          <w:sz w:val="24"/>
          <w:highlight w:val="none"/>
        </w:rPr>
      </w:pPr>
      <w:r>
        <w:rPr>
          <w:rFonts w:hint="eastAsia" w:ascii="宋体" w:hAnsi="宋体"/>
          <w:color w:val="auto"/>
          <w:sz w:val="24"/>
          <w:highlight w:val="none"/>
          <w:lang w:val="en-US" w:eastAsia="zh-CN"/>
        </w:rPr>
        <w:t>3、</w:t>
      </w:r>
      <w:r>
        <w:rPr>
          <w:rFonts w:ascii="宋体" w:hAnsi="宋体"/>
          <w:color w:val="auto"/>
          <w:sz w:val="24"/>
          <w:highlight w:val="none"/>
        </w:rPr>
        <w:t>不可抗力事件延续120天以上，双方应通过友好协商，确定是否继续履行合同。</w:t>
      </w:r>
    </w:p>
    <w:p>
      <w:pPr>
        <w:keepNext w:val="0"/>
        <w:keepLines w:val="0"/>
        <w:pageBreakBefore w:val="0"/>
        <w:widowControl w:val="0"/>
        <w:kinsoku/>
        <w:wordWrap/>
        <w:overflowPunct/>
        <w:topLinePunct w:val="0"/>
        <w:autoSpaceDE/>
        <w:autoSpaceDN/>
        <w:bidi w:val="0"/>
        <w:adjustRightInd/>
        <w:snapToGrid w:val="0"/>
        <w:spacing w:before="120" w:after="120" w:line="360" w:lineRule="auto"/>
        <w:textAlignment w:val="auto"/>
        <w:rPr>
          <w:rFonts w:ascii="宋体" w:hAnsi="宋体"/>
          <w:b/>
          <w:color w:val="auto"/>
          <w:sz w:val="24"/>
          <w:highlight w:val="none"/>
        </w:rPr>
      </w:pPr>
      <w:r>
        <w:rPr>
          <w:rFonts w:ascii="宋体" w:hAnsi="宋体"/>
          <w:b/>
          <w:color w:val="auto"/>
          <w:sz w:val="24"/>
          <w:highlight w:val="none"/>
        </w:rPr>
        <w:t>十</w:t>
      </w:r>
      <w:r>
        <w:rPr>
          <w:rFonts w:hint="eastAsia" w:ascii="宋体" w:hAnsi="宋体"/>
          <w:b/>
          <w:color w:val="auto"/>
          <w:sz w:val="24"/>
          <w:highlight w:val="none"/>
        </w:rPr>
        <w:t>四</w:t>
      </w:r>
      <w:r>
        <w:rPr>
          <w:rFonts w:ascii="宋体" w:hAnsi="宋体"/>
          <w:b/>
          <w:color w:val="auto"/>
          <w:sz w:val="24"/>
          <w:highlight w:val="none"/>
        </w:rPr>
        <w:t>、诉讼</w:t>
      </w:r>
    </w:p>
    <w:p>
      <w:pPr>
        <w:keepNext w:val="0"/>
        <w:keepLines w:val="0"/>
        <w:pageBreakBefore w:val="0"/>
        <w:widowControl w:val="0"/>
        <w:kinsoku/>
        <w:wordWrap/>
        <w:overflowPunct/>
        <w:topLinePunct w:val="0"/>
        <w:autoSpaceDE/>
        <w:autoSpaceDN/>
        <w:bidi w:val="0"/>
        <w:adjustRightInd/>
        <w:snapToGrid w:val="0"/>
        <w:spacing w:before="120" w:after="120" w:line="360" w:lineRule="auto"/>
        <w:ind w:firstLine="480" w:firstLineChars="200"/>
        <w:jc w:val="left"/>
        <w:textAlignment w:val="auto"/>
        <w:rPr>
          <w:rFonts w:ascii="宋体" w:hAnsi="宋体"/>
          <w:color w:val="auto"/>
          <w:sz w:val="24"/>
          <w:highlight w:val="none"/>
        </w:rPr>
      </w:pPr>
      <w:r>
        <w:rPr>
          <w:rFonts w:ascii="宋体" w:hAnsi="宋体"/>
          <w:color w:val="auto"/>
          <w:sz w:val="24"/>
          <w:highlight w:val="none"/>
        </w:rPr>
        <w:t>双方在执行合同中所发生的一切争议，应通过协商解决。如协商不成，可向</w:t>
      </w:r>
      <w:r>
        <w:rPr>
          <w:rFonts w:hint="eastAsia" w:ascii="宋体" w:hAnsi="宋体"/>
          <w:color w:val="auto"/>
          <w:sz w:val="24"/>
          <w:highlight w:val="none"/>
        </w:rPr>
        <w:t>甲方所在</w:t>
      </w:r>
      <w:r>
        <w:rPr>
          <w:rFonts w:ascii="宋体" w:hAnsi="宋体"/>
          <w:color w:val="auto"/>
          <w:sz w:val="24"/>
          <w:highlight w:val="none"/>
        </w:rPr>
        <w:t>地法院起诉。</w:t>
      </w:r>
    </w:p>
    <w:p>
      <w:pPr>
        <w:keepNext w:val="0"/>
        <w:keepLines w:val="0"/>
        <w:pageBreakBefore w:val="0"/>
        <w:widowControl w:val="0"/>
        <w:kinsoku/>
        <w:wordWrap/>
        <w:overflowPunct/>
        <w:topLinePunct w:val="0"/>
        <w:autoSpaceDE/>
        <w:autoSpaceDN/>
        <w:bidi w:val="0"/>
        <w:adjustRightInd/>
        <w:snapToGrid w:val="0"/>
        <w:spacing w:before="120" w:after="120" w:line="360" w:lineRule="auto"/>
        <w:textAlignment w:val="auto"/>
        <w:rPr>
          <w:rFonts w:ascii="宋体" w:hAnsi="宋体"/>
          <w:b/>
          <w:color w:val="auto"/>
          <w:sz w:val="24"/>
          <w:highlight w:val="none"/>
        </w:rPr>
      </w:pPr>
      <w:r>
        <w:rPr>
          <w:rFonts w:ascii="宋体" w:hAnsi="宋体"/>
          <w:b/>
          <w:color w:val="auto"/>
          <w:sz w:val="24"/>
          <w:highlight w:val="none"/>
        </w:rPr>
        <w:t>十</w:t>
      </w:r>
      <w:r>
        <w:rPr>
          <w:rFonts w:hint="eastAsia" w:ascii="宋体" w:hAnsi="宋体"/>
          <w:b/>
          <w:color w:val="auto"/>
          <w:sz w:val="24"/>
          <w:highlight w:val="none"/>
        </w:rPr>
        <w:t>五</w:t>
      </w:r>
      <w:r>
        <w:rPr>
          <w:rFonts w:ascii="宋体" w:hAnsi="宋体"/>
          <w:b/>
          <w:color w:val="auto"/>
          <w:sz w:val="24"/>
          <w:highlight w:val="none"/>
        </w:rPr>
        <w:t>、合同生效及其它</w:t>
      </w:r>
    </w:p>
    <w:p>
      <w:pPr>
        <w:keepNext w:val="0"/>
        <w:keepLines w:val="0"/>
        <w:pageBreakBefore w:val="0"/>
        <w:widowControl w:val="0"/>
        <w:kinsoku/>
        <w:wordWrap/>
        <w:overflowPunct/>
        <w:topLinePunct w:val="0"/>
        <w:autoSpaceDE/>
        <w:autoSpaceDN/>
        <w:bidi w:val="0"/>
        <w:adjustRightInd/>
        <w:snapToGrid w:val="0"/>
        <w:spacing w:before="120" w:after="120" w:line="360" w:lineRule="auto"/>
        <w:ind w:firstLine="480" w:firstLineChars="200"/>
        <w:textAlignment w:val="auto"/>
        <w:rPr>
          <w:rFonts w:ascii="宋体" w:hAnsi="宋体"/>
          <w:color w:val="auto"/>
          <w:sz w:val="24"/>
          <w:highlight w:val="none"/>
        </w:rPr>
      </w:pPr>
      <w:r>
        <w:rPr>
          <w:rFonts w:hint="eastAsia" w:ascii="宋体" w:hAnsi="宋体"/>
          <w:color w:val="auto"/>
          <w:sz w:val="24"/>
          <w:highlight w:val="none"/>
          <w:lang w:val="en-US" w:eastAsia="zh-CN"/>
        </w:rPr>
        <w:t>1、</w:t>
      </w:r>
      <w:r>
        <w:rPr>
          <w:rFonts w:ascii="宋体" w:hAnsi="宋体"/>
          <w:color w:val="auto"/>
          <w:sz w:val="24"/>
          <w:highlight w:val="none"/>
        </w:rPr>
        <w:t>合同经</w:t>
      </w:r>
      <w:r>
        <w:rPr>
          <w:rFonts w:hint="eastAsia" w:ascii="宋体" w:hAnsi="宋体"/>
          <w:color w:val="auto"/>
          <w:sz w:val="24"/>
          <w:highlight w:val="none"/>
        </w:rPr>
        <w:t>三</w:t>
      </w:r>
      <w:r>
        <w:rPr>
          <w:rFonts w:ascii="宋体" w:hAnsi="宋体"/>
          <w:color w:val="auto"/>
          <w:sz w:val="24"/>
          <w:highlight w:val="none"/>
        </w:rPr>
        <w:t>方法定代表人或授权代表签字并加盖单位公章后</w:t>
      </w:r>
      <w:r>
        <w:rPr>
          <w:rFonts w:hint="eastAsia" w:ascii="宋体" w:hAnsi="宋体"/>
          <w:color w:val="auto"/>
          <w:sz w:val="24"/>
          <w:highlight w:val="none"/>
        </w:rPr>
        <w:t>，报东阳市财政局采监科备案后</w:t>
      </w:r>
      <w:r>
        <w:rPr>
          <w:rFonts w:ascii="宋体" w:hAnsi="宋体"/>
          <w:color w:val="auto"/>
          <w:sz w:val="24"/>
          <w:highlight w:val="none"/>
        </w:rPr>
        <w:t>生效。</w:t>
      </w:r>
    </w:p>
    <w:p>
      <w:pPr>
        <w:keepNext w:val="0"/>
        <w:keepLines w:val="0"/>
        <w:pageBreakBefore w:val="0"/>
        <w:widowControl w:val="0"/>
        <w:kinsoku/>
        <w:wordWrap/>
        <w:overflowPunct/>
        <w:topLinePunct w:val="0"/>
        <w:autoSpaceDE/>
        <w:autoSpaceDN/>
        <w:bidi w:val="0"/>
        <w:adjustRightInd/>
        <w:snapToGrid w:val="0"/>
        <w:spacing w:before="120" w:after="120" w:line="360" w:lineRule="auto"/>
        <w:ind w:firstLine="480" w:firstLineChars="200"/>
        <w:textAlignment w:val="auto"/>
        <w:rPr>
          <w:rFonts w:ascii="宋体" w:hAnsi="宋体"/>
          <w:color w:val="auto"/>
          <w:sz w:val="24"/>
          <w:highlight w:val="none"/>
        </w:rPr>
      </w:pPr>
      <w:r>
        <w:rPr>
          <w:rFonts w:hint="eastAsia" w:ascii="宋体" w:hAnsi="宋体"/>
          <w:color w:val="auto"/>
          <w:sz w:val="24"/>
          <w:highlight w:val="none"/>
          <w:lang w:val="en-US" w:eastAsia="zh-CN"/>
        </w:rPr>
        <w:t>2、</w:t>
      </w:r>
      <w:r>
        <w:rPr>
          <w:rFonts w:ascii="宋体" w:hAnsi="宋体"/>
          <w:color w:val="auto"/>
          <w:sz w:val="24"/>
          <w:highlight w:val="none"/>
        </w:rPr>
        <w:t>合同执行中涉及采购资金和采购内容修改或补充的，须经财政部门审批，并签书面补充协议报政府采购监督管理部门备案，方可作为主合同不可分割的一部分。</w:t>
      </w:r>
    </w:p>
    <w:p>
      <w:pPr>
        <w:keepNext w:val="0"/>
        <w:keepLines w:val="0"/>
        <w:pageBreakBefore w:val="0"/>
        <w:widowControl w:val="0"/>
        <w:kinsoku/>
        <w:wordWrap/>
        <w:overflowPunct/>
        <w:topLinePunct w:val="0"/>
        <w:autoSpaceDE/>
        <w:autoSpaceDN/>
        <w:bidi w:val="0"/>
        <w:adjustRightInd/>
        <w:snapToGrid w:val="0"/>
        <w:spacing w:before="120" w:after="120" w:line="360" w:lineRule="auto"/>
        <w:ind w:firstLine="480" w:firstLineChars="200"/>
        <w:textAlignment w:val="auto"/>
        <w:rPr>
          <w:rFonts w:ascii="宋体" w:hAnsi="宋体"/>
          <w:color w:val="auto"/>
          <w:sz w:val="24"/>
          <w:highlight w:val="none"/>
        </w:rPr>
      </w:pPr>
      <w:r>
        <w:rPr>
          <w:rFonts w:hint="eastAsia" w:ascii="宋体" w:hAnsi="宋体"/>
          <w:color w:val="auto"/>
          <w:sz w:val="24"/>
          <w:highlight w:val="none"/>
          <w:lang w:val="en-US" w:eastAsia="zh-CN"/>
        </w:rPr>
        <w:t>3、</w:t>
      </w:r>
      <w:r>
        <w:rPr>
          <w:rFonts w:ascii="宋体" w:hAnsi="宋体"/>
          <w:color w:val="auto"/>
          <w:sz w:val="24"/>
          <w:highlight w:val="none"/>
        </w:rPr>
        <w:t>本合同未尽事宜，遵照</w:t>
      </w:r>
      <w:r>
        <w:rPr>
          <w:rFonts w:hint="eastAsia" w:ascii="宋体" w:hAnsi="宋体"/>
          <w:color w:val="auto"/>
          <w:sz w:val="24"/>
          <w:highlight w:val="none"/>
        </w:rPr>
        <w:t>《中华人民共和国民法典》</w:t>
      </w:r>
      <w:r>
        <w:rPr>
          <w:rFonts w:ascii="宋体" w:hAnsi="宋体"/>
          <w:color w:val="auto"/>
          <w:sz w:val="24"/>
          <w:highlight w:val="none"/>
        </w:rPr>
        <w:t>有关条文执行。</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ascii="宋体" w:hAnsi="宋体"/>
          <w:color w:val="auto"/>
          <w:sz w:val="24"/>
          <w:highlight w:val="none"/>
        </w:rPr>
      </w:pPr>
      <w:r>
        <w:rPr>
          <w:rFonts w:hint="eastAsia" w:ascii="宋体" w:hAnsi="宋体"/>
          <w:color w:val="auto"/>
          <w:sz w:val="24"/>
          <w:highlight w:val="none"/>
          <w:lang w:val="en-US" w:eastAsia="zh-CN"/>
        </w:rPr>
        <w:t>4、</w:t>
      </w:r>
      <w:r>
        <w:rPr>
          <w:rFonts w:hint="eastAsia" w:ascii="宋体" w:hAnsi="宋体"/>
          <w:color w:val="auto"/>
          <w:sz w:val="24"/>
          <w:highlight w:val="none"/>
        </w:rPr>
        <w:t>本合同一式六份，东阳市财政局采监科、招标代理机构各执一份，甲、乙双方各执二份，其都具有同等法律效力。</w:t>
      </w:r>
    </w:p>
    <w:p>
      <w:pPr>
        <w:keepNext w:val="0"/>
        <w:keepLines w:val="0"/>
        <w:pageBreakBefore w:val="0"/>
        <w:widowControl w:val="0"/>
        <w:kinsoku/>
        <w:wordWrap/>
        <w:overflowPunct/>
        <w:topLinePunct w:val="0"/>
        <w:autoSpaceDE/>
        <w:autoSpaceDN/>
        <w:bidi w:val="0"/>
        <w:adjustRightInd/>
        <w:spacing w:line="360" w:lineRule="auto"/>
        <w:ind w:firstLine="482" w:firstLineChars="200"/>
        <w:textAlignment w:val="auto"/>
        <w:rPr>
          <w:rFonts w:hint="eastAsia"/>
          <w:color w:val="auto"/>
          <w:highlight w:val="none"/>
        </w:rPr>
      </w:pPr>
      <w:r>
        <w:rPr>
          <w:rFonts w:hint="eastAsia" w:ascii="宋体" w:hAnsi="宋体"/>
          <w:b/>
          <w:color w:val="auto"/>
          <w:sz w:val="24"/>
          <w:highlight w:val="none"/>
          <w:lang w:val="en-US" w:eastAsia="zh-CN"/>
        </w:rPr>
        <w:t>5、</w:t>
      </w:r>
      <w:r>
        <w:rPr>
          <w:rFonts w:hint="eastAsia" w:ascii="宋体" w:hAnsi="宋体"/>
          <w:b/>
          <w:color w:val="auto"/>
          <w:sz w:val="24"/>
          <w:highlight w:val="none"/>
        </w:rPr>
        <w:t>后附政府采购廉洁承诺书。</w:t>
      </w:r>
    </w:p>
    <w:p>
      <w:pPr>
        <w:keepNext w:val="0"/>
        <w:keepLines w:val="0"/>
        <w:pageBreakBefore w:val="0"/>
        <w:widowControl w:val="0"/>
        <w:kinsoku/>
        <w:wordWrap/>
        <w:overflowPunct/>
        <w:topLinePunct w:val="0"/>
        <w:autoSpaceDE/>
        <w:autoSpaceDN/>
        <w:bidi w:val="0"/>
        <w:adjustRightInd/>
        <w:spacing w:before="120" w:after="120" w:line="360" w:lineRule="auto"/>
        <w:textAlignment w:val="auto"/>
        <w:rPr>
          <w:rFonts w:hint="eastAsia" w:ascii="宋体" w:hAnsi="宋体"/>
          <w:b/>
          <w:bCs/>
          <w:color w:val="auto"/>
          <w:sz w:val="24"/>
          <w:highlight w:val="none"/>
        </w:rPr>
      </w:pPr>
    </w:p>
    <w:p>
      <w:pPr>
        <w:keepNext w:val="0"/>
        <w:keepLines w:val="0"/>
        <w:pageBreakBefore w:val="0"/>
        <w:widowControl w:val="0"/>
        <w:kinsoku/>
        <w:wordWrap/>
        <w:overflowPunct/>
        <w:topLinePunct w:val="0"/>
        <w:autoSpaceDE/>
        <w:autoSpaceDN/>
        <w:bidi w:val="0"/>
        <w:adjustRightInd/>
        <w:spacing w:before="120" w:after="120" w:line="360" w:lineRule="auto"/>
        <w:textAlignment w:val="auto"/>
        <w:rPr>
          <w:rFonts w:ascii="宋体" w:hAnsi="宋体"/>
          <w:color w:val="auto"/>
          <w:sz w:val="24"/>
          <w:highlight w:val="none"/>
        </w:rPr>
      </w:pPr>
      <w:r>
        <w:rPr>
          <w:rFonts w:hint="eastAsia" w:ascii="宋体" w:hAnsi="宋体"/>
          <w:b/>
          <w:bCs/>
          <w:color w:val="auto"/>
          <w:sz w:val="24"/>
          <w:highlight w:val="none"/>
        </w:rPr>
        <w:t>甲方（盖公章）：                       乙方（盖公章）：</w:t>
      </w:r>
    </w:p>
    <w:p>
      <w:pPr>
        <w:keepNext w:val="0"/>
        <w:keepLines w:val="0"/>
        <w:pageBreakBefore w:val="0"/>
        <w:widowControl w:val="0"/>
        <w:kinsoku/>
        <w:wordWrap/>
        <w:overflowPunct/>
        <w:topLinePunct w:val="0"/>
        <w:autoSpaceDE/>
        <w:autoSpaceDN/>
        <w:bidi w:val="0"/>
        <w:adjustRightInd/>
        <w:snapToGrid w:val="0"/>
        <w:spacing w:before="120" w:after="120" w:line="360" w:lineRule="auto"/>
        <w:ind w:leftChars="-1" w:hanging="2"/>
        <w:textAlignment w:val="auto"/>
        <w:rPr>
          <w:rFonts w:ascii="宋体" w:hAnsi="宋体"/>
          <w:color w:val="auto"/>
          <w:sz w:val="24"/>
          <w:highlight w:val="none"/>
        </w:rPr>
      </w:pPr>
      <w:r>
        <w:rPr>
          <w:rFonts w:hint="eastAsia" w:ascii="宋体" w:hAnsi="宋体"/>
          <w:color w:val="auto"/>
          <w:sz w:val="24"/>
          <w:highlight w:val="none"/>
        </w:rPr>
        <w:t>法定代表人或受委托人                 法定代表人或受委托人</w:t>
      </w:r>
    </w:p>
    <w:p>
      <w:pPr>
        <w:keepNext w:val="0"/>
        <w:keepLines w:val="0"/>
        <w:pageBreakBefore w:val="0"/>
        <w:widowControl w:val="0"/>
        <w:kinsoku/>
        <w:wordWrap/>
        <w:overflowPunct/>
        <w:topLinePunct w:val="0"/>
        <w:autoSpaceDE/>
        <w:autoSpaceDN/>
        <w:bidi w:val="0"/>
        <w:adjustRightInd/>
        <w:snapToGrid w:val="0"/>
        <w:spacing w:before="120" w:after="120" w:line="360" w:lineRule="auto"/>
        <w:ind w:left="1" w:leftChars="-28" w:hanging="60"/>
        <w:textAlignment w:val="auto"/>
        <w:rPr>
          <w:rFonts w:ascii="宋体" w:hAnsi="宋体"/>
          <w:color w:val="auto"/>
          <w:sz w:val="24"/>
          <w:highlight w:val="none"/>
        </w:rPr>
      </w:pPr>
      <w:r>
        <w:rPr>
          <w:rFonts w:hint="eastAsia" w:ascii="宋体" w:hAnsi="宋体"/>
          <w:color w:val="auto"/>
          <w:sz w:val="24"/>
          <w:highlight w:val="none"/>
        </w:rPr>
        <w:t>（签字）                             （签字）</w:t>
      </w:r>
    </w:p>
    <w:p>
      <w:pPr>
        <w:keepNext w:val="0"/>
        <w:keepLines w:val="0"/>
        <w:pageBreakBefore w:val="0"/>
        <w:widowControl w:val="0"/>
        <w:kinsoku/>
        <w:wordWrap/>
        <w:overflowPunct/>
        <w:topLinePunct w:val="0"/>
        <w:autoSpaceDE/>
        <w:autoSpaceDN/>
        <w:bidi w:val="0"/>
        <w:adjustRightInd/>
        <w:snapToGrid w:val="0"/>
        <w:spacing w:before="120" w:after="120" w:line="360" w:lineRule="auto"/>
        <w:ind w:leftChars="-1" w:hanging="2"/>
        <w:textAlignment w:val="auto"/>
        <w:rPr>
          <w:rFonts w:ascii="宋体" w:hAnsi="宋体"/>
          <w:color w:val="auto"/>
          <w:sz w:val="24"/>
          <w:highlight w:val="none"/>
        </w:rPr>
      </w:pPr>
      <w:r>
        <w:rPr>
          <w:rFonts w:hint="eastAsia" w:ascii="宋体" w:hAnsi="宋体"/>
          <w:color w:val="auto"/>
          <w:sz w:val="24"/>
          <w:highlight w:val="none"/>
        </w:rPr>
        <w:t>地址：                               地址：</w:t>
      </w:r>
    </w:p>
    <w:p>
      <w:pPr>
        <w:keepNext w:val="0"/>
        <w:keepLines w:val="0"/>
        <w:pageBreakBefore w:val="0"/>
        <w:widowControl w:val="0"/>
        <w:kinsoku/>
        <w:wordWrap/>
        <w:overflowPunct/>
        <w:topLinePunct w:val="0"/>
        <w:autoSpaceDE/>
        <w:autoSpaceDN/>
        <w:bidi w:val="0"/>
        <w:adjustRightInd/>
        <w:snapToGrid w:val="0"/>
        <w:spacing w:before="120" w:after="120" w:line="360" w:lineRule="auto"/>
        <w:ind w:leftChars="-1" w:hanging="2"/>
        <w:textAlignment w:val="auto"/>
        <w:rPr>
          <w:rFonts w:ascii="宋体" w:hAnsi="宋体"/>
          <w:color w:val="auto"/>
          <w:sz w:val="24"/>
          <w:highlight w:val="none"/>
        </w:rPr>
      </w:pPr>
      <w:r>
        <w:rPr>
          <w:rFonts w:hint="eastAsia" w:ascii="宋体" w:hAnsi="宋体"/>
          <w:color w:val="auto"/>
          <w:sz w:val="24"/>
          <w:highlight w:val="none"/>
        </w:rPr>
        <w:t>邮编：                               邮编：</w:t>
      </w:r>
    </w:p>
    <w:p>
      <w:pPr>
        <w:keepNext w:val="0"/>
        <w:keepLines w:val="0"/>
        <w:pageBreakBefore w:val="0"/>
        <w:widowControl w:val="0"/>
        <w:kinsoku/>
        <w:wordWrap/>
        <w:overflowPunct/>
        <w:topLinePunct w:val="0"/>
        <w:autoSpaceDE/>
        <w:autoSpaceDN/>
        <w:bidi w:val="0"/>
        <w:adjustRightInd/>
        <w:snapToGrid w:val="0"/>
        <w:spacing w:before="120" w:after="120" w:line="360" w:lineRule="auto"/>
        <w:ind w:leftChars="-1" w:hanging="2"/>
        <w:textAlignment w:val="auto"/>
        <w:rPr>
          <w:rFonts w:ascii="宋体" w:hAnsi="宋体"/>
          <w:color w:val="auto"/>
          <w:sz w:val="24"/>
          <w:highlight w:val="none"/>
        </w:rPr>
      </w:pPr>
      <w:r>
        <w:rPr>
          <w:rFonts w:hint="eastAsia" w:ascii="宋体" w:hAnsi="宋体"/>
          <w:color w:val="auto"/>
          <w:sz w:val="24"/>
          <w:highlight w:val="none"/>
        </w:rPr>
        <w:t>电话：                               电话：</w:t>
      </w:r>
    </w:p>
    <w:p>
      <w:pPr>
        <w:keepNext w:val="0"/>
        <w:keepLines w:val="0"/>
        <w:pageBreakBefore w:val="0"/>
        <w:widowControl w:val="0"/>
        <w:kinsoku/>
        <w:wordWrap/>
        <w:overflowPunct/>
        <w:topLinePunct w:val="0"/>
        <w:autoSpaceDE/>
        <w:autoSpaceDN/>
        <w:bidi w:val="0"/>
        <w:adjustRightInd/>
        <w:snapToGrid w:val="0"/>
        <w:spacing w:before="120" w:after="120" w:line="360" w:lineRule="auto"/>
        <w:ind w:leftChars="-1" w:hanging="2"/>
        <w:textAlignment w:val="auto"/>
        <w:rPr>
          <w:rFonts w:ascii="宋体" w:hAnsi="宋体"/>
          <w:color w:val="auto"/>
          <w:sz w:val="24"/>
          <w:highlight w:val="none"/>
        </w:rPr>
      </w:pPr>
      <w:r>
        <w:rPr>
          <w:rFonts w:hint="eastAsia" w:ascii="宋体" w:hAnsi="宋体"/>
          <w:color w:val="auto"/>
          <w:sz w:val="24"/>
          <w:highlight w:val="none"/>
        </w:rPr>
        <w:t>传真：                               传真：</w:t>
      </w:r>
    </w:p>
    <w:p>
      <w:pPr>
        <w:keepNext w:val="0"/>
        <w:keepLines w:val="0"/>
        <w:pageBreakBefore w:val="0"/>
        <w:widowControl w:val="0"/>
        <w:kinsoku/>
        <w:wordWrap/>
        <w:overflowPunct/>
        <w:topLinePunct w:val="0"/>
        <w:autoSpaceDE/>
        <w:autoSpaceDN/>
        <w:bidi w:val="0"/>
        <w:adjustRightInd/>
        <w:spacing w:line="360" w:lineRule="auto"/>
        <w:textAlignment w:val="auto"/>
        <w:rPr>
          <w:rFonts w:ascii="宋体" w:hAnsi="宋体"/>
          <w:color w:val="auto"/>
          <w:sz w:val="24"/>
          <w:highlight w:val="none"/>
        </w:rPr>
      </w:pPr>
      <w:r>
        <w:rPr>
          <w:rFonts w:hint="eastAsia" w:ascii="宋体" w:hAnsi="宋体"/>
          <w:color w:val="auto"/>
          <w:sz w:val="24"/>
          <w:highlight w:val="none"/>
        </w:rPr>
        <w:t>开户银行：                           开户银行：</w:t>
      </w:r>
    </w:p>
    <w:p>
      <w:pPr>
        <w:keepNext w:val="0"/>
        <w:keepLines w:val="0"/>
        <w:pageBreakBefore w:val="0"/>
        <w:widowControl w:val="0"/>
        <w:kinsoku/>
        <w:wordWrap/>
        <w:overflowPunct/>
        <w:topLinePunct w:val="0"/>
        <w:autoSpaceDE/>
        <w:autoSpaceDN/>
        <w:bidi w:val="0"/>
        <w:adjustRightInd/>
        <w:snapToGrid w:val="0"/>
        <w:spacing w:before="120" w:after="120" w:line="360" w:lineRule="auto"/>
        <w:ind w:leftChars="-1" w:hanging="2"/>
        <w:textAlignment w:val="auto"/>
        <w:rPr>
          <w:rFonts w:ascii="宋体" w:hAnsi="宋体"/>
          <w:color w:val="auto"/>
          <w:sz w:val="24"/>
          <w:highlight w:val="none"/>
        </w:rPr>
      </w:pPr>
      <w:r>
        <w:rPr>
          <w:rFonts w:hint="eastAsia" w:ascii="宋体" w:hAnsi="宋体"/>
          <w:color w:val="auto"/>
          <w:sz w:val="24"/>
          <w:highlight w:val="none"/>
          <w:lang w:val="en-US" w:eastAsia="zh-CN"/>
        </w:rPr>
        <w:t>账号</w:t>
      </w:r>
      <w:r>
        <w:rPr>
          <w:rFonts w:hint="eastAsia" w:ascii="宋体" w:hAnsi="宋体"/>
          <w:color w:val="auto"/>
          <w:sz w:val="24"/>
          <w:highlight w:val="none"/>
        </w:rPr>
        <w:t xml:space="preserve">：                               </w:t>
      </w:r>
      <w:r>
        <w:rPr>
          <w:rFonts w:hint="eastAsia" w:ascii="宋体" w:hAnsi="宋体"/>
          <w:color w:val="auto"/>
          <w:sz w:val="24"/>
          <w:highlight w:val="none"/>
          <w:lang w:val="en-US" w:eastAsia="zh-CN"/>
        </w:rPr>
        <w:t>账号</w:t>
      </w:r>
      <w:r>
        <w:rPr>
          <w:rFonts w:hint="eastAsia" w:ascii="宋体" w:hAnsi="宋体"/>
          <w:color w:val="auto"/>
          <w:sz w:val="24"/>
          <w:highlight w:val="none"/>
        </w:rPr>
        <w:t>：</w:t>
      </w:r>
    </w:p>
    <w:p>
      <w:pPr>
        <w:keepNext w:val="0"/>
        <w:keepLines w:val="0"/>
        <w:pageBreakBefore w:val="0"/>
        <w:widowControl w:val="0"/>
        <w:kinsoku/>
        <w:wordWrap/>
        <w:overflowPunct/>
        <w:topLinePunct w:val="0"/>
        <w:autoSpaceDE/>
        <w:autoSpaceDN/>
        <w:bidi w:val="0"/>
        <w:adjustRightInd/>
        <w:snapToGrid w:val="0"/>
        <w:spacing w:before="156" w:after="156" w:line="360" w:lineRule="auto"/>
        <w:textAlignment w:val="auto"/>
        <w:rPr>
          <w:rFonts w:hint="eastAsia" w:ascii="宋体" w:hAnsi="宋体"/>
          <w:color w:val="auto"/>
          <w:sz w:val="24"/>
          <w:highlight w:val="none"/>
        </w:rPr>
      </w:pPr>
    </w:p>
    <w:p>
      <w:pPr>
        <w:pStyle w:val="39"/>
        <w:spacing w:line="360" w:lineRule="auto"/>
        <w:rPr>
          <w:rFonts w:hint="eastAsia"/>
          <w:color w:val="auto"/>
          <w:highlight w:val="none"/>
        </w:rPr>
      </w:pPr>
    </w:p>
    <w:p>
      <w:pPr>
        <w:keepNext w:val="0"/>
        <w:keepLines w:val="0"/>
        <w:pageBreakBefore w:val="0"/>
        <w:widowControl w:val="0"/>
        <w:kinsoku/>
        <w:wordWrap/>
        <w:overflowPunct/>
        <w:topLinePunct w:val="0"/>
        <w:autoSpaceDE/>
        <w:autoSpaceDN/>
        <w:bidi w:val="0"/>
        <w:adjustRightInd/>
        <w:snapToGrid w:val="0"/>
        <w:spacing w:before="156" w:after="156" w:line="360" w:lineRule="auto"/>
        <w:textAlignment w:val="auto"/>
        <w:rPr>
          <w:rFonts w:ascii="宋体" w:hAnsi="宋体"/>
          <w:color w:val="auto"/>
          <w:sz w:val="24"/>
          <w:highlight w:val="none"/>
        </w:rPr>
      </w:pPr>
      <w:r>
        <w:rPr>
          <w:rFonts w:hint="eastAsia" w:ascii="宋体" w:hAnsi="宋体"/>
          <w:color w:val="auto"/>
          <w:sz w:val="24"/>
          <w:highlight w:val="none"/>
        </w:rPr>
        <w:t>鉴证方:</w:t>
      </w:r>
    </w:p>
    <w:p>
      <w:pPr>
        <w:keepNext w:val="0"/>
        <w:keepLines w:val="0"/>
        <w:pageBreakBefore w:val="0"/>
        <w:widowControl w:val="0"/>
        <w:kinsoku/>
        <w:wordWrap/>
        <w:overflowPunct/>
        <w:topLinePunct w:val="0"/>
        <w:autoSpaceDE/>
        <w:autoSpaceDN/>
        <w:bidi w:val="0"/>
        <w:adjustRightInd/>
        <w:snapToGrid w:val="0"/>
        <w:spacing w:before="156" w:after="156" w:line="360" w:lineRule="auto"/>
        <w:textAlignment w:val="auto"/>
        <w:rPr>
          <w:rFonts w:ascii="宋体" w:hAnsi="宋体"/>
          <w:color w:val="auto"/>
          <w:sz w:val="24"/>
          <w:highlight w:val="none"/>
        </w:rPr>
      </w:pPr>
      <w:r>
        <w:rPr>
          <w:rFonts w:hint="eastAsia" w:ascii="宋体" w:hAnsi="宋体"/>
          <w:color w:val="auto"/>
          <w:sz w:val="24"/>
          <w:highlight w:val="none"/>
        </w:rPr>
        <w:t>法定代表人或主要负责人:</w:t>
      </w:r>
    </w:p>
    <w:p>
      <w:pPr>
        <w:keepNext w:val="0"/>
        <w:keepLines w:val="0"/>
        <w:pageBreakBefore w:val="0"/>
        <w:widowControl w:val="0"/>
        <w:kinsoku/>
        <w:wordWrap/>
        <w:overflowPunct/>
        <w:topLinePunct w:val="0"/>
        <w:autoSpaceDE/>
        <w:autoSpaceDN/>
        <w:bidi w:val="0"/>
        <w:adjustRightInd/>
        <w:spacing w:line="360" w:lineRule="auto"/>
        <w:textAlignment w:val="auto"/>
        <w:rPr>
          <w:rFonts w:hint="eastAsia" w:ascii="宋体" w:hAnsi="宋体"/>
          <w:color w:val="auto"/>
          <w:sz w:val="24"/>
          <w:highlight w:val="none"/>
        </w:rPr>
      </w:pPr>
      <w:r>
        <w:rPr>
          <w:rFonts w:hint="eastAsia" w:ascii="宋体" w:hAnsi="宋体"/>
          <w:color w:val="auto"/>
          <w:sz w:val="24"/>
          <w:highlight w:val="none"/>
        </w:rPr>
        <w:t>（签字）</w:t>
      </w:r>
    </w:p>
    <w:p>
      <w:pPr>
        <w:keepNext w:val="0"/>
        <w:keepLines w:val="0"/>
        <w:pageBreakBefore w:val="0"/>
        <w:widowControl w:val="0"/>
        <w:kinsoku/>
        <w:wordWrap/>
        <w:overflowPunct/>
        <w:topLinePunct w:val="0"/>
        <w:autoSpaceDE/>
        <w:autoSpaceDN/>
        <w:bidi w:val="0"/>
        <w:adjustRightInd/>
        <w:spacing w:line="360" w:lineRule="auto"/>
        <w:textAlignment w:val="auto"/>
        <w:rPr>
          <w:rFonts w:hint="eastAsia" w:ascii="宋体" w:hAnsi="宋体"/>
          <w:color w:val="auto"/>
          <w:sz w:val="24"/>
          <w:highlight w:val="none"/>
        </w:rPr>
      </w:pPr>
      <w:r>
        <w:rPr>
          <w:rFonts w:hint="eastAsia" w:ascii="宋体" w:hAnsi="宋体"/>
          <w:color w:val="auto"/>
          <w:sz w:val="24"/>
          <w:highlight w:val="none"/>
        </w:rPr>
        <w:t>签约地点：</w:t>
      </w:r>
    </w:p>
    <w:p>
      <w:pPr>
        <w:keepNext w:val="0"/>
        <w:keepLines w:val="0"/>
        <w:pageBreakBefore w:val="0"/>
        <w:widowControl w:val="0"/>
        <w:kinsoku/>
        <w:wordWrap/>
        <w:overflowPunct/>
        <w:topLinePunct w:val="0"/>
        <w:autoSpaceDE/>
        <w:autoSpaceDN/>
        <w:bidi w:val="0"/>
        <w:adjustRightInd/>
        <w:spacing w:line="360" w:lineRule="auto"/>
        <w:textAlignment w:val="auto"/>
        <w:rPr>
          <w:rFonts w:ascii="宋体" w:hAnsi="宋体"/>
          <w:b/>
          <w:color w:val="auto"/>
          <w:sz w:val="24"/>
          <w:highlight w:val="none"/>
        </w:rPr>
      </w:pPr>
      <w:r>
        <w:rPr>
          <w:rFonts w:hint="eastAsia" w:ascii="宋体" w:hAnsi="宋体"/>
          <w:color w:val="auto"/>
          <w:sz w:val="24"/>
          <w:highlight w:val="none"/>
        </w:rPr>
        <w:t>签约时间：</w:t>
      </w:r>
    </w:p>
    <w:p>
      <w:pPr>
        <w:pStyle w:val="13"/>
        <w:spacing w:line="360" w:lineRule="auto"/>
        <w:rPr>
          <w:rFonts w:ascii="宋体" w:hAnsi="宋体"/>
          <w:color w:val="auto"/>
          <w:sz w:val="24"/>
          <w:szCs w:val="24"/>
          <w:highlight w:val="none"/>
        </w:rPr>
      </w:pPr>
    </w:p>
    <w:p>
      <w:pPr>
        <w:spacing w:line="360" w:lineRule="auto"/>
        <w:jc w:val="center"/>
        <w:rPr>
          <w:rFonts w:ascii="宋体" w:hAnsi="宋体"/>
          <w:color w:val="auto"/>
          <w:sz w:val="24"/>
          <w:highlight w:val="none"/>
        </w:rPr>
      </w:pPr>
      <w:r>
        <w:rPr>
          <w:rFonts w:hint="eastAsia" w:ascii="宋体" w:hAnsi="宋体" w:cs="宋体"/>
          <w:b/>
          <w:color w:val="auto"/>
          <w:sz w:val="24"/>
          <w:highlight w:val="none"/>
        </w:rPr>
        <w:t>注：签订合同时，可以使用项目相关国家标准合同文本。</w:t>
      </w:r>
    </w:p>
    <w:p>
      <w:pPr>
        <w:pageBreakBefore/>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政府采购廉洁承诺书</w:t>
      </w:r>
    </w:p>
    <w:p>
      <w:pPr>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（中标人须将此表附在合同后）</w:t>
      </w:r>
    </w:p>
    <w:p>
      <w:pPr>
        <w:spacing w:line="360" w:lineRule="auto"/>
        <w:jc w:val="center"/>
        <w:rPr>
          <w:rFonts w:ascii="宋体" w:hAnsi="宋体" w:cs="宋体"/>
          <w:b/>
          <w:color w:val="auto"/>
          <w:sz w:val="24"/>
          <w:highlight w:val="none"/>
        </w:rPr>
      </w:pPr>
    </w:p>
    <w:p>
      <w:pPr>
        <w:spacing w:line="360" w:lineRule="auto"/>
        <w:rPr>
          <w:rFonts w:ascii="宋体" w:hAnsi="宋体" w:cs="宋体"/>
          <w:color w:val="auto"/>
          <w:sz w:val="24"/>
          <w:highlight w:val="none"/>
        </w:rPr>
      </w:pPr>
      <w:r>
        <w:rPr>
          <w:rFonts w:hint="eastAsia" w:ascii="宋体" w:hAnsi="宋体" w:cs="宋体"/>
          <w:color w:val="auto"/>
          <w:sz w:val="24"/>
          <w:highlight w:val="none"/>
        </w:rPr>
        <w:t>项目名称：                                     项目编号：</w:t>
      </w:r>
    </w:p>
    <w:p>
      <w:pPr>
        <w:spacing w:line="360" w:lineRule="auto"/>
        <w:rPr>
          <w:rFonts w:ascii="宋体" w:hAnsi="宋体" w:cs="宋体"/>
          <w:color w:val="auto"/>
          <w:sz w:val="24"/>
          <w:highlight w:val="none"/>
        </w:rPr>
      </w:pPr>
      <w:r>
        <w:rPr>
          <w:rFonts w:hint="eastAsia" w:ascii="宋体" w:hAnsi="宋体" w:cs="宋体"/>
          <w:color w:val="auto"/>
          <w:sz w:val="24"/>
          <w:highlight w:val="none"/>
        </w:rPr>
        <w:t>中标人：</w:t>
      </w:r>
    </w:p>
    <w:p>
      <w:pPr>
        <w:spacing w:line="40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为加强政府采购活动中的廉政建设，防止发生商业贿赂等违法违纪行为，保护国家、集体和当事人的合法权益，根据《中华人民共和国政府采购法》和党风廉政建设及反腐败工作有关规定，我方自愿签订本承诺书，并严格执行。</w:t>
      </w:r>
    </w:p>
    <w:p>
      <w:pPr>
        <w:spacing w:line="40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第一条参与政府采购活动时，除具备采购文件规定的资格、资质要求外，我方还将严格遵守有关法律、法规、政策以及国家、地方关于廉政建设的各项规定。</w:t>
      </w:r>
    </w:p>
    <w:p>
      <w:pPr>
        <w:spacing w:line="40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第二条遵循公开、公平、公正、诚实信用原则，不发生损害上述原则及各方当事人合法权益得不正当竞争行为。</w:t>
      </w:r>
    </w:p>
    <w:p>
      <w:pPr>
        <w:spacing w:line="40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第三条与政府采购各方当事人保持正常的业务交往，不向采购人、采购代理机构、监督机构、评审专家、工作人员及其他参与采购活动的人员提供不正当利益。主要有：</w:t>
      </w:r>
    </w:p>
    <w:p>
      <w:pPr>
        <w:spacing w:line="40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（一）向上述人员赠送礼金、有价证券、贵重物品及回扣、好处费、感谢费等。</w:t>
      </w:r>
    </w:p>
    <w:p>
      <w:pPr>
        <w:spacing w:line="40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（二）为上述人员或单位报销应由对方支付的费用。</w:t>
      </w:r>
    </w:p>
    <w:p>
      <w:pPr>
        <w:spacing w:line="40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（三）暗示为上述人员装修住房、婚丧嫁娶、配偶子女的工作安排以及出国（境）、旅游等提供方便。</w:t>
      </w:r>
    </w:p>
    <w:p>
      <w:pPr>
        <w:spacing w:line="40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（四）为上述人员或单位提供可能影响采购活动开展的宴请、健身、娱乐等活动。</w:t>
      </w:r>
    </w:p>
    <w:p>
      <w:pPr>
        <w:spacing w:line="40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 xml:space="preserve">第四条严格执行采购合同，自觉按合同办事；在合同执行过程中，不发生本承诺书第三条中所列不良行为。    </w:t>
      </w:r>
    </w:p>
    <w:p>
      <w:pPr>
        <w:spacing w:line="40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第五条 发现采购活动各方当事人有违规、违纪、违法行为的，及时提醒对方，情节严重的，主动向其主管部门或纪检监察、司法等机关举报。</w:t>
      </w:r>
    </w:p>
    <w:p>
      <w:pPr>
        <w:spacing w:line="40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第六条 自觉接受政府采购管理部门的监管。在采购活动中出现违反本承诺书规定行为的，自觉接受政府采购管理部门的处罚，因违法违规行为给其他当事人造成经济损失的，按规定予以赔偿。</w:t>
      </w:r>
    </w:p>
    <w:p>
      <w:pPr>
        <w:spacing w:line="40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第七条 本承诺书自签署之日起生效。</w:t>
      </w:r>
    </w:p>
    <w:p>
      <w:pPr>
        <w:spacing w:line="360" w:lineRule="auto"/>
        <w:ind w:left="840" w:hanging="840" w:hangingChars="350"/>
        <w:jc w:val="center"/>
        <w:rPr>
          <w:rFonts w:ascii="宋体" w:hAnsi="宋体" w:cs="宋体"/>
          <w:color w:val="auto"/>
          <w:sz w:val="24"/>
          <w:highlight w:val="none"/>
        </w:rPr>
      </w:pPr>
    </w:p>
    <w:p>
      <w:pPr>
        <w:spacing w:line="360" w:lineRule="auto"/>
        <w:ind w:left="840" w:hanging="840" w:hangingChars="350"/>
        <w:jc w:val="center"/>
        <w:rPr>
          <w:rFonts w:ascii="宋体" w:hAnsi="宋体" w:cs="宋体"/>
          <w:color w:val="auto"/>
          <w:sz w:val="24"/>
          <w:highlight w:val="none"/>
        </w:rPr>
      </w:pPr>
      <w:r>
        <w:rPr>
          <w:rFonts w:hint="eastAsia" w:ascii="宋体" w:hAnsi="宋体" w:cs="宋体"/>
          <w:color w:val="auto"/>
          <w:sz w:val="24"/>
          <w:highlight w:val="none"/>
        </w:rPr>
        <w:t xml:space="preserve"> 供应商（盖章）：</w:t>
      </w:r>
    </w:p>
    <w:p>
      <w:pPr>
        <w:spacing w:line="360" w:lineRule="auto"/>
        <w:ind w:left="840" w:hanging="840" w:hangingChars="350"/>
        <w:rPr>
          <w:rFonts w:ascii="宋体" w:hAnsi="宋体" w:cs="宋体"/>
          <w:color w:val="auto"/>
          <w:sz w:val="24"/>
          <w:highlight w:val="none"/>
        </w:rPr>
      </w:pPr>
      <w:r>
        <w:rPr>
          <w:rFonts w:hint="eastAsia" w:ascii="宋体" w:hAnsi="宋体" w:cs="宋体"/>
          <w:color w:val="auto"/>
          <w:sz w:val="24"/>
          <w:highlight w:val="none"/>
        </w:rPr>
        <w:t xml:space="preserve">                               法定代表人：</w:t>
      </w:r>
    </w:p>
    <w:p>
      <w:pPr>
        <w:spacing w:line="360" w:lineRule="auto"/>
        <w:ind w:left="840" w:hanging="840" w:hangingChars="350"/>
        <w:rPr>
          <w:rFonts w:ascii="宋体" w:hAnsi="宋体" w:cs="宋体"/>
          <w:color w:val="auto"/>
          <w:sz w:val="24"/>
          <w:highlight w:val="none"/>
        </w:rPr>
      </w:pPr>
      <w:r>
        <w:rPr>
          <w:rFonts w:hint="eastAsia" w:ascii="宋体" w:hAnsi="宋体" w:cs="宋体"/>
          <w:color w:val="auto"/>
          <w:sz w:val="24"/>
          <w:highlight w:val="none"/>
        </w:rPr>
        <w:t xml:space="preserve">                                                    年    月   日</w:t>
      </w:r>
    </w:p>
    <w:p>
      <w:pPr>
        <w:spacing w:line="360" w:lineRule="auto"/>
        <w:ind w:left="840" w:hanging="840" w:hangingChars="350"/>
        <w:rPr>
          <w:rFonts w:ascii="宋体" w:hAnsi="宋体" w:cs="宋体"/>
          <w:color w:val="auto"/>
          <w:sz w:val="24"/>
          <w:highlight w:val="none"/>
        </w:rPr>
      </w:pPr>
    </w:p>
    <w:p>
      <w:pPr>
        <w:pStyle w:val="5"/>
        <w:jc w:val="center"/>
        <w:rPr>
          <w:rFonts w:ascii="宋体" w:hAnsi="宋体" w:cs="宋体"/>
          <w:color w:val="auto"/>
          <w:sz w:val="24"/>
          <w:szCs w:val="24"/>
          <w:highlight w:val="none"/>
        </w:rPr>
      </w:pPr>
      <w:bookmarkStart w:id="46" w:name="_Toc13168"/>
      <w:r>
        <w:rPr>
          <w:rFonts w:hint="eastAsia" w:ascii="宋体" w:hAnsi="宋体" w:cs="宋体"/>
          <w:color w:val="auto"/>
          <w:sz w:val="24"/>
          <w:szCs w:val="24"/>
          <w:highlight w:val="none"/>
        </w:rPr>
        <w:t>第六章　磋商响应文件组成内容及格式</w:t>
      </w:r>
      <w:bookmarkEnd w:id="46"/>
    </w:p>
    <w:bookmarkEnd w:id="39"/>
    <w:bookmarkEnd w:id="40"/>
    <w:p>
      <w:pPr>
        <w:pStyle w:val="22"/>
        <w:spacing w:before="120" w:after="120" w:line="360" w:lineRule="auto"/>
        <w:outlineLvl w:val="9"/>
        <w:rPr>
          <w:rFonts w:ascii="宋体" w:hAnsi="宋体" w:cs="宋体"/>
          <w:color w:val="auto"/>
          <w:szCs w:val="24"/>
          <w:highlight w:val="none"/>
          <w:u w:val="single"/>
        </w:rPr>
      </w:pPr>
    </w:p>
    <w:p>
      <w:pPr>
        <w:jc w:val="center"/>
        <w:outlineLvl w:val="9"/>
        <w:rPr>
          <w:rFonts w:ascii="宋体" w:hAnsi="宋体" w:eastAsia="宋体" w:cs="宋体"/>
          <w:b w:val="0"/>
          <w:color w:val="auto"/>
          <w:sz w:val="24"/>
          <w:szCs w:val="24"/>
          <w:highlight w:val="none"/>
        </w:rPr>
      </w:pPr>
      <w:bookmarkStart w:id="47" w:name="_Toc405368940"/>
      <w:r>
        <w:rPr>
          <w:rFonts w:hint="eastAsia" w:ascii="宋体" w:hAnsi="宋体" w:eastAsia="宋体" w:cs="宋体"/>
          <w:b w:val="0"/>
          <w:color w:val="auto"/>
          <w:sz w:val="24"/>
          <w:szCs w:val="24"/>
          <w:highlight w:val="none"/>
        </w:rPr>
        <w:t>一、磋商响应文件封面格式</w:t>
      </w:r>
      <w:bookmarkEnd w:id="47"/>
    </w:p>
    <w:p>
      <w:pPr>
        <w:outlineLvl w:val="9"/>
        <w:rPr>
          <w:rFonts w:ascii="宋体" w:hAnsi="宋体" w:cs="宋体"/>
          <w:color w:val="auto"/>
          <w:sz w:val="24"/>
          <w:highlight w:val="none"/>
        </w:rPr>
      </w:pPr>
    </w:p>
    <w:p>
      <w:pPr>
        <w:outlineLvl w:val="9"/>
        <w:rPr>
          <w:rFonts w:ascii="宋体" w:hAnsi="宋体" w:cs="宋体"/>
          <w:color w:val="auto"/>
          <w:sz w:val="24"/>
          <w:highlight w:val="none"/>
        </w:rPr>
      </w:pPr>
    </w:p>
    <w:p>
      <w:pPr>
        <w:outlineLvl w:val="9"/>
        <w:rPr>
          <w:rFonts w:ascii="宋体" w:hAnsi="宋体" w:cs="宋体"/>
          <w:color w:val="auto"/>
          <w:sz w:val="24"/>
          <w:highlight w:val="none"/>
        </w:rPr>
      </w:pPr>
    </w:p>
    <w:p>
      <w:pPr>
        <w:spacing w:line="360" w:lineRule="auto"/>
        <w:outlineLvl w:val="9"/>
        <w:rPr>
          <w:rFonts w:ascii="宋体" w:hAnsi="宋体" w:cs="宋体"/>
          <w:color w:val="auto"/>
          <w:sz w:val="24"/>
          <w:highlight w:val="none"/>
        </w:rPr>
      </w:pPr>
      <w:r>
        <w:rPr>
          <w:rFonts w:hint="eastAsia" w:ascii="宋体" w:hAnsi="宋体" w:cs="宋体"/>
          <w:color w:val="auto"/>
          <w:sz w:val="24"/>
          <w:highlight w:val="none"/>
        </w:rPr>
        <w:t xml:space="preserve">1.磋商响应文件封面格式： </w:t>
      </w:r>
    </w:p>
    <w:p>
      <w:pPr>
        <w:spacing w:line="360" w:lineRule="auto"/>
        <w:outlineLvl w:val="9"/>
        <w:rPr>
          <w:rFonts w:ascii="宋体" w:hAnsi="宋体" w:cs="宋体"/>
          <w:color w:val="auto"/>
          <w:sz w:val="24"/>
          <w:highlight w:val="none"/>
        </w:rPr>
      </w:pPr>
      <w:r>
        <w:rPr>
          <w:rFonts w:hint="eastAsia" w:ascii="宋体" w:hAnsi="宋体" w:cs="宋体"/>
          <w:color w:val="auto"/>
          <w:sz w:val="24"/>
          <w:highlight w:val="none"/>
        </w:rPr>
        <w:t xml:space="preserve">                                                    正本/或副本</w:t>
      </w:r>
    </w:p>
    <w:p>
      <w:pPr>
        <w:spacing w:line="360" w:lineRule="auto"/>
        <w:outlineLvl w:val="9"/>
        <w:rPr>
          <w:rFonts w:ascii="宋体" w:hAnsi="宋体" w:cs="宋体"/>
          <w:color w:val="auto"/>
          <w:sz w:val="24"/>
          <w:highlight w:val="none"/>
        </w:rPr>
      </w:pPr>
    </w:p>
    <w:p>
      <w:pPr>
        <w:spacing w:line="360" w:lineRule="auto"/>
        <w:outlineLvl w:val="9"/>
        <w:rPr>
          <w:rFonts w:ascii="宋体" w:hAnsi="宋体" w:cs="宋体"/>
          <w:color w:val="auto"/>
          <w:sz w:val="24"/>
          <w:highlight w:val="none"/>
        </w:rPr>
      </w:pPr>
    </w:p>
    <w:p>
      <w:pPr>
        <w:spacing w:line="360" w:lineRule="auto"/>
        <w:outlineLvl w:val="9"/>
        <w:rPr>
          <w:rFonts w:ascii="宋体" w:hAnsi="宋体" w:cs="宋体"/>
          <w:color w:val="auto"/>
          <w:sz w:val="24"/>
          <w:highlight w:val="none"/>
        </w:rPr>
      </w:pPr>
    </w:p>
    <w:p>
      <w:pPr>
        <w:spacing w:line="360" w:lineRule="auto"/>
        <w:outlineLvl w:val="9"/>
        <w:rPr>
          <w:rFonts w:ascii="宋体" w:hAnsi="宋体" w:cs="宋体"/>
          <w:color w:val="auto"/>
          <w:sz w:val="24"/>
          <w:highlight w:val="none"/>
        </w:rPr>
      </w:pPr>
    </w:p>
    <w:p>
      <w:pPr>
        <w:spacing w:line="360" w:lineRule="auto"/>
        <w:outlineLvl w:val="9"/>
        <w:rPr>
          <w:rFonts w:ascii="宋体" w:hAnsi="宋体" w:cs="宋体"/>
          <w:color w:val="auto"/>
          <w:sz w:val="24"/>
          <w:highlight w:val="none"/>
        </w:rPr>
      </w:pPr>
    </w:p>
    <w:p>
      <w:pPr>
        <w:spacing w:line="480" w:lineRule="auto"/>
        <w:rPr>
          <w:rFonts w:ascii="宋体" w:hAnsi="宋体" w:cs="宋体"/>
          <w:color w:val="auto"/>
          <w:sz w:val="24"/>
          <w:highlight w:val="none"/>
        </w:rPr>
      </w:pPr>
      <w:r>
        <w:rPr>
          <w:rFonts w:hint="eastAsia" w:ascii="宋体" w:hAnsi="宋体" w:cs="宋体"/>
          <w:color w:val="auto"/>
          <w:sz w:val="24"/>
          <w:highlight w:val="none"/>
        </w:rPr>
        <w:t>资格审查文件、商务技术文件、报价文件（相应选择一个磋商响应文件封面外包装名称）</w:t>
      </w:r>
    </w:p>
    <w:p>
      <w:pPr>
        <w:spacing w:line="480" w:lineRule="auto"/>
        <w:rPr>
          <w:rFonts w:hint="eastAsia" w:ascii="宋体" w:hAnsi="宋体" w:cs="宋体"/>
          <w:color w:val="auto"/>
          <w:sz w:val="24"/>
          <w:highlight w:val="none"/>
          <w:lang w:eastAsia="zh-CN"/>
        </w:rPr>
      </w:pPr>
      <w:r>
        <w:rPr>
          <w:rFonts w:hint="eastAsia" w:ascii="宋体" w:hAnsi="宋体" w:cs="宋体"/>
          <w:color w:val="auto"/>
          <w:sz w:val="24"/>
          <w:highlight w:val="none"/>
        </w:rPr>
        <w:t>项目名称：</w:t>
      </w:r>
      <w:r>
        <w:rPr>
          <w:rFonts w:hint="eastAsia" w:ascii="宋体" w:hAnsi="宋体" w:cs="宋体"/>
          <w:color w:val="auto"/>
          <w:sz w:val="24"/>
          <w:highlight w:val="none"/>
          <w:lang w:eastAsia="zh-CN"/>
        </w:rPr>
        <w:t>三单乡三单村一事一议财政奖补支持打造共富乡村试点项目软装工程</w:t>
      </w:r>
    </w:p>
    <w:p>
      <w:pPr>
        <w:spacing w:line="480" w:lineRule="auto"/>
        <w:rPr>
          <w:rFonts w:hint="eastAsia" w:ascii="宋体" w:hAnsi="宋体" w:eastAsia="宋体" w:cs="宋体"/>
          <w:color w:val="auto"/>
          <w:sz w:val="24"/>
          <w:highlight w:val="none"/>
          <w:lang w:eastAsia="zh-CN"/>
        </w:rPr>
      </w:pPr>
      <w:r>
        <w:rPr>
          <w:rFonts w:hint="eastAsia" w:ascii="宋体" w:hAnsi="宋体" w:cs="宋体"/>
          <w:color w:val="auto"/>
          <w:sz w:val="24"/>
          <w:highlight w:val="none"/>
        </w:rPr>
        <w:t>项目编号：</w:t>
      </w:r>
      <w:r>
        <w:rPr>
          <w:rFonts w:hint="eastAsia" w:ascii="宋体" w:hAnsi="宋体" w:cs="宋体"/>
          <w:color w:val="auto"/>
          <w:sz w:val="24"/>
          <w:highlight w:val="none"/>
          <w:lang w:eastAsia="zh-CN"/>
        </w:rPr>
        <w:t>XSZFCGDZ2024-CS-101</w:t>
      </w:r>
    </w:p>
    <w:p>
      <w:pPr>
        <w:spacing w:line="480" w:lineRule="auto"/>
        <w:rPr>
          <w:rFonts w:ascii="宋体" w:hAnsi="宋体" w:cs="宋体"/>
          <w:color w:val="auto"/>
          <w:sz w:val="24"/>
          <w:highlight w:val="none"/>
        </w:rPr>
      </w:pPr>
      <w:r>
        <w:rPr>
          <w:rFonts w:hint="eastAsia" w:ascii="宋体" w:hAnsi="宋体" w:cs="宋体"/>
          <w:color w:val="auto"/>
          <w:sz w:val="24"/>
          <w:highlight w:val="none"/>
        </w:rPr>
        <w:t>标项：</w:t>
      </w:r>
    </w:p>
    <w:p>
      <w:pPr>
        <w:spacing w:line="480" w:lineRule="auto"/>
        <w:rPr>
          <w:rFonts w:ascii="宋体" w:hAnsi="宋体" w:cs="宋体"/>
          <w:color w:val="auto"/>
          <w:sz w:val="24"/>
          <w:highlight w:val="none"/>
        </w:rPr>
      </w:pPr>
      <w:r>
        <w:rPr>
          <w:rFonts w:hint="eastAsia" w:ascii="宋体" w:hAnsi="宋体" w:cs="宋体"/>
          <w:color w:val="auto"/>
          <w:sz w:val="24"/>
          <w:highlight w:val="none"/>
        </w:rPr>
        <w:t>供应商名称：</w:t>
      </w:r>
    </w:p>
    <w:p>
      <w:pPr>
        <w:spacing w:line="480" w:lineRule="auto"/>
        <w:rPr>
          <w:rFonts w:ascii="宋体" w:hAnsi="宋体" w:cs="宋体"/>
          <w:color w:val="auto"/>
          <w:sz w:val="24"/>
          <w:highlight w:val="none"/>
        </w:rPr>
      </w:pPr>
      <w:r>
        <w:rPr>
          <w:rFonts w:hint="eastAsia" w:ascii="宋体" w:hAnsi="宋体" w:cs="宋体"/>
          <w:color w:val="auto"/>
          <w:sz w:val="24"/>
          <w:highlight w:val="none"/>
        </w:rPr>
        <w:t>供应商地址：</w:t>
      </w:r>
    </w:p>
    <w:p>
      <w:pPr>
        <w:spacing w:line="480" w:lineRule="auto"/>
        <w:rPr>
          <w:rFonts w:ascii="宋体" w:hAnsi="宋体" w:cs="宋体"/>
          <w:color w:val="auto"/>
          <w:sz w:val="24"/>
          <w:highlight w:val="none"/>
        </w:rPr>
      </w:pPr>
      <w:r>
        <w:rPr>
          <w:rFonts w:hint="eastAsia" w:ascii="宋体" w:hAnsi="宋体" w:cs="宋体"/>
          <w:color w:val="auto"/>
          <w:sz w:val="24"/>
          <w:highlight w:val="none"/>
        </w:rPr>
        <w:t xml:space="preserve">       </w:t>
      </w:r>
    </w:p>
    <w:p>
      <w:pPr>
        <w:spacing w:line="480" w:lineRule="auto"/>
        <w:rPr>
          <w:rFonts w:ascii="宋体" w:hAnsi="宋体" w:cs="宋体"/>
          <w:color w:val="auto"/>
          <w:sz w:val="24"/>
          <w:highlight w:val="none"/>
        </w:rPr>
      </w:pPr>
      <w:r>
        <w:rPr>
          <w:rFonts w:hint="eastAsia" w:ascii="宋体" w:hAnsi="宋体" w:cs="宋体"/>
          <w:color w:val="auto"/>
          <w:sz w:val="24"/>
          <w:highlight w:val="none"/>
        </w:rPr>
        <w:t xml:space="preserve">                                                   年   月   日</w:t>
      </w:r>
    </w:p>
    <w:p>
      <w:pPr>
        <w:spacing w:line="360" w:lineRule="auto"/>
        <w:rPr>
          <w:rFonts w:ascii="宋体" w:hAnsi="宋体" w:cs="宋体"/>
          <w:color w:val="auto"/>
          <w:sz w:val="24"/>
          <w:highlight w:val="none"/>
        </w:rPr>
      </w:pPr>
    </w:p>
    <w:p>
      <w:pPr>
        <w:rPr>
          <w:rFonts w:ascii="宋体" w:hAnsi="宋体" w:cs="宋体"/>
          <w:color w:val="auto"/>
          <w:sz w:val="24"/>
          <w:highlight w:val="none"/>
        </w:rPr>
      </w:pPr>
    </w:p>
    <w:p>
      <w:pPr>
        <w:rPr>
          <w:rFonts w:ascii="宋体" w:hAnsi="宋体" w:cs="宋体"/>
          <w:color w:val="auto"/>
          <w:sz w:val="24"/>
          <w:highlight w:val="none"/>
        </w:rPr>
      </w:pPr>
    </w:p>
    <w:p>
      <w:pPr>
        <w:spacing w:line="360" w:lineRule="auto"/>
        <w:rPr>
          <w:rFonts w:ascii="宋体" w:hAnsi="宋体" w:cs="宋体"/>
          <w:b/>
          <w:color w:val="auto"/>
          <w:sz w:val="24"/>
          <w:highlight w:val="none"/>
        </w:rPr>
      </w:pPr>
    </w:p>
    <w:p>
      <w:pPr>
        <w:pStyle w:val="13"/>
        <w:rPr>
          <w:color w:val="auto"/>
          <w:highlight w:val="none"/>
        </w:rPr>
      </w:pPr>
    </w:p>
    <w:p>
      <w:pPr>
        <w:spacing w:line="360" w:lineRule="auto"/>
        <w:rPr>
          <w:rFonts w:ascii="宋体" w:hAnsi="宋体" w:cs="宋体"/>
          <w:b/>
          <w:color w:val="auto"/>
          <w:sz w:val="24"/>
          <w:highlight w:val="none"/>
        </w:rPr>
      </w:pPr>
    </w:p>
    <w:p>
      <w:pPr>
        <w:rPr>
          <w:color w:val="auto"/>
          <w:highlight w:val="none"/>
        </w:rPr>
      </w:pPr>
    </w:p>
    <w:p>
      <w:pPr>
        <w:spacing w:line="430" w:lineRule="exact"/>
        <w:rPr>
          <w:rFonts w:ascii="宋体" w:hAnsi="宋体" w:cs="宋体"/>
          <w:b/>
          <w:color w:val="auto"/>
          <w:sz w:val="24"/>
          <w:highlight w:val="none"/>
        </w:rPr>
      </w:pPr>
      <w:r>
        <w:rPr>
          <w:rFonts w:hint="eastAsia" w:ascii="宋体" w:hAnsi="宋体" w:cs="宋体"/>
          <w:b/>
          <w:color w:val="auto"/>
          <w:sz w:val="24"/>
          <w:highlight w:val="none"/>
          <w:lang w:val="en-US" w:eastAsia="zh-CN"/>
        </w:rPr>
        <w:t>2</w:t>
      </w:r>
      <w:r>
        <w:rPr>
          <w:rFonts w:hint="eastAsia" w:ascii="宋体" w:hAnsi="宋体" w:cs="宋体"/>
          <w:b/>
          <w:color w:val="auto"/>
          <w:sz w:val="24"/>
          <w:highlight w:val="none"/>
        </w:rPr>
        <w:t>.资格审查文件：</w:t>
      </w:r>
    </w:p>
    <w:p>
      <w:pPr>
        <w:spacing w:line="360" w:lineRule="auto"/>
        <w:rPr>
          <w:rFonts w:ascii="宋体" w:hAnsi="宋体" w:cs="宋体"/>
          <w:color w:val="auto"/>
          <w:sz w:val="24"/>
          <w:highlight w:val="none"/>
        </w:rPr>
      </w:pPr>
      <w:r>
        <w:rPr>
          <w:rFonts w:hint="eastAsia" w:ascii="宋体" w:hAnsi="宋体" w:cs="宋体"/>
          <w:color w:val="auto"/>
          <w:sz w:val="24"/>
          <w:highlight w:val="none"/>
        </w:rPr>
        <w:t>（1）具有独立承担民事责任的能力：供应商须在投标文件中出具符合以下情况的证明材料复印件（五选一）：</w:t>
      </w:r>
    </w:p>
    <w:p>
      <w:pPr>
        <w:spacing w:line="360" w:lineRule="auto"/>
        <w:rPr>
          <w:rFonts w:ascii="宋体" w:hAnsi="宋体" w:cs="宋体"/>
          <w:color w:val="auto"/>
          <w:sz w:val="24"/>
          <w:highlight w:val="none"/>
        </w:rPr>
      </w:pPr>
      <w:r>
        <w:rPr>
          <w:rFonts w:hint="eastAsia" w:ascii="宋体" w:hAnsi="宋体" w:cs="宋体"/>
          <w:color w:val="auto"/>
          <w:sz w:val="24"/>
          <w:highlight w:val="none"/>
        </w:rPr>
        <w:t>①如供应商是企业（包括合伙企业），提供在工商部门注册的有效“企业法人营业执照”或“营业执照”；</w:t>
      </w:r>
    </w:p>
    <w:p>
      <w:pPr>
        <w:spacing w:line="360" w:lineRule="auto"/>
        <w:rPr>
          <w:rFonts w:ascii="宋体" w:hAnsi="宋体" w:cs="宋体"/>
          <w:color w:val="auto"/>
          <w:sz w:val="24"/>
          <w:highlight w:val="none"/>
        </w:rPr>
      </w:pPr>
      <w:r>
        <w:rPr>
          <w:rFonts w:hint="eastAsia" w:ascii="宋体" w:hAnsi="宋体" w:cs="宋体"/>
          <w:color w:val="auto"/>
          <w:sz w:val="24"/>
          <w:highlight w:val="none"/>
        </w:rPr>
        <w:t>②如供应商是事业单位，提供有效的“事业单位法人证书”；</w:t>
      </w:r>
    </w:p>
    <w:p>
      <w:pPr>
        <w:spacing w:line="360" w:lineRule="auto"/>
        <w:rPr>
          <w:rFonts w:ascii="宋体" w:hAnsi="宋体" w:cs="宋体"/>
          <w:color w:val="auto"/>
          <w:sz w:val="24"/>
          <w:highlight w:val="none"/>
        </w:rPr>
      </w:pPr>
      <w:r>
        <w:rPr>
          <w:rFonts w:hint="eastAsia" w:ascii="宋体" w:hAnsi="宋体" w:cs="宋体"/>
          <w:color w:val="auto"/>
          <w:sz w:val="24"/>
          <w:highlight w:val="none"/>
        </w:rPr>
        <w:t>③如供应商是非企业专业服务机构的，提供执业许可证等证明文件；</w:t>
      </w:r>
    </w:p>
    <w:p>
      <w:pPr>
        <w:spacing w:line="360" w:lineRule="auto"/>
        <w:rPr>
          <w:rFonts w:ascii="宋体" w:hAnsi="宋体" w:cs="宋体"/>
          <w:color w:val="auto"/>
          <w:sz w:val="24"/>
          <w:highlight w:val="none"/>
        </w:rPr>
      </w:pPr>
      <w:r>
        <w:rPr>
          <w:rFonts w:hint="eastAsia" w:ascii="宋体" w:hAnsi="宋体" w:cs="宋体"/>
          <w:color w:val="auto"/>
          <w:sz w:val="24"/>
          <w:highlight w:val="none"/>
        </w:rPr>
        <w:t>④如供应商是个体工商户，提供有效的“个体工商户营业执照”；</w:t>
      </w:r>
    </w:p>
    <w:p>
      <w:pPr>
        <w:spacing w:line="360" w:lineRule="auto"/>
        <w:rPr>
          <w:rFonts w:ascii="宋体" w:hAnsi="宋体" w:cs="宋体"/>
          <w:color w:val="auto"/>
          <w:sz w:val="24"/>
          <w:highlight w:val="none"/>
        </w:rPr>
      </w:pPr>
      <w:r>
        <w:rPr>
          <w:rFonts w:hint="eastAsia" w:ascii="宋体" w:hAnsi="宋体" w:cs="宋体"/>
          <w:color w:val="auto"/>
          <w:sz w:val="24"/>
          <w:highlight w:val="none"/>
        </w:rPr>
        <w:t>⑤如供应商是自然人，提供有效的自然人身份证明（居民身份证正反面或公安机关出具的临时居民身份证正反面或港澳台胞证或护照）。</w:t>
      </w:r>
    </w:p>
    <w:p>
      <w:pPr>
        <w:spacing w:line="360" w:lineRule="auto"/>
        <w:rPr>
          <w:rFonts w:ascii="宋体" w:hAnsi="宋体" w:cs="宋体"/>
          <w:color w:val="auto"/>
          <w:sz w:val="24"/>
          <w:highlight w:val="none"/>
        </w:rPr>
      </w:pPr>
      <w:r>
        <w:rPr>
          <w:rFonts w:hint="eastAsia" w:ascii="宋体" w:hAnsi="宋体" w:cs="宋体"/>
          <w:color w:val="auto"/>
          <w:sz w:val="24"/>
          <w:highlight w:val="none"/>
        </w:rPr>
        <w:t>（2）法定代表人身份证复印件或法定代表人授权委托书(格式见附件)；</w:t>
      </w:r>
    </w:p>
    <w:p>
      <w:pPr>
        <w:spacing w:line="360" w:lineRule="auto"/>
        <w:rPr>
          <w:rFonts w:ascii="宋体" w:hAnsi="宋体" w:cs="宋体"/>
          <w:color w:val="auto"/>
          <w:sz w:val="24"/>
          <w:highlight w:val="none"/>
        </w:rPr>
      </w:pPr>
      <w:r>
        <w:rPr>
          <w:rFonts w:hint="eastAsia" w:ascii="宋体" w:hAnsi="宋体" w:cs="宋体"/>
          <w:color w:val="auto"/>
          <w:sz w:val="24"/>
          <w:highlight w:val="none"/>
        </w:rPr>
        <w:t>（3）符合参加政府采购活动应当具备的一般条件的承诺函（格式见附件）；</w:t>
      </w:r>
    </w:p>
    <w:p>
      <w:pPr>
        <w:pStyle w:val="19"/>
        <w:keepNext w:val="0"/>
        <w:keepLines w:val="0"/>
        <w:pageBreakBefore w:val="0"/>
        <w:kinsoku/>
        <w:wordWrap/>
        <w:overflowPunct/>
        <w:topLinePunct w:val="0"/>
        <w:autoSpaceDE/>
        <w:autoSpaceDN/>
        <w:bidi w:val="0"/>
        <w:spacing w:line="420" w:lineRule="exact"/>
        <w:textAlignment w:val="auto"/>
        <w:rPr>
          <w:rFonts w:ascii="宋体" w:hAnsi="宋体" w:cs="宋体"/>
          <w:color w:val="auto"/>
          <w:sz w:val="24"/>
          <w:highlight w:val="none"/>
        </w:rPr>
      </w:pPr>
      <w:r>
        <w:rPr>
          <w:rFonts w:hint="eastAsia" w:ascii="宋体" w:hAnsi="宋体" w:cs="宋体"/>
          <w:color w:val="auto"/>
          <w:sz w:val="24"/>
          <w:highlight w:val="none"/>
        </w:rPr>
        <w:t>（</w:t>
      </w:r>
      <w:r>
        <w:rPr>
          <w:rFonts w:hint="eastAsia" w:ascii="宋体" w:hAnsi="宋体" w:cs="宋体"/>
          <w:color w:val="auto"/>
          <w:sz w:val="24"/>
          <w:highlight w:val="none"/>
          <w:lang w:val="en-US" w:eastAsia="zh-CN"/>
        </w:rPr>
        <w:t>4</w:t>
      </w:r>
      <w:r>
        <w:rPr>
          <w:rFonts w:hint="eastAsia" w:ascii="宋体" w:hAnsi="宋体" w:cs="宋体"/>
          <w:color w:val="auto"/>
          <w:sz w:val="24"/>
          <w:highlight w:val="none"/>
        </w:rPr>
        <w:t>）供应商具备有效的企业营业执照，并承诺在人员、设备、资金等方面具有相应的施工能力。（须提供承诺书）</w:t>
      </w:r>
    </w:p>
    <w:p>
      <w:pPr>
        <w:spacing w:line="360" w:lineRule="auto"/>
        <w:rPr>
          <w:rFonts w:ascii="宋体" w:hAnsi="宋体" w:cs="宋体"/>
          <w:color w:val="auto"/>
          <w:sz w:val="24"/>
          <w:highlight w:val="none"/>
        </w:rPr>
      </w:pPr>
      <w:r>
        <w:rPr>
          <w:rFonts w:hint="eastAsia" w:ascii="宋体" w:hAnsi="宋体" w:cs="宋体"/>
          <w:color w:val="auto"/>
          <w:sz w:val="24"/>
          <w:highlight w:val="none"/>
        </w:rPr>
        <w:t>（</w:t>
      </w:r>
      <w:r>
        <w:rPr>
          <w:rFonts w:hint="eastAsia" w:ascii="宋体" w:hAnsi="宋体" w:cs="宋体"/>
          <w:color w:val="auto"/>
          <w:sz w:val="24"/>
          <w:highlight w:val="none"/>
          <w:lang w:val="en-US" w:eastAsia="zh-CN"/>
        </w:rPr>
        <w:t>5</w:t>
      </w:r>
      <w:r>
        <w:rPr>
          <w:rFonts w:hint="eastAsia" w:ascii="宋体" w:hAnsi="宋体" w:cs="宋体"/>
          <w:color w:val="auto"/>
          <w:sz w:val="24"/>
          <w:highlight w:val="none"/>
        </w:rPr>
        <w:t>）信用记录网络查询页面截图（信用中国与中国政府采购网）；联合体信用信息查询：两个以上的自然人、法人或者其他组织组成一个联合体，以一个供应商的身份共同参加政府采购活动的，应当对所有联合体成员进行信用记录查询，联合体成员存在不良信用记录的，视同联合体存在不良信用记录；</w:t>
      </w:r>
    </w:p>
    <w:p>
      <w:pPr>
        <w:spacing w:line="360" w:lineRule="auto"/>
        <w:rPr>
          <w:rFonts w:ascii="宋体" w:hAnsi="宋体" w:cs="宋体"/>
          <w:color w:val="auto"/>
          <w:sz w:val="24"/>
          <w:highlight w:val="none"/>
        </w:rPr>
      </w:pPr>
      <w:r>
        <w:rPr>
          <w:rFonts w:hint="eastAsia" w:ascii="宋体" w:hAnsi="宋体" w:cs="宋体"/>
          <w:color w:val="auto"/>
          <w:sz w:val="24"/>
          <w:highlight w:val="none"/>
        </w:rPr>
        <w:t>（</w:t>
      </w:r>
      <w:r>
        <w:rPr>
          <w:rFonts w:hint="eastAsia" w:ascii="宋体" w:hAnsi="宋体" w:cs="宋体"/>
          <w:color w:val="auto"/>
          <w:sz w:val="24"/>
          <w:highlight w:val="none"/>
          <w:lang w:val="en-US" w:eastAsia="zh-CN"/>
        </w:rPr>
        <w:t>6</w:t>
      </w:r>
      <w:r>
        <w:rPr>
          <w:rFonts w:hint="eastAsia" w:ascii="宋体" w:hAnsi="宋体" w:cs="宋体"/>
          <w:color w:val="auto"/>
          <w:sz w:val="24"/>
          <w:highlight w:val="none"/>
        </w:rPr>
        <w:t>）浙江政府采购网注册正式供应商的网络截图或承诺中标后30天内注册为浙江政府采购网正式供应商（须提供承诺书）；</w:t>
      </w:r>
    </w:p>
    <w:p>
      <w:pPr>
        <w:spacing w:line="360" w:lineRule="auto"/>
        <w:rPr>
          <w:rFonts w:ascii="宋体" w:hAnsi="宋体" w:cs="宋体"/>
          <w:color w:val="auto"/>
          <w:sz w:val="24"/>
          <w:highlight w:val="none"/>
        </w:rPr>
      </w:pPr>
      <w:r>
        <w:rPr>
          <w:rFonts w:hint="eastAsia" w:ascii="宋体" w:hAnsi="宋体" w:cs="宋体"/>
          <w:color w:val="auto"/>
          <w:sz w:val="24"/>
          <w:highlight w:val="none"/>
        </w:rPr>
        <w:t>（</w:t>
      </w:r>
      <w:r>
        <w:rPr>
          <w:rFonts w:hint="eastAsia" w:ascii="宋体" w:hAnsi="宋体" w:cs="宋体"/>
          <w:color w:val="auto"/>
          <w:sz w:val="24"/>
          <w:highlight w:val="none"/>
          <w:lang w:val="en-US" w:eastAsia="zh-CN"/>
        </w:rPr>
        <w:t>7</w:t>
      </w:r>
      <w:r>
        <w:rPr>
          <w:rFonts w:hint="eastAsia" w:ascii="宋体" w:hAnsi="宋体" w:cs="宋体"/>
          <w:color w:val="auto"/>
          <w:sz w:val="24"/>
          <w:highlight w:val="none"/>
        </w:rPr>
        <w:t>）东阳市政府采购代理机构社会评价表（格式见附件）；</w:t>
      </w:r>
    </w:p>
    <w:p>
      <w:pPr>
        <w:snapToGrid w:val="0"/>
        <w:spacing w:line="360" w:lineRule="auto"/>
        <w:rPr>
          <w:rFonts w:ascii="宋体" w:hAnsi="宋体" w:cs="宋体"/>
          <w:color w:val="auto"/>
          <w:sz w:val="24"/>
          <w:highlight w:val="none"/>
        </w:rPr>
      </w:pPr>
      <w:r>
        <w:rPr>
          <w:rFonts w:hint="eastAsia" w:ascii="宋体" w:hAnsi="宋体" w:cs="宋体"/>
          <w:color w:val="auto"/>
          <w:sz w:val="24"/>
          <w:highlight w:val="none"/>
        </w:rPr>
        <w:t>（</w:t>
      </w:r>
      <w:r>
        <w:rPr>
          <w:rFonts w:hint="eastAsia" w:ascii="宋体" w:hAnsi="宋体" w:cs="宋体"/>
          <w:color w:val="auto"/>
          <w:sz w:val="24"/>
          <w:highlight w:val="none"/>
          <w:lang w:val="en-US" w:eastAsia="zh-CN"/>
        </w:rPr>
        <w:t>8</w:t>
      </w:r>
      <w:r>
        <w:rPr>
          <w:rFonts w:hint="eastAsia" w:ascii="宋体" w:hAnsi="宋体" w:cs="宋体"/>
          <w:color w:val="auto"/>
          <w:sz w:val="24"/>
          <w:highlight w:val="none"/>
        </w:rPr>
        <w:t>）磋商声明书 (格式见附件) ；</w:t>
      </w:r>
    </w:p>
    <w:p>
      <w:pPr>
        <w:snapToGrid w:val="0"/>
        <w:spacing w:line="360" w:lineRule="auto"/>
        <w:rPr>
          <w:rFonts w:ascii="宋体" w:hAnsi="宋体" w:cs="宋体"/>
          <w:color w:val="auto"/>
          <w:sz w:val="24"/>
          <w:highlight w:val="none"/>
        </w:rPr>
      </w:pPr>
      <w:r>
        <w:rPr>
          <w:rFonts w:hint="eastAsia" w:ascii="宋体" w:hAnsi="宋体" w:cs="宋体"/>
          <w:color w:val="auto"/>
          <w:sz w:val="24"/>
          <w:highlight w:val="none"/>
        </w:rPr>
        <w:t>（</w:t>
      </w:r>
      <w:r>
        <w:rPr>
          <w:rFonts w:hint="eastAsia" w:ascii="宋体" w:hAnsi="宋体" w:cs="宋体"/>
          <w:color w:val="auto"/>
          <w:sz w:val="24"/>
          <w:highlight w:val="none"/>
          <w:lang w:val="en-US" w:eastAsia="zh-CN"/>
        </w:rPr>
        <w:t>9</w:t>
      </w:r>
      <w:r>
        <w:rPr>
          <w:rFonts w:hint="eastAsia" w:ascii="宋体" w:hAnsi="宋体" w:cs="宋体"/>
          <w:color w:val="auto"/>
          <w:sz w:val="24"/>
          <w:highlight w:val="none"/>
        </w:rPr>
        <w:t>）政府采购活动现场确认声明书 (格式见附件) ；</w:t>
      </w:r>
    </w:p>
    <w:p>
      <w:pPr>
        <w:spacing w:line="360" w:lineRule="auto"/>
        <w:rPr>
          <w:rFonts w:ascii="宋体" w:hAnsi="宋体" w:cs="宋体"/>
          <w:color w:val="auto"/>
          <w:sz w:val="24"/>
          <w:highlight w:val="none"/>
        </w:rPr>
      </w:pPr>
      <w:r>
        <w:rPr>
          <w:rFonts w:hint="eastAsia" w:ascii="宋体" w:hAnsi="宋体" w:cs="宋体"/>
          <w:color w:val="auto"/>
          <w:sz w:val="24"/>
          <w:highlight w:val="none"/>
        </w:rPr>
        <w:t>（1</w:t>
      </w:r>
      <w:r>
        <w:rPr>
          <w:rFonts w:hint="eastAsia" w:ascii="宋体" w:hAnsi="宋体" w:cs="宋体"/>
          <w:color w:val="auto"/>
          <w:sz w:val="24"/>
          <w:highlight w:val="none"/>
          <w:lang w:val="en-US" w:eastAsia="zh-CN"/>
        </w:rPr>
        <w:t>0</w:t>
      </w:r>
      <w:r>
        <w:rPr>
          <w:rFonts w:hint="eastAsia" w:ascii="宋体" w:hAnsi="宋体" w:cs="宋体"/>
          <w:color w:val="auto"/>
          <w:sz w:val="24"/>
          <w:highlight w:val="none"/>
        </w:rPr>
        <w:t>）联合体协议书（联合体投标时提供）（格式见附件）；</w:t>
      </w:r>
    </w:p>
    <w:p>
      <w:pPr>
        <w:spacing w:line="360" w:lineRule="auto"/>
        <w:rPr>
          <w:rFonts w:ascii="宋体" w:hAnsi="宋体"/>
          <w:color w:val="auto"/>
          <w:sz w:val="24"/>
          <w:highlight w:val="none"/>
        </w:rPr>
      </w:pPr>
      <w:r>
        <w:rPr>
          <w:rFonts w:hint="eastAsia" w:ascii="宋体" w:hAnsi="宋体"/>
          <w:color w:val="auto"/>
          <w:sz w:val="24"/>
          <w:highlight w:val="none"/>
        </w:rPr>
        <w:t>（</w:t>
      </w:r>
      <w:r>
        <w:rPr>
          <w:rFonts w:ascii="宋体" w:hAnsi="宋体"/>
          <w:color w:val="auto"/>
          <w:sz w:val="24"/>
          <w:highlight w:val="none"/>
        </w:rPr>
        <w:t>1</w:t>
      </w:r>
      <w:r>
        <w:rPr>
          <w:rFonts w:hint="eastAsia" w:ascii="宋体" w:hAnsi="宋体"/>
          <w:color w:val="auto"/>
          <w:sz w:val="24"/>
          <w:highlight w:val="none"/>
          <w:lang w:val="en-US" w:eastAsia="zh-CN"/>
        </w:rPr>
        <w:t>1</w:t>
      </w:r>
      <w:r>
        <w:rPr>
          <w:rFonts w:hint="eastAsia" w:ascii="宋体" w:hAnsi="宋体"/>
          <w:color w:val="auto"/>
          <w:sz w:val="24"/>
          <w:highlight w:val="none"/>
        </w:rPr>
        <w:t>）</w:t>
      </w:r>
      <w:r>
        <w:rPr>
          <w:rFonts w:hint="eastAsia" w:ascii="宋体" w:hAnsi="宋体" w:cs="宋体"/>
          <w:color w:val="auto"/>
          <w:sz w:val="24"/>
          <w:highlight w:val="none"/>
        </w:rPr>
        <w:t>落实政府采购政策需满足的资格：供应商为中小企业/小微企业，提供《中小企业声明函》（格式见附件）；</w:t>
      </w:r>
    </w:p>
    <w:p>
      <w:pPr>
        <w:spacing w:line="360" w:lineRule="auto"/>
        <w:rPr>
          <w:rFonts w:ascii="宋体" w:hAnsi="宋体" w:cs="宋体"/>
          <w:color w:val="auto"/>
          <w:sz w:val="24"/>
          <w:highlight w:val="none"/>
        </w:rPr>
      </w:pPr>
      <w:r>
        <w:rPr>
          <w:rFonts w:hint="eastAsia" w:ascii="宋体" w:hAnsi="宋体" w:cs="宋体"/>
          <w:color w:val="auto"/>
          <w:sz w:val="24"/>
          <w:highlight w:val="none"/>
        </w:rPr>
        <w:t>（1</w:t>
      </w:r>
      <w:r>
        <w:rPr>
          <w:rFonts w:hint="eastAsia" w:ascii="宋体" w:hAnsi="宋体" w:cs="宋体"/>
          <w:color w:val="auto"/>
          <w:sz w:val="24"/>
          <w:highlight w:val="none"/>
          <w:lang w:val="en-US" w:eastAsia="zh-CN"/>
        </w:rPr>
        <w:t>2</w:t>
      </w:r>
      <w:r>
        <w:rPr>
          <w:rFonts w:hint="eastAsia" w:ascii="宋体" w:hAnsi="宋体" w:cs="宋体"/>
          <w:color w:val="auto"/>
          <w:sz w:val="24"/>
          <w:highlight w:val="none"/>
        </w:rPr>
        <w:t>）供应商情况介绍；</w:t>
      </w:r>
    </w:p>
    <w:p>
      <w:pPr>
        <w:spacing w:line="360" w:lineRule="auto"/>
        <w:rPr>
          <w:rFonts w:ascii="宋体" w:hAnsi="宋体" w:cs="宋体"/>
          <w:color w:val="auto"/>
          <w:sz w:val="24"/>
          <w:highlight w:val="none"/>
        </w:rPr>
      </w:pPr>
      <w:r>
        <w:rPr>
          <w:rFonts w:hint="eastAsia" w:ascii="宋体" w:hAnsi="宋体" w:cs="宋体"/>
          <w:color w:val="auto"/>
          <w:sz w:val="24"/>
          <w:highlight w:val="none"/>
        </w:rPr>
        <w:t>（1</w:t>
      </w:r>
      <w:r>
        <w:rPr>
          <w:rFonts w:hint="eastAsia" w:ascii="宋体" w:hAnsi="宋体" w:cs="宋体"/>
          <w:color w:val="auto"/>
          <w:sz w:val="24"/>
          <w:highlight w:val="none"/>
          <w:lang w:val="en-US" w:eastAsia="zh-CN"/>
        </w:rPr>
        <w:t>3</w:t>
      </w:r>
      <w:r>
        <w:rPr>
          <w:rFonts w:hint="eastAsia" w:ascii="宋体" w:hAnsi="宋体" w:cs="宋体"/>
          <w:color w:val="auto"/>
          <w:sz w:val="24"/>
          <w:highlight w:val="none"/>
        </w:rPr>
        <w:t>）供应商认为有必要提供的其它文件。</w:t>
      </w:r>
    </w:p>
    <w:p>
      <w:pPr>
        <w:spacing w:line="360" w:lineRule="auto"/>
        <w:rPr>
          <w:rFonts w:ascii="宋体" w:hAnsi="宋体" w:cs="宋体"/>
          <w:b/>
          <w:bCs/>
          <w:color w:val="auto"/>
          <w:sz w:val="24"/>
          <w:highlight w:val="none"/>
        </w:rPr>
      </w:pPr>
      <w:r>
        <w:rPr>
          <w:rFonts w:hint="eastAsia" w:ascii="宋体" w:hAnsi="宋体" w:cs="宋体"/>
          <w:b/>
          <w:bCs/>
          <w:color w:val="auto"/>
          <w:sz w:val="24"/>
          <w:highlight w:val="none"/>
          <w:lang w:val="en-US" w:eastAsia="zh-CN"/>
        </w:rPr>
        <w:t>3</w:t>
      </w:r>
      <w:r>
        <w:rPr>
          <w:rFonts w:hint="eastAsia" w:ascii="宋体" w:hAnsi="宋体" w:cs="宋体"/>
          <w:b/>
          <w:bCs/>
          <w:color w:val="auto"/>
          <w:sz w:val="24"/>
          <w:highlight w:val="none"/>
        </w:rPr>
        <w:t>.商务技术文件</w:t>
      </w:r>
    </w:p>
    <w:p>
      <w:pPr>
        <w:spacing w:line="360" w:lineRule="auto"/>
        <w:rPr>
          <w:rFonts w:ascii="宋体" w:hAnsi="宋体"/>
          <w:color w:val="auto"/>
          <w:sz w:val="24"/>
          <w:highlight w:val="none"/>
        </w:rPr>
      </w:pPr>
      <w:r>
        <w:rPr>
          <w:rFonts w:hint="eastAsia" w:ascii="宋体" w:hAnsi="宋体"/>
          <w:color w:val="auto"/>
          <w:sz w:val="24"/>
          <w:highlight w:val="none"/>
        </w:rPr>
        <w:t>（1）供应商资信商务、技术自评得分表（格式见附件）；</w:t>
      </w:r>
    </w:p>
    <w:p>
      <w:pPr>
        <w:spacing w:line="360" w:lineRule="auto"/>
        <w:rPr>
          <w:rFonts w:ascii="宋体" w:hAnsi="宋体"/>
          <w:bCs/>
          <w:color w:val="auto"/>
          <w:sz w:val="24"/>
          <w:highlight w:val="none"/>
        </w:rPr>
      </w:pPr>
      <w:r>
        <w:rPr>
          <w:rFonts w:hint="eastAsia" w:ascii="宋体" w:hAnsi="宋体"/>
          <w:bCs/>
          <w:color w:val="auto"/>
          <w:sz w:val="24"/>
          <w:highlight w:val="none"/>
        </w:rPr>
        <w:t>（2）商务响应表（格式见附件）；</w:t>
      </w:r>
    </w:p>
    <w:p>
      <w:pPr>
        <w:snapToGrid w:val="0"/>
        <w:spacing w:line="360" w:lineRule="auto"/>
        <w:jc w:val="left"/>
        <w:rPr>
          <w:rFonts w:ascii="宋体" w:hAnsi="宋体" w:cs="宋体"/>
          <w:color w:val="auto"/>
          <w:sz w:val="24"/>
          <w:highlight w:val="none"/>
        </w:rPr>
      </w:pPr>
      <w:r>
        <w:rPr>
          <w:rFonts w:hint="eastAsia" w:ascii="宋体" w:hAnsi="宋体"/>
          <w:color w:val="auto"/>
          <w:sz w:val="24"/>
          <w:highlight w:val="none"/>
        </w:rPr>
        <w:t>（3）技术响应表（格式见附件）；</w:t>
      </w:r>
    </w:p>
    <w:p>
      <w:pPr>
        <w:spacing w:line="360" w:lineRule="auto"/>
        <w:rPr>
          <w:rFonts w:ascii="宋体" w:hAnsi="宋体" w:cs="宋体"/>
          <w:color w:val="auto"/>
          <w:sz w:val="24"/>
          <w:highlight w:val="none"/>
        </w:rPr>
      </w:pPr>
      <w:r>
        <w:rPr>
          <w:rFonts w:hint="eastAsia" w:ascii="宋体" w:hAnsi="宋体" w:cs="宋体"/>
          <w:color w:val="auto"/>
          <w:sz w:val="24"/>
          <w:highlight w:val="none"/>
        </w:rPr>
        <w:t>（4）项目理解情况；</w:t>
      </w:r>
    </w:p>
    <w:p>
      <w:pPr>
        <w:spacing w:line="360" w:lineRule="auto"/>
        <w:rPr>
          <w:rFonts w:ascii="宋体" w:hAnsi="宋体" w:cs="宋体"/>
          <w:color w:val="auto"/>
          <w:sz w:val="24"/>
          <w:highlight w:val="none"/>
        </w:rPr>
      </w:pPr>
      <w:r>
        <w:rPr>
          <w:rFonts w:hint="eastAsia" w:ascii="宋体" w:hAnsi="宋体" w:cs="宋体"/>
          <w:color w:val="auto"/>
          <w:sz w:val="24"/>
          <w:highlight w:val="none"/>
        </w:rPr>
        <w:t>（5）施工方案；</w:t>
      </w:r>
    </w:p>
    <w:p>
      <w:pPr>
        <w:spacing w:line="360" w:lineRule="auto"/>
        <w:rPr>
          <w:rFonts w:ascii="宋体" w:hAnsi="宋体" w:cs="宋体"/>
          <w:color w:val="auto"/>
          <w:sz w:val="24"/>
          <w:highlight w:val="none"/>
        </w:rPr>
      </w:pPr>
      <w:r>
        <w:rPr>
          <w:rFonts w:hint="eastAsia" w:ascii="宋体" w:hAnsi="宋体" w:cs="宋体"/>
          <w:color w:val="auto"/>
          <w:sz w:val="24"/>
          <w:highlight w:val="none"/>
        </w:rPr>
        <w:t>（6）布置图、效果图；</w:t>
      </w:r>
    </w:p>
    <w:p>
      <w:pPr>
        <w:spacing w:line="360" w:lineRule="auto"/>
        <w:rPr>
          <w:rFonts w:ascii="宋体" w:hAnsi="宋体" w:cs="宋体"/>
          <w:color w:val="auto"/>
          <w:sz w:val="24"/>
          <w:highlight w:val="none"/>
        </w:rPr>
      </w:pPr>
      <w:r>
        <w:rPr>
          <w:rFonts w:hint="eastAsia" w:ascii="宋体" w:hAnsi="宋体" w:cs="宋体"/>
          <w:color w:val="auto"/>
          <w:sz w:val="24"/>
          <w:highlight w:val="none"/>
        </w:rPr>
        <w:t>（</w:t>
      </w:r>
      <w:r>
        <w:rPr>
          <w:rFonts w:hint="eastAsia" w:ascii="宋体" w:hAnsi="宋体" w:cs="宋体"/>
          <w:color w:val="auto"/>
          <w:sz w:val="24"/>
          <w:highlight w:val="none"/>
          <w:lang w:val="en-US" w:eastAsia="zh-CN"/>
        </w:rPr>
        <w:t>7</w:t>
      </w:r>
      <w:r>
        <w:rPr>
          <w:rFonts w:hint="eastAsia" w:ascii="宋体" w:hAnsi="宋体" w:cs="宋体"/>
          <w:color w:val="auto"/>
          <w:sz w:val="24"/>
          <w:highlight w:val="none"/>
        </w:rPr>
        <w:t>）产品技术指标；</w:t>
      </w:r>
    </w:p>
    <w:p>
      <w:pPr>
        <w:spacing w:line="360" w:lineRule="auto"/>
        <w:rPr>
          <w:rFonts w:hint="eastAsia" w:ascii="宋体" w:hAnsi="宋体" w:cs="宋体"/>
          <w:color w:val="auto"/>
          <w:sz w:val="24"/>
          <w:highlight w:val="none"/>
        </w:rPr>
      </w:pPr>
      <w:r>
        <w:rPr>
          <w:rFonts w:hint="eastAsia" w:ascii="宋体" w:hAnsi="宋体" w:cs="宋体"/>
          <w:color w:val="auto"/>
          <w:sz w:val="24"/>
          <w:highlight w:val="none"/>
        </w:rPr>
        <w:t>（</w:t>
      </w:r>
      <w:r>
        <w:rPr>
          <w:rFonts w:hint="eastAsia" w:ascii="宋体" w:hAnsi="宋体" w:cs="宋体"/>
          <w:color w:val="auto"/>
          <w:sz w:val="24"/>
          <w:highlight w:val="none"/>
          <w:lang w:val="en-US" w:eastAsia="zh-CN"/>
        </w:rPr>
        <w:t>8</w:t>
      </w:r>
      <w:r>
        <w:rPr>
          <w:rFonts w:hint="eastAsia" w:ascii="宋体" w:hAnsi="宋体" w:cs="宋体"/>
          <w:color w:val="auto"/>
          <w:sz w:val="24"/>
          <w:highlight w:val="none"/>
        </w:rPr>
        <w:t>）施工技术；</w:t>
      </w:r>
    </w:p>
    <w:p>
      <w:pPr>
        <w:spacing w:line="360" w:lineRule="auto"/>
        <w:rPr>
          <w:rFonts w:ascii="宋体" w:hAnsi="宋体" w:cs="宋体"/>
          <w:color w:val="auto"/>
          <w:sz w:val="24"/>
          <w:highlight w:val="none"/>
        </w:rPr>
      </w:pPr>
      <w:r>
        <w:rPr>
          <w:rFonts w:hint="eastAsia" w:ascii="宋体" w:hAnsi="宋体" w:cs="宋体"/>
          <w:color w:val="auto"/>
          <w:sz w:val="24"/>
          <w:highlight w:val="none"/>
        </w:rPr>
        <w:t>（</w:t>
      </w:r>
      <w:r>
        <w:rPr>
          <w:rFonts w:hint="eastAsia" w:ascii="宋体" w:hAnsi="宋体" w:cs="宋体"/>
          <w:color w:val="auto"/>
          <w:sz w:val="24"/>
          <w:highlight w:val="none"/>
          <w:lang w:val="en-US" w:eastAsia="zh-CN"/>
        </w:rPr>
        <w:t>9</w:t>
      </w:r>
      <w:r>
        <w:rPr>
          <w:rFonts w:hint="eastAsia" w:ascii="宋体" w:hAnsi="宋体" w:cs="宋体"/>
          <w:color w:val="auto"/>
          <w:sz w:val="24"/>
          <w:highlight w:val="none"/>
        </w:rPr>
        <w:t>）施工进度；</w:t>
      </w:r>
    </w:p>
    <w:p>
      <w:pPr>
        <w:spacing w:line="360" w:lineRule="auto"/>
        <w:rPr>
          <w:rFonts w:ascii="宋体" w:hAnsi="宋体" w:cs="宋体"/>
          <w:color w:val="auto"/>
          <w:sz w:val="24"/>
          <w:highlight w:val="none"/>
        </w:rPr>
      </w:pPr>
      <w:r>
        <w:rPr>
          <w:rFonts w:hint="eastAsia" w:ascii="宋体" w:hAnsi="宋体" w:cs="宋体"/>
          <w:color w:val="auto"/>
          <w:sz w:val="24"/>
          <w:highlight w:val="none"/>
        </w:rPr>
        <w:t>（</w:t>
      </w:r>
      <w:r>
        <w:rPr>
          <w:rFonts w:hint="eastAsia" w:ascii="宋体" w:hAnsi="宋体" w:cs="宋体"/>
          <w:color w:val="auto"/>
          <w:sz w:val="24"/>
          <w:highlight w:val="none"/>
          <w:lang w:val="en-US" w:eastAsia="zh-CN"/>
        </w:rPr>
        <w:t>10</w:t>
      </w:r>
      <w:r>
        <w:rPr>
          <w:rFonts w:hint="eastAsia" w:ascii="宋体" w:hAnsi="宋体" w:cs="宋体"/>
          <w:color w:val="auto"/>
          <w:sz w:val="24"/>
          <w:highlight w:val="none"/>
        </w:rPr>
        <w:t>）</w:t>
      </w:r>
      <w:r>
        <w:rPr>
          <w:rFonts w:hint="eastAsia" w:asciiTheme="minorEastAsia" w:hAnsiTheme="minorEastAsia" w:eastAsiaTheme="minorEastAsia" w:cstheme="minorEastAsia"/>
          <w:color w:val="auto"/>
          <w:kern w:val="0"/>
          <w:sz w:val="24"/>
          <w:highlight w:val="none"/>
        </w:rPr>
        <w:t>应急预案</w:t>
      </w:r>
      <w:r>
        <w:rPr>
          <w:rFonts w:hint="eastAsia" w:ascii="宋体" w:hAnsi="宋体" w:cs="宋体"/>
          <w:color w:val="auto"/>
          <w:sz w:val="24"/>
          <w:highlight w:val="none"/>
        </w:rPr>
        <w:t>；</w:t>
      </w:r>
    </w:p>
    <w:p>
      <w:pPr>
        <w:spacing w:line="360" w:lineRule="auto"/>
        <w:rPr>
          <w:rFonts w:ascii="宋体" w:hAnsi="宋体" w:cs="宋体"/>
          <w:color w:val="auto"/>
          <w:sz w:val="24"/>
          <w:highlight w:val="none"/>
        </w:rPr>
      </w:pPr>
      <w:r>
        <w:rPr>
          <w:rFonts w:hint="eastAsia" w:ascii="宋体" w:hAnsi="宋体" w:cs="宋体"/>
          <w:color w:val="auto"/>
          <w:sz w:val="24"/>
          <w:highlight w:val="none"/>
        </w:rPr>
        <w:t>（</w:t>
      </w:r>
      <w:r>
        <w:rPr>
          <w:rFonts w:hint="eastAsia" w:ascii="宋体" w:hAnsi="宋体" w:cs="宋体"/>
          <w:color w:val="auto"/>
          <w:sz w:val="24"/>
          <w:highlight w:val="none"/>
          <w:lang w:val="en-US" w:eastAsia="zh-CN"/>
        </w:rPr>
        <w:t>11</w:t>
      </w:r>
      <w:r>
        <w:rPr>
          <w:rFonts w:hint="eastAsia" w:ascii="宋体" w:hAnsi="宋体" w:cs="宋体"/>
          <w:color w:val="auto"/>
          <w:sz w:val="24"/>
          <w:highlight w:val="none"/>
        </w:rPr>
        <w:t xml:space="preserve">）质量保障； </w:t>
      </w:r>
    </w:p>
    <w:p>
      <w:pPr>
        <w:spacing w:line="360" w:lineRule="auto"/>
        <w:rPr>
          <w:rFonts w:ascii="宋体" w:hAnsi="宋体" w:cs="宋体"/>
          <w:color w:val="auto"/>
          <w:sz w:val="24"/>
          <w:highlight w:val="none"/>
        </w:rPr>
      </w:pPr>
      <w:r>
        <w:rPr>
          <w:rFonts w:hint="eastAsia" w:ascii="宋体" w:hAnsi="宋体" w:cs="宋体"/>
          <w:color w:val="auto"/>
          <w:sz w:val="24"/>
          <w:highlight w:val="none"/>
        </w:rPr>
        <w:t>（1</w:t>
      </w:r>
      <w:r>
        <w:rPr>
          <w:rFonts w:hint="eastAsia" w:ascii="宋体" w:hAnsi="宋体" w:cs="宋体"/>
          <w:color w:val="auto"/>
          <w:sz w:val="24"/>
          <w:highlight w:val="none"/>
          <w:lang w:val="en-US" w:eastAsia="zh-CN"/>
        </w:rPr>
        <w:t>2</w:t>
      </w:r>
      <w:r>
        <w:rPr>
          <w:rFonts w:hint="eastAsia" w:ascii="宋体" w:hAnsi="宋体" w:cs="宋体"/>
          <w:color w:val="auto"/>
          <w:sz w:val="24"/>
          <w:highlight w:val="none"/>
        </w:rPr>
        <w:t>）安全、文明施工等的保证措施；</w:t>
      </w:r>
    </w:p>
    <w:p>
      <w:pPr>
        <w:spacing w:line="360" w:lineRule="auto"/>
        <w:rPr>
          <w:rFonts w:ascii="宋体" w:hAnsi="宋体" w:cs="宋体"/>
          <w:color w:val="auto"/>
          <w:sz w:val="24"/>
          <w:highlight w:val="none"/>
        </w:rPr>
      </w:pPr>
      <w:r>
        <w:rPr>
          <w:rFonts w:hint="eastAsia" w:ascii="宋体" w:hAnsi="宋体" w:cs="宋体"/>
          <w:color w:val="auto"/>
          <w:sz w:val="24"/>
          <w:highlight w:val="none"/>
        </w:rPr>
        <w:t>（1</w:t>
      </w:r>
      <w:r>
        <w:rPr>
          <w:rFonts w:hint="eastAsia" w:ascii="宋体" w:hAnsi="宋体" w:cs="宋体"/>
          <w:color w:val="auto"/>
          <w:sz w:val="24"/>
          <w:highlight w:val="none"/>
          <w:lang w:val="en-US" w:eastAsia="zh-CN"/>
        </w:rPr>
        <w:t>3</w:t>
      </w:r>
      <w:r>
        <w:rPr>
          <w:rFonts w:hint="eastAsia" w:ascii="宋体" w:hAnsi="宋体" w:cs="宋体"/>
          <w:color w:val="auto"/>
          <w:sz w:val="24"/>
          <w:highlight w:val="none"/>
        </w:rPr>
        <w:t>）人员配置；</w:t>
      </w:r>
    </w:p>
    <w:p>
      <w:pPr>
        <w:spacing w:line="360" w:lineRule="auto"/>
        <w:rPr>
          <w:rFonts w:ascii="宋体" w:hAnsi="宋体" w:cs="宋体"/>
          <w:color w:val="auto"/>
          <w:sz w:val="24"/>
          <w:highlight w:val="none"/>
        </w:rPr>
      </w:pPr>
      <w:r>
        <w:rPr>
          <w:rFonts w:hint="eastAsia" w:ascii="宋体" w:hAnsi="宋体" w:cs="宋体"/>
          <w:color w:val="auto"/>
          <w:sz w:val="24"/>
          <w:highlight w:val="none"/>
        </w:rPr>
        <w:t>（1</w:t>
      </w:r>
      <w:r>
        <w:rPr>
          <w:rFonts w:hint="eastAsia" w:ascii="宋体" w:hAnsi="宋体" w:cs="宋体"/>
          <w:color w:val="auto"/>
          <w:sz w:val="24"/>
          <w:highlight w:val="none"/>
          <w:lang w:val="en-US" w:eastAsia="zh-CN"/>
        </w:rPr>
        <w:t>4</w:t>
      </w:r>
      <w:r>
        <w:rPr>
          <w:rFonts w:hint="eastAsia" w:ascii="宋体" w:hAnsi="宋体" w:cs="宋体"/>
          <w:color w:val="auto"/>
          <w:sz w:val="24"/>
          <w:highlight w:val="none"/>
        </w:rPr>
        <w:t>）布置情况；</w:t>
      </w:r>
    </w:p>
    <w:p>
      <w:pPr>
        <w:spacing w:line="360" w:lineRule="auto"/>
        <w:rPr>
          <w:rFonts w:ascii="宋体" w:hAnsi="宋体" w:cs="宋体"/>
          <w:color w:val="auto"/>
          <w:sz w:val="24"/>
          <w:highlight w:val="none"/>
        </w:rPr>
      </w:pPr>
      <w:r>
        <w:rPr>
          <w:rFonts w:hint="eastAsia" w:ascii="宋体" w:hAnsi="宋体" w:cs="宋体"/>
          <w:color w:val="auto"/>
          <w:sz w:val="24"/>
          <w:highlight w:val="none"/>
        </w:rPr>
        <w:t>（1</w:t>
      </w:r>
      <w:r>
        <w:rPr>
          <w:rFonts w:hint="eastAsia" w:ascii="宋体" w:hAnsi="宋体" w:cs="宋体"/>
          <w:color w:val="auto"/>
          <w:sz w:val="24"/>
          <w:highlight w:val="none"/>
          <w:lang w:val="en-US" w:eastAsia="zh-CN"/>
        </w:rPr>
        <w:t>5</w:t>
      </w:r>
      <w:r>
        <w:rPr>
          <w:rFonts w:hint="eastAsia" w:ascii="宋体" w:hAnsi="宋体" w:cs="宋体"/>
          <w:color w:val="auto"/>
          <w:sz w:val="24"/>
          <w:highlight w:val="none"/>
        </w:rPr>
        <w:t>）施工重点难点分析；</w:t>
      </w:r>
    </w:p>
    <w:p>
      <w:pPr>
        <w:spacing w:line="360" w:lineRule="auto"/>
        <w:rPr>
          <w:rFonts w:ascii="宋体" w:hAnsi="宋体" w:cs="宋体"/>
          <w:color w:val="auto"/>
          <w:sz w:val="24"/>
          <w:highlight w:val="none"/>
        </w:rPr>
      </w:pPr>
      <w:r>
        <w:rPr>
          <w:rFonts w:hint="eastAsia" w:ascii="宋体" w:hAnsi="宋体" w:cs="宋体"/>
          <w:color w:val="auto"/>
          <w:sz w:val="24"/>
          <w:highlight w:val="none"/>
        </w:rPr>
        <w:t>（1</w:t>
      </w:r>
      <w:r>
        <w:rPr>
          <w:rFonts w:hint="eastAsia" w:ascii="宋体" w:hAnsi="宋体" w:cs="宋体"/>
          <w:color w:val="auto"/>
          <w:sz w:val="24"/>
          <w:highlight w:val="none"/>
          <w:lang w:val="en-US" w:eastAsia="zh-CN"/>
        </w:rPr>
        <w:t>6</w:t>
      </w:r>
      <w:r>
        <w:rPr>
          <w:rFonts w:hint="eastAsia" w:ascii="宋体" w:hAnsi="宋体" w:cs="宋体"/>
          <w:color w:val="auto"/>
          <w:sz w:val="24"/>
          <w:highlight w:val="none"/>
        </w:rPr>
        <w:t>）成品保护的保证措施；</w:t>
      </w:r>
    </w:p>
    <w:p>
      <w:pPr>
        <w:spacing w:line="360" w:lineRule="auto"/>
        <w:rPr>
          <w:rFonts w:ascii="宋体" w:hAnsi="宋体" w:cs="宋体"/>
          <w:color w:val="auto"/>
          <w:sz w:val="24"/>
          <w:highlight w:val="none"/>
        </w:rPr>
      </w:pPr>
      <w:r>
        <w:rPr>
          <w:rFonts w:hint="eastAsia" w:ascii="宋体" w:hAnsi="宋体" w:cs="宋体"/>
          <w:color w:val="auto"/>
          <w:sz w:val="24"/>
          <w:highlight w:val="none"/>
        </w:rPr>
        <w:t>（1</w:t>
      </w:r>
      <w:r>
        <w:rPr>
          <w:rFonts w:hint="eastAsia" w:ascii="宋体" w:hAnsi="宋体" w:cs="宋体"/>
          <w:color w:val="auto"/>
          <w:sz w:val="24"/>
          <w:highlight w:val="none"/>
          <w:lang w:val="en-US" w:eastAsia="zh-CN"/>
        </w:rPr>
        <w:t>7</w:t>
      </w:r>
      <w:r>
        <w:rPr>
          <w:rFonts w:hint="eastAsia" w:ascii="宋体" w:hAnsi="宋体" w:cs="宋体"/>
          <w:color w:val="auto"/>
          <w:sz w:val="24"/>
          <w:highlight w:val="none"/>
        </w:rPr>
        <w:t>）管理协调；</w:t>
      </w:r>
    </w:p>
    <w:p>
      <w:pPr>
        <w:spacing w:line="360" w:lineRule="auto"/>
        <w:rPr>
          <w:rFonts w:hint="eastAsia" w:ascii="宋体" w:hAnsi="宋体" w:eastAsia="宋体" w:cs="宋体"/>
          <w:color w:val="auto"/>
          <w:sz w:val="24"/>
          <w:highlight w:val="none"/>
          <w:lang w:eastAsia="zh-CN"/>
        </w:rPr>
      </w:pPr>
      <w:r>
        <w:rPr>
          <w:rFonts w:hint="eastAsia" w:ascii="宋体" w:hAnsi="宋体" w:cs="宋体"/>
          <w:color w:val="auto"/>
          <w:sz w:val="24"/>
          <w:highlight w:val="none"/>
        </w:rPr>
        <w:t>（1</w:t>
      </w:r>
      <w:r>
        <w:rPr>
          <w:rFonts w:hint="eastAsia" w:ascii="宋体" w:hAnsi="宋体" w:cs="宋体"/>
          <w:color w:val="auto"/>
          <w:sz w:val="24"/>
          <w:highlight w:val="none"/>
          <w:lang w:val="en-US" w:eastAsia="zh-CN"/>
        </w:rPr>
        <w:t>8</w:t>
      </w:r>
      <w:r>
        <w:rPr>
          <w:rFonts w:hint="eastAsia" w:ascii="宋体" w:hAnsi="宋体" w:cs="宋体"/>
          <w:color w:val="auto"/>
          <w:sz w:val="24"/>
          <w:highlight w:val="none"/>
        </w:rPr>
        <w:t>）质保期</w:t>
      </w:r>
      <w:r>
        <w:rPr>
          <w:rFonts w:hint="eastAsia" w:ascii="宋体" w:hAnsi="宋体" w:cs="宋体"/>
          <w:color w:val="auto"/>
          <w:sz w:val="24"/>
          <w:highlight w:val="none"/>
          <w:lang w:eastAsia="zh-CN"/>
        </w:rPr>
        <w:t>；</w:t>
      </w:r>
    </w:p>
    <w:p>
      <w:pPr>
        <w:spacing w:line="360" w:lineRule="auto"/>
        <w:rPr>
          <w:rFonts w:ascii="宋体" w:hAnsi="宋体" w:cs="宋体"/>
          <w:color w:val="auto"/>
          <w:sz w:val="24"/>
          <w:highlight w:val="none"/>
        </w:rPr>
      </w:pPr>
      <w:r>
        <w:rPr>
          <w:rFonts w:hint="eastAsia" w:ascii="宋体" w:hAnsi="宋体" w:cs="宋体"/>
          <w:color w:val="auto"/>
          <w:sz w:val="24"/>
          <w:highlight w:val="none"/>
        </w:rPr>
        <w:t>（</w:t>
      </w:r>
      <w:r>
        <w:rPr>
          <w:rFonts w:hint="eastAsia" w:ascii="宋体" w:hAnsi="宋体" w:cs="宋体"/>
          <w:color w:val="auto"/>
          <w:sz w:val="24"/>
          <w:highlight w:val="none"/>
          <w:lang w:val="en-US" w:eastAsia="zh-CN"/>
        </w:rPr>
        <w:t>19</w:t>
      </w:r>
      <w:r>
        <w:rPr>
          <w:rFonts w:hint="eastAsia" w:ascii="宋体" w:hAnsi="宋体" w:cs="宋体"/>
          <w:color w:val="auto"/>
          <w:sz w:val="24"/>
          <w:highlight w:val="none"/>
        </w:rPr>
        <w:t>）认证证书；</w:t>
      </w:r>
    </w:p>
    <w:p>
      <w:pPr>
        <w:spacing w:line="360" w:lineRule="auto"/>
        <w:rPr>
          <w:rFonts w:ascii="宋体" w:hAnsi="宋体" w:cs="宋体"/>
          <w:color w:val="auto"/>
          <w:sz w:val="24"/>
          <w:highlight w:val="none"/>
        </w:rPr>
      </w:pPr>
      <w:r>
        <w:rPr>
          <w:rFonts w:hint="eastAsia" w:ascii="宋体" w:hAnsi="宋体" w:cs="宋体"/>
          <w:color w:val="auto"/>
          <w:sz w:val="24"/>
          <w:highlight w:val="none"/>
        </w:rPr>
        <w:t>（2</w:t>
      </w:r>
      <w:r>
        <w:rPr>
          <w:rFonts w:hint="eastAsia" w:ascii="宋体" w:hAnsi="宋体" w:cs="宋体"/>
          <w:color w:val="auto"/>
          <w:sz w:val="24"/>
          <w:highlight w:val="none"/>
          <w:lang w:val="en-US" w:eastAsia="zh-CN"/>
        </w:rPr>
        <w:t>0</w:t>
      </w:r>
      <w:r>
        <w:rPr>
          <w:rFonts w:hint="eastAsia" w:ascii="宋体" w:hAnsi="宋体" w:cs="宋体"/>
          <w:color w:val="auto"/>
          <w:sz w:val="24"/>
          <w:highlight w:val="none"/>
        </w:rPr>
        <w:t>）同类项目业绩</w:t>
      </w:r>
      <w:r>
        <w:rPr>
          <w:rFonts w:hint="eastAsia" w:ascii="宋体" w:hAnsi="宋体"/>
          <w:bCs/>
          <w:color w:val="auto"/>
          <w:sz w:val="24"/>
          <w:highlight w:val="none"/>
        </w:rPr>
        <w:t>（格式见附件）</w:t>
      </w:r>
      <w:r>
        <w:rPr>
          <w:rFonts w:hint="eastAsia" w:ascii="宋体" w:hAnsi="宋体" w:cs="宋体"/>
          <w:color w:val="auto"/>
          <w:sz w:val="24"/>
          <w:highlight w:val="none"/>
        </w:rPr>
        <w:t>；</w:t>
      </w:r>
    </w:p>
    <w:p>
      <w:pPr>
        <w:spacing w:line="360" w:lineRule="auto"/>
        <w:rPr>
          <w:rFonts w:ascii="宋体" w:hAnsi="宋体" w:cs="宋体"/>
          <w:color w:val="auto"/>
          <w:sz w:val="24"/>
          <w:highlight w:val="none"/>
        </w:rPr>
      </w:pPr>
      <w:r>
        <w:rPr>
          <w:rFonts w:hint="eastAsia" w:ascii="宋体" w:hAnsi="宋体" w:cs="宋体"/>
          <w:color w:val="auto"/>
          <w:sz w:val="24"/>
          <w:highlight w:val="none"/>
        </w:rPr>
        <w:t>（2</w:t>
      </w:r>
      <w:r>
        <w:rPr>
          <w:rFonts w:hint="eastAsia" w:ascii="宋体" w:hAnsi="宋体" w:cs="宋体"/>
          <w:color w:val="auto"/>
          <w:sz w:val="24"/>
          <w:highlight w:val="none"/>
          <w:lang w:val="en-US" w:eastAsia="zh-CN"/>
        </w:rPr>
        <w:t>1</w:t>
      </w:r>
      <w:r>
        <w:rPr>
          <w:rFonts w:hint="eastAsia" w:ascii="宋体" w:hAnsi="宋体" w:cs="宋体"/>
          <w:color w:val="auto"/>
          <w:sz w:val="24"/>
          <w:highlight w:val="none"/>
        </w:rPr>
        <w:t>）售后保障；</w:t>
      </w:r>
    </w:p>
    <w:p>
      <w:pPr>
        <w:spacing w:line="360" w:lineRule="auto"/>
        <w:rPr>
          <w:rFonts w:ascii="宋体" w:hAnsi="宋体" w:cs="宋体"/>
          <w:color w:val="auto"/>
          <w:sz w:val="24"/>
          <w:highlight w:val="none"/>
        </w:rPr>
      </w:pPr>
      <w:r>
        <w:rPr>
          <w:rFonts w:hint="eastAsia" w:ascii="宋体" w:hAnsi="宋体" w:cs="宋体"/>
          <w:color w:val="auto"/>
          <w:sz w:val="24"/>
          <w:highlight w:val="none"/>
        </w:rPr>
        <w:t>（2</w:t>
      </w:r>
      <w:r>
        <w:rPr>
          <w:rFonts w:hint="eastAsia" w:ascii="宋体" w:hAnsi="宋体" w:cs="宋体"/>
          <w:color w:val="auto"/>
          <w:sz w:val="24"/>
          <w:highlight w:val="none"/>
          <w:lang w:val="en-US" w:eastAsia="zh-CN"/>
        </w:rPr>
        <w:t>2</w:t>
      </w:r>
      <w:r>
        <w:rPr>
          <w:rFonts w:hint="eastAsia" w:ascii="宋体" w:hAnsi="宋体" w:cs="宋体"/>
          <w:color w:val="auto"/>
          <w:sz w:val="24"/>
          <w:highlight w:val="none"/>
        </w:rPr>
        <w:t>）合理化建议；</w:t>
      </w:r>
    </w:p>
    <w:p>
      <w:pPr>
        <w:spacing w:line="360" w:lineRule="auto"/>
        <w:rPr>
          <w:rFonts w:hint="eastAsia" w:ascii="宋体" w:hAnsi="宋体" w:cs="宋体"/>
          <w:color w:val="auto"/>
          <w:sz w:val="24"/>
          <w:highlight w:val="none"/>
        </w:rPr>
      </w:pPr>
      <w:r>
        <w:rPr>
          <w:rFonts w:hint="eastAsia" w:ascii="宋体" w:hAnsi="宋体" w:cs="宋体"/>
          <w:color w:val="auto"/>
          <w:sz w:val="24"/>
          <w:highlight w:val="none"/>
        </w:rPr>
        <w:t>（2</w:t>
      </w:r>
      <w:r>
        <w:rPr>
          <w:rFonts w:hint="eastAsia" w:ascii="宋体" w:hAnsi="宋体" w:cs="宋体"/>
          <w:color w:val="auto"/>
          <w:sz w:val="24"/>
          <w:highlight w:val="none"/>
          <w:lang w:val="en-US" w:eastAsia="zh-CN"/>
        </w:rPr>
        <w:t>3</w:t>
      </w:r>
      <w:r>
        <w:rPr>
          <w:rFonts w:hint="eastAsia" w:ascii="宋体" w:hAnsi="宋体" w:cs="宋体"/>
          <w:color w:val="auto"/>
          <w:sz w:val="24"/>
          <w:highlight w:val="none"/>
        </w:rPr>
        <w:t>）安全生产及其他承诺函（格式见附件）；</w:t>
      </w:r>
    </w:p>
    <w:p>
      <w:pPr>
        <w:spacing w:line="360" w:lineRule="auto"/>
        <w:rPr>
          <w:rFonts w:ascii="宋体" w:hAnsi="宋体"/>
          <w:bCs/>
          <w:color w:val="auto"/>
          <w:sz w:val="24"/>
          <w:highlight w:val="none"/>
        </w:rPr>
      </w:pPr>
      <w:r>
        <w:rPr>
          <w:rFonts w:hint="eastAsia" w:ascii="宋体" w:hAnsi="宋体"/>
          <w:bCs/>
          <w:color w:val="auto"/>
          <w:sz w:val="24"/>
          <w:highlight w:val="none"/>
        </w:rPr>
        <w:t>（2</w:t>
      </w:r>
      <w:r>
        <w:rPr>
          <w:rFonts w:hint="eastAsia" w:ascii="宋体" w:hAnsi="宋体"/>
          <w:bCs/>
          <w:color w:val="auto"/>
          <w:sz w:val="24"/>
          <w:highlight w:val="none"/>
          <w:lang w:val="en-US" w:eastAsia="zh-CN"/>
        </w:rPr>
        <w:t>4</w:t>
      </w:r>
      <w:r>
        <w:rPr>
          <w:rFonts w:hint="eastAsia" w:ascii="宋体" w:hAnsi="宋体"/>
          <w:bCs/>
          <w:color w:val="auto"/>
          <w:sz w:val="24"/>
          <w:highlight w:val="none"/>
        </w:rPr>
        <w:t>）服务费承诺书（格式见附件）；</w:t>
      </w:r>
    </w:p>
    <w:p>
      <w:pPr>
        <w:spacing w:line="360" w:lineRule="auto"/>
        <w:rPr>
          <w:rFonts w:ascii="宋体" w:hAnsi="宋体"/>
          <w:bCs/>
          <w:color w:val="auto"/>
          <w:sz w:val="24"/>
          <w:highlight w:val="none"/>
        </w:rPr>
      </w:pPr>
      <w:r>
        <w:rPr>
          <w:rFonts w:hint="eastAsia" w:ascii="宋体" w:hAnsi="宋体"/>
          <w:bCs/>
          <w:color w:val="auto"/>
          <w:sz w:val="24"/>
          <w:highlight w:val="none"/>
        </w:rPr>
        <w:t>（2</w:t>
      </w:r>
      <w:r>
        <w:rPr>
          <w:rFonts w:hint="eastAsia" w:ascii="宋体" w:hAnsi="宋体"/>
          <w:bCs/>
          <w:color w:val="auto"/>
          <w:sz w:val="24"/>
          <w:highlight w:val="none"/>
          <w:lang w:val="en-US" w:eastAsia="zh-CN"/>
        </w:rPr>
        <w:t>5</w:t>
      </w:r>
      <w:r>
        <w:rPr>
          <w:rFonts w:hint="eastAsia" w:ascii="宋体" w:hAnsi="宋体"/>
          <w:bCs/>
          <w:color w:val="auto"/>
          <w:sz w:val="24"/>
          <w:highlight w:val="none"/>
        </w:rPr>
        <w:t>）</w:t>
      </w:r>
      <w:r>
        <w:rPr>
          <w:rFonts w:hint="eastAsia" w:ascii="宋体" w:hAnsi="宋体" w:cs="宋体"/>
          <w:color w:val="auto"/>
          <w:sz w:val="24"/>
          <w:highlight w:val="none"/>
        </w:rPr>
        <w:t>供应商</w:t>
      </w:r>
      <w:r>
        <w:rPr>
          <w:rFonts w:hint="eastAsia" w:ascii="宋体" w:hAnsi="宋体"/>
          <w:bCs/>
          <w:color w:val="auto"/>
          <w:sz w:val="24"/>
          <w:highlight w:val="none"/>
        </w:rPr>
        <w:t>需要说明的其他文件和说明。</w:t>
      </w:r>
    </w:p>
    <w:p>
      <w:pPr>
        <w:spacing w:line="430" w:lineRule="exact"/>
        <w:rPr>
          <w:rFonts w:ascii="宋体" w:hAnsi="宋体" w:cs="宋体"/>
          <w:b/>
          <w:color w:val="auto"/>
          <w:sz w:val="24"/>
          <w:highlight w:val="none"/>
        </w:rPr>
      </w:pPr>
      <w:r>
        <w:rPr>
          <w:rFonts w:hint="eastAsia" w:ascii="宋体" w:hAnsi="宋体" w:cs="宋体"/>
          <w:b/>
          <w:color w:val="auto"/>
          <w:sz w:val="24"/>
          <w:highlight w:val="none"/>
          <w:lang w:val="en-US" w:eastAsia="zh-CN"/>
        </w:rPr>
        <w:t>4</w:t>
      </w:r>
      <w:r>
        <w:rPr>
          <w:rFonts w:hint="eastAsia" w:ascii="宋体" w:hAnsi="宋体" w:cs="宋体"/>
          <w:b/>
          <w:color w:val="auto"/>
          <w:sz w:val="24"/>
          <w:highlight w:val="none"/>
        </w:rPr>
        <w:t>.报价文件</w:t>
      </w:r>
    </w:p>
    <w:p>
      <w:pPr>
        <w:spacing w:line="430" w:lineRule="exact"/>
        <w:rPr>
          <w:rFonts w:ascii="宋体" w:hAnsi="宋体" w:cs="宋体"/>
          <w:color w:val="auto"/>
          <w:sz w:val="24"/>
          <w:highlight w:val="none"/>
        </w:rPr>
      </w:pPr>
      <w:r>
        <w:rPr>
          <w:rFonts w:hint="eastAsia" w:ascii="宋体" w:hAnsi="宋体" w:cs="宋体"/>
          <w:color w:val="auto"/>
          <w:sz w:val="24"/>
          <w:highlight w:val="none"/>
        </w:rPr>
        <w:t xml:space="preserve">（1）磋商响应函（格式见附件）； </w:t>
      </w:r>
    </w:p>
    <w:p>
      <w:pPr>
        <w:spacing w:line="430" w:lineRule="exact"/>
        <w:rPr>
          <w:rFonts w:ascii="宋体" w:hAnsi="宋体" w:cs="宋体"/>
          <w:color w:val="auto"/>
          <w:sz w:val="24"/>
          <w:highlight w:val="none"/>
        </w:rPr>
      </w:pPr>
      <w:r>
        <w:rPr>
          <w:rFonts w:hint="eastAsia" w:ascii="宋体" w:hAnsi="宋体" w:cs="宋体"/>
          <w:color w:val="auto"/>
          <w:sz w:val="24"/>
          <w:highlight w:val="none"/>
        </w:rPr>
        <w:t xml:space="preserve">（2）初次报价表（格式见附件）； </w:t>
      </w:r>
    </w:p>
    <w:p>
      <w:pPr>
        <w:spacing w:line="430" w:lineRule="exact"/>
        <w:rPr>
          <w:rFonts w:ascii="宋体" w:hAnsi="宋体" w:cs="宋体"/>
          <w:b/>
          <w:bCs/>
          <w:color w:val="auto"/>
          <w:sz w:val="24"/>
          <w:highlight w:val="none"/>
        </w:rPr>
      </w:pPr>
      <w:r>
        <w:rPr>
          <w:rFonts w:hint="eastAsia" w:ascii="宋体" w:hAnsi="宋体" w:cs="宋体"/>
          <w:color w:val="auto"/>
          <w:sz w:val="24"/>
          <w:highlight w:val="none"/>
        </w:rPr>
        <w:t>（3）供应商针对报价需要说明的其他文件和说明（格式自拟）；</w:t>
      </w:r>
    </w:p>
    <w:p>
      <w:pPr>
        <w:pStyle w:val="6"/>
        <w:keepNext w:val="0"/>
        <w:keepLines w:val="0"/>
        <w:pageBreakBefore/>
        <w:spacing w:line="360" w:lineRule="auto"/>
        <w:rPr>
          <w:rFonts w:ascii="宋体" w:hAnsi="宋体" w:eastAsia="宋体" w:cs="宋体"/>
          <w:b w:val="0"/>
          <w:color w:val="auto"/>
          <w:sz w:val="24"/>
          <w:szCs w:val="24"/>
          <w:highlight w:val="none"/>
        </w:rPr>
      </w:pPr>
      <w:bookmarkStart w:id="48" w:name="_Toc23972"/>
      <w:r>
        <w:rPr>
          <w:rFonts w:hint="eastAsia" w:ascii="宋体" w:hAnsi="宋体" w:eastAsia="宋体" w:cs="宋体"/>
          <w:b w:val="0"/>
          <w:color w:val="auto"/>
          <w:sz w:val="24"/>
          <w:szCs w:val="24"/>
          <w:highlight w:val="none"/>
        </w:rPr>
        <w:t>附件一：磋商声明书</w:t>
      </w:r>
      <w:bookmarkEnd w:id="48"/>
    </w:p>
    <w:p>
      <w:pPr>
        <w:snapToGrid w:val="0"/>
        <w:spacing w:beforeLines="50" w:after="50" w:line="276" w:lineRule="auto"/>
        <w:jc w:val="center"/>
        <w:rPr>
          <w:rFonts w:ascii="宋体" w:hAnsi="宋体" w:cs="宋体"/>
          <w:b/>
          <w:color w:val="auto"/>
          <w:sz w:val="24"/>
          <w:highlight w:val="none"/>
        </w:rPr>
      </w:pPr>
      <w:r>
        <w:rPr>
          <w:rFonts w:hint="eastAsia" w:ascii="宋体" w:hAnsi="宋体" w:cs="宋体"/>
          <w:b/>
          <w:color w:val="auto"/>
          <w:sz w:val="24"/>
          <w:highlight w:val="none"/>
        </w:rPr>
        <w:t>磋商声明书</w:t>
      </w:r>
    </w:p>
    <w:p>
      <w:pPr>
        <w:snapToGrid w:val="0"/>
        <w:spacing w:beforeLines="50" w:after="50" w:line="276" w:lineRule="auto"/>
        <w:rPr>
          <w:rFonts w:ascii="宋体" w:hAnsi="宋体" w:cs="宋体"/>
          <w:color w:val="auto"/>
          <w:sz w:val="24"/>
          <w:highlight w:val="none"/>
        </w:rPr>
      </w:pPr>
      <w:r>
        <w:rPr>
          <w:rFonts w:hint="eastAsia" w:ascii="宋体" w:hAnsi="宋体" w:cs="宋体"/>
          <w:color w:val="auto"/>
          <w:sz w:val="24"/>
          <w:highlight w:val="none"/>
        </w:rPr>
        <w:t>致：</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（招标采购单位名称）：</w:t>
      </w:r>
    </w:p>
    <w:p>
      <w:pPr>
        <w:snapToGrid w:val="0"/>
        <w:spacing w:beforeLines="50" w:after="50" w:line="276" w:lineRule="auto"/>
        <w:ind w:firstLine="720" w:firstLineChars="300"/>
        <w:rPr>
          <w:rFonts w:ascii="宋体" w:hAnsi="宋体" w:cs="宋体"/>
          <w:color w:val="auto"/>
          <w:sz w:val="24"/>
          <w:highlight w:val="none"/>
        </w:rPr>
      </w:pP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（供应商名称）系中华人民共和国合法企业，经营地址</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w:t>
      </w:r>
    </w:p>
    <w:p>
      <w:pPr>
        <w:snapToGrid w:val="0"/>
        <w:spacing w:beforeLines="50" w:after="50" w:line="276" w:lineRule="auto"/>
        <w:ind w:firstLine="645"/>
        <w:rPr>
          <w:rFonts w:ascii="宋体" w:hAnsi="宋体" w:cs="宋体"/>
          <w:color w:val="auto"/>
          <w:sz w:val="24"/>
          <w:highlight w:val="none"/>
        </w:rPr>
      </w:pPr>
      <w:r>
        <w:rPr>
          <w:rFonts w:hint="eastAsia" w:ascii="宋体" w:hAnsi="宋体" w:cs="宋体"/>
          <w:color w:val="auto"/>
          <w:sz w:val="24"/>
          <w:highlight w:val="none"/>
        </w:rPr>
        <w:t>我</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（姓名）系</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 xml:space="preserve">（供应商名称）的法定代表人，我方愿意参加贵方组织的 </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 xml:space="preserve"> 项目的磋商，为便于贵方公正、择优地确定中标人及其磋商服务，我方就本次磋商有关事项郑重声明如下：</w:t>
      </w:r>
    </w:p>
    <w:p>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1.我方向贵方提交的所有磋商响应文件、资料都是准确的和真实的。若有违背，我公司愿为由此而产生的一切后果负责。</w:t>
      </w:r>
    </w:p>
    <w:p>
      <w:pPr>
        <w:snapToGrid w:val="0"/>
        <w:spacing w:beforeLines="50" w:line="276" w:lineRule="auto"/>
        <w:ind w:firstLine="480" w:firstLineChars="200"/>
        <w:rPr>
          <w:rFonts w:ascii="宋体" w:hAnsi="宋体" w:cs="宋体"/>
          <w:color w:val="auto"/>
          <w:sz w:val="24"/>
          <w:highlight w:val="none"/>
          <w:u w:val="single"/>
        </w:rPr>
      </w:pPr>
      <w:r>
        <w:rPr>
          <w:rFonts w:hint="eastAsia" w:ascii="宋体" w:hAnsi="宋体" w:cs="宋体"/>
          <w:color w:val="auto"/>
          <w:sz w:val="24"/>
          <w:highlight w:val="none"/>
        </w:rPr>
        <w:t>2.我方不是采购人的附属机构；在获知本项目采购信息后，与采购人聘请的为此项目提供咨询服务的公司及其附属机构没有任何联系。</w:t>
      </w:r>
    </w:p>
    <w:p>
      <w:pPr>
        <w:snapToGrid w:val="0"/>
        <w:spacing w:beforeLines="50" w:line="276" w:lineRule="auto"/>
        <w:ind w:firstLine="480" w:firstLineChars="200"/>
        <w:rPr>
          <w:rFonts w:ascii="宋体" w:hAnsi="宋体" w:cs="宋体"/>
          <w:color w:val="auto"/>
          <w:sz w:val="24"/>
          <w:highlight w:val="none"/>
        </w:rPr>
      </w:pPr>
      <w:r>
        <w:rPr>
          <w:rFonts w:hint="eastAsia" w:ascii="宋体" w:hAnsi="宋体" w:cs="宋体"/>
          <w:color w:val="auto"/>
          <w:sz w:val="24"/>
          <w:highlight w:val="none"/>
        </w:rPr>
        <w:t>3. 我方诚意提请贵方关注：近期有</w:t>
      </w:r>
      <w:r>
        <w:rPr>
          <w:rFonts w:hint="eastAsia" w:ascii="宋体" w:hAnsi="宋体" w:cs="宋体"/>
          <w:color w:val="auto"/>
          <w:sz w:val="24"/>
          <w:highlight w:val="none"/>
          <w:u w:val="single"/>
        </w:rPr>
        <w:t xml:space="preserve">                   （采购内容）</w:t>
      </w:r>
      <w:r>
        <w:rPr>
          <w:rFonts w:hint="eastAsia" w:ascii="宋体" w:hAnsi="宋体" w:cs="宋体"/>
          <w:color w:val="auto"/>
          <w:sz w:val="24"/>
          <w:highlight w:val="none"/>
        </w:rPr>
        <w:t>等方面的重大决策和事项有：</w:t>
      </w:r>
    </w:p>
    <w:p>
      <w:pPr>
        <w:snapToGrid w:val="0"/>
        <w:spacing w:beforeLines="50" w:line="276" w:lineRule="auto"/>
        <w:ind w:firstLine="480" w:firstLineChars="200"/>
        <w:rPr>
          <w:rFonts w:ascii="宋体" w:hAnsi="宋体" w:cs="宋体"/>
          <w:color w:val="auto"/>
          <w:sz w:val="24"/>
          <w:highlight w:val="none"/>
          <w:u w:val="single"/>
        </w:rPr>
      </w:pPr>
      <w:r>
        <w:rPr>
          <w:rFonts w:hint="eastAsia" w:ascii="宋体" w:hAnsi="宋体" w:cs="宋体"/>
          <w:color w:val="auto"/>
          <w:sz w:val="24"/>
          <w:highlight w:val="none"/>
          <w:u w:val="single"/>
        </w:rPr>
        <w:t>　　　　　　　　　　　　　　　　　　　　　　　　　　　</w:t>
      </w:r>
    </w:p>
    <w:p>
      <w:pPr>
        <w:snapToGrid w:val="0"/>
        <w:spacing w:beforeLines="50" w:line="276" w:lineRule="auto"/>
        <w:ind w:firstLine="480" w:firstLineChars="200"/>
        <w:rPr>
          <w:rFonts w:ascii="宋体" w:hAnsi="宋体" w:cs="宋体"/>
          <w:color w:val="auto"/>
          <w:sz w:val="24"/>
          <w:highlight w:val="none"/>
        </w:rPr>
      </w:pPr>
      <w:r>
        <w:rPr>
          <w:rFonts w:hint="eastAsia" w:ascii="宋体" w:hAnsi="宋体" w:cs="宋体"/>
          <w:color w:val="auto"/>
          <w:sz w:val="24"/>
          <w:highlight w:val="none"/>
          <w:u w:val="single"/>
        </w:rPr>
        <w:t>　　　　　　　　　　　　　　　　　　　　　　　　　　　</w:t>
      </w:r>
    </w:p>
    <w:p>
      <w:pPr>
        <w:pStyle w:val="14"/>
        <w:snapToGrid w:val="0"/>
        <w:spacing w:line="276" w:lineRule="auto"/>
        <w:rPr>
          <w:rFonts w:ascii="宋体" w:hAnsi="宋体" w:cs="宋体"/>
          <w:color w:val="auto"/>
          <w:sz w:val="24"/>
          <w:highlight w:val="none"/>
        </w:rPr>
      </w:pPr>
      <w:r>
        <w:rPr>
          <w:rFonts w:hint="eastAsia" w:ascii="宋体" w:hAnsi="宋体" w:cs="宋体"/>
          <w:color w:val="auto"/>
          <w:sz w:val="24"/>
          <w:highlight w:val="none"/>
        </w:rPr>
        <w:t>4.我方及由本人担任法定代表人的其他机构最近三年内被通报或者被处罚的违法行为有：</w:t>
      </w:r>
    </w:p>
    <w:p>
      <w:pPr>
        <w:snapToGrid w:val="0"/>
        <w:spacing w:beforeLines="50" w:line="276" w:lineRule="auto"/>
        <w:ind w:firstLine="480" w:firstLineChars="200"/>
        <w:rPr>
          <w:rFonts w:ascii="宋体" w:hAnsi="宋体" w:cs="宋体"/>
          <w:color w:val="auto"/>
          <w:sz w:val="24"/>
          <w:highlight w:val="none"/>
          <w:u w:val="single"/>
        </w:rPr>
      </w:pPr>
      <w:r>
        <w:rPr>
          <w:rFonts w:hint="eastAsia" w:ascii="宋体" w:hAnsi="宋体" w:cs="宋体"/>
          <w:color w:val="auto"/>
          <w:sz w:val="24"/>
          <w:highlight w:val="none"/>
          <w:u w:val="single"/>
        </w:rPr>
        <w:t>　　　　　　　　　　　　　　　　　　　　　　　　　　　</w:t>
      </w:r>
    </w:p>
    <w:p>
      <w:pPr>
        <w:snapToGrid w:val="0"/>
        <w:spacing w:beforeLines="50" w:line="276" w:lineRule="auto"/>
        <w:ind w:firstLine="480" w:firstLineChars="200"/>
        <w:rPr>
          <w:rFonts w:ascii="宋体" w:hAnsi="宋体" w:cs="宋体"/>
          <w:color w:val="auto"/>
          <w:sz w:val="24"/>
          <w:highlight w:val="none"/>
          <w:u w:val="single"/>
        </w:rPr>
      </w:pPr>
      <w:r>
        <w:rPr>
          <w:rFonts w:hint="eastAsia" w:ascii="宋体" w:hAnsi="宋体" w:cs="宋体"/>
          <w:color w:val="auto"/>
          <w:sz w:val="24"/>
          <w:highlight w:val="none"/>
          <w:u w:val="single"/>
        </w:rPr>
        <w:t>　　　　　　　　　　　　　　　　　　　　　　　　　　　</w:t>
      </w:r>
    </w:p>
    <w:p>
      <w:pPr>
        <w:snapToGrid w:val="0"/>
        <w:spacing w:line="276" w:lineRule="auto"/>
        <w:ind w:firstLine="480" w:firstLineChars="200"/>
        <w:rPr>
          <w:rFonts w:ascii="宋体" w:hAnsi="宋体" w:cs="宋体"/>
          <w:color w:val="auto"/>
          <w:sz w:val="24"/>
          <w:highlight w:val="none"/>
        </w:rPr>
      </w:pPr>
      <w:r>
        <w:rPr>
          <w:rFonts w:hint="eastAsia" w:ascii="宋体" w:hAnsi="宋体" w:cs="宋体"/>
          <w:color w:val="auto"/>
          <w:sz w:val="24"/>
          <w:highlight w:val="none"/>
        </w:rPr>
        <w:t>5.以上事项如有虚假或隐瞒，我方愿意承担一切后果，并不再寻求任何旨在减轻或免除法律责任的辩解。</w:t>
      </w:r>
    </w:p>
    <w:p>
      <w:pPr>
        <w:pStyle w:val="20"/>
        <w:tabs>
          <w:tab w:val="left" w:pos="939"/>
        </w:tabs>
        <w:snapToGrid w:val="0"/>
        <w:spacing w:line="276" w:lineRule="auto"/>
        <w:ind w:left="773" w:leftChars="150" w:hanging="458" w:hangingChars="191"/>
        <w:rPr>
          <w:rFonts w:ascii="宋体" w:hAnsi="宋体" w:cs="宋体"/>
          <w:color w:val="auto"/>
          <w:sz w:val="24"/>
          <w:highlight w:val="none"/>
        </w:rPr>
      </w:pPr>
    </w:p>
    <w:p>
      <w:pPr>
        <w:pStyle w:val="116"/>
        <w:snapToGrid w:val="0"/>
        <w:spacing w:beforeLines="50" w:line="276" w:lineRule="auto"/>
        <w:ind w:firstLine="200"/>
        <w:rPr>
          <w:rFonts w:ascii="宋体" w:hAnsi="宋体" w:cs="宋体"/>
          <w:color w:val="auto"/>
          <w:szCs w:val="24"/>
          <w:highlight w:val="none"/>
        </w:rPr>
      </w:pPr>
    </w:p>
    <w:p>
      <w:pPr>
        <w:snapToGrid w:val="0"/>
        <w:spacing w:beforeLines="50" w:line="276" w:lineRule="auto"/>
        <w:ind w:firstLine="319" w:firstLineChars="133"/>
        <w:rPr>
          <w:rFonts w:ascii="宋体" w:hAnsi="宋体" w:cs="宋体"/>
          <w:color w:val="auto"/>
          <w:sz w:val="24"/>
          <w:highlight w:val="none"/>
          <w:u w:val="single"/>
        </w:rPr>
      </w:pPr>
      <w:r>
        <w:rPr>
          <w:rFonts w:hint="eastAsia" w:ascii="宋体" w:hAnsi="宋体" w:cs="宋体"/>
          <w:color w:val="auto"/>
          <w:sz w:val="24"/>
          <w:highlight w:val="none"/>
        </w:rPr>
        <w:t>法定代表人或委托代理人签字：</w:t>
      </w:r>
      <w:r>
        <w:rPr>
          <w:rFonts w:hint="eastAsia" w:ascii="宋体" w:hAnsi="宋体" w:cs="宋体"/>
          <w:color w:val="auto"/>
          <w:sz w:val="24"/>
          <w:highlight w:val="none"/>
          <w:u w:val="single"/>
        </w:rPr>
        <w:t xml:space="preserve">             </w:t>
      </w:r>
    </w:p>
    <w:p>
      <w:pPr>
        <w:snapToGrid w:val="0"/>
        <w:spacing w:beforeLines="50" w:after="50" w:line="276" w:lineRule="auto"/>
        <w:ind w:firstLine="360" w:firstLineChars="150"/>
        <w:rPr>
          <w:rFonts w:ascii="宋体" w:hAnsi="宋体" w:cs="宋体"/>
          <w:color w:val="auto"/>
          <w:sz w:val="24"/>
          <w:highlight w:val="none"/>
        </w:rPr>
      </w:pPr>
      <w:r>
        <w:rPr>
          <w:rFonts w:hint="eastAsia" w:ascii="宋体" w:hAnsi="宋体" w:cs="宋体"/>
          <w:color w:val="auto"/>
          <w:sz w:val="24"/>
          <w:highlight w:val="none"/>
        </w:rPr>
        <w:t>供应商公章：</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 xml:space="preserve">                      </w:t>
      </w:r>
    </w:p>
    <w:p>
      <w:pPr>
        <w:snapToGrid w:val="0"/>
        <w:spacing w:beforeLines="50" w:after="50" w:line="276" w:lineRule="auto"/>
        <w:ind w:firstLine="6240" w:firstLineChars="2600"/>
        <w:rPr>
          <w:rFonts w:ascii="宋体" w:hAnsi="宋体" w:cs="宋体"/>
          <w:color w:val="auto"/>
          <w:sz w:val="24"/>
          <w:highlight w:val="none"/>
        </w:rPr>
      </w:pPr>
      <w:r>
        <w:rPr>
          <w:rFonts w:hint="eastAsia" w:ascii="宋体" w:hAnsi="宋体" w:cs="宋体"/>
          <w:color w:val="auto"/>
          <w:sz w:val="24"/>
          <w:highlight w:val="none"/>
        </w:rPr>
        <w:t>年    月    日</w:t>
      </w:r>
    </w:p>
    <w:p>
      <w:pPr>
        <w:snapToGrid w:val="0"/>
        <w:spacing w:beforeLines="50" w:after="50" w:line="276" w:lineRule="auto"/>
        <w:ind w:firstLine="6240" w:firstLineChars="2600"/>
        <w:rPr>
          <w:rFonts w:ascii="宋体" w:hAnsi="宋体" w:cs="宋体"/>
          <w:color w:val="auto"/>
          <w:sz w:val="24"/>
          <w:highlight w:val="none"/>
        </w:rPr>
      </w:pPr>
    </w:p>
    <w:p>
      <w:pPr>
        <w:snapToGrid w:val="0"/>
        <w:spacing w:beforeLines="50" w:after="50" w:line="276" w:lineRule="auto"/>
        <w:ind w:firstLine="6240" w:firstLineChars="2600"/>
        <w:rPr>
          <w:rFonts w:ascii="宋体" w:hAnsi="宋体" w:cs="宋体"/>
          <w:color w:val="auto"/>
          <w:sz w:val="24"/>
          <w:highlight w:val="none"/>
        </w:rPr>
      </w:pPr>
    </w:p>
    <w:p>
      <w:pPr>
        <w:snapToGrid w:val="0"/>
        <w:spacing w:beforeLines="50" w:after="50" w:line="276" w:lineRule="auto"/>
        <w:ind w:firstLine="6240" w:firstLineChars="2600"/>
        <w:rPr>
          <w:rFonts w:ascii="宋体" w:hAnsi="宋体" w:cs="宋体"/>
          <w:color w:val="auto"/>
          <w:sz w:val="24"/>
          <w:highlight w:val="none"/>
        </w:rPr>
      </w:pPr>
    </w:p>
    <w:p>
      <w:pPr>
        <w:snapToGrid w:val="0"/>
        <w:spacing w:beforeLines="50" w:after="50" w:line="276" w:lineRule="auto"/>
        <w:rPr>
          <w:rFonts w:ascii="宋体" w:hAnsi="宋体" w:cs="宋体"/>
          <w:color w:val="auto"/>
          <w:sz w:val="24"/>
          <w:highlight w:val="none"/>
        </w:rPr>
      </w:pPr>
    </w:p>
    <w:p>
      <w:pPr>
        <w:pStyle w:val="6"/>
        <w:keepNext w:val="0"/>
        <w:keepLines w:val="0"/>
        <w:pageBreakBefore/>
        <w:spacing w:line="360" w:lineRule="auto"/>
        <w:rPr>
          <w:rFonts w:ascii="宋体" w:hAnsi="宋体" w:eastAsia="宋体" w:cs="宋体"/>
          <w:b w:val="0"/>
          <w:bCs w:val="0"/>
          <w:color w:val="auto"/>
          <w:sz w:val="24"/>
          <w:szCs w:val="24"/>
          <w:highlight w:val="none"/>
        </w:rPr>
      </w:pPr>
      <w:bookmarkStart w:id="49" w:name="_Toc30843"/>
      <w:bookmarkStart w:id="50" w:name="_Toc24340"/>
      <w:bookmarkStart w:id="51" w:name="_Toc7379"/>
      <w:bookmarkStart w:id="52" w:name="_Toc3669"/>
      <w:bookmarkStart w:id="53" w:name="_Toc23315"/>
      <w:bookmarkStart w:id="54" w:name="_Toc10320"/>
      <w:r>
        <w:rPr>
          <w:rFonts w:hint="eastAsia" w:ascii="宋体" w:hAnsi="宋体" w:eastAsia="宋体" w:cs="宋体"/>
          <w:b w:val="0"/>
          <w:bCs w:val="0"/>
          <w:color w:val="auto"/>
          <w:sz w:val="24"/>
          <w:szCs w:val="24"/>
          <w:highlight w:val="none"/>
        </w:rPr>
        <w:t>附件二：</w:t>
      </w:r>
      <w:bookmarkEnd w:id="49"/>
      <w:bookmarkEnd w:id="50"/>
      <w:r>
        <w:rPr>
          <w:rFonts w:hint="eastAsia" w:ascii="宋体" w:hAnsi="宋体" w:eastAsia="宋体" w:cs="宋体"/>
          <w:b w:val="0"/>
          <w:bCs w:val="0"/>
          <w:color w:val="auto"/>
          <w:sz w:val="24"/>
          <w:szCs w:val="24"/>
          <w:highlight w:val="none"/>
        </w:rPr>
        <w:t>符合参加政府采购活动应当具备的一般条件的承诺函</w:t>
      </w:r>
      <w:bookmarkEnd w:id="51"/>
      <w:bookmarkEnd w:id="52"/>
      <w:bookmarkEnd w:id="53"/>
    </w:p>
    <w:p>
      <w:pPr>
        <w:pStyle w:val="35"/>
        <w:spacing w:before="100" w:after="100" w:line="360" w:lineRule="auto"/>
        <w:jc w:val="center"/>
        <w:rPr>
          <w:color w:val="auto"/>
          <w:highlight w:val="none"/>
        </w:rPr>
      </w:pPr>
      <w:r>
        <w:rPr>
          <w:rFonts w:hint="eastAsia"/>
          <w:b/>
          <w:bCs/>
          <w:color w:val="auto"/>
          <w:sz w:val="27"/>
          <w:szCs w:val="27"/>
          <w:highlight w:val="none"/>
        </w:rPr>
        <w:t>符合参加政府采购活动应当具备的一般条件的承诺函</w:t>
      </w:r>
    </w:p>
    <w:p>
      <w:pPr>
        <w:snapToGrid w:val="0"/>
        <w:spacing w:beforeLines="50" w:after="50" w:line="276" w:lineRule="auto"/>
        <w:rPr>
          <w:rFonts w:ascii="宋体" w:hAnsi="宋体" w:cs="宋体"/>
          <w:color w:val="auto"/>
          <w:sz w:val="24"/>
          <w:highlight w:val="none"/>
        </w:rPr>
      </w:pPr>
      <w:r>
        <w:rPr>
          <w:rFonts w:hint="eastAsia" w:ascii="宋体" w:hAnsi="宋体" w:cs="宋体"/>
          <w:color w:val="auto"/>
          <w:sz w:val="24"/>
          <w:highlight w:val="none"/>
        </w:rPr>
        <w:t>致：</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（招标采购单位名称）：</w:t>
      </w:r>
    </w:p>
    <w:p>
      <w:pPr>
        <w:pStyle w:val="35"/>
        <w:spacing w:before="0" w:after="0" w:line="360" w:lineRule="auto"/>
        <w:ind w:left="480"/>
        <w:jc w:val="both"/>
        <w:rPr>
          <w:color w:val="auto"/>
          <w:kern w:val="2"/>
          <w:highlight w:val="none"/>
        </w:rPr>
      </w:pPr>
      <w:r>
        <w:rPr>
          <w:rFonts w:hint="eastAsia"/>
          <w:color w:val="auto"/>
          <w:kern w:val="2"/>
          <w:highlight w:val="none"/>
        </w:rPr>
        <w:t>我方参与</w:t>
      </w:r>
      <w:r>
        <w:rPr>
          <w:rFonts w:hint="eastAsia"/>
          <w:color w:val="auto"/>
          <w:highlight w:val="none"/>
          <w:u w:val="single"/>
        </w:rPr>
        <w:t xml:space="preserve">              </w:t>
      </w:r>
      <w:r>
        <w:rPr>
          <w:rFonts w:hint="eastAsia"/>
          <w:color w:val="auto"/>
          <w:kern w:val="2"/>
          <w:highlight w:val="none"/>
        </w:rPr>
        <w:t>项目【项目编号：</w:t>
      </w:r>
      <w:r>
        <w:rPr>
          <w:rFonts w:hint="eastAsia"/>
          <w:color w:val="auto"/>
          <w:highlight w:val="none"/>
          <w:u w:val="single"/>
        </w:rPr>
        <w:t xml:space="preserve">             </w:t>
      </w:r>
      <w:r>
        <w:rPr>
          <w:rFonts w:hint="eastAsia"/>
          <w:color w:val="auto"/>
          <w:kern w:val="2"/>
          <w:highlight w:val="none"/>
        </w:rPr>
        <w:t>】政府采购活动，郑重承诺：</w:t>
      </w:r>
    </w:p>
    <w:p>
      <w:pPr>
        <w:pStyle w:val="35"/>
        <w:spacing w:before="0" w:after="0" w:line="360" w:lineRule="auto"/>
        <w:ind w:left="480"/>
        <w:jc w:val="both"/>
        <w:rPr>
          <w:color w:val="auto"/>
          <w:kern w:val="2"/>
          <w:highlight w:val="none"/>
        </w:rPr>
      </w:pPr>
      <w:r>
        <w:rPr>
          <w:rFonts w:hint="eastAsia"/>
          <w:color w:val="auto"/>
          <w:kern w:val="2"/>
          <w:highlight w:val="none"/>
        </w:rPr>
        <w:t>（一）具备《中华人民共和国政府采购法》第二十二条第一款规定的条件：</w:t>
      </w:r>
    </w:p>
    <w:p>
      <w:pPr>
        <w:pStyle w:val="35"/>
        <w:spacing w:before="0" w:after="0" w:line="360" w:lineRule="auto"/>
        <w:ind w:left="480"/>
        <w:jc w:val="both"/>
        <w:rPr>
          <w:color w:val="auto"/>
          <w:kern w:val="2"/>
          <w:highlight w:val="none"/>
        </w:rPr>
      </w:pPr>
      <w:r>
        <w:rPr>
          <w:rFonts w:hint="eastAsia"/>
          <w:color w:val="auto"/>
          <w:kern w:val="2"/>
          <w:highlight w:val="none"/>
        </w:rPr>
        <w:t>1、具有独立承担民事责任的能力；</w:t>
      </w:r>
    </w:p>
    <w:p>
      <w:pPr>
        <w:pStyle w:val="35"/>
        <w:spacing w:before="0" w:after="0" w:line="360" w:lineRule="auto"/>
        <w:ind w:left="480"/>
        <w:jc w:val="both"/>
        <w:rPr>
          <w:color w:val="auto"/>
          <w:kern w:val="2"/>
          <w:highlight w:val="none"/>
        </w:rPr>
      </w:pPr>
      <w:r>
        <w:rPr>
          <w:rFonts w:hint="eastAsia"/>
          <w:color w:val="auto"/>
          <w:kern w:val="2"/>
          <w:highlight w:val="none"/>
        </w:rPr>
        <w:t xml:space="preserve">2、具有良好的商业信誉和健全的财务会计制度； </w:t>
      </w:r>
    </w:p>
    <w:p>
      <w:pPr>
        <w:pStyle w:val="35"/>
        <w:spacing w:before="0" w:after="0" w:line="360" w:lineRule="auto"/>
        <w:ind w:left="480"/>
        <w:jc w:val="both"/>
        <w:rPr>
          <w:color w:val="auto"/>
          <w:kern w:val="2"/>
          <w:highlight w:val="none"/>
        </w:rPr>
      </w:pPr>
      <w:r>
        <w:rPr>
          <w:rFonts w:hint="eastAsia"/>
          <w:color w:val="auto"/>
          <w:kern w:val="2"/>
          <w:highlight w:val="none"/>
        </w:rPr>
        <w:t>3、具有履行合同所必需的设备和专业技术能力；</w:t>
      </w:r>
    </w:p>
    <w:p>
      <w:pPr>
        <w:pStyle w:val="35"/>
        <w:spacing w:before="0" w:after="0" w:line="360" w:lineRule="auto"/>
        <w:ind w:left="480"/>
        <w:jc w:val="both"/>
        <w:rPr>
          <w:color w:val="auto"/>
          <w:kern w:val="2"/>
          <w:highlight w:val="none"/>
        </w:rPr>
      </w:pPr>
      <w:r>
        <w:rPr>
          <w:rFonts w:hint="eastAsia"/>
          <w:color w:val="auto"/>
          <w:kern w:val="2"/>
          <w:highlight w:val="none"/>
        </w:rPr>
        <w:t>4、有依法缴纳税收和社会保障资金的良好记录；</w:t>
      </w:r>
    </w:p>
    <w:p>
      <w:pPr>
        <w:pStyle w:val="35"/>
        <w:spacing w:before="0" w:after="0" w:line="360" w:lineRule="auto"/>
        <w:ind w:left="480"/>
        <w:jc w:val="both"/>
        <w:rPr>
          <w:color w:val="auto"/>
          <w:kern w:val="2"/>
          <w:highlight w:val="none"/>
        </w:rPr>
      </w:pPr>
      <w:r>
        <w:rPr>
          <w:rFonts w:hint="eastAsia"/>
          <w:color w:val="auto"/>
          <w:kern w:val="2"/>
          <w:highlight w:val="none"/>
        </w:rPr>
        <w:t>5、参加政府采购活动前三年内，在经营活动中没有重大违法记录；</w:t>
      </w:r>
    </w:p>
    <w:p>
      <w:pPr>
        <w:pStyle w:val="35"/>
        <w:spacing w:before="0" w:after="0" w:line="360" w:lineRule="auto"/>
        <w:ind w:left="480"/>
        <w:jc w:val="both"/>
        <w:rPr>
          <w:color w:val="auto"/>
          <w:kern w:val="2"/>
          <w:highlight w:val="none"/>
        </w:rPr>
      </w:pPr>
      <w:r>
        <w:rPr>
          <w:rFonts w:hint="eastAsia"/>
          <w:color w:val="auto"/>
          <w:kern w:val="2"/>
          <w:highlight w:val="none"/>
        </w:rPr>
        <w:t>6、具有法律、行政法规规定的其他条件。</w:t>
      </w:r>
    </w:p>
    <w:p>
      <w:pPr>
        <w:pStyle w:val="35"/>
        <w:spacing w:before="0" w:after="0" w:line="360" w:lineRule="auto"/>
        <w:ind w:left="480"/>
        <w:jc w:val="both"/>
        <w:rPr>
          <w:color w:val="auto"/>
          <w:kern w:val="2"/>
          <w:highlight w:val="none"/>
        </w:rPr>
      </w:pPr>
      <w:r>
        <w:rPr>
          <w:rFonts w:hint="eastAsia"/>
          <w:color w:val="auto"/>
          <w:kern w:val="2"/>
          <w:highlight w:val="none"/>
        </w:rPr>
        <w:t>（二）未被信用中国（www.creditchina.gov.cn)、中国政府采购网（www.ccgp.gov.cn）列入失信被执行人、重大税收违法案件当事人名单、政府采购严重违法失信行为记录名单。</w:t>
      </w:r>
    </w:p>
    <w:p>
      <w:pPr>
        <w:pStyle w:val="35"/>
        <w:spacing w:before="0" w:after="0" w:line="360" w:lineRule="auto"/>
        <w:ind w:left="480"/>
        <w:jc w:val="both"/>
        <w:rPr>
          <w:color w:val="auto"/>
          <w:kern w:val="2"/>
          <w:highlight w:val="none"/>
        </w:rPr>
      </w:pPr>
      <w:r>
        <w:rPr>
          <w:rFonts w:hint="eastAsia"/>
          <w:color w:val="auto"/>
          <w:kern w:val="2"/>
          <w:highlight w:val="none"/>
        </w:rPr>
        <w:t>（三）不存在以下情况：</w:t>
      </w:r>
    </w:p>
    <w:p>
      <w:pPr>
        <w:pStyle w:val="35"/>
        <w:spacing w:before="0" w:after="0" w:line="360" w:lineRule="auto"/>
        <w:ind w:left="480"/>
        <w:jc w:val="both"/>
        <w:rPr>
          <w:color w:val="auto"/>
          <w:kern w:val="2"/>
          <w:highlight w:val="none"/>
        </w:rPr>
      </w:pPr>
      <w:r>
        <w:rPr>
          <w:rFonts w:hint="eastAsia"/>
          <w:color w:val="auto"/>
          <w:kern w:val="2"/>
          <w:highlight w:val="none"/>
        </w:rPr>
        <w:t>1、单位负责人为同一人或者存在直接控股、管理关系的不同供应商参加同一合同项下的政府采购活动的；</w:t>
      </w:r>
    </w:p>
    <w:p>
      <w:pPr>
        <w:pStyle w:val="35"/>
        <w:spacing w:before="0" w:after="0" w:line="360" w:lineRule="auto"/>
        <w:ind w:left="480"/>
        <w:jc w:val="both"/>
        <w:rPr>
          <w:color w:val="auto"/>
          <w:kern w:val="2"/>
          <w:highlight w:val="none"/>
        </w:rPr>
      </w:pPr>
      <w:r>
        <w:rPr>
          <w:rFonts w:hint="eastAsia"/>
          <w:color w:val="auto"/>
          <w:kern w:val="2"/>
          <w:highlight w:val="none"/>
        </w:rPr>
        <w:t>2、为采购项目提供整体设计、规范编制或者项目管理、监理、检测等服务后再参加该采购项目的其他采购活动的。</w:t>
      </w:r>
    </w:p>
    <w:p>
      <w:pPr>
        <w:pStyle w:val="35"/>
        <w:spacing w:before="0" w:after="0" w:line="360" w:lineRule="auto"/>
        <w:ind w:left="480"/>
        <w:jc w:val="both"/>
        <w:rPr>
          <w:color w:val="auto"/>
          <w:kern w:val="2"/>
          <w:highlight w:val="none"/>
        </w:rPr>
      </w:pPr>
    </w:p>
    <w:p>
      <w:pPr>
        <w:pStyle w:val="35"/>
        <w:spacing w:before="0" w:after="0" w:line="360" w:lineRule="auto"/>
        <w:ind w:left="480"/>
        <w:jc w:val="both"/>
        <w:rPr>
          <w:color w:val="auto"/>
          <w:kern w:val="2"/>
          <w:highlight w:val="none"/>
        </w:rPr>
      </w:pPr>
    </w:p>
    <w:p>
      <w:pPr>
        <w:pStyle w:val="35"/>
        <w:spacing w:before="0" w:after="0" w:line="360" w:lineRule="auto"/>
        <w:ind w:left="480"/>
        <w:jc w:val="both"/>
        <w:rPr>
          <w:color w:val="auto"/>
          <w:kern w:val="2"/>
          <w:highlight w:val="none"/>
        </w:rPr>
      </w:pPr>
    </w:p>
    <w:p>
      <w:pPr>
        <w:snapToGrid w:val="0"/>
        <w:spacing w:before="50" w:after="50"/>
        <w:rPr>
          <w:rFonts w:ascii="宋体" w:hAnsi="宋体" w:cs="宋体"/>
          <w:color w:val="auto"/>
          <w:spacing w:val="20"/>
          <w:sz w:val="24"/>
          <w:highlight w:val="none"/>
          <w:u w:val="single"/>
        </w:rPr>
      </w:pPr>
      <w:r>
        <w:rPr>
          <w:rFonts w:hint="eastAsia" w:ascii="宋体" w:hAnsi="宋体" w:cs="宋体"/>
          <w:color w:val="auto"/>
          <w:sz w:val="24"/>
          <w:highlight w:val="none"/>
        </w:rPr>
        <w:t>法定代表人或委托代理人签字</w:t>
      </w:r>
      <w:r>
        <w:rPr>
          <w:rFonts w:hint="eastAsia" w:ascii="宋体" w:hAnsi="宋体" w:cs="宋体"/>
          <w:color w:val="auto"/>
          <w:spacing w:val="20"/>
          <w:sz w:val="24"/>
          <w:highlight w:val="none"/>
        </w:rPr>
        <w:t>：</w:t>
      </w:r>
      <w:r>
        <w:rPr>
          <w:rFonts w:hint="eastAsia" w:ascii="宋体" w:hAnsi="宋体" w:cs="宋体"/>
          <w:color w:val="auto"/>
          <w:spacing w:val="20"/>
          <w:sz w:val="24"/>
          <w:highlight w:val="none"/>
          <w:u w:val="single"/>
        </w:rPr>
        <w:t xml:space="preserve">        </w:t>
      </w:r>
    </w:p>
    <w:p>
      <w:pPr>
        <w:snapToGrid w:val="0"/>
        <w:spacing w:beforeLines="50"/>
        <w:rPr>
          <w:rFonts w:ascii="宋体" w:hAnsi="宋体" w:cs="宋体"/>
          <w:color w:val="auto"/>
          <w:sz w:val="24"/>
          <w:highlight w:val="none"/>
        </w:rPr>
      </w:pPr>
      <w:r>
        <w:rPr>
          <w:rFonts w:hint="eastAsia" w:ascii="宋体" w:hAnsi="宋体" w:cs="宋体"/>
          <w:color w:val="auto"/>
          <w:spacing w:val="20"/>
          <w:sz w:val="24"/>
          <w:highlight w:val="none"/>
        </w:rPr>
        <w:t>供应商盖章：</w:t>
      </w:r>
      <w:r>
        <w:rPr>
          <w:rFonts w:hint="eastAsia" w:ascii="宋体" w:hAnsi="宋体" w:cs="宋体"/>
          <w:color w:val="auto"/>
          <w:spacing w:val="20"/>
          <w:sz w:val="24"/>
          <w:highlight w:val="none"/>
          <w:u w:val="single"/>
        </w:rPr>
        <w:t xml:space="preserve">            </w:t>
      </w:r>
      <w:r>
        <w:rPr>
          <w:rFonts w:hint="eastAsia" w:ascii="宋体" w:hAnsi="宋体" w:cs="宋体"/>
          <w:color w:val="auto"/>
          <w:spacing w:val="20"/>
          <w:sz w:val="24"/>
          <w:highlight w:val="none"/>
        </w:rPr>
        <w:t xml:space="preserve">              日 期：</w:t>
      </w:r>
      <w:r>
        <w:rPr>
          <w:rFonts w:hint="eastAsia" w:ascii="宋体" w:hAnsi="宋体" w:cs="宋体"/>
          <w:color w:val="auto"/>
          <w:spacing w:val="20"/>
          <w:sz w:val="24"/>
          <w:highlight w:val="none"/>
          <w:u w:val="single"/>
        </w:rPr>
        <w:t xml:space="preserve">            </w:t>
      </w:r>
    </w:p>
    <w:p>
      <w:pPr>
        <w:rPr>
          <w:rFonts w:ascii="宋体" w:hAnsi="宋体" w:cs="宋体"/>
          <w:color w:val="auto"/>
          <w:sz w:val="24"/>
          <w:highlight w:val="none"/>
        </w:rPr>
      </w:pPr>
    </w:p>
    <w:p>
      <w:pPr>
        <w:pStyle w:val="6"/>
        <w:keepNext w:val="0"/>
        <w:keepLines w:val="0"/>
        <w:pageBreakBefore/>
        <w:spacing w:line="360" w:lineRule="auto"/>
        <w:rPr>
          <w:rFonts w:ascii="宋体" w:hAnsi="宋体" w:eastAsia="宋体" w:cs="宋体"/>
          <w:b w:val="0"/>
          <w:bCs w:val="0"/>
          <w:color w:val="auto"/>
          <w:sz w:val="24"/>
          <w:szCs w:val="24"/>
          <w:highlight w:val="none"/>
        </w:rPr>
      </w:pPr>
      <w:bookmarkStart w:id="55" w:name="_Toc21972"/>
      <w:r>
        <w:rPr>
          <w:rFonts w:hint="eastAsia" w:ascii="宋体" w:hAnsi="宋体" w:eastAsia="宋体" w:cs="宋体"/>
          <w:b w:val="0"/>
          <w:bCs w:val="0"/>
          <w:color w:val="auto"/>
          <w:sz w:val="24"/>
          <w:szCs w:val="24"/>
          <w:highlight w:val="none"/>
        </w:rPr>
        <w:t>附件三：政府采购活动现场确认声明书</w:t>
      </w:r>
      <w:bookmarkEnd w:id="54"/>
      <w:bookmarkEnd w:id="55"/>
    </w:p>
    <w:p>
      <w:pPr>
        <w:snapToGrid w:val="0"/>
        <w:spacing w:beforeLines="50" w:after="50" w:line="480" w:lineRule="auto"/>
        <w:jc w:val="center"/>
        <w:rPr>
          <w:rFonts w:ascii="宋体" w:hAnsi="宋体" w:cs="宋体"/>
          <w:b/>
          <w:color w:val="auto"/>
          <w:sz w:val="24"/>
          <w:highlight w:val="none"/>
        </w:rPr>
      </w:pPr>
      <w:r>
        <w:rPr>
          <w:rFonts w:hint="eastAsia" w:ascii="宋体" w:hAnsi="宋体" w:cs="宋体"/>
          <w:b/>
          <w:color w:val="auto"/>
          <w:sz w:val="24"/>
          <w:highlight w:val="none"/>
        </w:rPr>
        <w:t>政府采购活动现场确认声明书</w:t>
      </w:r>
    </w:p>
    <w:p>
      <w:pPr>
        <w:snapToGrid w:val="0"/>
        <w:spacing w:beforeLines="50" w:after="50" w:line="276" w:lineRule="auto"/>
        <w:rPr>
          <w:rFonts w:ascii="宋体" w:hAnsi="宋体" w:cs="宋体"/>
          <w:color w:val="auto"/>
          <w:sz w:val="24"/>
          <w:highlight w:val="none"/>
        </w:rPr>
      </w:pPr>
      <w:r>
        <w:rPr>
          <w:rFonts w:hint="eastAsia" w:ascii="宋体" w:hAnsi="宋体" w:cs="宋体"/>
          <w:color w:val="auto"/>
          <w:sz w:val="24"/>
          <w:highlight w:val="none"/>
        </w:rPr>
        <w:t>东阳市鑫盛工程咨询有限公司 :</w:t>
      </w:r>
    </w:p>
    <w:p>
      <w:pPr>
        <w:snapToGrid w:val="0"/>
        <w:spacing w:beforeLines="50" w:after="50" w:line="276" w:lineRule="auto"/>
        <w:ind w:firstLine="720" w:firstLineChars="300"/>
        <w:rPr>
          <w:rFonts w:ascii="宋体" w:hAnsi="宋体" w:cs="宋体"/>
          <w:color w:val="auto"/>
          <w:sz w:val="24"/>
          <w:highlight w:val="none"/>
        </w:rPr>
      </w:pPr>
      <w:r>
        <w:rPr>
          <w:rFonts w:hint="eastAsia" w:ascii="宋体" w:hAnsi="宋体" w:cs="宋体"/>
          <w:color w:val="auto"/>
          <w:sz w:val="24"/>
          <w:highlight w:val="none"/>
        </w:rPr>
        <w:t>本人</w:t>
      </w:r>
      <w:r>
        <w:rPr>
          <w:rFonts w:hint="eastAsia" w:ascii="宋体" w:hAnsi="宋体" w:cs="宋体"/>
          <w:color w:val="auto"/>
          <w:sz w:val="24"/>
          <w:highlight w:val="none"/>
          <w:u w:val="single"/>
        </w:rPr>
        <w:t xml:space="preserve">         </w:t>
      </w:r>
      <w:r>
        <w:rPr>
          <w:rFonts w:hint="eastAsia" w:ascii="宋体" w:hAnsi="宋体" w:cs="宋体"/>
          <w:color w:val="auto"/>
          <w:sz w:val="24"/>
          <w:highlight w:val="none"/>
          <w:u w:val="single"/>
        </w:rPr>
        <w:tab/>
      </w:r>
      <w:r>
        <w:rPr>
          <w:rFonts w:hint="eastAsia" w:ascii="宋体" w:hAnsi="宋体" w:cs="宋体"/>
          <w:color w:val="auto"/>
          <w:sz w:val="24"/>
          <w:highlight w:val="none"/>
        </w:rPr>
        <w:t>（授权代表姓名），经由</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（单位）</w:t>
      </w:r>
    </w:p>
    <w:p>
      <w:pPr>
        <w:snapToGrid w:val="0"/>
        <w:spacing w:beforeLines="50" w:after="50" w:line="276" w:lineRule="auto"/>
        <w:rPr>
          <w:rFonts w:ascii="宋体" w:hAnsi="宋体" w:cs="宋体"/>
          <w:color w:val="auto"/>
          <w:sz w:val="24"/>
          <w:highlight w:val="none"/>
        </w:rPr>
      </w:pPr>
      <w:r>
        <w:rPr>
          <w:rFonts w:hint="eastAsia" w:ascii="宋体" w:hAnsi="宋体" w:cs="宋体"/>
          <w:color w:val="auto"/>
          <w:sz w:val="24"/>
          <w:highlight w:val="none"/>
          <w:u w:val="single"/>
        </w:rPr>
        <w:t xml:space="preserve">  </w:t>
      </w:r>
      <w:r>
        <w:rPr>
          <w:rFonts w:hint="eastAsia" w:ascii="宋体" w:hAnsi="宋体" w:cs="宋体"/>
          <w:color w:val="auto"/>
          <w:sz w:val="24"/>
          <w:highlight w:val="none"/>
          <w:u w:val="single"/>
        </w:rPr>
        <w:tab/>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（法定代表人姓名）合法授权参加</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项目（编号：</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）政府采购活动．经与本单位法人代表（负责人）联系确认，现就有关公平竞争事项郑重声明如下:</w:t>
      </w:r>
    </w:p>
    <w:p>
      <w:pPr>
        <w:snapToGrid w:val="0"/>
        <w:spacing w:beforeLines="50" w:after="50" w:line="276" w:lineRule="auto"/>
        <w:rPr>
          <w:rFonts w:ascii="宋体" w:hAnsi="宋体" w:cs="宋体"/>
          <w:color w:val="auto"/>
          <w:sz w:val="24"/>
          <w:highlight w:val="none"/>
        </w:rPr>
      </w:pPr>
      <w:r>
        <w:rPr>
          <w:rFonts w:hint="eastAsia" w:ascii="宋体" w:hAnsi="宋体" w:cs="宋体"/>
          <w:color w:val="auto"/>
          <w:sz w:val="24"/>
          <w:highlight w:val="none"/>
        </w:rPr>
        <w:t>一、本单位与采购人之间口不存在利害关系口存在下列利害关系:</w:t>
      </w:r>
    </w:p>
    <w:p>
      <w:pPr>
        <w:snapToGrid w:val="0"/>
        <w:spacing w:beforeLines="50" w:after="50" w:line="276" w:lineRule="auto"/>
        <w:rPr>
          <w:rFonts w:ascii="宋体" w:hAnsi="宋体" w:cs="宋体"/>
          <w:color w:val="auto"/>
          <w:sz w:val="24"/>
          <w:highlight w:val="none"/>
        </w:rPr>
      </w:pPr>
      <w:r>
        <w:rPr>
          <w:rFonts w:hint="eastAsia" w:ascii="宋体" w:hAnsi="宋体" w:cs="宋体"/>
          <w:color w:val="auto"/>
          <w:sz w:val="24"/>
          <w:highlight w:val="none"/>
        </w:rPr>
        <w:t>A．投资关系</w:t>
      </w:r>
      <w:r>
        <w:rPr>
          <w:rFonts w:hint="eastAsia" w:ascii="宋体" w:hAnsi="宋体" w:cs="宋体"/>
          <w:color w:val="auto"/>
          <w:sz w:val="24"/>
          <w:highlight w:val="none"/>
        </w:rPr>
        <w:tab/>
      </w:r>
      <w:r>
        <w:rPr>
          <w:rFonts w:hint="eastAsia" w:ascii="宋体" w:hAnsi="宋体" w:cs="宋体"/>
          <w:color w:val="auto"/>
          <w:sz w:val="24"/>
          <w:highlight w:val="none"/>
        </w:rPr>
        <w:t>B．行政隶属关系</w:t>
      </w:r>
      <w:r>
        <w:rPr>
          <w:rFonts w:hint="eastAsia" w:ascii="宋体" w:hAnsi="宋体" w:cs="宋体"/>
          <w:color w:val="auto"/>
          <w:sz w:val="24"/>
          <w:highlight w:val="none"/>
        </w:rPr>
        <w:tab/>
      </w:r>
      <w:r>
        <w:rPr>
          <w:rFonts w:hint="eastAsia" w:ascii="宋体" w:hAnsi="宋体" w:cs="宋体"/>
          <w:color w:val="auto"/>
          <w:sz w:val="24"/>
          <w:highlight w:val="none"/>
        </w:rPr>
        <w:t>C．业务指导关系  D．其他可能影响采购公正的利害关系（如有，请如实说明）。</w:t>
      </w:r>
    </w:p>
    <w:p>
      <w:pPr>
        <w:snapToGrid w:val="0"/>
        <w:spacing w:beforeLines="50" w:after="50" w:line="276" w:lineRule="auto"/>
        <w:rPr>
          <w:rFonts w:ascii="宋体" w:hAnsi="宋体" w:cs="宋体"/>
          <w:color w:val="auto"/>
          <w:sz w:val="24"/>
          <w:highlight w:val="none"/>
        </w:rPr>
      </w:pPr>
      <w:r>
        <w:rPr>
          <w:rFonts w:hint="eastAsia" w:ascii="宋体" w:hAnsi="宋体" w:cs="宋体"/>
          <w:color w:val="auto"/>
          <w:sz w:val="24"/>
          <w:highlight w:val="none"/>
        </w:rPr>
        <w:t xml:space="preserve">二、现己清楚知道参加本项目采购活动的其他所有供应商名称，本单位 口与其他所有供应商之间均不存在利害关系 口与 </w:t>
      </w:r>
      <w:r>
        <w:rPr>
          <w:rFonts w:hint="eastAsia" w:ascii="宋体" w:hAnsi="宋体" w:cs="宋体"/>
          <w:color w:val="auto"/>
          <w:sz w:val="24"/>
          <w:highlight w:val="none"/>
          <w:u w:val="single"/>
        </w:rPr>
        <w:tab/>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（供应商名称）之间存在下列利害关系:</w:t>
      </w:r>
    </w:p>
    <w:p>
      <w:pPr>
        <w:snapToGrid w:val="0"/>
        <w:spacing w:beforeLines="50" w:after="50" w:line="276" w:lineRule="auto"/>
        <w:rPr>
          <w:rFonts w:ascii="宋体" w:hAnsi="宋体" w:cs="宋体"/>
          <w:color w:val="auto"/>
          <w:sz w:val="24"/>
          <w:highlight w:val="none"/>
        </w:rPr>
      </w:pPr>
      <w:r>
        <w:rPr>
          <w:rFonts w:hint="eastAsia" w:ascii="宋体" w:hAnsi="宋体" w:cs="宋体"/>
          <w:color w:val="auto"/>
          <w:sz w:val="24"/>
          <w:highlight w:val="none"/>
        </w:rPr>
        <w:t>A．法定代表人或负责人或实际控制人是同一人B．法定代表人或负责人或实际控制人是夫妻关系</w:t>
      </w:r>
    </w:p>
    <w:p>
      <w:pPr>
        <w:snapToGrid w:val="0"/>
        <w:spacing w:beforeLines="50" w:after="50" w:line="276" w:lineRule="auto"/>
        <w:rPr>
          <w:rFonts w:ascii="宋体" w:hAnsi="宋体" w:cs="宋体"/>
          <w:color w:val="auto"/>
          <w:sz w:val="24"/>
          <w:highlight w:val="none"/>
        </w:rPr>
      </w:pPr>
      <w:r>
        <w:rPr>
          <w:rFonts w:hint="eastAsia" w:ascii="宋体" w:hAnsi="宋体" w:cs="宋体"/>
          <w:color w:val="auto"/>
          <w:sz w:val="24"/>
          <w:highlight w:val="none"/>
        </w:rPr>
        <w:t>C.法定代表人或负责人或实际控制人是直系血亲关系</w:t>
      </w:r>
    </w:p>
    <w:p>
      <w:pPr>
        <w:snapToGrid w:val="0"/>
        <w:spacing w:beforeLines="50" w:after="50" w:line="276" w:lineRule="auto"/>
        <w:rPr>
          <w:rFonts w:ascii="宋体" w:hAnsi="宋体" w:cs="宋体"/>
          <w:color w:val="auto"/>
          <w:sz w:val="24"/>
          <w:highlight w:val="none"/>
        </w:rPr>
      </w:pPr>
      <w:r>
        <w:rPr>
          <w:rFonts w:hint="eastAsia" w:ascii="宋体" w:hAnsi="宋体" w:cs="宋体"/>
          <w:color w:val="auto"/>
          <w:sz w:val="24"/>
          <w:highlight w:val="none"/>
        </w:rPr>
        <w:t>D.法定代表人或负责人或实际控制人存在三代以内旁系血亲关系</w:t>
      </w:r>
    </w:p>
    <w:p>
      <w:pPr>
        <w:snapToGrid w:val="0"/>
        <w:spacing w:beforeLines="50" w:after="50" w:line="276" w:lineRule="auto"/>
        <w:rPr>
          <w:rFonts w:ascii="宋体" w:hAnsi="宋体" w:cs="宋体"/>
          <w:color w:val="auto"/>
          <w:sz w:val="24"/>
          <w:highlight w:val="none"/>
        </w:rPr>
      </w:pPr>
      <w:r>
        <w:rPr>
          <w:rFonts w:hint="eastAsia" w:ascii="宋体" w:hAnsi="宋体" w:cs="宋体"/>
          <w:color w:val="auto"/>
          <w:sz w:val="24"/>
          <w:highlight w:val="none"/>
        </w:rPr>
        <w:t>E．法定代表人或负责人或实际控制人存在近姻亲关系</w:t>
      </w:r>
    </w:p>
    <w:p>
      <w:pPr>
        <w:snapToGrid w:val="0"/>
        <w:spacing w:beforeLines="50" w:after="50" w:line="276" w:lineRule="auto"/>
        <w:rPr>
          <w:rFonts w:ascii="宋体" w:hAnsi="宋体" w:cs="宋体"/>
          <w:color w:val="auto"/>
          <w:sz w:val="24"/>
          <w:highlight w:val="none"/>
        </w:rPr>
      </w:pPr>
      <w:r>
        <w:rPr>
          <w:rFonts w:hint="eastAsia" w:ascii="宋体" w:hAnsi="宋体" w:cs="宋体"/>
          <w:color w:val="auto"/>
          <w:sz w:val="24"/>
          <w:highlight w:val="none"/>
        </w:rPr>
        <w:t>F．法定代表人或负责人或实际控制人存在股份控制或实际控制关系</w:t>
      </w:r>
    </w:p>
    <w:p>
      <w:pPr>
        <w:snapToGrid w:val="0"/>
        <w:spacing w:beforeLines="50" w:after="50" w:line="276" w:lineRule="auto"/>
        <w:rPr>
          <w:rFonts w:ascii="宋体" w:hAnsi="宋体" w:cs="宋体"/>
          <w:color w:val="auto"/>
          <w:sz w:val="24"/>
          <w:highlight w:val="none"/>
        </w:rPr>
      </w:pPr>
      <w:r>
        <w:rPr>
          <w:rFonts w:hint="eastAsia" w:ascii="宋体" w:hAnsi="宋体" w:cs="宋体"/>
          <w:color w:val="auto"/>
          <w:sz w:val="24"/>
          <w:highlight w:val="none"/>
        </w:rPr>
        <w:t>G．存在共同直接或间接投资设立子公司、联营企业和合营企业情况</w:t>
      </w:r>
    </w:p>
    <w:p>
      <w:pPr>
        <w:snapToGrid w:val="0"/>
        <w:spacing w:beforeLines="50" w:after="50" w:line="276" w:lineRule="auto"/>
        <w:rPr>
          <w:rFonts w:ascii="宋体" w:hAnsi="宋体" w:cs="宋体"/>
          <w:color w:val="auto"/>
          <w:sz w:val="24"/>
          <w:highlight w:val="none"/>
        </w:rPr>
      </w:pPr>
      <w:r>
        <w:rPr>
          <w:rFonts w:hint="eastAsia" w:ascii="宋体" w:hAnsi="宋体" w:cs="宋体"/>
          <w:color w:val="auto"/>
          <w:sz w:val="24"/>
          <w:highlight w:val="none"/>
        </w:rPr>
        <w:t>H.存在分级代理或代销关系、同一生产制造商关系、管理关系、重要业务（占主昔业务收入 50 ％以上）或重要财务往来关系（如融资）等其他实质性控制关系</w:t>
      </w:r>
    </w:p>
    <w:p>
      <w:pPr>
        <w:snapToGrid w:val="0"/>
        <w:spacing w:beforeLines="50" w:after="50" w:line="276" w:lineRule="auto"/>
        <w:rPr>
          <w:rFonts w:ascii="宋体" w:hAnsi="宋体" w:cs="宋体"/>
          <w:color w:val="auto"/>
          <w:sz w:val="24"/>
          <w:highlight w:val="none"/>
        </w:rPr>
      </w:pPr>
      <w:r>
        <w:rPr>
          <w:rFonts w:hint="eastAsia" w:ascii="宋体" w:hAnsi="宋体" w:cs="宋体"/>
          <w:color w:val="auto"/>
          <w:sz w:val="24"/>
          <w:highlight w:val="none"/>
        </w:rPr>
        <w:t>I.其他利害关系情况</w:t>
      </w:r>
      <w:r>
        <w:rPr>
          <w:rFonts w:hint="eastAsia" w:ascii="宋体" w:hAnsi="宋体" w:cs="宋体"/>
          <w:color w:val="auto"/>
          <w:sz w:val="24"/>
          <w:highlight w:val="none"/>
          <w:u w:val="single"/>
        </w:rPr>
        <w:t xml:space="preserve">             </w:t>
      </w:r>
      <w:r>
        <w:rPr>
          <w:rFonts w:hint="eastAsia" w:ascii="宋体" w:hAnsi="宋体" w:cs="宋体"/>
          <w:color w:val="auto"/>
          <w:sz w:val="24"/>
          <w:highlight w:val="none"/>
          <w:u w:val="single"/>
        </w:rPr>
        <w:tab/>
      </w:r>
      <w:r>
        <w:rPr>
          <w:rFonts w:hint="eastAsia" w:ascii="宋体" w:hAnsi="宋体" w:cs="宋体"/>
          <w:color w:val="auto"/>
          <w:sz w:val="24"/>
          <w:highlight w:val="none"/>
        </w:rPr>
        <w:t>。</w:t>
      </w:r>
    </w:p>
    <w:p>
      <w:pPr>
        <w:snapToGrid w:val="0"/>
        <w:spacing w:beforeLines="50" w:after="50" w:line="276" w:lineRule="auto"/>
        <w:rPr>
          <w:rFonts w:ascii="宋体" w:hAnsi="宋体" w:cs="宋体"/>
          <w:color w:val="auto"/>
          <w:sz w:val="24"/>
          <w:highlight w:val="none"/>
        </w:rPr>
      </w:pPr>
      <w:r>
        <w:rPr>
          <w:rFonts w:hint="eastAsia" w:ascii="宋体" w:hAnsi="宋体" w:cs="宋体"/>
          <w:color w:val="auto"/>
          <w:sz w:val="24"/>
          <w:highlight w:val="none"/>
        </w:rPr>
        <w:t>三、现己清楚知道并严格遵守政府采购法律法规和现场纪律。</w:t>
      </w:r>
    </w:p>
    <w:p>
      <w:pPr>
        <w:snapToGrid w:val="0"/>
        <w:spacing w:beforeLines="50" w:after="50" w:line="276" w:lineRule="auto"/>
        <w:rPr>
          <w:rFonts w:ascii="宋体" w:hAnsi="宋体" w:cs="宋体"/>
          <w:color w:val="auto"/>
          <w:sz w:val="24"/>
          <w:highlight w:val="none"/>
        </w:rPr>
      </w:pPr>
      <w:r>
        <w:rPr>
          <w:rFonts w:hint="eastAsia" w:ascii="宋体" w:hAnsi="宋体" w:cs="宋体"/>
          <w:color w:val="auto"/>
          <w:sz w:val="24"/>
          <w:highlight w:val="none"/>
        </w:rPr>
        <w:t>四、我发现</w:t>
      </w:r>
      <w:r>
        <w:rPr>
          <w:rFonts w:hint="eastAsia" w:ascii="宋体" w:hAnsi="宋体" w:cs="宋体"/>
          <w:color w:val="auto"/>
          <w:sz w:val="24"/>
          <w:highlight w:val="none"/>
          <w:u w:val="single"/>
        </w:rPr>
        <w:t xml:space="preserve"> </w:t>
      </w:r>
      <w:r>
        <w:rPr>
          <w:rFonts w:hint="eastAsia" w:ascii="宋体" w:hAnsi="宋体" w:cs="宋体"/>
          <w:color w:val="auto"/>
          <w:sz w:val="24"/>
          <w:highlight w:val="none"/>
          <w:u w:val="single"/>
        </w:rPr>
        <w:tab/>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供应商之间存在或可能存在上述第二条第</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项利害关系。</w:t>
      </w:r>
    </w:p>
    <w:p>
      <w:pPr>
        <w:snapToGrid w:val="0"/>
        <w:spacing w:beforeLines="50" w:after="50" w:line="276" w:lineRule="auto"/>
        <w:rPr>
          <w:rFonts w:ascii="宋体" w:hAnsi="宋体" w:cs="宋体"/>
          <w:color w:val="auto"/>
          <w:sz w:val="24"/>
          <w:highlight w:val="none"/>
        </w:rPr>
      </w:pPr>
    </w:p>
    <w:p>
      <w:pPr>
        <w:pStyle w:val="19"/>
        <w:rPr>
          <w:color w:val="auto"/>
          <w:highlight w:val="none"/>
        </w:rPr>
      </w:pPr>
    </w:p>
    <w:p>
      <w:pPr>
        <w:snapToGrid w:val="0"/>
        <w:spacing w:beforeLines="50" w:after="50" w:line="276" w:lineRule="auto"/>
        <w:jc w:val="center"/>
        <w:rPr>
          <w:rFonts w:ascii="宋体" w:hAnsi="宋体" w:cs="宋体"/>
          <w:color w:val="auto"/>
          <w:sz w:val="24"/>
          <w:highlight w:val="none"/>
        </w:rPr>
      </w:pPr>
      <w:r>
        <w:rPr>
          <w:rFonts w:hint="eastAsia" w:ascii="宋体" w:hAnsi="宋体" w:cs="宋体"/>
          <w:color w:val="auto"/>
          <w:sz w:val="24"/>
          <w:highlight w:val="none"/>
        </w:rPr>
        <w:t xml:space="preserve">（供应商代表签名）: </w:t>
      </w:r>
    </w:p>
    <w:p>
      <w:pPr>
        <w:snapToGrid w:val="0"/>
        <w:spacing w:beforeLines="50" w:after="50" w:line="276" w:lineRule="auto"/>
        <w:jc w:val="center"/>
        <w:rPr>
          <w:rFonts w:ascii="宋体" w:hAnsi="宋体" w:cs="宋体"/>
          <w:b/>
          <w:color w:val="auto"/>
          <w:sz w:val="24"/>
          <w:highlight w:val="none"/>
        </w:rPr>
      </w:pPr>
      <w:r>
        <w:rPr>
          <w:rFonts w:hint="eastAsia" w:ascii="宋体" w:hAnsi="宋体" w:cs="宋体"/>
          <w:color w:val="auto"/>
          <w:sz w:val="24"/>
          <w:highlight w:val="none"/>
        </w:rPr>
        <w:t xml:space="preserve">                                                     年   月   日</w:t>
      </w:r>
    </w:p>
    <w:p>
      <w:pPr>
        <w:pStyle w:val="6"/>
        <w:keepNext w:val="0"/>
        <w:keepLines w:val="0"/>
        <w:pageBreakBefore/>
        <w:spacing w:line="276" w:lineRule="auto"/>
        <w:rPr>
          <w:rFonts w:ascii="宋体" w:hAnsi="宋体" w:eastAsia="宋体" w:cs="宋体"/>
          <w:b w:val="0"/>
          <w:color w:val="auto"/>
          <w:sz w:val="24"/>
          <w:szCs w:val="24"/>
          <w:highlight w:val="none"/>
        </w:rPr>
      </w:pPr>
      <w:bookmarkStart w:id="56" w:name="_Toc30548"/>
      <w:r>
        <w:rPr>
          <w:rFonts w:hint="eastAsia" w:ascii="宋体" w:hAnsi="宋体" w:eastAsia="宋体" w:cs="宋体"/>
          <w:b w:val="0"/>
          <w:color w:val="auto"/>
          <w:sz w:val="24"/>
          <w:szCs w:val="24"/>
          <w:highlight w:val="none"/>
        </w:rPr>
        <w:t>附件四：法定代表人授权委托书</w:t>
      </w:r>
      <w:bookmarkEnd w:id="56"/>
    </w:p>
    <w:p>
      <w:pPr>
        <w:snapToGrid w:val="0"/>
        <w:spacing w:beforeLines="50" w:after="50" w:line="276" w:lineRule="auto"/>
        <w:jc w:val="center"/>
        <w:rPr>
          <w:rFonts w:ascii="宋体" w:hAnsi="宋体" w:cs="宋体"/>
          <w:b/>
          <w:color w:val="auto"/>
          <w:sz w:val="24"/>
          <w:highlight w:val="none"/>
        </w:rPr>
      </w:pPr>
      <w:r>
        <w:rPr>
          <w:rFonts w:hint="eastAsia" w:ascii="宋体" w:hAnsi="宋体" w:cs="宋体"/>
          <w:b/>
          <w:color w:val="auto"/>
          <w:sz w:val="24"/>
          <w:highlight w:val="none"/>
        </w:rPr>
        <w:t>法定代表人授权委托书</w:t>
      </w:r>
    </w:p>
    <w:p>
      <w:pPr>
        <w:snapToGrid w:val="0"/>
        <w:spacing w:beforeLines="50" w:after="50" w:line="276" w:lineRule="auto"/>
        <w:rPr>
          <w:rFonts w:ascii="宋体" w:hAnsi="宋体" w:cs="宋体"/>
          <w:b/>
          <w:bCs/>
          <w:color w:val="auto"/>
          <w:sz w:val="24"/>
          <w:highlight w:val="none"/>
        </w:rPr>
      </w:pPr>
      <w:r>
        <w:rPr>
          <w:rFonts w:hint="eastAsia" w:ascii="宋体" w:hAnsi="宋体" w:cs="宋体"/>
          <w:bCs/>
          <w:color w:val="auto"/>
          <w:sz w:val="24"/>
          <w:highlight w:val="none"/>
        </w:rPr>
        <w:t>致：</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（招标采购单位名称）：</w:t>
      </w:r>
    </w:p>
    <w:p>
      <w:pPr>
        <w:snapToGrid w:val="0"/>
        <w:spacing w:beforeLines="50" w:after="50" w:line="276" w:lineRule="auto"/>
        <w:ind w:firstLine="720" w:firstLineChars="300"/>
        <w:rPr>
          <w:rFonts w:ascii="宋体" w:hAnsi="宋体" w:cs="宋体"/>
          <w:color w:val="auto"/>
          <w:sz w:val="24"/>
          <w:highlight w:val="none"/>
        </w:rPr>
      </w:pPr>
      <w:r>
        <w:rPr>
          <w:rFonts w:hint="eastAsia" w:ascii="宋体" w:hAnsi="宋体" w:cs="宋体"/>
          <w:color w:val="auto"/>
          <w:sz w:val="24"/>
          <w:highlight w:val="none"/>
        </w:rPr>
        <w:t>我</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（姓名）系</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 xml:space="preserve">（供应商名称）的法定代表人，现授权委托本单位在职职工 </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（姓名）以我方的名义参加</w:t>
      </w:r>
      <w:r>
        <w:rPr>
          <w:rFonts w:hint="eastAsia" w:ascii="宋体" w:hAnsi="宋体" w:cs="宋体"/>
          <w:color w:val="auto"/>
          <w:sz w:val="24"/>
          <w:highlight w:val="none"/>
          <w:u w:val="single"/>
          <w:lang w:eastAsia="zh-CN"/>
        </w:rPr>
        <w:t xml:space="preserve">三单乡三单村一事一议财政奖补支持打造共富乡村试点项目软装工程 </w:t>
      </w:r>
      <w:r>
        <w:rPr>
          <w:rFonts w:hint="eastAsia" w:ascii="宋体" w:hAnsi="宋体" w:cs="宋体"/>
          <w:color w:val="auto"/>
          <w:sz w:val="24"/>
          <w:highlight w:val="none"/>
        </w:rPr>
        <w:t>的磋商活动，并代表我方全权办理针对上述项目的磋商、开标、签约等具体事务和签署相关文件。</w:t>
      </w:r>
    </w:p>
    <w:p>
      <w:pPr>
        <w:snapToGrid w:val="0"/>
        <w:spacing w:beforeLines="50" w:after="50" w:line="276" w:lineRule="auto"/>
        <w:rPr>
          <w:rFonts w:ascii="宋体" w:hAnsi="宋体" w:cs="宋体"/>
          <w:color w:val="auto"/>
          <w:sz w:val="24"/>
          <w:highlight w:val="none"/>
        </w:rPr>
      </w:pPr>
      <w:r>
        <w:rPr>
          <w:rFonts w:hint="eastAsia" w:ascii="宋体" w:hAnsi="宋体" w:cs="宋体"/>
          <w:color w:val="auto"/>
          <w:sz w:val="24"/>
          <w:highlight w:val="none"/>
        </w:rPr>
        <w:t xml:space="preserve">    我方对委托代理人的签名事项负全部责任。</w:t>
      </w:r>
    </w:p>
    <w:p>
      <w:pPr>
        <w:snapToGrid w:val="0"/>
        <w:spacing w:beforeLines="50" w:after="50" w:line="276" w:lineRule="auto"/>
        <w:ind w:firstLine="480"/>
        <w:rPr>
          <w:rFonts w:ascii="宋体" w:hAnsi="宋体" w:cs="宋体"/>
          <w:color w:val="auto"/>
          <w:sz w:val="24"/>
          <w:highlight w:val="none"/>
        </w:rPr>
      </w:pPr>
      <w:r>
        <w:rPr>
          <w:rFonts w:hint="eastAsia" w:ascii="宋体" w:hAnsi="宋体" w:cs="宋体"/>
          <w:color w:val="auto"/>
          <w:sz w:val="24"/>
          <w:highlight w:val="none"/>
          <w:u w:val="single"/>
        </w:rPr>
        <w:t>在撤销授权的书面通知以前，本授权书一直有效。</w:t>
      </w:r>
      <w:r>
        <w:rPr>
          <w:rFonts w:hint="eastAsia" w:ascii="宋体" w:hAnsi="宋体" w:cs="宋体"/>
          <w:color w:val="auto"/>
          <w:sz w:val="24"/>
          <w:highlight w:val="none"/>
        </w:rPr>
        <w:t>委托代理人在授权书有效期内签署的所有文件不因授权的撤销而失效。</w:t>
      </w:r>
    </w:p>
    <w:p>
      <w:pPr>
        <w:snapToGrid w:val="0"/>
        <w:spacing w:beforeLines="50" w:after="50" w:line="276" w:lineRule="auto"/>
        <w:ind w:firstLine="480"/>
        <w:rPr>
          <w:rFonts w:ascii="宋体" w:hAnsi="宋体" w:cs="宋体"/>
          <w:color w:val="auto"/>
          <w:sz w:val="24"/>
          <w:highlight w:val="none"/>
        </w:rPr>
      </w:pPr>
      <w:r>
        <w:rPr>
          <w:rFonts w:hint="eastAsia" w:ascii="宋体" w:hAnsi="宋体" w:cs="宋体"/>
          <w:color w:val="auto"/>
          <w:sz w:val="24"/>
          <w:highlight w:val="none"/>
        </w:rPr>
        <w:t>委托代理人无转委托权，特此委托。</w:t>
      </w:r>
    </w:p>
    <w:p>
      <w:pPr>
        <w:snapToGrid w:val="0"/>
        <w:spacing w:beforeLines="50" w:after="50" w:line="276" w:lineRule="auto"/>
        <w:rPr>
          <w:rFonts w:ascii="宋体" w:hAnsi="宋体" w:cs="宋体"/>
          <w:color w:val="auto"/>
          <w:sz w:val="24"/>
          <w:highlight w:val="none"/>
          <w:u w:val="single"/>
        </w:rPr>
      </w:pPr>
      <w:r>
        <w:rPr>
          <w:rFonts w:hint="eastAsia" w:ascii="宋体" w:hAnsi="宋体" w:cs="宋体"/>
          <w:color w:val="auto"/>
          <w:sz w:val="24"/>
          <w:highlight w:val="none"/>
        </w:rPr>
        <w:t>委托代理人签名：</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 xml:space="preserve">                 法定代表人签名：</w:t>
      </w:r>
      <w:r>
        <w:rPr>
          <w:rFonts w:hint="eastAsia" w:ascii="宋体" w:hAnsi="宋体" w:cs="宋体"/>
          <w:color w:val="auto"/>
          <w:sz w:val="24"/>
          <w:highlight w:val="none"/>
          <w:u w:val="single"/>
        </w:rPr>
        <w:t xml:space="preserve">          </w:t>
      </w:r>
    </w:p>
    <w:p>
      <w:pPr>
        <w:snapToGrid w:val="0"/>
        <w:spacing w:beforeLines="50" w:after="50" w:line="276" w:lineRule="auto"/>
        <w:ind w:firstLine="960" w:firstLineChars="400"/>
        <w:rPr>
          <w:rFonts w:ascii="宋体" w:hAnsi="宋体" w:cs="宋体"/>
          <w:color w:val="auto"/>
          <w:sz w:val="24"/>
          <w:highlight w:val="none"/>
        </w:rPr>
      </w:pPr>
      <w:r>
        <w:rPr>
          <w:rFonts w:hint="eastAsia" w:ascii="宋体" w:hAnsi="宋体" w:cs="宋体"/>
          <w:color w:val="auto"/>
          <w:sz w:val="24"/>
          <w:highlight w:val="none"/>
        </w:rPr>
        <w:t>职务：</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 xml:space="preserve">                          职务：</w:t>
      </w:r>
      <w:r>
        <w:rPr>
          <w:rFonts w:hint="eastAsia" w:ascii="宋体" w:hAnsi="宋体" w:cs="宋体"/>
          <w:color w:val="auto"/>
          <w:sz w:val="24"/>
          <w:highlight w:val="none"/>
          <w:u w:val="single"/>
        </w:rPr>
        <w:t xml:space="preserve">          </w:t>
      </w:r>
    </w:p>
    <w:p>
      <w:pPr>
        <w:snapToGrid w:val="0"/>
        <w:spacing w:beforeLines="50" w:after="50" w:line="276" w:lineRule="auto"/>
        <w:rPr>
          <w:rFonts w:ascii="宋体" w:hAnsi="宋体" w:cs="宋体"/>
          <w:color w:val="auto"/>
          <w:sz w:val="24"/>
          <w:highlight w:val="none"/>
        </w:rPr>
      </w:pPr>
      <w:r>
        <w:rPr>
          <w:rFonts w:hint="eastAsia" w:ascii="宋体" w:hAnsi="宋体" w:cs="宋体"/>
          <w:color w:val="auto"/>
          <w:sz w:val="24"/>
          <w:highlight w:val="none"/>
        </w:rPr>
        <w:t>委托代理人身份证复印件（正反双面）：</w:t>
      </w:r>
    </w:p>
    <w:tbl>
      <w:tblPr>
        <w:tblStyle w:val="40"/>
        <w:tblpPr w:leftFromText="180" w:rightFromText="180" w:vertAnchor="text" w:tblpX="109" w:tblpY="151"/>
        <w:tblW w:w="0" w:type="auto"/>
        <w:tblInd w:w="0" w:type="dxa"/>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
      <w:tblGrid>
        <w:gridCol w:w="5328"/>
      </w:tblGrid>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PrEx>
        <w:trPr>
          <w:trHeight w:val="6232" w:hRule="atLeast"/>
        </w:trPr>
        <w:tc>
          <w:tcPr>
            <w:tcW w:w="5328" w:type="dxa"/>
          </w:tcPr>
          <w:p>
            <w:pPr>
              <w:snapToGrid w:val="0"/>
              <w:spacing w:beforeLines="50" w:after="50" w:line="276" w:lineRule="auto"/>
              <w:rPr>
                <w:rFonts w:ascii="宋体" w:hAnsi="宋体" w:cs="宋体"/>
                <w:color w:val="auto"/>
                <w:sz w:val="24"/>
                <w:highlight w:val="none"/>
              </w:rPr>
            </w:pPr>
          </w:p>
          <w:p>
            <w:pPr>
              <w:snapToGrid w:val="0"/>
              <w:spacing w:beforeLines="50" w:after="50" w:line="276" w:lineRule="auto"/>
              <w:rPr>
                <w:rFonts w:ascii="宋体" w:hAnsi="宋体" w:cs="宋体"/>
                <w:color w:val="auto"/>
                <w:sz w:val="24"/>
                <w:highlight w:val="none"/>
              </w:rPr>
            </w:pPr>
          </w:p>
          <w:p>
            <w:pPr>
              <w:snapToGrid w:val="0"/>
              <w:spacing w:beforeLines="50" w:after="50" w:line="276" w:lineRule="auto"/>
              <w:rPr>
                <w:rFonts w:ascii="宋体" w:hAnsi="宋体" w:cs="宋体"/>
                <w:color w:val="auto"/>
                <w:sz w:val="24"/>
                <w:highlight w:val="none"/>
              </w:rPr>
            </w:pPr>
          </w:p>
          <w:p>
            <w:pPr>
              <w:snapToGrid w:val="0"/>
              <w:spacing w:beforeLines="50" w:after="50" w:line="276" w:lineRule="auto"/>
              <w:jc w:val="center"/>
              <w:rPr>
                <w:rFonts w:ascii="宋体" w:hAnsi="宋体" w:cs="宋体"/>
                <w:color w:val="auto"/>
                <w:sz w:val="24"/>
                <w:highlight w:val="none"/>
              </w:rPr>
            </w:pPr>
            <w:r>
              <w:rPr>
                <w:rFonts w:hint="eastAsia" w:ascii="宋体" w:hAnsi="宋体" w:cs="宋体"/>
                <w:color w:val="auto"/>
                <w:sz w:val="24"/>
                <w:highlight w:val="none"/>
              </w:rPr>
              <w:t>粘</w:t>
            </w:r>
          </w:p>
          <w:p>
            <w:pPr>
              <w:snapToGrid w:val="0"/>
              <w:spacing w:beforeLines="50" w:after="50" w:line="276" w:lineRule="auto"/>
              <w:jc w:val="center"/>
              <w:rPr>
                <w:rFonts w:ascii="宋体" w:hAnsi="宋体" w:cs="宋体"/>
                <w:color w:val="auto"/>
                <w:sz w:val="24"/>
                <w:highlight w:val="none"/>
              </w:rPr>
            </w:pPr>
          </w:p>
          <w:p>
            <w:pPr>
              <w:snapToGrid w:val="0"/>
              <w:spacing w:beforeLines="50" w:after="50" w:line="276" w:lineRule="auto"/>
              <w:jc w:val="center"/>
              <w:rPr>
                <w:rFonts w:ascii="宋体" w:hAnsi="宋体" w:cs="宋体"/>
                <w:color w:val="auto"/>
                <w:sz w:val="24"/>
                <w:highlight w:val="none"/>
              </w:rPr>
            </w:pPr>
            <w:r>
              <w:rPr>
                <w:rFonts w:hint="eastAsia" w:ascii="宋体" w:hAnsi="宋体" w:cs="宋体"/>
                <w:color w:val="auto"/>
                <w:sz w:val="24"/>
                <w:highlight w:val="none"/>
              </w:rPr>
              <w:t>贴</w:t>
            </w:r>
          </w:p>
          <w:p>
            <w:pPr>
              <w:snapToGrid w:val="0"/>
              <w:spacing w:beforeLines="50" w:after="50" w:line="276" w:lineRule="auto"/>
              <w:jc w:val="center"/>
              <w:rPr>
                <w:rFonts w:ascii="宋体" w:hAnsi="宋体" w:cs="宋体"/>
                <w:color w:val="auto"/>
                <w:sz w:val="24"/>
                <w:highlight w:val="none"/>
              </w:rPr>
            </w:pPr>
          </w:p>
          <w:p>
            <w:pPr>
              <w:snapToGrid w:val="0"/>
              <w:spacing w:beforeLines="50" w:after="50" w:line="276" w:lineRule="auto"/>
              <w:jc w:val="center"/>
              <w:rPr>
                <w:rFonts w:ascii="宋体" w:hAnsi="宋体" w:cs="宋体"/>
                <w:color w:val="auto"/>
                <w:sz w:val="24"/>
                <w:highlight w:val="none"/>
              </w:rPr>
            </w:pPr>
            <w:r>
              <w:rPr>
                <w:rFonts w:hint="eastAsia" w:ascii="宋体" w:hAnsi="宋体" w:cs="宋体"/>
                <w:color w:val="auto"/>
                <w:sz w:val="24"/>
                <w:highlight w:val="none"/>
              </w:rPr>
              <w:t>处</w:t>
            </w:r>
          </w:p>
        </w:tc>
      </w:tr>
    </w:tbl>
    <w:p>
      <w:pPr>
        <w:snapToGrid w:val="0"/>
        <w:spacing w:beforeLines="50" w:after="50" w:line="276" w:lineRule="auto"/>
        <w:rPr>
          <w:rFonts w:ascii="宋体" w:hAnsi="宋体" w:cs="宋体"/>
          <w:color w:val="auto"/>
          <w:sz w:val="24"/>
          <w:highlight w:val="none"/>
        </w:rPr>
      </w:pPr>
    </w:p>
    <w:p>
      <w:pPr>
        <w:snapToGrid w:val="0"/>
        <w:spacing w:beforeLines="50" w:after="50" w:line="276" w:lineRule="auto"/>
        <w:rPr>
          <w:rFonts w:ascii="宋体" w:hAnsi="宋体" w:cs="宋体"/>
          <w:color w:val="auto"/>
          <w:sz w:val="24"/>
          <w:highlight w:val="none"/>
        </w:rPr>
      </w:pPr>
    </w:p>
    <w:p>
      <w:pPr>
        <w:snapToGrid w:val="0"/>
        <w:spacing w:beforeLines="50" w:after="50" w:line="276" w:lineRule="auto"/>
        <w:rPr>
          <w:rFonts w:ascii="宋体" w:hAnsi="宋体" w:cs="宋体"/>
          <w:color w:val="auto"/>
          <w:sz w:val="24"/>
          <w:highlight w:val="none"/>
        </w:rPr>
      </w:pPr>
    </w:p>
    <w:p>
      <w:pPr>
        <w:snapToGrid w:val="0"/>
        <w:spacing w:beforeLines="50" w:after="50" w:line="276" w:lineRule="auto"/>
        <w:rPr>
          <w:rFonts w:ascii="宋体" w:hAnsi="宋体" w:cs="宋体"/>
          <w:color w:val="auto"/>
          <w:sz w:val="24"/>
          <w:highlight w:val="none"/>
        </w:rPr>
      </w:pPr>
    </w:p>
    <w:p>
      <w:pPr>
        <w:snapToGrid w:val="0"/>
        <w:spacing w:beforeLines="50" w:after="50" w:line="276" w:lineRule="auto"/>
        <w:rPr>
          <w:rFonts w:ascii="宋体" w:hAnsi="宋体" w:cs="宋体"/>
          <w:color w:val="auto"/>
          <w:sz w:val="24"/>
          <w:highlight w:val="none"/>
        </w:rPr>
      </w:pPr>
    </w:p>
    <w:p>
      <w:pPr>
        <w:snapToGrid w:val="0"/>
        <w:spacing w:beforeLines="50" w:after="50" w:line="276" w:lineRule="auto"/>
        <w:rPr>
          <w:rFonts w:ascii="宋体" w:hAnsi="宋体" w:cs="宋体"/>
          <w:color w:val="auto"/>
          <w:sz w:val="24"/>
          <w:highlight w:val="none"/>
        </w:rPr>
      </w:pPr>
    </w:p>
    <w:p>
      <w:pPr>
        <w:snapToGrid w:val="0"/>
        <w:spacing w:beforeLines="50" w:after="50" w:line="276" w:lineRule="auto"/>
        <w:rPr>
          <w:rFonts w:ascii="宋体" w:hAnsi="宋体" w:cs="宋体"/>
          <w:color w:val="auto"/>
          <w:sz w:val="24"/>
          <w:highlight w:val="none"/>
        </w:rPr>
      </w:pPr>
    </w:p>
    <w:p>
      <w:pPr>
        <w:snapToGrid w:val="0"/>
        <w:spacing w:beforeLines="50" w:after="50" w:line="276" w:lineRule="auto"/>
        <w:rPr>
          <w:rFonts w:ascii="宋体" w:hAnsi="宋体" w:cs="宋体"/>
          <w:color w:val="auto"/>
          <w:sz w:val="24"/>
          <w:highlight w:val="none"/>
        </w:rPr>
      </w:pPr>
    </w:p>
    <w:p>
      <w:pPr>
        <w:snapToGrid w:val="0"/>
        <w:spacing w:beforeLines="50" w:after="50" w:line="276" w:lineRule="auto"/>
        <w:rPr>
          <w:rFonts w:ascii="宋体" w:hAnsi="宋体" w:cs="宋体"/>
          <w:color w:val="auto"/>
          <w:sz w:val="24"/>
          <w:highlight w:val="none"/>
        </w:rPr>
      </w:pPr>
      <w:r>
        <w:rPr>
          <w:rFonts w:hint="eastAsia" w:ascii="宋体" w:hAnsi="宋体" w:cs="宋体"/>
          <w:color w:val="auto"/>
          <w:sz w:val="24"/>
          <w:highlight w:val="none"/>
        </w:rPr>
        <w:t xml:space="preserve"> </w:t>
      </w:r>
    </w:p>
    <w:p>
      <w:pPr>
        <w:snapToGrid w:val="0"/>
        <w:spacing w:beforeLines="50" w:after="50" w:line="276" w:lineRule="auto"/>
        <w:rPr>
          <w:rFonts w:ascii="宋体" w:hAnsi="宋体" w:cs="宋体"/>
          <w:color w:val="auto"/>
          <w:sz w:val="24"/>
          <w:highlight w:val="none"/>
        </w:rPr>
      </w:pPr>
    </w:p>
    <w:p>
      <w:pPr>
        <w:snapToGrid w:val="0"/>
        <w:spacing w:beforeLines="50" w:after="50" w:line="276" w:lineRule="auto"/>
        <w:rPr>
          <w:rFonts w:ascii="宋体" w:hAnsi="宋体" w:cs="宋体"/>
          <w:color w:val="auto"/>
          <w:sz w:val="24"/>
          <w:highlight w:val="none"/>
        </w:rPr>
      </w:pPr>
      <w:r>
        <w:rPr>
          <w:rFonts w:hint="eastAsia" w:ascii="宋体" w:hAnsi="宋体" w:cs="宋体"/>
          <w:color w:val="auto"/>
          <w:sz w:val="24"/>
          <w:highlight w:val="none"/>
        </w:rPr>
        <w:t xml:space="preserve">                                             供应商公章：</w:t>
      </w:r>
    </w:p>
    <w:p>
      <w:pPr>
        <w:snapToGrid w:val="0"/>
        <w:spacing w:beforeLines="50" w:after="50" w:line="276" w:lineRule="auto"/>
        <w:jc w:val="center"/>
        <w:rPr>
          <w:rFonts w:ascii="宋体" w:hAnsi="宋体" w:cs="宋体"/>
          <w:color w:val="auto"/>
          <w:sz w:val="24"/>
          <w:highlight w:val="none"/>
        </w:rPr>
      </w:pPr>
      <w:r>
        <w:rPr>
          <w:rFonts w:hint="eastAsia" w:ascii="宋体" w:hAnsi="宋体" w:cs="宋体"/>
          <w:color w:val="auto"/>
          <w:sz w:val="24"/>
          <w:highlight w:val="none"/>
        </w:rPr>
        <w:t xml:space="preserve">                                          年    月    日</w:t>
      </w:r>
    </w:p>
    <w:p>
      <w:pPr>
        <w:snapToGrid w:val="0"/>
        <w:spacing w:beforeLines="50" w:after="50" w:line="276" w:lineRule="auto"/>
        <w:jc w:val="left"/>
        <w:rPr>
          <w:rFonts w:ascii="宋体" w:hAnsi="宋体" w:cs="宋体"/>
          <w:color w:val="auto"/>
          <w:sz w:val="24"/>
          <w:highlight w:val="none"/>
        </w:rPr>
      </w:pPr>
      <w:r>
        <w:rPr>
          <w:rFonts w:hint="eastAsia" w:ascii="宋体" w:hAnsi="宋体" w:cs="宋体"/>
          <w:b/>
          <w:color w:val="auto"/>
          <w:sz w:val="24"/>
          <w:highlight w:val="none"/>
        </w:rPr>
        <w:t>*</w:t>
      </w:r>
      <w:r>
        <w:rPr>
          <w:rFonts w:hint="eastAsia" w:ascii="宋体" w:hAnsi="宋体" w:cs="宋体"/>
          <w:color w:val="auto"/>
          <w:sz w:val="24"/>
          <w:highlight w:val="none"/>
        </w:rPr>
        <w:t>注；此表格格式不得修改。</w:t>
      </w:r>
    </w:p>
    <w:p>
      <w:pPr>
        <w:pStyle w:val="6"/>
        <w:keepNext w:val="0"/>
        <w:keepLines w:val="0"/>
        <w:pageBreakBefore/>
        <w:spacing w:line="276" w:lineRule="auto"/>
        <w:rPr>
          <w:rFonts w:ascii="宋体" w:hAnsi="宋体" w:eastAsia="宋体" w:cs="宋体"/>
          <w:b w:val="0"/>
          <w:color w:val="auto"/>
          <w:sz w:val="24"/>
          <w:szCs w:val="24"/>
          <w:highlight w:val="none"/>
        </w:rPr>
      </w:pPr>
      <w:bookmarkStart w:id="57" w:name="_Toc25167"/>
      <w:bookmarkStart w:id="58" w:name="_Toc22508"/>
      <w:bookmarkStart w:id="59" w:name="_Toc23734"/>
      <w:r>
        <w:rPr>
          <w:rFonts w:hint="eastAsia" w:ascii="宋体" w:hAnsi="宋体" w:eastAsia="宋体" w:cs="宋体"/>
          <w:b w:val="0"/>
          <w:color w:val="auto"/>
          <w:sz w:val="24"/>
          <w:szCs w:val="24"/>
          <w:highlight w:val="none"/>
        </w:rPr>
        <w:t>附件五：联合体协议</w:t>
      </w:r>
      <w:bookmarkEnd w:id="57"/>
      <w:bookmarkEnd w:id="58"/>
      <w:bookmarkEnd w:id="59"/>
    </w:p>
    <w:p>
      <w:pPr>
        <w:jc w:val="center"/>
        <w:rPr>
          <w:b/>
          <w:bCs/>
          <w:color w:val="auto"/>
          <w:sz w:val="32"/>
          <w:szCs w:val="32"/>
          <w:highlight w:val="none"/>
        </w:rPr>
      </w:pPr>
      <w:r>
        <w:rPr>
          <w:rFonts w:hint="eastAsia" w:ascii="宋体" w:hAnsi="宋体" w:cs="宋体"/>
          <w:b/>
          <w:bCs/>
          <w:color w:val="auto"/>
          <w:sz w:val="32"/>
          <w:szCs w:val="32"/>
          <w:highlight w:val="none"/>
        </w:rPr>
        <w:t>联合体协议</w:t>
      </w:r>
    </w:p>
    <w:p>
      <w:pPr>
        <w:snapToGrid w:val="0"/>
        <w:spacing w:line="360" w:lineRule="auto"/>
        <w:ind w:firstLine="576"/>
        <w:rPr>
          <w:rFonts w:ascii="仿宋_GB2312" w:hAnsi="仿宋" w:eastAsia="仿宋_GB2312" w:cs="仿宋_GB2312"/>
          <w:b/>
          <w:bCs/>
          <w:color w:val="auto"/>
          <w:kern w:val="0"/>
          <w:sz w:val="24"/>
          <w:highlight w:val="none"/>
          <w:u w:val="single"/>
        </w:rPr>
      </w:pPr>
      <w:r>
        <w:rPr>
          <w:rFonts w:hint="eastAsia" w:ascii="仿宋_GB2312" w:hAnsi="仿宋" w:eastAsia="仿宋_GB2312" w:cs="仿宋_GB2312"/>
          <w:b/>
          <w:bCs/>
          <w:color w:val="auto"/>
          <w:kern w:val="0"/>
          <w:sz w:val="24"/>
          <w:highlight w:val="none"/>
          <w:u w:val="single"/>
        </w:rPr>
        <w:t>（以联合体形式投标的，提供联合协议；本项目不接受联合体投标或者供应商不以联合体形式投标的，则不需要提供）</w:t>
      </w:r>
    </w:p>
    <w:p>
      <w:pPr>
        <w:snapToGrid w:val="0"/>
        <w:spacing w:line="360" w:lineRule="auto"/>
        <w:ind w:firstLine="576"/>
        <w:rPr>
          <w:rFonts w:asciiTheme="minorEastAsia" w:hAnsiTheme="minorEastAsia" w:eastAsiaTheme="minorEastAsia" w:cstheme="minorEastAsia"/>
          <w:color w:val="auto"/>
          <w:kern w:val="0"/>
          <w:sz w:val="24"/>
          <w:highlight w:val="none"/>
          <w:lang w:val="zh-CN"/>
        </w:rPr>
      </w:pPr>
      <w:r>
        <w:rPr>
          <w:rFonts w:hint="eastAsia" w:asciiTheme="minorEastAsia" w:hAnsiTheme="minorEastAsia" w:eastAsiaTheme="minorEastAsia" w:cstheme="minorEastAsia"/>
          <w:color w:val="auto"/>
          <w:kern w:val="0"/>
          <w:sz w:val="24"/>
          <w:highlight w:val="none"/>
          <w:u w:val="single"/>
        </w:rPr>
        <w:t>（联合体所有成员名称）</w:t>
      </w:r>
      <w:r>
        <w:rPr>
          <w:rFonts w:hint="eastAsia" w:asciiTheme="minorEastAsia" w:hAnsiTheme="minorEastAsia" w:eastAsiaTheme="minorEastAsia" w:cstheme="minorEastAsia"/>
          <w:color w:val="auto"/>
          <w:kern w:val="0"/>
          <w:sz w:val="24"/>
          <w:highlight w:val="none"/>
        </w:rPr>
        <w:t>自愿</w:t>
      </w:r>
      <w:r>
        <w:rPr>
          <w:rFonts w:hint="eastAsia" w:asciiTheme="minorEastAsia" w:hAnsiTheme="minorEastAsia" w:eastAsiaTheme="minorEastAsia" w:cstheme="minorEastAsia"/>
          <w:color w:val="auto"/>
          <w:kern w:val="0"/>
          <w:sz w:val="24"/>
          <w:highlight w:val="none"/>
          <w:lang w:val="zh-CN"/>
        </w:rPr>
        <w:t>组成一个联合体，以一个供应商的身份</w:t>
      </w:r>
      <w:r>
        <w:rPr>
          <w:rFonts w:hint="eastAsia" w:asciiTheme="minorEastAsia" w:hAnsiTheme="minorEastAsia" w:eastAsiaTheme="minorEastAsia" w:cstheme="minorEastAsia"/>
          <w:color w:val="auto"/>
          <w:kern w:val="0"/>
          <w:sz w:val="24"/>
          <w:highlight w:val="none"/>
        </w:rPr>
        <w:t>参加</w:t>
      </w:r>
      <w:r>
        <w:rPr>
          <w:rFonts w:hint="eastAsia" w:asciiTheme="minorEastAsia" w:hAnsiTheme="minorEastAsia" w:eastAsiaTheme="minorEastAsia" w:cstheme="minorEastAsia"/>
          <w:color w:val="auto"/>
          <w:sz w:val="24"/>
          <w:highlight w:val="none"/>
        </w:rPr>
        <w:t>（项目名称）【招标编号：（采购编号）】</w:t>
      </w:r>
      <w:r>
        <w:rPr>
          <w:rFonts w:hint="eastAsia" w:asciiTheme="minorEastAsia" w:hAnsiTheme="minorEastAsia" w:eastAsiaTheme="minorEastAsia" w:cstheme="minorEastAsia"/>
          <w:color w:val="auto"/>
          <w:kern w:val="0"/>
          <w:sz w:val="24"/>
          <w:highlight w:val="none"/>
          <w:lang w:val="zh-CN"/>
        </w:rPr>
        <w:t xml:space="preserve">投标。 </w:t>
      </w:r>
    </w:p>
    <w:p>
      <w:pPr>
        <w:snapToGrid w:val="0"/>
        <w:spacing w:line="360" w:lineRule="auto"/>
        <w:ind w:firstLine="576"/>
        <w:rPr>
          <w:rFonts w:asciiTheme="minorEastAsia" w:hAnsiTheme="minorEastAsia" w:eastAsiaTheme="minorEastAsia" w:cstheme="minorEastAsia"/>
          <w:color w:val="auto"/>
          <w:kern w:val="0"/>
          <w:sz w:val="24"/>
          <w:highlight w:val="none"/>
          <w:lang w:val="zh-CN"/>
        </w:rPr>
      </w:pPr>
      <w:r>
        <w:rPr>
          <w:rFonts w:hint="eastAsia" w:asciiTheme="minorEastAsia" w:hAnsiTheme="minorEastAsia" w:eastAsiaTheme="minorEastAsia" w:cstheme="minorEastAsia"/>
          <w:color w:val="auto"/>
          <w:kern w:val="0"/>
          <w:sz w:val="24"/>
          <w:highlight w:val="none"/>
          <w:lang w:val="zh-CN"/>
        </w:rPr>
        <w:t>一、各方一致决定，</w:t>
      </w:r>
      <w:r>
        <w:rPr>
          <w:rFonts w:hint="eastAsia" w:asciiTheme="minorEastAsia" w:hAnsiTheme="minorEastAsia" w:eastAsiaTheme="minorEastAsia" w:cstheme="minorEastAsia"/>
          <w:color w:val="auto"/>
          <w:kern w:val="0"/>
          <w:sz w:val="24"/>
          <w:highlight w:val="none"/>
          <w:u w:val="single"/>
        </w:rPr>
        <w:t>（某联合体成员名称）</w:t>
      </w:r>
      <w:r>
        <w:rPr>
          <w:rFonts w:hint="eastAsia" w:asciiTheme="minorEastAsia" w:hAnsiTheme="minorEastAsia" w:eastAsiaTheme="minorEastAsia" w:cstheme="minorEastAsia"/>
          <w:color w:val="auto"/>
          <w:kern w:val="0"/>
          <w:sz w:val="24"/>
          <w:highlight w:val="none"/>
        </w:rPr>
        <w:t>为联合体</w:t>
      </w:r>
      <w:r>
        <w:rPr>
          <w:rFonts w:hint="eastAsia" w:asciiTheme="minorEastAsia" w:hAnsiTheme="minorEastAsia" w:eastAsiaTheme="minorEastAsia" w:cstheme="minorEastAsia"/>
          <w:color w:val="auto"/>
          <w:kern w:val="0"/>
          <w:sz w:val="24"/>
          <w:highlight w:val="none"/>
          <w:lang w:val="zh-CN"/>
        </w:rPr>
        <w:t>牵头人</w:t>
      </w:r>
      <w:r>
        <w:rPr>
          <w:rFonts w:hint="eastAsia" w:asciiTheme="minorEastAsia" w:hAnsiTheme="minorEastAsia" w:eastAsiaTheme="minorEastAsia" w:cstheme="minorEastAsia"/>
          <w:color w:val="auto"/>
          <w:sz w:val="24"/>
          <w:highlight w:val="none"/>
        </w:rPr>
        <w:t>，代表所有联合体成员负责投标和合同实施阶段的主办、协调工作</w:t>
      </w:r>
      <w:r>
        <w:rPr>
          <w:rFonts w:hint="eastAsia" w:asciiTheme="minorEastAsia" w:hAnsiTheme="minorEastAsia" w:eastAsiaTheme="minorEastAsia" w:cstheme="minorEastAsia"/>
          <w:color w:val="auto"/>
          <w:kern w:val="0"/>
          <w:sz w:val="24"/>
          <w:highlight w:val="none"/>
          <w:lang w:val="zh-CN"/>
        </w:rPr>
        <w:t>。</w:t>
      </w:r>
    </w:p>
    <w:p>
      <w:pPr>
        <w:snapToGrid w:val="0"/>
        <w:spacing w:line="360" w:lineRule="auto"/>
        <w:ind w:firstLine="576"/>
        <w:rPr>
          <w:rFonts w:asciiTheme="minorEastAsia" w:hAnsiTheme="minorEastAsia" w:eastAsiaTheme="minorEastAsia" w:cstheme="minorEastAsia"/>
          <w:color w:val="auto"/>
          <w:kern w:val="0"/>
          <w:sz w:val="24"/>
          <w:highlight w:val="none"/>
          <w:lang w:val="zh-CN"/>
        </w:rPr>
      </w:pPr>
      <w:r>
        <w:rPr>
          <w:rFonts w:hint="eastAsia" w:asciiTheme="minorEastAsia" w:hAnsiTheme="minorEastAsia" w:eastAsiaTheme="minorEastAsia" w:cstheme="minorEastAsia"/>
          <w:color w:val="auto"/>
          <w:kern w:val="0"/>
          <w:sz w:val="24"/>
          <w:highlight w:val="none"/>
          <w:lang w:val="zh-CN"/>
        </w:rPr>
        <w:t>二、</w:t>
      </w:r>
      <w:r>
        <w:rPr>
          <w:rFonts w:hint="eastAsia" w:asciiTheme="minorEastAsia" w:hAnsiTheme="minorEastAsia" w:eastAsiaTheme="minorEastAsia" w:cstheme="minorEastAsia"/>
          <w:color w:val="auto"/>
          <w:sz w:val="24"/>
          <w:highlight w:val="none"/>
        </w:rPr>
        <w:t>所有联合体成员各方签署授权书，授权书载明的</w:t>
      </w:r>
      <w:r>
        <w:rPr>
          <w:rFonts w:hint="eastAsia" w:asciiTheme="minorEastAsia" w:hAnsiTheme="minorEastAsia" w:eastAsiaTheme="minorEastAsia" w:cstheme="minorEastAsia"/>
          <w:color w:val="auto"/>
          <w:kern w:val="0"/>
          <w:sz w:val="24"/>
          <w:highlight w:val="none"/>
          <w:lang w:val="zh-CN"/>
        </w:rPr>
        <w:t>授权代表根据竞争性磋商文件规定及投标内容而对采购人、采购机构所作的任何合法承诺，包括书面澄清及相应等均对联合投标各方产生约束力。</w:t>
      </w:r>
    </w:p>
    <w:p>
      <w:pPr>
        <w:snapToGrid w:val="0"/>
        <w:spacing w:line="360" w:lineRule="auto"/>
        <w:ind w:firstLine="576"/>
        <w:rPr>
          <w:rFonts w:asciiTheme="minorEastAsia" w:hAnsiTheme="minorEastAsia" w:eastAsiaTheme="minorEastAsia" w:cstheme="minorEastAsia"/>
          <w:color w:val="auto"/>
          <w:kern w:val="0"/>
          <w:sz w:val="24"/>
          <w:highlight w:val="none"/>
          <w:lang w:val="zh-CN"/>
        </w:rPr>
      </w:pPr>
      <w:r>
        <w:rPr>
          <w:rFonts w:hint="eastAsia" w:asciiTheme="minorEastAsia" w:hAnsiTheme="minorEastAsia" w:eastAsiaTheme="minorEastAsia" w:cstheme="minorEastAsia"/>
          <w:color w:val="auto"/>
          <w:kern w:val="0"/>
          <w:sz w:val="24"/>
          <w:highlight w:val="none"/>
          <w:lang w:val="zh-CN"/>
        </w:rPr>
        <w:t>三、本次联合投标中，分工如下：</w:t>
      </w:r>
      <w:r>
        <w:rPr>
          <w:rFonts w:hint="eastAsia" w:asciiTheme="minorEastAsia" w:hAnsiTheme="minorEastAsia" w:eastAsiaTheme="minorEastAsia" w:cstheme="minorEastAsia"/>
          <w:color w:val="auto"/>
          <w:kern w:val="0"/>
          <w:sz w:val="24"/>
          <w:highlight w:val="none"/>
          <w:u w:val="single"/>
        </w:rPr>
        <w:t>（联合体其中一方成员名称）</w:t>
      </w:r>
      <w:r>
        <w:rPr>
          <w:rFonts w:hint="eastAsia" w:asciiTheme="minorEastAsia" w:hAnsiTheme="minorEastAsia" w:eastAsiaTheme="minorEastAsia" w:cstheme="minorEastAsia"/>
          <w:color w:val="auto"/>
          <w:kern w:val="0"/>
          <w:sz w:val="24"/>
          <w:highlight w:val="none"/>
          <w:lang w:val="zh-CN"/>
        </w:rPr>
        <w:t>承担的工作和义务为：</w:t>
      </w:r>
      <w:r>
        <w:rPr>
          <w:rFonts w:hint="eastAsia" w:asciiTheme="minorEastAsia" w:hAnsiTheme="minorEastAsia" w:eastAsiaTheme="minorEastAsia" w:cstheme="minorEastAsia"/>
          <w:color w:val="auto"/>
          <w:highlight w:val="none"/>
          <w:u w:val="single"/>
        </w:rPr>
        <w:t xml:space="preserve">             </w:t>
      </w:r>
      <w:r>
        <w:rPr>
          <w:rFonts w:hint="eastAsia" w:asciiTheme="minorEastAsia" w:hAnsiTheme="minorEastAsia" w:eastAsiaTheme="minorEastAsia" w:cstheme="minorEastAsia"/>
          <w:color w:val="auto"/>
          <w:kern w:val="0"/>
          <w:sz w:val="24"/>
          <w:highlight w:val="none"/>
          <w:lang w:val="zh-CN"/>
        </w:rPr>
        <w:t>；……。</w:t>
      </w:r>
    </w:p>
    <w:p>
      <w:pPr>
        <w:snapToGrid w:val="0"/>
        <w:spacing w:line="360" w:lineRule="auto"/>
        <w:ind w:firstLine="576"/>
        <w:rPr>
          <w:rFonts w:asciiTheme="minorEastAsia" w:hAnsiTheme="minorEastAsia" w:eastAsiaTheme="minorEastAsia" w:cstheme="minorEastAsia"/>
          <w:color w:val="auto"/>
          <w:kern w:val="0"/>
          <w:sz w:val="24"/>
          <w:highlight w:val="none"/>
          <w:lang w:val="zh-CN"/>
        </w:rPr>
      </w:pPr>
      <w:r>
        <w:rPr>
          <w:rFonts w:hint="eastAsia" w:asciiTheme="minorEastAsia" w:hAnsiTheme="minorEastAsia" w:eastAsiaTheme="minorEastAsia" w:cstheme="minorEastAsia"/>
          <w:color w:val="auto"/>
          <w:kern w:val="0"/>
          <w:sz w:val="24"/>
          <w:highlight w:val="none"/>
          <w:lang w:val="zh-CN"/>
        </w:rPr>
        <w:t>四、</w:t>
      </w:r>
      <w:r>
        <w:rPr>
          <w:rFonts w:hint="eastAsia" w:asciiTheme="minorEastAsia" w:hAnsiTheme="minorEastAsia" w:eastAsiaTheme="minorEastAsia" w:cstheme="minorEastAsia"/>
          <w:color w:val="auto"/>
          <w:kern w:val="0"/>
          <w:sz w:val="24"/>
          <w:highlight w:val="none"/>
          <w:u w:val="single"/>
        </w:rPr>
        <w:t>（联合体其中一方成员名称）</w:t>
      </w:r>
      <w:r>
        <w:rPr>
          <w:rFonts w:hint="eastAsia" w:asciiTheme="minorEastAsia" w:hAnsiTheme="minorEastAsia" w:eastAsiaTheme="minorEastAsia" w:cstheme="minorEastAsia"/>
          <w:color w:val="auto"/>
          <w:kern w:val="0"/>
          <w:sz w:val="24"/>
          <w:highlight w:val="none"/>
        </w:rPr>
        <w:t>提供的全部货物/服务由小微企业制造/服务，其合同份额占到合同总金额</w:t>
      </w:r>
      <w:r>
        <w:rPr>
          <w:rFonts w:hint="eastAsia" w:asciiTheme="minorEastAsia" w:hAnsiTheme="minorEastAsia" w:eastAsiaTheme="minorEastAsia" w:cstheme="minorEastAsia"/>
          <w:color w:val="auto"/>
          <w:kern w:val="0"/>
          <w:sz w:val="24"/>
          <w:highlight w:val="none"/>
          <w:u w:val="single"/>
        </w:rPr>
        <w:t xml:space="preserve">     </w:t>
      </w:r>
      <w:r>
        <w:rPr>
          <w:rFonts w:hint="eastAsia" w:asciiTheme="minorEastAsia" w:hAnsiTheme="minorEastAsia" w:eastAsiaTheme="minorEastAsia" w:cstheme="minorEastAsia"/>
          <w:color w:val="auto"/>
          <w:kern w:val="0"/>
          <w:sz w:val="24"/>
          <w:highlight w:val="none"/>
        </w:rPr>
        <w:t>%以上；</w:t>
      </w:r>
      <w:r>
        <w:rPr>
          <w:rFonts w:hint="eastAsia" w:asciiTheme="minorEastAsia" w:hAnsiTheme="minorEastAsia" w:eastAsiaTheme="minorEastAsia" w:cstheme="minorEastAsia"/>
          <w:color w:val="auto"/>
          <w:kern w:val="0"/>
          <w:sz w:val="24"/>
          <w:highlight w:val="none"/>
          <w:lang w:val="zh-CN"/>
        </w:rPr>
        <w:t>……。</w:t>
      </w:r>
    </w:p>
    <w:p>
      <w:pPr>
        <w:snapToGrid w:val="0"/>
        <w:spacing w:line="360" w:lineRule="auto"/>
        <w:ind w:firstLine="576"/>
        <w:rPr>
          <w:rFonts w:asciiTheme="minorEastAsia" w:hAnsiTheme="minorEastAsia" w:eastAsiaTheme="minorEastAsia" w:cstheme="minorEastAsia"/>
          <w:color w:val="auto"/>
          <w:kern w:val="0"/>
          <w:sz w:val="24"/>
          <w:highlight w:val="none"/>
          <w:lang w:val="zh-CN"/>
        </w:rPr>
      </w:pPr>
      <w:r>
        <w:rPr>
          <w:rFonts w:hint="eastAsia" w:asciiTheme="minorEastAsia" w:hAnsiTheme="minorEastAsia" w:eastAsiaTheme="minorEastAsia" w:cstheme="minorEastAsia"/>
          <w:color w:val="auto"/>
          <w:kern w:val="0"/>
          <w:sz w:val="24"/>
          <w:highlight w:val="none"/>
          <w:lang w:val="zh-CN"/>
        </w:rPr>
        <w:t>五、如果中标，</w:t>
      </w:r>
      <w:r>
        <w:rPr>
          <w:rFonts w:hint="eastAsia" w:asciiTheme="minorEastAsia" w:hAnsiTheme="minorEastAsia" w:eastAsiaTheme="minorEastAsia" w:cstheme="minorEastAsia"/>
          <w:color w:val="auto"/>
          <w:sz w:val="24"/>
          <w:highlight w:val="none"/>
        </w:rPr>
        <w:t>联合体各成员方共同与采购人签订合同，并就采购合同约定的事项对采购人承担连带责任。</w:t>
      </w:r>
    </w:p>
    <w:p>
      <w:pPr>
        <w:snapToGrid w:val="0"/>
        <w:spacing w:line="360" w:lineRule="auto"/>
        <w:ind w:firstLine="576"/>
        <w:rPr>
          <w:rFonts w:asciiTheme="minorEastAsia" w:hAnsiTheme="minorEastAsia" w:eastAsiaTheme="minorEastAsia" w:cstheme="minorEastAsia"/>
          <w:color w:val="auto"/>
          <w:kern w:val="0"/>
          <w:sz w:val="24"/>
          <w:highlight w:val="none"/>
          <w:lang w:val="zh-CN"/>
        </w:rPr>
      </w:pPr>
      <w:r>
        <w:rPr>
          <w:rFonts w:hint="eastAsia" w:asciiTheme="minorEastAsia" w:hAnsiTheme="minorEastAsia" w:eastAsiaTheme="minorEastAsia" w:cstheme="minorEastAsia"/>
          <w:color w:val="auto"/>
          <w:kern w:val="0"/>
          <w:sz w:val="24"/>
          <w:highlight w:val="none"/>
          <w:lang w:val="zh-CN"/>
        </w:rPr>
        <w:t>六、有关本次联合投标的其他事宜：</w:t>
      </w:r>
    </w:p>
    <w:p>
      <w:pPr>
        <w:snapToGrid w:val="0"/>
        <w:spacing w:line="360" w:lineRule="auto"/>
        <w:ind w:firstLine="576"/>
        <w:rPr>
          <w:rFonts w:asciiTheme="minorEastAsia" w:hAnsiTheme="minorEastAsia" w:eastAsiaTheme="minorEastAsia" w:cstheme="minorEastAsia"/>
          <w:color w:val="auto"/>
          <w:kern w:val="0"/>
          <w:sz w:val="24"/>
          <w:highlight w:val="none"/>
          <w:lang w:val="zh-CN"/>
        </w:rPr>
      </w:pPr>
      <w:r>
        <w:rPr>
          <w:rFonts w:hint="eastAsia" w:asciiTheme="minorEastAsia" w:hAnsiTheme="minorEastAsia" w:eastAsiaTheme="minorEastAsia" w:cstheme="minorEastAsia"/>
          <w:color w:val="auto"/>
          <w:kern w:val="0"/>
          <w:sz w:val="24"/>
          <w:highlight w:val="none"/>
          <w:lang w:val="zh-CN"/>
        </w:rPr>
        <w:t>1、联合体各方不再单独参加或者与其他供应商另外组成联合体参加同一合同项下的政府采购活动。</w:t>
      </w:r>
    </w:p>
    <w:p>
      <w:pPr>
        <w:snapToGrid w:val="0"/>
        <w:spacing w:line="360" w:lineRule="auto"/>
        <w:ind w:firstLine="576"/>
        <w:rPr>
          <w:rFonts w:asciiTheme="minorEastAsia" w:hAnsiTheme="minorEastAsia" w:eastAsiaTheme="minorEastAsia" w:cstheme="minorEastAsia"/>
          <w:color w:val="auto"/>
          <w:kern w:val="0"/>
          <w:sz w:val="24"/>
          <w:highlight w:val="none"/>
          <w:lang w:val="zh-CN"/>
        </w:rPr>
      </w:pPr>
      <w:r>
        <w:rPr>
          <w:rFonts w:hint="eastAsia" w:asciiTheme="minorEastAsia" w:hAnsiTheme="minorEastAsia" w:eastAsiaTheme="minorEastAsia" w:cstheme="minorEastAsia"/>
          <w:color w:val="auto"/>
          <w:kern w:val="0"/>
          <w:sz w:val="24"/>
          <w:highlight w:val="none"/>
          <w:lang w:val="zh-CN"/>
        </w:rPr>
        <w:t>2、联合体中有同类资质的各方按照联合体分工承担相同工作的，按照资质等级较低的供应商确定资质等级。</w:t>
      </w:r>
    </w:p>
    <w:p>
      <w:pPr>
        <w:snapToGrid w:val="0"/>
        <w:spacing w:line="360" w:lineRule="auto"/>
        <w:ind w:firstLine="576"/>
        <w:rPr>
          <w:rFonts w:asciiTheme="minorEastAsia" w:hAnsiTheme="minorEastAsia" w:eastAsiaTheme="minorEastAsia" w:cstheme="minorEastAsia"/>
          <w:color w:val="auto"/>
          <w:kern w:val="0"/>
          <w:sz w:val="24"/>
          <w:highlight w:val="none"/>
          <w:lang w:val="zh-CN"/>
        </w:rPr>
      </w:pPr>
      <w:r>
        <w:rPr>
          <w:rFonts w:hint="eastAsia" w:asciiTheme="minorEastAsia" w:hAnsiTheme="minorEastAsia" w:eastAsiaTheme="minorEastAsia" w:cstheme="minorEastAsia"/>
          <w:color w:val="auto"/>
          <w:kern w:val="0"/>
          <w:sz w:val="24"/>
          <w:highlight w:val="none"/>
          <w:lang w:val="zh-CN"/>
        </w:rPr>
        <w:t>3、本协议提交采购人、采购机构后，联合体各方不得以任何形式对上述内容进行修改或撤销。</w:t>
      </w:r>
    </w:p>
    <w:p>
      <w:pPr>
        <w:snapToGrid w:val="0"/>
        <w:spacing w:line="360" w:lineRule="auto"/>
        <w:ind w:firstLine="5040" w:firstLineChars="2100"/>
        <w:rPr>
          <w:rFonts w:asciiTheme="minorEastAsia" w:hAnsiTheme="minorEastAsia" w:eastAsiaTheme="minorEastAsia" w:cstheme="minorEastAsia"/>
          <w:color w:val="auto"/>
          <w:highlight w:val="none"/>
        </w:rPr>
      </w:pPr>
      <w:r>
        <w:rPr>
          <w:rFonts w:hint="eastAsia" w:asciiTheme="minorEastAsia" w:hAnsiTheme="minorEastAsia" w:eastAsiaTheme="minorEastAsia" w:cstheme="minorEastAsia"/>
          <w:color w:val="auto"/>
          <w:kern w:val="0"/>
          <w:sz w:val="24"/>
          <w:highlight w:val="none"/>
          <w:lang w:val="zh-CN"/>
        </w:rPr>
        <w:t>联合体成员名称(公章)：</w:t>
      </w:r>
    </w:p>
    <w:p>
      <w:pPr>
        <w:snapToGrid w:val="0"/>
        <w:spacing w:line="360" w:lineRule="auto"/>
        <w:rPr>
          <w:rFonts w:asciiTheme="minorEastAsia" w:hAnsiTheme="minorEastAsia" w:eastAsiaTheme="minorEastAsia" w:cstheme="minorEastAsia"/>
          <w:color w:val="auto"/>
          <w:kern w:val="0"/>
          <w:sz w:val="24"/>
          <w:highlight w:val="none"/>
          <w:lang w:val="zh-CN"/>
        </w:rPr>
      </w:pPr>
      <w:r>
        <w:rPr>
          <w:rFonts w:hint="eastAsia" w:asciiTheme="minorEastAsia" w:hAnsiTheme="minorEastAsia" w:eastAsiaTheme="minorEastAsia" w:cstheme="minorEastAsia"/>
          <w:color w:val="auto"/>
          <w:kern w:val="0"/>
          <w:sz w:val="24"/>
          <w:highlight w:val="none"/>
          <w:lang w:val="zh-CN"/>
        </w:rPr>
        <w:t xml:space="preserve">                                               日期：  年  月   日</w:t>
      </w:r>
    </w:p>
    <w:p>
      <w:pPr>
        <w:snapToGrid w:val="0"/>
        <w:spacing w:line="360" w:lineRule="auto"/>
        <w:ind w:right="480"/>
        <w:rPr>
          <w:rFonts w:asciiTheme="minorEastAsia" w:hAnsiTheme="minorEastAsia" w:eastAsiaTheme="minorEastAsia" w:cstheme="minorEastAsia"/>
          <w:b/>
          <w:color w:val="auto"/>
          <w:kern w:val="0"/>
          <w:sz w:val="32"/>
          <w:szCs w:val="32"/>
          <w:highlight w:val="none"/>
          <w:lang w:val="zh-CN"/>
        </w:rPr>
        <w:sectPr>
          <w:pgSz w:w="11906" w:h="16838"/>
          <w:pgMar w:top="1276" w:right="1361" w:bottom="1247" w:left="1418" w:header="851" w:footer="992" w:gutter="0"/>
          <w:cols w:space="720" w:num="1"/>
          <w:docGrid w:linePitch="312" w:charSpace="0"/>
        </w:sectPr>
      </w:pPr>
    </w:p>
    <w:p>
      <w:pPr>
        <w:pStyle w:val="6"/>
        <w:rPr>
          <w:rFonts w:ascii="宋体" w:hAnsi="宋体" w:eastAsia="宋体" w:cs="宋体"/>
          <w:b w:val="0"/>
          <w:color w:val="auto"/>
          <w:sz w:val="24"/>
          <w:szCs w:val="24"/>
          <w:highlight w:val="none"/>
        </w:rPr>
      </w:pPr>
      <w:bookmarkStart w:id="60" w:name="_Toc2319"/>
      <w:bookmarkStart w:id="61" w:name="_Toc20690"/>
      <w:bookmarkStart w:id="62" w:name="_Toc160"/>
      <w:r>
        <w:rPr>
          <w:rFonts w:hint="eastAsia" w:ascii="宋体" w:hAnsi="宋体" w:eastAsia="宋体" w:cs="宋体"/>
          <w:b w:val="0"/>
          <w:color w:val="auto"/>
          <w:sz w:val="24"/>
          <w:szCs w:val="24"/>
          <w:highlight w:val="none"/>
        </w:rPr>
        <w:t>附件六：分包意向协议</w:t>
      </w:r>
      <w:bookmarkEnd w:id="60"/>
      <w:bookmarkEnd w:id="61"/>
      <w:bookmarkEnd w:id="62"/>
    </w:p>
    <w:p>
      <w:pPr>
        <w:snapToGrid w:val="0"/>
        <w:spacing w:line="360" w:lineRule="auto"/>
        <w:ind w:firstLine="3534" w:firstLineChars="1100"/>
        <w:rPr>
          <w:rFonts w:asciiTheme="minorEastAsia" w:hAnsiTheme="minorEastAsia" w:eastAsiaTheme="minorEastAsia" w:cstheme="minorEastAsia"/>
          <w:b/>
          <w:color w:val="auto"/>
          <w:kern w:val="0"/>
          <w:sz w:val="32"/>
          <w:szCs w:val="32"/>
          <w:highlight w:val="none"/>
        </w:rPr>
      </w:pPr>
      <w:r>
        <w:rPr>
          <w:rFonts w:hint="eastAsia" w:asciiTheme="minorEastAsia" w:hAnsiTheme="minorEastAsia" w:eastAsiaTheme="minorEastAsia" w:cstheme="minorEastAsia"/>
          <w:b/>
          <w:color w:val="auto"/>
          <w:kern w:val="0"/>
          <w:sz w:val="32"/>
          <w:szCs w:val="32"/>
          <w:highlight w:val="none"/>
        </w:rPr>
        <w:t>分包意向协议</w:t>
      </w:r>
    </w:p>
    <w:p>
      <w:pPr>
        <w:widowControl/>
        <w:spacing w:line="360" w:lineRule="auto"/>
        <w:ind w:firstLine="120" w:firstLineChars="50"/>
        <w:jc w:val="left"/>
        <w:rPr>
          <w:rFonts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w:t>
      </w:r>
      <w:r>
        <w:rPr>
          <w:rFonts w:hint="eastAsia" w:asciiTheme="minorEastAsia" w:hAnsiTheme="minorEastAsia" w:eastAsiaTheme="minorEastAsia" w:cstheme="minorEastAsia"/>
          <w:b/>
          <w:color w:val="auto"/>
          <w:sz w:val="24"/>
          <w:highlight w:val="none"/>
        </w:rPr>
        <w:t>中标后以分包方式履行合同的，提供分包意向协议；采购人不同意分包或者供应商中标后不以分包方式履行合同的，则不需要提供。</w:t>
      </w:r>
      <w:r>
        <w:rPr>
          <w:rFonts w:hint="eastAsia" w:asciiTheme="minorEastAsia" w:hAnsiTheme="minorEastAsia" w:eastAsiaTheme="minorEastAsia" w:cstheme="minorEastAsia"/>
          <w:color w:val="auto"/>
          <w:sz w:val="24"/>
          <w:highlight w:val="none"/>
        </w:rPr>
        <w:t>）</w:t>
      </w:r>
    </w:p>
    <w:p>
      <w:pPr>
        <w:snapToGrid w:val="0"/>
        <w:spacing w:line="360" w:lineRule="auto"/>
        <w:ind w:firstLine="576"/>
        <w:rPr>
          <w:rFonts w:asciiTheme="minorEastAsia" w:hAnsiTheme="minorEastAsia" w:eastAsiaTheme="minorEastAsia" w:cstheme="minorEastAsia"/>
          <w:color w:val="auto"/>
          <w:kern w:val="0"/>
          <w:sz w:val="24"/>
          <w:highlight w:val="none"/>
          <w:lang w:val="zh-CN"/>
        </w:rPr>
      </w:pPr>
      <w:r>
        <w:rPr>
          <w:rFonts w:hint="eastAsia" w:asciiTheme="minorEastAsia" w:hAnsiTheme="minorEastAsia" w:eastAsiaTheme="minorEastAsia" w:cstheme="minorEastAsia"/>
          <w:color w:val="auto"/>
          <w:kern w:val="0"/>
          <w:sz w:val="24"/>
          <w:highlight w:val="none"/>
          <w:u w:val="single"/>
        </w:rPr>
        <w:t>（供应商名称）</w:t>
      </w:r>
      <w:r>
        <w:rPr>
          <w:rFonts w:hint="eastAsia" w:asciiTheme="minorEastAsia" w:hAnsiTheme="minorEastAsia" w:eastAsiaTheme="minorEastAsia" w:cstheme="minorEastAsia"/>
          <w:color w:val="auto"/>
          <w:kern w:val="0"/>
          <w:sz w:val="24"/>
          <w:highlight w:val="none"/>
          <w:lang w:val="zh-CN"/>
        </w:rPr>
        <w:t>若成为</w:t>
      </w:r>
      <w:r>
        <w:rPr>
          <w:rFonts w:hint="eastAsia" w:asciiTheme="minorEastAsia" w:hAnsiTheme="minorEastAsia" w:eastAsiaTheme="minorEastAsia" w:cstheme="minorEastAsia"/>
          <w:color w:val="auto"/>
          <w:sz w:val="24"/>
          <w:highlight w:val="none"/>
        </w:rPr>
        <w:t>（项目名称）【招标编号：（采购编号）】</w:t>
      </w:r>
      <w:r>
        <w:rPr>
          <w:rFonts w:hint="eastAsia" w:asciiTheme="minorEastAsia" w:hAnsiTheme="minorEastAsia" w:eastAsiaTheme="minorEastAsia" w:cstheme="minorEastAsia"/>
          <w:color w:val="auto"/>
          <w:kern w:val="0"/>
          <w:sz w:val="24"/>
          <w:highlight w:val="none"/>
          <w:lang w:val="zh-CN"/>
        </w:rPr>
        <w:t>的中标供应商，将依法采取分包方式履行合同。</w:t>
      </w:r>
      <w:r>
        <w:rPr>
          <w:rFonts w:hint="eastAsia" w:asciiTheme="minorEastAsia" w:hAnsiTheme="minorEastAsia" w:eastAsiaTheme="minorEastAsia" w:cstheme="minorEastAsia"/>
          <w:color w:val="auto"/>
          <w:kern w:val="0"/>
          <w:sz w:val="24"/>
          <w:highlight w:val="none"/>
          <w:u w:val="single"/>
        </w:rPr>
        <w:t>（供应商名称）</w:t>
      </w:r>
      <w:r>
        <w:rPr>
          <w:rFonts w:hint="eastAsia" w:asciiTheme="minorEastAsia" w:hAnsiTheme="minorEastAsia" w:eastAsiaTheme="minorEastAsia" w:cstheme="minorEastAsia"/>
          <w:color w:val="auto"/>
          <w:kern w:val="0"/>
          <w:sz w:val="24"/>
          <w:highlight w:val="none"/>
        </w:rPr>
        <w:t>与</w:t>
      </w:r>
      <w:r>
        <w:rPr>
          <w:rFonts w:hint="eastAsia" w:asciiTheme="minorEastAsia" w:hAnsiTheme="minorEastAsia" w:eastAsiaTheme="minorEastAsia" w:cstheme="minorEastAsia"/>
          <w:color w:val="auto"/>
          <w:kern w:val="0"/>
          <w:sz w:val="24"/>
          <w:highlight w:val="none"/>
          <w:u w:val="single"/>
        </w:rPr>
        <w:t>（所有分包供应商名称）</w:t>
      </w:r>
      <w:r>
        <w:rPr>
          <w:rFonts w:hint="eastAsia" w:asciiTheme="minorEastAsia" w:hAnsiTheme="minorEastAsia" w:eastAsiaTheme="minorEastAsia" w:cstheme="minorEastAsia"/>
          <w:color w:val="auto"/>
          <w:kern w:val="0"/>
          <w:sz w:val="24"/>
          <w:highlight w:val="none"/>
        </w:rPr>
        <w:t>达成分包意向协议</w:t>
      </w:r>
      <w:r>
        <w:rPr>
          <w:rFonts w:hint="eastAsia" w:asciiTheme="minorEastAsia" w:hAnsiTheme="minorEastAsia" w:eastAsiaTheme="minorEastAsia" w:cstheme="minorEastAsia"/>
          <w:color w:val="auto"/>
          <w:kern w:val="0"/>
          <w:sz w:val="24"/>
          <w:highlight w:val="none"/>
          <w:lang w:val="zh-CN"/>
        </w:rPr>
        <w:t xml:space="preserve">。 </w:t>
      </w:r>
    </w:p>
    <w:p>
      <w:pPr>
        <w:snapToGrid w:val="0"/>
        <w:spacing w:line="360" w:lineRule="auto"/>
        <w:ind w:firstLine="576"/>
        <w:rPr>
          <w:rFonts w:asciiTheme="minorEastAsia" w:hAnsiTheme="minorEastAsia" w:eastAsiaTheme="minorEastAsia" w:cstheme="minorEastAsia"/>
          <w:color w:val="auto"/>
          <w:kern w:val="0"/>
          <w:sz w:val="24"/>
          <w:highlight w:val="none"/>
          <w:lang w:val="zh-CN"/>
        </w:rPr>
      </w:pPr>
      <w:r>
        <w:rPr>
          <w:rFonts w:hint="eastAsia" w:asciiTheme="minorEastAsia" w:hAnsiTheme="minorEastAsia" w:eastAsiaTheme="minorEastAsia" w:cstheme="minorEastAsia"/>
          <w:color w:val="auto"/>
          <w:kern w:val="0"/>
          <w:sz w:val="24"/>
          <w:highlight w:val="none"/>
          <w:lang w:val="zh-CN"/>
        </w:rPr>
        <w:t>一、分包标的及数量</w:t>
      </w:r>
    </w:p>
    <w:p>
      <w:pPr>
        <w:snapToGrid w:val="0"/>
        <w:spacing w:line="360" w:lineRule="auto"/>
        <w:ind w:firstLine="576"/>
        <w:rPr>
          <w:rFonts w:asciiTheme="minorEastAsia" w:hAnsiTheme="minorEastAsia" w:eastAsiaTheme="minorEastAsia" w:cstheme="minorEastAsia"/>
          <w:color w:val="auto"/>
          <w:kern w:val="0"/>
          <w:sz w:val="24"/>
          <w:highlight w:val="none"/>
          <w:lang w:val="zh-CN"/>
        </w:rPr>
      </w:pPr>
      <w:r>
        <w:rPr>
          <w:rFonts w:hint="eastAsia" w:asciiTheme="minorEastAsia" w:hAnsiTheme="minorEastAsia" w:eastAsiaTheme="minorEastAsia" w:cstheme="minorEastAsia"/>
          <w:color w:val="auto"/>
          <w:kern w:val="0"/>
          <w:sz w:val="24"/>
          <w:highlight w:val="none"/>
          <w:u w:val="single"/>
        </w:rPr>
        <w:t>（供应商名称）</w:t>
      </w:r>
      <w:r>
        <w:rPr>
          <w:rFonts w:hint="eastAsia" w:asciiTheme="minorEastAsia" w:hAnsiTheme="minorEastAsia" w:eastAsiaTheme="minorEastAsia" w:cstheme="minorEastAsia"/>
          <w:color w:val="auto"/>
          <w:kern w:val="0"/>
          <w:sz w:val="24"/>
          <w:highlight w:val="none"/>
          <w:lang w:val="zh-CN"/>
        </w:rPr>
        <w:t>将</w:t>
      </w:r>
      <w:r>
        <w:rPr>
          <w:rFonts w:hint="eastAsia" w:asciiTheme="minorEastAsia" w:hAnsiTheme="minorEastAsia" w:eastAsiaTheme="minorEastAsia" w:cstheme="minorEastAsia"/>
          <w:color w:val="auto"/>
          <w:sz w:val="24"/>
          <w:highlight w:val="none"/>
          <w:u w:val="single"/>
        </w:rPr>
        <w:t xml:space="preserve">   XX工作内容   </w:t>
      </w:r>
      <w:r>
        <w:rPr>
          <w:rFonts w:hint="eastAsia" w:asciiTheme="minorEastAsia" w:hAnsiTheme="minorEastAsia" w:eastAsiaTheme="minorEastAsia" w:cstheme="minorEastAsia"/>
          <w:color w:val="auto"/>
          <w:sz w:val="24"/>
          <w:highlight w:val="none"/>
        </w:rPr>
        <w:t>分包给</w:t>
      </w:r>
      <w:r>
        <w:rPr>
          <w:rFonts w:hint="eastAsia" w:asciiTheme="minorEastAsia" w:hAnsiTheme="minorEastAsia" w:eastAsiaTheme="minorEastAsia" w:cstheme="minorEastAsia"/>
          <w:color w:val="auto"/>
          <w:kern w:val="0"/>
          <w:sz w:val="24"/>
          <w:highlight w:val="none"/>
          <w:u w:val="single"/>
        </w:rPr>
        <w:t>（某分包供应商名称）</w:t>
      </w:r>
      <w:r>
        <w:rPr>
          <w:rFonts w:hint="eastAsia" w:asciiTheme="minorEastAsia" w:hAnsiTheme="minorEastAsia" w:eastAsiaTheme="minorEastAsia" w:cstheme="minorEastAsia"/>
          <w:color w:val="auto"/>
          <w:kern w:val="0"/>
          <w:sz w:val="24"/>
          <w:highlight w:val="none"/>
          <w:lang w:val="zh-CN"/>
        </w:rPr>
        <w:t>，</w:t>
      </w:r>
      <w:r>
        <w:rPr>
          <w:rFonts w:hint="eastAsia" w:asciiTheme="minorEastAsia" w:hAnsiTheme="minorEastAsia" w:eastAsiaTheme="minorEastAsia" w:cstheme="minorEastAsia"/>
          <w:color w:val="auto"/>
          <w:kern w:val="0"/>
          <w:sz w:val="24"/>
          <w:highlight w:val="none"/>
          <w:u w:val="single"/>
        </w:rPr>
        <w:t>（某分包供应商名称），</w:t>
      </w:r>
      <w:r>
        <w:rPr>
          <w:rFonts w:hint="eastAsia" w:asciiTheme="minorEastAsia" w:hAnsiTheme="minorEastAsia" w:eastAsiaTheme="minorEastAsia" w:cstheme="minorEastAsia"/>
          <w:color w:val="auto"/>
          <w:kern w:val="0"/>
          <w:sz w:val="24"/>
          <w:highlight w:val="none"/>
          <w:lang w:val="zh-CN"/>
        </w:rPr>
        <w:t>具备承</w:t>
      </w:r>
      <w:r>
        <w:rPr>
          <w:rFonts w:hint="eastAsia" w:asciiTheme="minorEastAsia" w:hAnsiTheme="minorEastAsia" w:eastAsiaTheme="minorEastAsia" w:cstheme="minorEastAsia"/>
          <w:color w:val="auto"/>
          <w:kern w:val="0"/>
          <w:sz w:val="24"/>
          <w:highlight w:val="none"/>
        </w:rPr>
        <w:t>担</w:t>
      </w:r>
      <w:r>
        <w:rPr>
          <w:rFonts w:hint="eastAsia" w:asciiTheme="minorEastAsia" w:hAnsiTheme="minorEastAsia" w:eastAsiaTheme="minorEastAsia" w:cstheme="minorEastAsia"/>
          <w:color w:val="auto"/>
          <w:kern w:val="0"/>
          <w:sz w:val="24"/>
          <w:highlight w:val="none"/>
          <w:u w:val="single"/>
          <w:lang w:val="zh-CN"/>
        </w:rPr>
        <w:t>XX工作内容</w:t>
      </w:r>
      <w:r>
        <w:rPr>
          <w:rFonts w:hint="eastAsia" w:asciiTheme="minorEastAsia" w:hAnsiTheme="minorEastAsia" w:eastAsiaTheme="minorEastAsia" w:cstheme="minorEastAsia"/>
          <w:color w:val="auto"/>
          <w:kern w:val="0"/>
          <w:sz w:val="24"/>
          <w:highlight w:val="none"/>
          <w:lang w:val="zh-CN"/>
        </w:rPr>
        <w:t>相应资质条件且不得再次分包；</w:t>
      </w:r>
    </w:p>
    <w:p>
      <w:pPr>
        <w:snapToGrid w:val="0"/>
        <w:spacing w:line="360" w:lineRule="auto"/>
        <w:ind w:firstLine="576"/>
        <w:rPr>
          <w:rFonts w:asciiTheme="minorEastAsia" w:hAnsiTheme="minorEastAsia" w:eastAsiaTheme="minorEastAsia" w:cstheme="minorEastAsia"/>
          <w:color w:val="auto"/>
          <w:kern w:val="0"/>
          <w:sz w:val="24"/>
          <w:highlight w:val="none"/>
          <w:u w:val="single"/>
        </w:rPr>
      </w:pPr>
      <w:r>
        <w:rPr>
          <w:rFonts w:hint="eastAsia" w:asciiTheme="minorEastAsia" w:hAnsiTheme="minorEastAsia" w:eastAsiaTheme="minorEastAsia" w:cstheme="minorEastAsia"/>
          <w:color w:val="auto"/>
          <w:kern w:val="0"/>
          <w:sz w:val="24"/>
          <w:highlight w:val="none"/>
          <w:u w:val="single"/>
        </w:rPr>
        <w:t>……</w:t>
      </w:r>
    </w:p>
    <w:p>
      <w:pPr>
        <w:snapToGrid w:val="0"/>
        <w:spacing w:line="360" w:lineRule="auto"/>
        <w:ind w:firstLine="576"/>
        <w:rPr>
          <w:rFonts w:asciiTheme="minorEastAsia" w:hAnsiTheme="minorEastAsia" w:eastAsiaTheme="minorEastAsia" w:cstheme="minorEastAsia"/>
          <w:color w:val="auto"/>
          <w:kern w:val="0"/>
          <w:sz w:val="24"/>
          <w:highlight w:val="none"/>
          <w:lang w:val="zh-CN"/>
        </w:rPr>
      </w:pPr>
      <w:r>
        <w:rPr>
          <w:rFonts w:hint="eastAsia" w:asciiTheme="minorEastAsia" w:hAnsiTheme="minorEastAsia" w:eastAsiaTheme="minorEastAsia" w:cstheme="minorEastAsia"/>
          <w:color w:val="auto"/>
          <w:kern w:val="0"/>
          <w:sz w:val="24"/>
          <w:highlight w:val="none"/>
          <w:lang w:val="zh-CN"/>
        </w:rPr>
        <w:t>二、分包工作履行期限、地点、方式</w:t>
      </w:r>
    </w:p>
    <w:p>
      <w:pPr>
        <w:snapToGrid w:val="0"/>
        <w:spacing w:line="360" w:lineRule="auto"/>
        <w:ind w:firstLine="576"/>
        <w:rPr>
          <w:rFonts w:asciiTheme="minorEastAsia" w:hAnsiTheme="minorEastAsia" w:eastAsiaTheme="minorEastAsia" w:cstheme="minorEastAsia"/>
          <w:color w:val="auto"/>
          <w:sz w:val="24"/>
          <w:highlight w:val="none"/>
          <w:u w:val="single"/>
        </w:rPr>
      </w:pPr>
      <w:r>
        <w:rPr>
          <w:rFonts w:hint="eastAsia" w:asciiTheme="minorEastAsia" w:hAnsiTheme="minorEastAsia" w:eastAsiaTheme="minorEastAsia" w:cstheme="minorEastAsia"/>
          <w:color w:val="auto"/>
          <w:sz w:val="24"/>
          <w:highlight w:val="none"/>
          <w:u w:val="single"/>
        </w:rPr>
        <w:t xml:space="preserve">                                                                                  </w:t>
      </w:r>
    </w:p>
    <w:p>
      <w:pPr>
        <w:snapToGrid w:val="0"/>
        <w:spacing w:line="360" w:lineRule="auto"/>
        <w:ind w:firstLine="576"/>
        <w:rPr>
          <w:rFonts w:asciiTheme="minorEastAsia" w:hAnsiTheme="minorEastAsia" w:eastAsiaTheme="minorEastAsia" w:cstheme="minorEastAsia"/>
          <w:color w:val="auto"/>
          <w:kern w:val="0"/>
          <w:sz w:val="24"/>
          <w:highlight w:val="none"/>
          <w:lang w:val="zh-CN"/>
        </w:rPr>
      </w:pPr>
      <w:r>
        <w:rPr>
          <w:rFonts w:hint="eastAsia" w:asciiTheme="minorEastAsia" w:hAnsiTheme="minorEastAsia" w:eastAsiaTheme="minorEastAsia" w:cstheme="minorEastAsia"/>
          <w:color w:val="auto"/>
          <w:kern w:val="0"/>
          <w:sz w:val="24"/>
          <w:highlight w:val="none"/>
          <w:lang w:val="zh-CN"/>
        </w:rPr>
        <w:t>三、质量</w:t>
      </w:r>
    </w:p>
    <w:p>
      <w:pPr>
        <w:snapToGrid w:val="0"/>
        <w:spacing w:line="360" w:lineRule="auto"/>
        <w:ind w:firstLine="576"/>
        <w:rPr>
          <w:rFonts w:asciiTheme="minorEastAsia" w:hAnsiTheme="minorEastAsia" w:eastAsiaTheme="minorEastAsia" w:cstheme="minorEastAsia"/>
          <w:color w:val="auto"/>
          <w:kern w:val="0"/>
          <w:sz w:val="24"/>
          <w:highlight w:val="none"/>
          <w:lang w:val="zh-CN"/>
        </w:rPr>
      </w:pPr>
      <w:r>
        <w:rPr>
          <w:rFonts w:hint="eastAsia" w:asciiTheme="minorEastAsia" w:hAnsiTheme="minorEastAsia" w:eastAsiaTheme="minorEastAsia" w:cstheme="minorEastAsia"/>
          <w:color w:val="auto"/>
          <w:sz w:val="24"/>
          <w:highlight w:val="none"/>
          <w:u w:val="single"/>
        </w:rPr>
        <w:t xml:space="preserve">                                                                                       </w:t>
      </w:r>
    </w:p>
    <w:p>
      <w:pPr>
        <w:snapToGrid w:val="0"/>
        <w:spacing w:line="360" w:lineRule="auto"/>
        <w:ind w:firstLine="576"/>
        <w:rPr>
          <w:rFonts w:asciiTheme="minorEastAsia" w:hAnsiTheme="minorEastAsia" w:eastAsiaTheme="minorEastAsia" w:cstheme="minorEastAsia"/>
          <w:color w:val="auto"/>
          <w:kern w:val="0"/>
          <w:sz w:val="24"/>
          <w:highlight w:val="none"/>
          <w:lang w:val="zh-CN"/>
        </w:rPr>
      </w:pPr>
      <w:r>
        <w:rPr>
          <w:rFonts w:hint="eastAsia" w:asciiTheme="minorEastAsia" w:hAnsiTheme="minorEastAsia" w:eastAsiaTheme="minorEastAsia" w:cstheme="minorEastAsia"/>
          <w:color w:val="auto"/>
          <w:kern w:val="0"/>
          <w:sz w:val="24"/>
          <w:highlight w:val="none"/>
          <w:lang w:val="zh-CN"/>
        </w:rPr>
        <w:t>四、价款或者报酬</w:t>
      </w:r>
    </w:p>
    <w:p>
      <w:pPr>
        <w:snapToGrid w:val="0"/>
        <w:spacing w:line="360" w:lineRule="auto"/>
        <w:ind w:left="573" w:leftChars="273"/>
        <w:rPr>
          <w:rFonts w:asciiTheme="minorEastAsia" w:hAnsiTheme="minorEastAsia" w:eastAsiaTheme="minorEastAsia" w:cstheme="minorEastAsia"/>
          <w:color w:val="auto"/>
          <w:kern w:val="0"/>
          <w:sz w:val="24"/>
          <w:highlight w:val="none"/>
          <w:lang w:val="zh-CN"/>
        </w:rPr>
      </w:pPr>
      <w:r>
        <w:rPr>
          <w:rFonts w:hint="eastAsia" w:asciiTheme="minorEastAsia" w:hAnsiTheme="minorEastAsia" w:eastAsiaTheme="minorEastAsia" w:cstheme="minorEastAsia"/>
          <w:color w:val="auto"/>
          <w:sz w:val="24"/>
          <w:highlight w:val="none"/>
          <w:u w:val="single"/>
        </w:rPr>
        <w:t xml:space="preserve">                                                                                     </w:t>
      </w:r>
    </w:p>
    <w:p>
      <w:pPr>
        <w:snapToGrid w:val="0"/>
        <w:spacing w:line="360" w:lineRule="auto"/>
        <w:ind w:left="573" w:leftChars="273"/>
        <w:rPr>
          <w:rFonts w:asciiTheme="minorEastAsia" w:hAnsiTheme="minorEastAsia" w:eastAsiaTheme="minorEastAsia" w:cstheme="minorEastAsia"/>
          <w:color w:val="auto"/>
          <w:kern w:val="0"/>
          <w:sz w:val="24"/>
          <w:highlight w:val="none"/>
          <w:lang w:val="zh-CN"/>
        </w:rPr>
      </w:pPr>
      <w:r>
        <w:rPr>
          <w:rFonts w:hint="eastAsia" w:asciiTheme="minorEastAsia" w:hAnsiTheme="minorEastAsia" w:eastAsiaTheme="minorEastAsia" w:cstheme="minorEastAsia"/>
          <w:color w:val="auto"/>
          <w:kern w:val="0"/>
          <w:sz w:val="24"/>
          <w:highlight w:val="none"/>
          <w:lang w:val="zh-CN"/>
        </w:rPr>
        <w:t>五、违约责任</w:t>
      </w:r>
    </w:p>
    <w:p>
      <w:pPr>
        <w:snapToGrid w:val="0"/>
        <w:spacing w:line="360" w:lineRule="auto"/>
        <w:ind w:firstLine="576"/>
        <w:rPr>
          <w:rFonts w:asciiTheme="minorEastAsia" w:hAnsiTheme="minorEastAsia" w:eastAsiaTheme="minorEastAsia" w:cstheme="minorEastAsia"/>
          <w:color w:val="auto"/>
          <w:kern w:val="0"/>
          <w:sz w:val="24"/>
          <w:highlight w:val="none"/>
          <w:lang w:val="zh-CN"/>
        </w:rPr>
      </w:pPr>
      <w:r>
        <w:rPr>
          <w:rFonts w:hint="eastAsia" w:asciiTheme="minorEastAsia" w:hAnsiTheme="minorEastAsia" w:eastAsiaTheme="minorEastAsia" w:cstheme="minorEastAsia"/>
          <w:color w:val="auto"/>
          <w:sz w:val="24"/>
          <w:highlight w:val="none"/>
          <w:u w:val="single"/>
        </w:rPr>
        <w:t xml:space="preserve">                                                                                     </w:t>
      </w:r>
    </w:p>
    <w:p>
      <w:pPr>
        <w:snapToGrid w:val="0"/>
        <w:spacing w:line="360" w:lineRule="auto"/>
        <w:ind w:firstLine="576"/>
        <w:rPr>
          <w:rFonts w:asciiTheme="minorEastAsia" w:hAnsiTheme="minorEastAsia" w:eastAsiaTheme="minorEastAsia" w:cstheme="minorEastAsia"/>
          <w:color w:val="auto"/>
          <w:kern w:val="0"/>
          <w:sz w:val="24"/>
          <w:highlight w:val="none"/>
          <w:lang w:val="zh-CN"/>
        </w:rPr>
      </w:pPr>
      <w:r>
        <w:rPr>
          <w:rFonts w:hint="eastAsia" w:asciiTheme="minorEastAsia" w:hAnsiTheme="minorEastAsia" w:eastAsiaTheme="minorEastAsia" w:cstheme="minorEastAsia"/>
          <w:color w:val="auto"/>
          <w:kern w:val="0"/>
          <w:sz w:val="24"/>
          <w:highlight w:val="none"/>
          <w:lang w:val="zh-CN"/>
        </w:rPr>
        <w:t>六、争议解决的办法</w:t>
      </w:r>
    </w:p>
    <w:p>
      <w:pPr>
        <w:snapToGrid w:val="0"/>
        <w:spacing w:line="360" w:lineRule="auto"/>
        <w:ind w:firstLine="576"/>
        <w:rPr>
          <w:rFonts w:asciiTheme="minorEastAsia" w:hAnsiTheme="minorEastAsia" w:eastAsiaTheme="minorEastAsia" w:cstheme="minorEastAsia"/>
          <w:color w:val="auto"/>
          <w:kern w:val="0"/>
          <w:sz w:val="24"/>
          <w:highlight w:val="none"/>
          <w:lang w:val="zh-CN"/>
        </w:rPr>
      </w:pPr>
      <w:r>
        <w:rPr>
          <w:rFonts w:hint="eastAsia" w:asciiTheme="minorEastAsia" w:hAnsiTheme="minorEastAsia" w:eastAsiaTheme="minorEastAsia" w:cstheme="minorEastAsia"/>
          <w:color w:val="auto"/>
          <w:sz w:val="24"/>
          <w:highlight w:val="none"/>
          <w:u w:val="single"/>
        </w:rPr>
        <w:t xml:space="preserve">                                                                                  </w:t>
      </w:r>
    </w:p>
    <w:p>
      <w:pPr>
        <w:snapToGrid w:val="0"/>
        <w:spacing w:line="360" w:lineRule="auto"/>
        <w:ind w:firstLine="576"/>
        <w:rPr>
          <w:rFonts w:asciiTheme="minorEastAsia" w:hAnsiTheme="minorEastAsia" w:eastAsiaTheme="minorEastAsia" w:cstheme="minorEastAsia"/>
          <w:color w:val="auto"/>
          <w:kern w:val="0"/>
          <w:sz w:val="24"/>
          <w:highlight w:val="none"/>
          <w:lang w:val="zh-CN"/>
        </w:rPr>
      </w:pPr>
      <w:r>
        <w:rPr>
          <w:rFonts w:hint="eastAsia" w:asciiTheme="minorEastAsia" w:hAnsiTheme="minorEastAsia" w:eastAsiaTheme="minorEastAsia" w:cstheme="minorEastAsia"/>
          <w:color w:val="auto"/>
          <w:kern w:val="0"/>
          <w:sz w:val="24"/>
          <w:highlight w:val="none"/>
          <w:lang w:val="zh-CN"/>
        </w:rPr>
        <w:t>七、其他</w:t>
      </w:r>
    </w:p>
    <w:p>
      <w:pPr>
        <w:snapToGrid w:val="0"/>
        <w:spacing w:line="360" w:lineRule="auto"/>
        <w:ind w:firstLine="576"/>
        <w:rPr>
          <w:rFonts w:asciiTheme="minorEastAsia" w:hAnsiTheme="minorEastAsia" w:eastAsiaTheme="minorEastAsia" w:cstheme="minorEastAsia"/>
          <w:b/>
          <w:color w:val="auto"/>
          <w:kern w:val="0"/>
          <w:sz w:val="24"/>
          <w:highlight w:val="none"/>
          <w:lang w:val="zh-CN"/>
        </w:rPr>
      </w:pPr>
      <w:r>
        <w:rPr>
          <w:rFonts w:hint="eastAsia" w:asciiTheme="minorEastAsia" w:hAnsiTheme="minorEastAsia" w:eastAsiaTheme="minorEastAsia" w:cstheme="minorEastAsia"/>
          <w:color w:val="auto"/>
          <w:kern w:val="0"/>
          <w:sz w:val="24"/>
          <w:highlight w:val="none"/>
          <w:u w:val="single"/>
        </w:rPr>
        <w:t>（分包供应商名称）提供的货物/服务全部由小微企业制造/服务，</w:t>
      </w:r>
      <w:r>
        <w:rPr>
          <w:rFonts w:hint="eastAsia" w:asciiTheme="minorEastAsia" w:hAnsiTheme="minorEastAsia" w:eastAsiaTheme="minorEastAsia" w:cstheme="minorEastAsia"/>
          <w:color w:val="auto"/>
          <w:kern w:val="0"/>
          <w:sz w:val="24"/>
          <w:highlight w:val="none"/>
        </w:rPr>
        <w:t>其合同份额占到合同总金额</w:t>
      </w:r>
      <w:r>
        <w:rPr>
          <w:rFonts w:hint="eastAsia" w:asciiTheme="minorEastAsia" w:hAnsiTheme="minorEastAsia" w:eastAsiaTheme="minorEastAsia" w:cstheme="minorEastAsia"/>
          <w:color w:val="auto"/>
          <w:kern w:val="0"/>
          <w:sz w:val="24"/>
          <w:highlight w:val="none"/>
          <w:u w:val="single"/>
        </w:rPr>
        <w:t xml:space="preserve">     </w:t>
      </w:r>
      <w:r>
        <w:rPr>
          <w:rFonts w:hint="eastAsia" w:asciiTheme="minorEastAsia" w:hAnsiTheme="minorEastAsia" w:eastAsiaTheme="minorEastAsia" w:cstheme="minorEastAsia"/>
          <w:color w:val="auto"/>
          <w:kern w:val="0"/>
          <w:sz w:val="24"/>
          <w:highlight w:val="none"/>
        </w:rPr>
        <w:t>%以上</w:t>
      </w:r>
      <w:r>
        <w:rPr>
          <w:rFonts w:hint="eastAsia" w:asciiTheme="minorEastAsia" w:hAnsiTheme="minorEastAsia" w:eastAsiaTheme="minorEastAsia" w:cstheme="minorEastAsia"/>
          <w:color w:val="auto"/>
          <w:sz w:val="24"/>
          <w:highlight w:val="none"/>
        </w:rPr>
        <w:t>。</w:t>
      </w:r>
    </w:p>
    <w:p>
      <w:pPr>
        <w:snapToGrid w:val="0"/>
        <w:spacing w:line="360" w:lineRule="auto"/>
        <w:rPr>
          <w:rFonts w:asciiTheme="minorEastAsia" w:hAnsiTheme="minorEastAsia" w:eastAsiaTheme="minorEastAsia" w:cstheme="minorEastAsia"/>
          <w:color w:val="auto"/>
          <w:kern w:val="0"/>
          <w:sz w:val="24"/>
          <w:highlight w:val="none"/>
          <w:lang w:val="zh-CN"/>
        </w:rPr>
      </w:pPr>
      <w:r>
        <w:rPr>
          <w:rFonts w:hint="eastAsia" w:asciiTheme="minorEastAsia" w:hAnsiTheme="minorEastAsia" w:eastAsiaTheme="minorEastAsia" w:cstheme="minorEastAsia"/>
          <w:color w:val="auto"/>
          <w:kern w:val="0"/>
          <w:sz w:val="24"/>
          <w:highlight w:val="none"/>
          <w:lang w:val="zh-CN"/>
        </w:rPr>
        <w:t xml:space="preserve">                                               供应商名称(盖章)：</w:t>
      </w:r>
    </w:p>
    <w:p>
      <w:pPr>
        <w:snapToGrid w:val="0"/>
        <w:spacing w:line="360" w:lineRule="auto"/>
        <w:ind w:firstLine="5640" w:firstLineChars="2350"/>
        <w:rPr>
          <w:rFonts w:asciiTheme="minorEastAsia" w:hAnsiTheme="minorEastAsia" w:eastAsiaTheme="minorEastAsia" w:cstheme="minorEastAsia"/>
          <w:color w:val="auto"/>
          <w:kern w:val="0"/>
          <w:sz w:val="24"/>
          <w:highlight w:val="none"/>
          <w:lang w:val="zh-CN"/>
        </w:rPr>
      </w:pPr>
      <w:r>
        <w:rPr>
          <w:rFonts w:hint="eastAsia" w:asciiTheme="minorEastAsia" w:hAnsiTheme="minorEastAsia" w:eastAsiaTheme="minorEastAsia" w:cstheme="minorEastAsia"/>
          <w:color w:val="auto"/>
          <w:kern w:val="0"/>
          <w:sz w:val="24"/>
          <w:highlight w:val="none"/>
          <w:lang w:val="zh-CN"/>
        </w:rPr>
        <w:t>分包供应商名称：</w:t>
      </w:r>
    </w:p>
    <w:p>
      <w:pPr>
        <w:snapToGrid w:val="0"/>
        <w:spacing w:line="360" w:lineRule="auto"/>
        <w:ind w:firstLine="5760" w:firstLineChars="2400"/>
        <w:rPr>
          <w:rFonts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kern w:val="0"/>
          <w:sz w:val="24"/>
          <w:highlight w:val="none"/>
          <w:lang w:val="zh-CN"/>
        </w:rPr>
        <w:t>……</w:t>
      </w:r>
    </w:p>
    <w:p>
      <w:pPr>
        <w:snapToGrid w:val="0"/>
        <w:spacing w:line="360" w:lineRule="auto"/>
        <w:rPr>
          <w:rFonts w:asciiTheme="minorEastAsia" w:hAnsiTheme="minorEastAsia" w:eastAsiaTheme="minorEastAsia" w:cstheme="minorEastAsia"/>
          <w:color w:val="auto"/>
          <w:kern w:val="0"/>
          <w:sz w:val="24"/>
          <w:highlight w:val="none"/>
          <w:lang w:val="zh-CN"/>
        </w:rPr>
      </w:pPr>
      <w:r>
        <w:rPr>
          <w:rFonts w:hint="eastAsia" w:asciiTheme="minorEastAsia" w:hAnsiTheme="minorEastAsia" w:eastAsiaTheme="minorEastAsia" w:cstheme="minorEastAsia"/>
          <w:color w:val="auto"/>
          <w:kern w:val="0"/>
          <w:sz w:val="24"/>
          <w:highlight w:val="none"/>
          <w:lang w:val="zh-CN"/>
        </w:rPr>
        <w:t xml:space="preserve">                                               日期：  年  月   日</w:t>
      </w:r>
    </w:p>
    <w:p>
      <w:pPr>
        <w:pStyle w:val="6"/>
        <w:rPr>
          <w:rFonts w:ascii="宋体" w:hAnsi="宋体" w:eastAsia="宋体" w:cs="宋体"/>
          <w:b w:val="0"/>
          <w:color w:val="auto"/>
          <w:sz w:val="24"/>
          <w:szCs w:val="24"/>
          <w:highlight w:val="none"/>
        </w:rPr>
      </w:pPr>
      <w:bookmarkStart w:id="63" w:name="_Toc17320"/>
      <w:r>
        <w:rPr>
          <w:rFonts w:hint="eastAsia" w:ascii="宋体" w:hAnsi="宋体" w:eastAsia="宋体" w:cs="宋体"/>
          <w:b w:val="0"/>
          <w:color w:val="auto"/>
          <w:sz w:val="24"/>
          <w:szCs w:val="24"/>
          <w:highlight w:val="none"/>
        </w:rPr>
        <w:t>附件七：供应商资信商务、技术自评得分表</w:t>
      </w:r>
      <w:bookmarkEnd w:id="63"/>
    </w:p>
    <w:p>
      <w:pPr>
        <w:jc w:val="left"/>
        <w:rPr>
          <w:rFonts w:ascii="宋体" w:hAnsi="宋体" w:cs="宋体"/>
          <w:color w:val="auto"/>
          <w:sz w:val="24"/>
          <w:highlight w:val="none"/>
        </w:rPr>
      </w:pPr>
    </w:p>
    <w:p>
      <w:pPr>
        <w:jc w:val="center"/>
        <w:rPr>
          <w:rFonts w:ascii="宋体" w:hAnsi="宋体" w:cs="宋体"/>
          <w:b/>
          <w:color w:val="auto"/>
          <w:sz w:val="24"/>
          <w:highlight w:val="none"/>
        </w:rPr>
      </w:pPr>
      <w:r>
        <w:rPr>
          <w:rFonts w:hint="eastAsia" w:ascii="宋体" w:hAnsi="宋体" w:cs="宋体"/>
          <w:b/>
          <w:color w:val="auto"/>
          <w:sz w:val="24"/>
          <w:highlight w:val="none"/>
        </w:rPr>
        <w:t>供应商资信商务、技术自评得分表</w:t>
      </w:r>
    </w:p>
    <w:tbl>
      <w:tblPr>
        <w:tblStyle w:val="4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4"/>
        <w:gridCol w:w="3550"/>
        <w:gridCol w:w="3200"/>
        <w:gridCol w:w="916"/>
        <w:gridCol w:w="12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5" w:hRule="atLeast"/>
        </w:trPr>
        <w:tc>
          <w:tcPr>
            <w:tcW w:w="834" w:type="dxa"/>
            <w:vAlign w:val="center"/>
          </w:tcPr>
          <w:p>
            <w:pPr>
              <w:jc w:val="center"/>
              <w:rPr>
                <w:rFonts w:ascii="宋体" w:hAnsi="宋体" w:cs="宋体"/>
                <w:color w:val="auto"/>
                <w:sz w:val="24"/>
                <w:highlight w:val="none"/>
              </w:rPr>
            </w:pPr>
            <w:r>
              <w:rPr>
                <w:rFonts w:hint="eastAsia" w:ascii="宋体" w:hAnsi="宋体" w:cs="宋体"/>
                <w:color w:val="auto"/>
                <w:sz w:val="24"/>
                <w:highlight w:val="none"/>
              </w:rPr>
              <w:t>序号</w:t>
            </w:r>
          </w:p>
        </w:tc>
        <w:tc>
          <w:tcPr>
            <w:tcW w:w="3550" w:type="dxa"/>
            <w:vAlign w:val="center"/>
          </w:tcPr>
          <w:p>
            <w:pPr>
              <w:jc w:val="center"/>
              <w:rPr>
                <w:rFonts w:ascii="宋体" w:hAnsi="宋体" w:cs="宋体"/>
                <w:color w:val="auto"/>
                <w:sz w:val="24"/>
                <w:highlight w:val="none"/>
              </w:rPr>
            </w:pPr>
            <w:r>
              <w:rPr>
                <w:rFonts w:hint="eastAsia" w:ascii="宋体" w:hAnsi="宋体" w:cs="宋体"/>
                <w:color w:val="auto"/>
                <w:sz w:val="24"/>
                <w:highlight w:val="none"/>
              </w:rPr>
              <w:t>评分标准</w:t>
            </w:r>
          </w:p>
        </w:tc>
        <w:tc>
          <w:tcPr>
            <w:tcW w:w="3200" w:type="dxa"/>
            <w:vAlign w:val="center"/>
          </w:tcPr>
          <w:p>
            <w:pPr>
              <w:jc w:val="center"/>
              <w:rPr>
                <w:rFonts w:ascii="宋体" w:hAnsi="宋体" w:cs="宋体"/>
                <w:color w:val="auto"/>
                <w:sz w:val="24"/>
                <w:highlight w:val="none"/>
              </w:rPr>
            </w:pPr>
            <w:r>
              <w:rPr>
                <w:rFonts w:hint="eastAsia" w:ascii="宋体" w:hAnsi="宋体" w:cs="宋体"/>
                <w:color w:val="auto"/>
                <w:sz w:val="24"/>
                <w:highlight w:val="none"/>
              </w:rPr>
              <w:t>得分内容</w:t>
            </w:r>
          </w:p>
        </w:tc>
        <w:tc>
          <w:tcPr>
            <w:tcW w:w="916" w:type="dxa"/>
            <w:vAlign w:val="center"/>
          </w:tcPr>
          <w:p>
            <w:pPr>
              <w:jc w:val="center"/>
              <w:rPr>
                <w:rFonts w:ascii="宋体" w:hAnsi="宋体" w:cs="宋体"/>
                <w:color w:val="auto"/>
                <w:sz w:val="24"/>
                <w:highlight w:val="none"/>
              </w:rPr>
            </w:pPr>
            <w:r>
              <w:rPr>
                <w:rFonts w:hint="eastAsia" w:ascii="宋体" w:hAnsi="宋体" w:cs="宋体"/>
                <w:color w:val="auto"/>
                <w:sz w:val="24"/>
                <w:highlight w:val="none"/>
              </w:rPr>
              <w:t>自评</w:t>
            </w:r>
          </w:p>
          <w:p>
            <w:pPr>
              <w:jc w:val="center"/>
              <w:rPr>
                <w:rFonts w:ascii="宋体" w:hAnsi="宋体" w:cs="宋体"/>
                <w:color w:val="auto"/>
                <w:sz w:val="24"/>
                <w:highlight w:val="none"/>
              </w:rPr>
            </w:pPr>
            <w:r>
              <w:rPr>
                <w:rFonts w:hint="eastAsia" w:ascii="宋体" w:hAnsi="宋体" w:cs="宋体"/>
                <w:color w:val="auto"/>
                <w:sz w:val="24"/>
                <w:highlight w:val="none"/>
              </w:rPr>
              <w:t>得分</w:t>
            </w:r>
          </w:p>
        </w:tc>
        <w:tc>
          <w:tcPr>
            <w:tcW w:w="1219" w:type="dxa"/>
            <w:vAlign w:val="center"/>
          </w:tcPr>
          <w:p>
            <w:pPr>
              <w:jc w:val="center"/>
              <w:rPr>
                <w:rFonts w:ascii="宋体" w:hAnsi="宋体" w:cs="宋体"/>
                <w:color w:val="auto"/>
                <w:sz w:val="24"/>
                <w:highlight w:val="none"/>
              </w:rPr>
            </w:pPr>
            <w:r>
              <w:rPr>
                <w:rFonts w:hint="eastAsia" w:ascii="宋体" w:hAnsi="宋体" w:cs="宋体"/>
                <w:color w:val="auto"/>
                <w:sz w:val="24"/>
                <w:highlight w:val="none"/>
              </w:rPr>
              <w:t>页码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6" w:hRule="atLeast"/>
        </w:trPr>
        <w:tc>
          <w:tcPr>
            <w:tcW w:w="834" w:type="dxa"/>
            <w:vAlign w:val="center"/>
          </w:tcPr>
          <w:p>
            <w:pPr>
              <w:jc w:val="center"/>
              <w:rPr>
                <w:rFonts w:ascii="宋体" w:hAnsi="宋体" w:cs="宋体"/>
                <w:color w:val="auto"/>
                <w:sz w:val="24"/>
                <w:highlight w:val="none"/>
              </w:rPr>
            </w:pPr>
            <w:r>
              <w:rPr>
                <w:rFonts w:hint="eastAsia" w:ascii="宋体" w:hAnsi="宋体" w:cs="宋体"/>
                <w:color w:val="auto"/>
                <w:sz w:val="24"/>
                <w:highlight w:val="none"/>
              </w:rPr>
              <w:t>1</w:t>
            </w:r>
          </w:p>
        </w:tc>
        <w:tc>
          <w:tcPr>
            <w:tcW w:w="3550" w:type="dxa"/>
            <w:vAlign w:val="center"/>
          </w:tcPr>
          <w:p>
            <w:pPr>
              <w:jc w:val="center"/>
              <w:rPr>
                <w:rFonts w:ascii="宋体" w:hAnsi="宋体" w:cs="宋体"/>
                <w:color w:val="auto"/>
                <w:sz w:val="24"/>
                <w:highlight w:val="none"/>
              </w:rPr>
            </w:pPr>
          </w:p>
        </w:tc>
        <w:tc>
          <w:tcPr>
            <w:tcW w:w="3200" w:type="dxa"/>
            <w:vAlign w:val="center"/>
          </w:tcPr>
          <w:p>
            <w:pPr>
              <w:jc w:val="center"/>
              <w:rPr>
                <w:rFonts w:ascii="宋体" w:hAnsi="宋体" w:cs="宋体"/>
                <w:color w:val="auto"/>
                <w:sz w:val="24"/>
                <w:highlight w:val="none"/>
              </w:rPr>
            </w:pPr>
          </w:p>
        </w:tc>
        <w:tc>
          <w:tcPr>
            <w:tcW w:w="916" w:type="dxa"/>
            <w:vAlign w:val="center"/>
          </w:tcPr>
          <w:p>
            <w:pPr>
              <w:jc w:val="center"/>
              <w:rPr>
                <w:rFonts w:ascii="宋体" w:hAnsi="宋体" w:cs="宋体"/>
                <w:color w:val="auto"/>
                <w:sz w:val="24"/>
                <w:highlight w:val="none"/>
              </w:rPr>
            </w:pPr>
          </w:p>
        </w:tc>
        <w:tc>
          <w:tcPr>
            <w:tcW w:w="1219" w:type="dxa"/>
            <w:vAlign w:val="center"/>
          </w:tcPr>
          <w:p>
            <w:pPr>
              <w:jc w:val="cente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4" w:hRule="atLeast"/>
        </w:trPr>
        <w:tc>
          <w:tcPr>
            <w:tcW w:w="834" w:type="dxa"/>
            <w:vAlign w:val="center"/>
          </w:tcPr>
          <w:p>
            <w:pPr>
              <w:jc w:val="center"/>
              <w:rPr>
                <w:rFonts w:ascii="宋体" w:hAnsi="宋体" w:cs="宋体"/>
                <w:color w:val="auto"/>
                <w:sz w:val="24"/>
                <w:highlight w:val="none"/>
              </w:rPr>
            </w:pPr>
            <w:r>
              <w:rPr>
                <w:rFonts w:hint="eastAsia" w:ascii="宋体" w:hAnsi="宋体" w:cs="宋体"/>
                <w:color w:val="auto"/>
                <w:sz w:val="24"/>
                <w:highlight w:val="none"/>
              </w:rPr>
              <w:t>2</w:t>
            </w:r>
          </w:p>
        </w:tc>
        <w:tc>
          <w:tcPr>
            <w:tcW w:w="3550" w:type="dxa"/>
            <w:vAlign w:val="center"/>
          </w:tcPr>
          <w:p>
            <w:pPr>
              <w:jc w:val="center"/>
              <w:rPr>
                <w:rFonts w:ascii="宋体" w:hAnsi="宋体" w:cs="宋体"/>
                <w:color w:val="auto"/>
                <w:sz w:val="24"/>
                <w:highlight w:val="none"/>
              </w:rPr>
            </w:pPr>
          </w:p>
        </w:tc>
        <w:tc>
          <w:tcPr>
            <w:tcW w:w="3200" w:type="dxa"/>
            <w:vAlign w:val="center"/>
          </w:tcPr>
          <w:p>
            <w:pPr>
              <w:jc w:val="center"/>
              <w:rPr>
                <w:rFonts w:ascii="宋体" w:hAnsi="宋体" w:cs="宋体"/>
                <w:color w:val="auto"/>
                <w:sz w:val="24"/>
                <w:highlight w:val="none"/>
              </w:rPr>
            </w:pPr>
          </w:p>
        </w:tc>
        <w:tc>
          <w:tcPr>
            <w:tcW w:w="916" w:type="dxa"/>
            <w:vAlign w:val="center"/>
          </w:tcPr>
          <w:p>
            <w:pPr>
              <w:jc w:val="center"/>
              <w:rPr>
                <w:rFonts w:ascii="宋体" w:hAnsi="宋体" w:cs="宋体"/>
                <w:color w:val="auto"/>
                <w:sz w:val="24"/>
                <w:highlight w:val="none"/>
              </w:rPr>
            </w:pPr>
          </w:p>
        </w:tc>
        <w:tc>
          <w:tcPr>
            <w:tcW w:w="1219" w:type="dxa"/>
            <w:vAlign w:val="center"/>
          </w:tcPr>
          <w:p>
            <w:pPr>
              <w:jc w:val="cente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6" w:hRule="atLeast"/>
        </w:trPr>
        <w:tc>
          <w:tcPr>
            <w:tcW w:w="834" w:type="dxa"/>
            <w:vAlign w:val="center"/>
          </w:tcPr>
          <w:p>
            <w:pPr>
              <w:jc w:val="center"/>
              <w:rPr>
                <w:rFonts w:ascii="宋体" w:hAnsi="宋体" w:cs="宋体"/>
                <w:color w:val="auto"/>
                <w:sz w:val="24"/>
                <w:highlight w:val="none"/>
              </w:rPr>
            </w:pPr>
            <w:r>
              <w:rPr>
                <w:rFonts w:hint="eastAsia" w:ascii="宋体" w:hAnsi="宋体" w:cs="宋体"/>
                <w:color w:val="auto"/>
                <w:sz w:val="24"/>
                <w:highlight w:val="none"/>
              </w:rPr>
              <w:t>3</w:t>
            </w:r>
          </w:p>
        </w:tc>
        <w:tc>
          <w:tcPr>
            <w:tcW w:w="3550" w:type="dxa"/>
            <w:vAlign w:val="center"/>
          </w:tcPr>
          <w:p>
            <w:pPr>
              <w:jc w:val="center"/>
              <w:rPr>
                <w:rFonts w:ascii="宋体" w:hAnsi="宋体" w:cs="宋体"/>
                <w:color w:val="auto"/>
                <w:sz w:val="24"/>
                <w:highlight w:val="none"/>
              </w:rPr>
            </w:pPr>
          </w:p>
        </w:tc>
        <w:tc>
          <w:tcPr>
            <w:tcW w:w="3200" w:type="dxa"/>
            <w:vAlign w:val="center"/>
          </w:tcPr>
          <w:p>
            <w:pPr>
              <w:jc w:val="center"/>
              <w:rPr>
                <w:rFonts w:ascii="宋体" w:hAnsi="宋体" w:cs="宋体"/>
                <w:color w:val="auto"/>
                <w:sz w:val="24"/>
                <w:highlight w:val="none"/>
              </w:rPr>
            </w:pPr>
          </w:p>
        </w:tc>
        <w:tc>
          <w:tcPr>
            <w:tcW w:w="916" w:type="dxa"/>
            <w:vAlign w:val="center"/>
          </w:tcPr>
          <w:p>
            <w:pPr>
              <w:jc w:val="center"/>
              <w:rPr>
                <w:rFonts w:ascii="宋体" w:hAnsi="宋体" w:cs="宋体"/>
                <w:color w:val="auto"/>
                <w:sz w:val="24"/>
                <w:highlight w:val="none"/>
              </w:rPr>
            </w:pPr>
          </w:p>
        </w:tc>
        <w:tc>
          <w:tcPr>
            <w:tcW w:w="1219" w:type="dxa"/>
            <w:vAlign w:val="center"/>
          </w:tcPr>
          <w:p>
            <w:pPr>
              <w:jc w:val="cente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6" w:hRule="atLeast"/>
        </w:trPr>
        <w:tc>
          <w:tcPr>
            <w:tcW w:w="834" w:type="dxa"/>
            <w:vAlign w:val="center"/>
          </w:tcPr>
          <w:p>
            <w:pPr>
              <w:jc w:val="center"/>
              <w:rPr>
                <w:rFonts w:ascii="宋体" w:hAnsi="宋体" w:cs="宋体"/>
                <w:color w:val="auto"/>
                <w:sz w:val="24"/>
                <w:highlight w:val="none"/>
              </w:rPr>
            </w:pPr>
            <w:r>
              <w:rPr>
                <w:rFonts w:hint="eastAsia" w:ascii="宋体" w:hAnsi="宋体" w:cs="宋体"/>
                <w:color w:val="auto"/>
                <w:sz w:val="24"/>
                <w:highlight w:val="none"/>
              </w:rPr>
              <w:t>4</w:t>
            </w:r>
          </w:p>
        </w:tc>
        <w:tc>
          <w:tcPr>
            <w:tcW w:w="3550" w:type="dxa"/>
            <w:vAlign w:val="center"/>
          </w:tcPr>
          <w:p>
            <w:pPr>
              <w:jc w:val="center"/>
              <w:rPr>
                <w:rFonts w:ascii="宋体" w:hAnsi="宋体" w:cs="宋体"/>
                <w:color w:val="auto"/>
                <w:sz w:val="24"/>
                <w:highlight w:val="none"/>
              </w:rPr>
            </w:pPr>
          </w:p>
        </w:tc>
        <w:tc>
          <w:tcPr>
            <w:tcW w:w="3200" w:type="dxa"/>
            <w:vAlign w:val="center"/>
          </w:tcPr>
          <w:p>
            <w:pPr>
              <w:jc w:val="center"/>
              <w:rPr>
                <w:rFonts w:ascii="宋体" w:hAnsi="宋体" w:cs="宋体"/>
                <w:color w:val="auto"/>
                <w:sz w:val="24"/>
                <w:highlight w:val="none"/>
              </w:rPr>
            </w:pPr>
          </w:p>
        </w:tc>
        <w:tc>
          <w:tcPr>
            <w:tcW w:w="916" w:type="dxa"/>
            <w:vAlign w:val="center"/>
          </w:tcPr>
          <w:p>
            <w:pPr>
              <w:jc w:val="center"/>
              <w:rPr>
                <w:rFonts w:ascii="宋体" w:hAnsi="宋体" w:cs="宋体"/>
                <w:color w:val="auto"/>
                <w:sz w:val="24"/>
                <w:highlight w:val="none"/>
              </w:rPr>
            </w:pPr>
          </w:p>
        </w:tc>
        <w:tc>
          <w:tcPr>
            <w:tcW w:w="1219" w:type="dxa"/>
            <w:vAlign w:val="center"/>
          </w:tcPr>
          <w:p>
            <w:pPr>
              <w:jc w:val="cente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4" w:hRule="atLeast"/>
        </w:trPr>
        <w:tc>
          <w:tcPr>
            <w:tcW w:w="834" w:type="dxa"/>
            <w:vAlign w:val="center"/>
          </w:tcPr>
          <w:p>
            <w:pPr>
              <w:jc w:val="center"/>
              <w:rPr>
                <w:rFonts w:ascii="宋体" w:hAnsi="宋体" w:cs="宋体"/>
                <w:color w:val="auto"/>
                <w:sz w:val="24"/>
                <w:highlight w:val="none"/>
              </w:rPr>
            </w:pPr>
            <w:r>
              <w:rPr>
                <w:rFonts w:hint="eastAsia" w:ascii="宋体" w:hAnsi="宋体" w:cs="宋体"/>
                <w:color w:val="auto"/>
                <w:sz w:val="24"/>
                <w:highlight w:val="none"/>
              </w:rPr>
              <w:t>5</w:t>
            </w:r>
          </w:p>
        </w:tc>
        <w:tc>
          <w:tcPr>
            <w:tcW w:w="3550" w:type="dxa"/>
            <w:vAlign w:val="center"/>
          </w:tcPr>
          <w:p>
            <w:pPr>
              <w:jc w:val="center"/>
              <w:rPr>
                <w:rFonts w:ascii="宋体" w:hAnsi="宋体" w:cs="宋体"/>
                <w:color w:val="auto"/>
                <w:sz w:val="24"/>
                <w:highlight w:val="none"/>
              </w:rPr>
            </w:pPr>
          </w:p>
        </w:tc>
        <w:tc>
          <w:tcPr>
            <w:tcW w:w="3200" w:type="dxa"/>
            <w:vAlign w:val="center"/>
          </w:tcPr>
          <w:p>
            <w:pPr>
              <w:jc w:val="center"/>
              <w:rPr>
                <w:rFonts w:ascii="宋体" w:hAnsi="宋体" w:cs="宋体"/>
                <w:color w:val="auto"/>
                <w:sz w:val="24"/>
                <w:highlight w:val="none"/>
              </w:rPr>
            </w:pPr>
          </w:p>
        </w:tc>
        <w:tc>
          <w:tcPr>
            <w:tcW w:w="916" w:type="dxa"/>
            <w:vAlign w:val="center"/>
          </w:tcPr>
          <w:p>
            <w:pPr>
              <w:jc w:val="center"/>
              <w:rPr>
                <w:rFonts w:ascii="宋体" w:hAnsi="宋体" w:cs="宋体"/>
                <w:color w:val="auto"/>
                <w:sz w:val="24"/>
                <w:highlight w:val="none"/>
              </w:rPr>
            </w:pPr>
          </w:p>
        </w:tc>
        <w:tc>
          <w:tcPr>
            <w:tcW w:w="1219" w:type="dxa"/>
            <w:vAlign w:val="center"/>
          </w:tcPr>
          <w:p>
            <w:pPr>
              <w:jc w:val="cente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6" w:hRule="atLeast"/>
        </w:trPr>
        <w:tc>
          <w:tcPr>
            <w:tcW w:w="834" w:type="dxa"/>
            <w:vAlign w:val="center"/>
          </w:tcPr>
          <w:p>
            <w:pPr>
              <w:jc w:val="center"/>
              <w:rPr>
                <w:rFonts w:ascii="宋体" w:hAnsi="宋体" w:cs="宋体"/>
                <w:color w:val="auto"/>
                <w:sz w:val="24"/>
                <w:highlight w:val="none"/>
              </w:rPr>
            </w:pPr>
            <w:r>
              <w:rPr>
                <w:rFonts w:hint="eastAsia" w:ascii="宋体" w:hAnsi="宋体" w:cs="宋体"/>
                <w:color w:val="auto"/>
                <w:sz w:val="24"/>
                <w:highlight w:val="none"/>
              </w:rPr>
              <w:t>6</w:t>
            </w:r>
          </w:p>
        </w:tc>
        <w:tc>
          <w:tcPr>
            <w:tcW w:w="3550" w:type="dxa"/>
            <w:vAlign w:val="center"/>
          </w:tcPr>
          <w:p>
            <w:pPr>
              <w:jc w:val="center"/>
              <w:rPr>
                <w:rFonts w:ascii="宋体" w:hAnsi="宋体" w:cs="宋体"/>
                <w:color w:val="auto"/>
                <w:sz w:val="24"/>
                <w:highlight w:val="none"/>
              </w:rPr>
            </w:pPr>
          </w:p>
        </w:tc>
        <w:tc>
          <w:tcPr>
            <w:tcW w:w="3200" w:type="dxa"/>
            <w:vAlign w:val="center"/>
          </w:tcPr>
          <w:p>
            <w:pPr>
              <w:jc w:val="center"/>
              <w:rPr>
                <w:rFonts w:ascii="宋体" w:hAnsi="宋体" w:cs="宋体"/>
                <w:color w:val="auto"/>
                <w:sz w:val="24"/>
                <w:highlight w:val="none"/>
              </w:rPr>
            </w:pPr>
          </w:p>
        </w:tc>
        <w:tc>
          <w:tcPr>
            <w:tcW w:w="916" w:type="dxa"/>
            <w:vAlign w:val="center"/>
          </w:tcPr>
          <w:p>
            <w:pPr>
              <w:jc w:val="center"/>
              <w:rPr>
                <w:rFonts w:ascii="宋体" w:hAnsi="宋体" w:cs="宋体"/>
                <w:color w:val="auto"/>
                <w:sz w:val="24"/>
                <w:highlight w:val="none"/>
              </w:rPr>
            </w:pPr>
          </w:p>
        </w:tc>
        <w:tc>
          <w:tcPr>
            <w:tcW w:w="1219" w:type="dxa"/>
            <w:vAlign w:val="center"/>
          </w:tcPr>
          <w:p>
            <w:pPr>
              <w:jc w:val="cente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4" w:hRule="atLeast"/>
        </w:trPr>
        <w:tc>
          <w:tcPr>
            <w:tcW w:w="834" w:type="dxa"/>
            <w:vAlign w:val="center"/>
          </w:tcPr>
          <w:p>
            <w:pPr>
              <w:jc w:val="center"/>
              <w:rPr>
                <w:rFonts w:ascii="宋体" w:hAnsi="宋体" w:cs="宋体"/>
                <w:color w:val="auto"/>
                <w:sz w:val="24"/>
                <w:highlight w:val="none"/>
              </w:rPr>
            </w:pPr>
            <w:r>
              <w:rPr>
                <w:rFonts w:hint="eastAsia" w:ascii="宋体" w:hAnsi="宋体" w:cs="宋体"/>
                <w:color w:val="auto"/>
                <w:sz w:val="24"/>
                <w:highlight w:val="none"/>
              </w:rPr>
              <w:t>7</w:t>
            </w:r>
          </w:p>
        </w:tc>
        <w:tc>
          <w:tcPr>
            <w:tcW w:w="3550" w:type="dxa"/>
            <w:vAlign w:val="center"/>
          </w:tcPr>
          <w:p>
            <w:pPr>
              <w:jc w:val="center"/>
              <w:rPr>
                <w:rFonts w:ascii="宋体" w:hAnsi="宋体" w:cs="宋体"/>
                <w:color w:val="auto"/>
                <w:sz w:val="24"/>
                <w:highlight w:val="none"/>
              </w:rPr>
            </w:pPr>
          </w:p>
        </w:tc>
        <w:tc>
          <w:tcPr>
            <w:tcW w:w="3200" w:type="dxa"/>
            <w:vAlign w:val="center"/>
          </w:tcPr>
          <w:p>
            <w:pPr>
              <w:jc w:val="center"/>
              <w:rPr>
                <w:rFonts w:ascii="宋体" w:hAnsi="宋体" w:cs="宋体"/>
                <w:color w:val="auto"/>
                <w:sz w:val="24"/>
                <w:highlight w:val="none"/>
              </w:rPr>
            </w:pPr>
          </w:p>
        </w:tc>
        <w:tc>
          <w:tcPr>
            <w:tcW w:w="916" w:type="dxa"/>
            <w:vAlign w:val="center"/>
          </w:tcPr>
          <w:p>
            <w:pPr>
              <w:jc w:val="center"/>
              <w:rPr>
                <w:rFonts w:ascii="宋体" w:hAnsi="宋体" w:cs="宋体"/>
                <w:color w:val="auto"/>
                <w:sz w:val="24"/>
                <w:highlight w:val="none"/>
              </w:rPr>
            </w:pPr>
          </w:p>
        </w:tc>
        <w:tc>
          <w:tcPr>
            <w:tcW w:w="1219" w:type="dxa"/>
            <w:vAlign w:val="center"/>
          </w:tcPr>
          <w:p>
            <w:pPr>
              <w:jc w:val="cente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6" w:hRule="atLeast"/>
        </w:trPr>
        <w:tc>
          <w:tcPr>
            <w:tcW w:w="834" w:type="dxa"/>
            <w:vAlign w:val="center"/>
          </w:tcPr>
          <w:p>
            <w:pPr>
              <w:jc w:val="center"/>
              <w:rPr>
                <w:rFonts w:ascii="宋体" w:hAnsi="宋体" w:cs="宋体"/>
                <w:color w:val="auto"/>
                <w:sz w:val="24"/>
                <w:highlight w:val="none"/>
              </w:rPr>
            </w:pPr>
            <w:r>
              <w:rPr>
                <w:rFonts w:hint="eastAsia" w:ascii="宋体" w:hAnsi="宋体" w:cs="宋体"/>
                <w:color w:val="auto"/>
                <w:sz w:val="24"/>
                <w:highlight w:val="none"/>
              </w:rPr>
              <w:t>8</w:t>
            </w:r>
          </w:p>
        </w:tc>
        <w:tc>
          <w:tcPr>
            <w:tcW w:w="3550" w:type="dxa"/>
            <w:vAlign w:val="center"/>
          </w:tcPr>
          <w:p>
            <w:pPr>
              <w:jc w:val="center"/>
              <w:rPr>
                <w:rFonts w:ascii="宋体" w:hAnsi="宋体" w:cs="宋体"/>
                <w:color w:val="auto"/>
                <w:sz w:val="24"/>
                <w:highlight w:val="none"/>
              </w:rPr>
            </w:pPr>
          </w:p>
        </w:tc>
        <w:tc>
          <w:tcPr>
            <w:tcW w:w="3200" w:type="dxa"/>
            <w:vAlign w:val="center"/>
          </w:tcPr>
          <w:p>
            <w:pPr>
              <w:jc w:val="center"/>
              <w:rPr>
                <w:rFonts w:ascii="宋体" w:hAnsi="宋体" w:cs="宋体"/>
                <w:color w:val="auto"/>
                <w:sz w:val="24"/>
                <w:highlight w:val="none"/>
              </w:rPr>
            </w:pPr>
          </w:p>
        </w:tc>
        <w:tc>
          <w:tcPr>
            <w:tcW w:w="916" w:type="dxa"/>
            <w:vAlign w:val="center"/>
          </w:tcPr>
          <w:p>
            <w:pPr>
              <w:jc w:val="center"/>
              <w:rPr>
                <w:rFonts w:ascii="宋体" w:hAnsi="宋体" w:cs="宋体"/>
                <w:color w:val="auto"/>
                <w:sz w:val="24"/>
                <w:highlight w:val="none"/>
              </w:rPr>
            </w:pPr>
          </w:p>
        </w:tc>
        <w:tc>
          <w:tcPr>
            <w:tcW w:w="1219" w:type="dxa"/>
            <w:vAlign w:val="center"/>
          </w:tcPr>
          <w:p>
            <w:pPr>
              <w:jc w:val="cente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4" w:hRule="atLeast"/>
        </w:trPr>
        <w:tc>
          <w:tcPr>
            <w:tcW w:w="834" w:type="dxa"/>
            <w:vAlign w:val="center"/>
          </w:tcPr>
          <w:p>
            <w:pPr>
              <w:jc w:val="center"/>
              <w:rPr>
                <w:rFonts w:ascii="宋体" w:hAnsi="宋体" w:cs="宋体"/>
                <w:color w:val="auto"/>
                <w:sz w:val="24"/>
                <w:highlight w:val="none"/>
              </w:rPr>
            </w:pPr>
            <w:r>
              <w:rPr>
                <w:rFonts w:hint="eastAsia" w:ascii="宋体" w:hAnsi="宋体" w:cs="宋体"/>
                <w:color w:val="auto"/>
                <w:sz w:val="24"/>
                <w:highlight w:val="none"/>
              </w:rPr>
              <w:t>9</w:t>
            </w:r>
          </w:p>
        </w:tc>
        <w:tc>
          <w:tcPr>
            <w:tcW w:w="3550" w:type="dxa"/>
            <w:vAlign w:val="center"/>
          </w:tcPr>
          <w:p>
            <w:pPr>
              <w:jc w:val="center"/>
              <w:rPr>
                <w:rFonts w:ascii="宋体" w:hAnsi="宋体" w:cs="宋体"/>
                <w:color w:val="auto"/>
                <w:sz w:val="24"/>
                <w:highlight w:val="none"/>
              </w:rPr>
            </w:pPr>
          </w:p>
        </w:tc>
        <w:tc>
          <w:tcPr>
            <w:tcW w:w="3200" w:type="dxa"/>
            <w:vAlign w:val="center"/>
          </w:tcPr>
          <w:p>
            <w:pPr>
              <w:jc w:val="center"/>
              <w:rPr>
                <w:rFonts w:ascii="宋体" w:hAnsi="宋体" w:cs="宋体"/>
                <w:color w:val="auto"/>
                <w:sz w:val="24"/>
                <w:highlight w:val="none"/>
              </w:rPr>
            </w:pPr>
          </w:p>
        </w:tc>
        <w:tc>
          <w:tcPr>
            <w:tcW w:w="916" w:type="dxa"/>
            <w:vAlign w:val="center"/>
          </w:tcPr>
          <w:p>
            <w:pPr>
              <w:jc w:val="center"/>
              <w:rPr>
                <w:rFonts w:ascii="宋体" w:hAnsi="宋体" w:cs="宋体"/>
                <w:color w:val="auto"/>
                <w:sz w:val="24"/>
                <w:highlight w:val="none"/>
              </w:rPr>
            </w:pPr>
          </w:p>
        </w:tc>
        <w:tc>
          <w:tcPr>
            <w:tcW w:w="1219" w:type="dxa"/>
            <w:vAlign w:val="center"/>
          </w:tcPr>
          <w:p>
            <w:pPr>
              <w:jc w:val="cente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2" w:hRule="atLeast"/>
        </w:trPr>
        <w:tc>
          <w:tcPr>
            <w:tcW w:w="834" w:type="dxa"/>
            <w:vAlign w:val="center"/>
          </w:tcPr>
          <w:p>
            <w:pPr>
              <w:jc w:val="center"/>
              <w:rPr>
                <w:rFonts w:ascii="宋体" w:hAnsi="宋体" w:cs="宋体"/>
                <w:color w:val="auto"/>
                <w:sz w:val="24"/>
                <w:highlight w:val="none"/>
              </w:rPr>
            </w:pPr>
            <w:r>
              <w:rPr>
                <w:rFonts w:hint="eastAsia" w:ascii="宋体" w:hAnsi="宋体" w:cs="宋体"/>
                <w:color w:val="auto"/>
                <w:sz w:val="24"/>
                <w:highlight w:val="none"/>
              </w:rPr>
              <w:t>10</w:t>
            </w:r>
          </w:p>
        </w:tc>
        <w:tc>
          <w:tcPr>
            <w:tcW w:w="3550" w:type="dxa"/>
            <w:vAlign w:val="center"/>
          </w:tcPr>
          <w:p>
            <w:pPr>
              <w:jc w:val="center"/>
              <w:rPr>
                <w:rFonts w:ascii="宋体" w:hAnsi="宋体" w:cs="宋体"/>
                <w:color w:val="auto"/>
                <w:sz w:val="24"/>
                <w:highlight w:val="none"/>
              </w:rPr>
            </w:pPr>
          </w:p>
        </w:tc>
        <w:tc>
          <w:tcPr>
            <w:tcW w:w="3200" w:type="dxa"/>
            <w:vAlign w:val="center"/>
          </w:tcPr>
          <w:p>
            <w:pPr>
              <w:jc w:val="center"/>
              <w:rPr>
                <w:rFonts w:ascii="宋体" w:hAnsi="宋体" w:cs="宋体"/>
                <w:color w:val="auto"/>
                <w:sz w:val="24"/>
                <w:highlight w:val="none"/>
              </w:rPr>
            </w:pPr>
          </w:p>
        </w:tc>
        <w:tc>
          <w:tcPr>
            <w:tcW w:w="916" w:type="dxa"/>
            <w:vAlign w:val="center"/>
          </w:tcPr>
          <w:p>
            <w:pPr>
              <w:jc w:val="center"/>
              <w:rPr>
                <w:rFonts w:ascii="宋体" w:hAnsi="宋体" w:cs="宋体"/>
                <w:color w:val="auto"/>
                <w:sz w:val="24"/>
                <w:highlight w:val="none"/>
              </w:rPr>
            </w:pPr>
          </w:p>
        </w:tc>
        <w:tc>
          <w:tcPr>
            <w:tcW w:w="1219" w:type="dxa"/>
            <w:vAlign w:val="center"/>
          </w:tcPr>
          <w:p>
            <w:pPr>
              <w:jc w:val="cente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6" w:hRule="atLeast"/>
        </w:trPr>
        <w:tc>
          <w:tcPr>
            <w:tcW w:w="834" w:type="dxa"/>
            <w:vAlign w:val="center"/>
          </w:tcPr>
          <w:p>
            <w:pPr>
              <w:jc w:val="center"/>
              <w:rPr>
                <w:rFonts w:ascii="宋体" w:hAnsi="宋体" w:cs="宋体"/>
                <w:color w:val="auto"/>
                <w:sz w:val="24"/>
                <w:highlight w:val="none"/>
              </w:rPr>
            </w:pPr>
            <w:r>
              <w:rPr>
                <w:rFonts w:hint="eastAsia" w:ascii="宋体" w:hAnsi="宋体" w:cs="宋体"/>
                <w:color w:val="auto"/>
                <w:sz w:val="24"/>
                <w:highlight w:val="none"/>
              </w:rPr>
              <w:t>11</w:t>
            </w:r>
          </w:p>
        </w:tc>
        <w:tc>
          <w:tcPr>
            <w:tcW w:w="3550" w:type="dxa"/>
            <w:vAlign w:val="center"/>
          </w:tcPr>
          <w:p>
            <w:pPr>
              <w:jc w:val="center"/>
              <w:rPr>
                <w:rFonts w:ascii="宋体" w:hAnsi="宋体" w:cs="宋体"/>
                <w:color w:val="auto"/>
                <w:sz w:val="24"/>
                <w:highlight w:val="none"/>
              </w:rPr>
            </w:pPr>
          </w:p>
        </w:tc>
        <w:tc>
          <w:tcPr>
            <w:tcW w:w="3200" w:type="dxa"/>
            <w:vAlign w:val="center"/>
          </w:tcPr>
          <w:p>
            <w:pPr>
              <w:jc w:val="center"/>
              <w:rPr>
                <w:rFonts w:ascii="宋体" w:hAnsi="宋体" w:cs="宋体"/>
                <w:color w:val="auto"/>
                <w:sz w:val="24"/>
                <w:highlight w:val="none"/>
              </w:rPr>
            </w:pPr>
          </w:p>
        </w:tc>
        <w:tc>
          <w:tcPr>
            <w:tcW w:w="916" w:type="dxa"/>
            <w:vAlign w:val="center"/>
          </w:tcPr>
          <w:p>
            <w:pPr>
              <w:jc w:val="center"/>
              <w:rPr>
                <w:rFonts w:ascii="宋体" w:hAnsi="宋体" w:cs="宋体"/>
                <w:color w:val="auto"/>
                <w:sz w:val="24"/>
                <w:highlight w:val="none"/>
              </w:rPr>
            </w:pPr>
          </w:p>
        </w:tc>
        <w:tc>
          <w:tcPr>
            <w:tcW w:w="1219" w:type="dxa"/>
            <w:vAlign w:val="center"/>
          </w:tcPr>
          <w:p>
            <w:pPr>
              <w:jc w:val="cente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4" w:hRule="atLeast"/>
        </w:trPr>
        <w:tc>
          <w:tcPr>
            <w:tcW w:w="834" w:type="dxa"/>
            <w:vAlign w:val="center"/>
          </w:tcPr>
          <w:p>
            <w:pPr>
              <w:jc w:val="center"/>
              <w:rPr>
                <w:rFonts w:ascii="宋体" w:hAnsi="宋体" w:cs="宋体"/>
                <w:color w:val="auto"/>
                <w:sz w:val="24"/>
                <w:highlight w:val="none"/>
              </w:rPr>
            </w:pPr>
            <w:r>
              <w:rPr>
                <w:rFonts w:hint="eastAsia" w:ascii="宋体" w:hAnsi="宋体" w:cs="宋体"/>
                <w:color w:val="auto"/>
                <w:sz w:val="24"/>
                <w:highlight w:val="none"/>
              </w:rPr>
              <w:t>12</w:t>
            </w:r>
          </w:p>
        </w:tc>
        <w:tc>
          <w:tcPr>
            <w:tcW w:w="3550" w:type="dxa"/>
            <w:vAlign w:val="center"/>
          </w:tcPr>
          <w:p>
            <w:pPr>
              <w:jc w:val="center"/>
              <w:rPr>
                <w:rFonts w:ascii="宋体" w:hAnsi="宋体" w:cs="宋体"/>
                <w:color w:val="auto"/>
                <w:sz w:val="24"/>
                <w:highlight w:val="none"/>
              </w:rPr>
            </w:pPr>
          </w:p>
        </w:tc>
        <w:tc>
          <w:tcPr>
            <w:tcW w:w="3200" w:type="dxa"/>
            <w:vAlign w:val="center"/>
          </w:tcPr>
          <w:p>
            <w:pPr>
              <w:jc w:val="center"/>
              <w:rPr>
                <w:rFonts w:ascii="宋体" w:hAnsi="宋体" w:cs="宋体"/>
                <w:color w:val="auto"/>
                <w:sz w:val="24"/>
                <w:highlight w:val="none"/>
              </w:rPr>
            </w:pPr>
          </w:p>
        </w:tc>
        <w:tc>
          <w:tcPr>
            <w:tcW w:w="916" w:type="dxa"/>
            <w:vAlign w:val="center"/>
          </w:tcPr>
          <w:p>
            <w:pPr>
              <w:jc w:val="center"/>
              <w:rPr>
                <w:rFonts w:ascii="宋体" w:hAnsi="宋体" w:cs="宋体"/>
                <w:color w:val="auto"/>
                <w:sz w:val="24"/>
                <w:highlight w:val="none"/>
              </w:rPr>
            </w:pPr>
          </w:p>
        </w:tc>
        <w:tc>
          <w:tcPr>
            <w:tcW w:w="1219" w:type="dxa"/>
            <w:vAlign w:val="center"/>
          </w:tcPr>
          <w:p>
            <w:pPr>
              <w:jc w:val="cente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6" w:hRule="atLeast"/>
        </w:trPr>
        <w:tc>
          <w:tcPr>
            <w:tcW w:w="834" w:type="dxa"/>
            <w:vAlign w:val="center"/>
          </w:tcPr>
          <w:p>
            <w:pPr>
              <w:jc w:val="center"/>
              <w:rPr>
                <w:rFonts w:ascii="宋体" w:hAnsi="宋体" w:cs="宋体"/>
                <w:color w:val="auto"/>
                <w:sz w:val="24"/>
                <w:highlight w:val="none"/>
              </w:rPr>
            </w:pPr>
            <w:r>
              <w:rPr>
                <w:rFonts w:hint="eastAsia" w:ascii="宋体" w:hAnsi="宋体" w:cs="宋体"/>
                <w:color w:val="auto"/>
                <w:sz w:val="24"/>
                <w:highlight w:val="none"/>
              </w:rPr>
              <w:t>13</w:t>
            </w:r>
          </w:p>
        </w:tc>
        <w:tc>
          <w:tcPr>
            <w:tcW w:w="3550" w:type="dxa"/>
            <w:vAlign w:val="center"/>
          </w:tcPr>
          <w:p>
            <w:pPr>
              <w:jc w:val="center"/>
              <w:rPr>
                <w:rFonts w:ascii="宋体" w:hAnsi="宋体" w:cs="宋体"/>
                <w:color w:val="auto"/>
                <w:sz w:val="24"/>
                <w:highlight w:val="none"/>
              </w:rPr>
            </w:pPr>
          </w:p>
        </w:tc>
        <w:tc>
          <w:tcPr>
            <w:tcW w:w="3200" w:type="dxa"/>
            <w:vAlign w:val="center"/>
          </w:tcPr>
          <w:p>
            <w:pPr>
              <w:jc w:val="center"/>
              <w:rPr>
                <w:rFonts w:ascii="宋体" w:hAnsi="宋体" w:cs="宋体"/>
                <w:color w:val="auto"/>
                <w:sz w:val="24"/>
                <w:highlight w:val="none"/>
              </w:rPr>
            </w:pPr>
          </w:p>
        </w:tc>
        <w:tc>
          <w:tcPr>
            <w:tcW w:w="916" w:type="dxa"/>
            <w:vAlign w:val="center"/>
          </w:tcPr>
          <w:p>
            <w:pPr>
              <w:jc w:val="center"/>
              <w:rPr>
                <w:rFonts w:ascii="宋体" w:hAnsi="宋体" w:cs="宋体"/>
                <w:color w:val="auto"/>
                <w:sz w:val="24"/>
                <w:highlight w:val="none"/>
              </w:rPr>
            </w:pPr>
          </w:p>
        </w:tc>
        <w:tc>
          <w:tcPr>
            <w:tcW w:w="1219" w:type="dxa"/>
            <w:vAlign w:val="center"/>
          </w:tcPr>
          <w:p>
            <w:pPr>
              <w:jc w:val="cente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834" w:type="dxa"/>
            <w:vAlign w:val="center"/>
          </w:tcPr>
          <w:p>
            <w:pPr>
              <w:jc w:val="center"/>
              <w:rPr>
                <w:rFonts w:ascii="宋体" w:hAnsi="宋体" w:cs="宋体"/>
                <w:color w:val="auto"/>
                <w:sz w:val="24"/>
                <w:highlight w:val="none"/>
              </w:rPr>
            </w:pPr>
            <w:r>
              <w:rPr>
                <w:rFonts w:hint="eastAsia" w:ascii="宋体" w:hAnsi="宋体" w:cs="宋体"/>
                <w:color w:val="auto"/>
                <w:sz w:val="24"/>
                <w:highlight w:val="none"/>
              </w:rPr>
              <w:t>……</w:t>
            </w:r>
          </w:p>
        </w:tc>
        <w:tc>
          <w:tcPr>
            <w:tcW w:w="3550" w:type="dxa"/>
            <w:vAlign w:val="center"/>
          </w:tcPr>
          <w:p>
            <w:pPr>
              <w:jc w:val="center"/>
              <w:rPr>
                <w:rFonts w:ascii="宋体" w:hAnsi="宋体" w:cs="宋体"/>
                <w:color w:val="auto"/>
                <w:sz w:val="24"/>
                <w:highlight w:val="none"/>
              </w:rPr>
            </w:pPr>
          </w:p>
        </w:tc>
        <w:tc>
          <w:tcPr>
            <w:tcW w:w="3200" w:type="dxa"/>
            <w:vAlign w:val="center"/>
          </w:tcPr>
          <w:p>
            <w:pPr>
              <w:jc w:val="center"/>
              <w:rPr>
                <w:rFonts w:ascii="宋体" w:hAnsi="宋体" w:cs="宋体"/>
                <w:color w:val="auto"/>
                <w:sz w:val="24"/>
                <w:highlight w:val="none"/>
              </w:rPr>
            </w:pPr>
          </w:p>
        </w:tc>
        <w:tc>
          <w:tcPr>
            <w:tcW w:w="916" w:type="dxa"/>
            <w:vAlign w:val="center"/>
          </w:tcPr>
          <w:p>
            <w:pPr>
              <w:jc w:val="center"/>
              <w:rPr>
                <w:rFonts w:ascii="宋体" w:hAnsi="宋体" w:cs="宋体"/>
                <w:color w:val="auto"/>
                <w:sz w:val="24"/>
                <w:highlight w:val="none"/>
              </w:rPr>
            </w:pPr>
          </w:p>
        </w:tc>
        <w:tc>
          <w:tcPr>
            <w:tcW w:w="1219" w:type="dxa"/>
            <w:vAlign w:val="center"/>
          </w:tcPr>
          <w:p>
            <w:pPr>
              <w:jc w:val="center"/>
              <w:rPr>
                <w:rFonts w:ascii="宋体" w:hAnsi="宋体" w:cs="宋体"/>
                <w:color w:val="auto"/>
                <w:sz w:val="24"/>
                <w:highlight w:val="none"/>
              </w:rPr>
            </w:pPr>
          </w:p>
        </w:tc>
      </w:tr>
    </w:tbl>
    <w:p>
      <w:pPr>
        <w:rPr>
          <w:rFonts w:ascii="宋体" w:hAnsi="宋体" w:cs="宋体"/>
          <w:color w:val="auto"/>
          <w:sz w:val="24"/>
          <w:highlight w:val="none"/>
        </w:rPr>
      </w:pPr>
    </w:p>
    <w:p>
      <w:pPr>
        <w:rPr>
          <w:rFonts w:ascii="宋体" w:hAnsi="宋体" w:cs="宋体"/>
          <w:color w:val="auto"/>
          <w:sz w:val="24"/>
          <w:highlight w:val="none"/>
        </w:rPr>
      </w:pPr>
    </w:p>
    <w:p>
      <w:pPr>
        <w:rPr>
          <w:rFonts w:ascii="宋体" w:hAnsi="宋体" w:cs="宋体"/>
          <w:color w:val="auto"/>
          <w:sz w:val="24"/>
          <w:highlight w:val="none"/>
        </w:rPr>
      </w:pPr>
    </w:p>
    <w:p>
      <w:pPr>
        <w:rPr>
          <w:rFonts w:ascii="宋体" w:hAnsi="宋体" w:cs="宋体"/>
          <w:color w:val="auto"/>
          <w:sz w:val="24"/>
          <w:highlight w:val="none"/>
        </w:rPr>
      </w:pPr>
      <w:r>
        <w:rPr>
          <w:rFonts w:hint="eastAsia" w:ascii="宋体" w:hAnsi="宋体" w:cs="宋体"/>
          <w:color w:val="auto"/>
          <w:sz w:val="24"/>
          <w:highlight w:val="none"/>
        </w:rPr>
        <w:t>供应商名称（盖章）：                         年   月    日</w:t>
      </w:r>
    </w:p>
    <w:p>
      <w:pPr>
        <w:pStyle w:val="6"/>
        <w:keepNext w:val="0"/>
        <w:keepLines w:val="0"/>
        <w:pageBreakBefore/>
        <w:rPr>
          <w:rFonts w:ascii="宋体" w:hAnsi="宋体" w:eastAsia="宋体" w:cs="宋体"/>
          <w:b w:val="0"/>
          <w:color w:val="auto"/>
          <w:sz w:val="24"/>
          <w:szCs w:val="24"/>
          <w:highlight w:val="none"/>
        </w:rPr>
      </w:pPr>
      <w:bookmarkStart w:id="64" w:name="_Toc11629"/>
      <w:r>
        <w:rPr>
          <w:rFonts w:hint="eastAsia" w:ascii="宋体" w:hAnsi="宋体" w:eastAsia="宋体" w:cs="宋体"/>
          <w:b w:val="0"/>
          <w:color w:val="auto"/>
          <w:sz w:val="24"/>
          <w:szCs w:val="24"/>
          <w:highlight w:val="none"/>
        </w:rPr>
        <w:t>附件八：商务响应表</w:t>
      </w:r>
      <w:bookmarkEnd w:id="64"/>
    </w:p>
    <w:p>
      <w:pPr>
        <w:snapToGrid w:val="0"/>
        <w:spacing w:before="50" w:afterLines="50"/>
        <w:jc w:val="center"/>
        <w:rPr>
          <w:rFonts w:ascii="宋体" w:hAnsi="宋体" w:cs="宋体"/>
          <w:b/>
          <w:color w:val="auto"/>
          <w:sz w:val="24"/>
          <w:highlight w:val="none"/>
        </w:rPr>
      </w:pPr>
      <w:bookmarkStart w:id="65" w:name="_Toc496598991"/>
      <w:r>
        <w:rPr>
          <w:rFonts w:hint="eastAsia" w:ascii="宋体" w:hAnsi="宋体" w:cs="宋体"/>
          <w:b/>
          <w:color w:val="auto"/>
          <w:sz w:val="24"/>
          <w:highlight w:val="none"/>
        </w:rPr>
        <w:t>商务响应表</w:t>
      </w:r>
    </w:p>
    <w:p>
      <w:pPr>
        <w:snapToGrid w:val="0"/>
        <w:spacing w:before="50" w:afterLines="50"/>
        <w:jc w:val="left"/>
        <w:rPr>
          <w:rFonts w:ascii="宋体" w:hAnsi="宋体" w:cs="宋体"/>
          <w:color w:val="auto"/>
          <w:sz w:val="24"/>
          <w:highlight w:val="none"/>
          <w:u w:val="single"/>
        </w:rPr>
      </w:pPr>
    </w:p>
    <w:tbl>
      <w:tblPr>
        <w:tblStyle w:val="40"/>
        <w:tblW w:w="0" w:type="auto"/>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703"/>
        <w:gridCol w:w="2969"/>
        <w:gridCol w:w="1386"/>
        <w:gridCol w:w="3321"/>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46" w:hRule="atLeast"/>
        </w:trPr>
        <w:tc>
          <w:tcPr>
            <w:tcW w:w="1703"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auto"/>
                <w:sz w:val="24"/>
                <w:highlight w:val="none"/>
              </w:rPr>
            </w:pPr>
            <w:r>
              <w:rPr>
                <w:rFonts w:hint="eastAsia" w:ascii="宋体" w:hAnsi="宋体" w:cs="宋体"/>
                <w:color w:val="auto"/>
                <w:sz w:val="24"/>
                <w:highlight w:val="none"/>
              </w:rPr>
              <w:t>项目</w:t>
            </w:r>
          </w:p>
        </w:tc>
        <w:tc>
          <w:tcPr>
            <w:tcW w:w="2969"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auto"/>
                <w:sz w:val="24"/>
                <w:highlight w:val="none"/>
              </w:rPr>
            </w:pPr>
            <w:r>
              <w:rPr>
                <w:rFonts w:hint="eastAsia" w:ascii="宋体" w:hAnsi="宋体" w:cs="宋体"/>
                <w:color w:val="auto"/>
                <w:sz w:val="24"/>
                <w:highlight w:val="none"/>
              </w:rPr>
              <w:t>磋商文件要求</w:t>
            </w:r>
          </w:p>
        </w:tc>
        <w:tc>
          <w:tcPr>
            <w:tcW w:w="1386"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auto"/>
                <w:sz w:val="24"/>
                <w:highlight w:val="none"/>
              </w:rPr>
            </w:pPr>
            <w:r>
              <w:rPr>
                <w:rFonts w:hint="eastAsia" w:ascii="宋体" w:hAnsi="宋体" w:cs="宋体"/>
                <w:color w:val="auto"/>
                <w:sz w:val="24"/>
                <w:highlight w:val="none"/>
              </w:rPr>
              <w:t>响应及偏离情况</w:t>
            </w:r>
          </w:p>
        </w:tc>
        <w:tc>
          <w:tcPr>
            <w:tcW w:w="332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auto"/>
                <w:sz w:val="24"/>
                <w:highlight w:val="none"/>
              </w:rPr>
            </w:pPr>
            <w:r>
              <w:rPr>
                <w:rFonts w:hint="eastAsia" w:ascii="宋体" w:hAnsi="宋体" w:cs="宋体"/>
                <w:color w:val="auto"/>
                <w:sz w:val="24"/>
                <w:highlight w:val="none"/>
              </w:rPr>
              <w:t>供应商的承诺或说明</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46" w:hRule="atLeast"/>
        </w:trPr>
        <w:tc>
          <w:tcPr>
            <w:tcW w:w="1703"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color w:val="auto"/>
                <w:sz w:val="24"/>
                <w:highlight w:val="none"/>
              </w:rPr>
            </w:pPr>
          </w:p>
        </w:tc>
        <w:tc>
          <w:tcPr>
            <w:tcW w:w="2969"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1386"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3321"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46" w:hRule="atLeast"/>
        </w:trPr>
        <w:tc>
          <w:tcPr>
            <w:tcW w:w="1703"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color w:val="auto"/>
                <w:sz w:val="24"/>
                <w:highlight w:val="none"/>
              </w:rPr>
            </w:pPr>
          </w:p>
        </w:tc>
        <w:tc>
          <w:tcPr>
            <w:tcW w:w="2969"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1386"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3321"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46" w:hRule="atLeast"/>
        </w:trPr>
        <w:tc>
          <w:tcPr>
            <w:tcW w:w="1703"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color w:val="auto"/>
                <w:sz w:val="24"/>
                <w:highlight w:val="none"/>
              </w:rPr>
            </w:pPr>
          </w:p>
        </w:tc>
        <w:tc>
          <w:tcPr>
            <w:tcW w:w="2969"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1386"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3321"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46" w:hRule="atLeast"/>
        </w:trPr>
        <w:tc>
          <w:tcPr>
            <w:tcW w:w="1703"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color w:val="auto"/>
                <w:sz w:val="24"/>
                <w:highlight w:val="none"/>
              </w:rPr>
            </w:pPr>
          </w:p>
        </w:tc>
        <w:tc>
          <w:tcPr>
            <w:tcW w:w="2969"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1386"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3321"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21" w:hRule="atLeast"/>
        </w:trPr>
        <w:tc>
          <w:tcPr>
            <w:tcW w:w="1703"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color w:val="auto"/>
                <w:sz w:val="24"/>
                <w:highlight w:val="none"/>
              </w:rPr>
            </w:pPr>
          </w:p>
        </w:tc>
        <w:tc>
          <w:tcPr>
            <w:tcW w:w="2969"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1386"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3321"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46" w:hRule="atLeast"/>
        </w:trPr>
        <w:tc>
          <w:tcPr>
            <w:tcW w:w="1703"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color w:val="auto"/>
                <w:sz w:val="24"/>
                <w:highlight w:val="none"/>
              </w:rPr>
            </w:pPr>
          </w:p>
        </w:tc>
        <w:tc>
          <w:tcPr>
            <w:tcW w:w="2969"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1386"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3321"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46" w:hRule="atLeast"/>
        </w:trPr>
        <w:tc>
          <w:tcPr>
            <w:tcW w:w="1703"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color w:val="auto"/>
                <w:sz w:val="24"/>
                <w:highlight w:val="none"/>
              </w:rPr>
            </w:pPr>
          </w:p>
        </w:tc>
        <w:tc>
          <w:tcPr>
            <w:tcW w:w="2969"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1386"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3321"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46" w:hRule="atLeast"/>
        </w:trPr>
        <w:tc>
          <w:tcPr>
            <w:tcW w:w="1703"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color w:val="auto"/>
                <w:sz w:val="24"/>
                <w:highlight w:val="none"/>
              </w:rPr>
            </w:pPr>
          </w:p>
        </w:tc>
        <w:tc>
          <w:tcPr>
            <w:tcW w:w="2969"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1386"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3321"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46" w:hRule="atLeast"/>
        </w:trPr>
        <w:tc>
          <w:tcPr>
            <w:tcW w:w="1703"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color w:val="auto"/>
                <w:sz w:val="24"/>
                <w:highlight w:val="none"/>
              </w:rPr>
            </w:pPr>
          </w:p>
        </w:tc>
        <w:tc>
          <w:tcPr>
            <w:tcW w:w="2969"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1386"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3321"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46" w:hRule="atLeast"/>
        </w:trPr>
        <w:tc>
          <w:tcPr>
            <w:tcW w:w="1703"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color w:val="auto"/>
                <w:sz w:val="24"/>
                <w:highlight w:val="none"/>
              </w:rPr>
            </w:pPr>
          </w:p>
        </w:tc>
        <w:tc>
          <w:tcPr>
            <w:tcW w:w="2969"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1386"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3321"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r>
    </w:tbl>
    <w:p>
      <w:pPr>
        <w:snapToGrid w:val="0"/>
        <w:spacing w:beforeLines="50"/>
        <w:rPr>
          <w:rFonts w:ascii="宋体" w:hAnsi="宋体" w:cs="宋体"/>
          <w:color w:val="auto"/>
          <w:sz w:val="24"/>
          <w:highlight w:val="none"/>
        </w:rPr>
      </w:pPr>
    </w:p>
    <w:p>
      <w:pPr>
        <w:snapToGrid w:val="0"/>
        <w:spacing w:before="50" w:after="50"/>
        <w:rPr>
          <w:rFonts w:ascii="宋体" w:hAnsi="宋体" w:cs="宋体"/>
          <w:color w:val="auto"/>
          <w:spacing w:val="20"/>
          <w:sz w:val="24"/>
          <w:highlight w:val="none"/>
          <w:u w:val="single"/>
        </w:rPr>
      </w:pPr>
      <w:r>
        <w:rPr>
          <w:rFonts w:hint="eastAsia" w:ascii="宋体" w:hAnsi="宋体" w:cs="宋体"/>
          <w:color w:val="auto"/>
          <w:sz w:val="24"/>
          <w:highlight w:val="none"/>
        </w:rPr>
        <w:t>法定代表人或委托代理人签字</w:t>
      </w:r>
      <w:r>
        <w:rPr>
          <w:rFonts w:hint="eastAsia" w:ascii="宋体" w:hAnsi="宋体" w:cs="宋体"/>
          <w:color w:val="auto"/>
          <w:spacing w:val="20"/>
          <w:sz w:val="24"/>
          <w:highlight w:val="none"/>
        </w:rPr>
        <w:t>：</w:t>
      </w:r>
      <w:r>
        <w:rPr>
          <w:rFonts w:hint="eastAsia" w:ascii="宋体" w:hAnsi="宋体" w:cs="宋体"/>
          <w:color w:val="auto"/>
          <w:spacing w:val="20"/>
          <w:sz w:val="24"/>
          <w:highlight w:val="none"/>
          <w:u w:val="single"/>
        </w:rPr>
        <w:t xml:space="preserve">        </w:t>
      </w:r>
    </w:p>
    <w:p>
      <w:pPr>
        <w:snapToGrid w:val="0"/>
        <w:spacing w:beforeLines="50"/>
        <w:rPr>
          <w:rFonts w:ascii="宋体" w:hAnsi="宋体" w:cs="宋体"/>
          <w:color w:val="auto"/>
          <w:sz w:val="24"/>
          <w:highlight w:val="none"/>
        </w:rPr>
      </w:pPr>
      <w:r>
        <w:rPr>
          <w:rFonts w:hint="eastAsia" w:ascii="宋体" w:hAnsi="宋体" w:cs="宋体"/>
          <w:color w:val="auto"/>
          <w:spacing w:val="20"/>
          <w:sz w:val="24"/>
          <w:highlight w:val="none"/>
        </w:rPr>
        <w:t>供应商盖章：</w:t>
      </w:r>
      <w:r>
        <w:rPr>
          <w:rFonts w:hint="eastAsia" w:ascii="宋体" w:hAnsi="宋体" w:cs="宋体"/>
          <w:color w:val="auto"/>
          <w:spacing w:val="20"/>
          <w:sz w:val="24"/>
          <w:highlight w:val="none"/>
          <w:u w:val="single"/>
        </w:rPr>
        <w:t xml:space="preserve">            </w:t>
      </w:r>
      <w:r>
        <w:rPr>
          <w:rFonts w:hint="eastAsia" w:ascii="宋体" w:hAnsi="宋体" w:cs="宋体"/>
          <w:color w:val="auto"/>
          <w:spacing w:val="20"/>
          <w:sz w:val="24"/>
          <w:highlight w:val="none"/>
        </w:rPr>
        <w:t xml:space="preserve">              日 期：</w:t>
      </w:r>
      <w:r>
        <w:rPr>
          <w:rFonts w:hint="eastAsia" w:ascii="宋体" w:hAnsi="宋体" w:cs="宋体"/>
          <w:color w:val="auto"/>
          <w:spacing w:val="20"/>
          <w:sz w:val="24"/>
          <w:highlight w:val="none"/>
          <w:u w:val="single"/>
        </w:rPr>
        <w:t xml:space="preserve">            </w:t>
      </w:r>
    </w:p>
    <w:p>
      <w:pPr>
        <w:rPr>
          <w:rFonts w:ascii="宋体" w:hAnsi="宋体" w:cs="宋体"/>
          <w:color w:val="auto"/>
          <w:sz w:val="24"/>
          <w:highlight w:val="none"/>
        </w:rPr>
      </w:pPr>
    </w:p>
    <w:p>
      <w:pPr>
        <w:pStyle w:val="6"/>
        <w:keepNext w:val="0"/>
        <w:keepLines w:val="0"/>
        <w:pageBreakBefore/>
        <w:spacing w:line="415" w:lineRule="auto"/>
        <w:rPr>
          <w:rFonts w:ascii="宋体" w:hAnsi="宋体" w:eastAsia="宋体" w:cs="宋体"/>
          <w:b w:val="0"/>
          <w:bCs w:val="0"/>
          <w:color w:val="auto"/>
          <w:sz w:val="24"/>
          <w:szCs w:val="24"/>
          <w:highlight w:val="none"/>
        </w:rPr>
      </w:pPr>
      <w:bookmarkStart w:id="66" w:name="_Toc23026"/>
      <w:r>
        <w:rPr>
          <w:rFonts w:hint="eastAsia" w:ascii="宋体" w:hAnsi="宋体" w:eastAsia="宋体" w:cs="宋体"/>
          <w:b w:val="0"/>
          <w:bCs w:val="0"/>
          <w:color w:val="auto"/>
          <w:sz w:val="24"/>
          <w:szCs w:val="24"/>
          <w:highlight w:val="none"/>
        </w:rPr>
        <w:t>附件九：</w:t>
      </w:r>
      <w:bookmarkEnd w:id="65"/>
      <w:r>
        <w:rPr>
          <w:rFonts w:hint="eastAsia" w:ascii="宋体" w:hAnsi="宋体" w:eastAsia="宋体" w:cs="宋体"/>
          <w:b w:val="0"/>
          <w:bCs w:val="0"/>
          <w:color w:val="auto"/>
          <w:sz w:val="24"/>
          <w:szCs w:val="24"/>
          <w:highlight w:val="none"/>
        </w:rPr>
        <w:t>技术响应表</w:t>
      </w:r>
      <w:bookmarkEnd w:id="66"/>
    </w:p>
    <w:p>
      <w:pPr>
        <w:snapToGrid w:val="0"/>
        <w:spacing w:before="50" w:afterLines="50"/>
        <w:jc w:val="center"/>
        <w:rPr>
          <w:rFonts w:ascii="宋体" w:hAnsi="宋体" w:cs="宋体"/>
          <w:b/>
          <w:color w:val="auto"/>
          <w:sz w:val="24"/>
          <w:highlight w:val="none"/>
        </w:rPr>
      </w:pPr>
      <w:r>
        <w:rPr>
          <w:rFonts w:hint="eastAsia" w:ascii="宋体" w:hAnsi="宋体" w:cs="宋体"/>
          <w:b/>
          <w:color w:val="auto"/>
          <w:sz w:val="24"/>
          <w:highlight w:val="none"/>
        </w:rPr>
        <w:t>技术响应表</w:t>
      </w:r>
    </w:p>
    <w:p>
      <w:pPr>
        <w:snapToGrid w:val="0"/>
        <w:spacing w:before="50" w:afterLines="50"/>
        <w:jc w:val="left"/>
        <w:rPr>
          <w:rFonts w:ascii="宋体" w:hAnsi="宋体" w:cs="宋体"/>
          <w:color w:val="auto"/>
          <w:sz w:val="24"/>
          <w:highlight w:val="none"/>
        </w:rPr>
      </w:pPr>
      <w:r>
        <w:rPr>
          <w:rFonts w:hint="eastAsia" w:ascii="宋体" w:hAnsi="宋体" w:cs="宋体"/>
          <w:color w:val="auto"/>
          <w:sz w:val="24"/>
          <w:highlight w:val="none"/>
        </w:rPr>
        <w:t>招标编号：</w:t>
      </w:r>
    </w:p>
    <w:tbl>
      <w:tblPr>
        <w:tblStyle w:val="4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9"/>
        <w:gridCol w:w="2004"/>
        <w:gridCol w:w="2113"/>
        <w:gridCol w:w="1750"/>
        <w:gridCol w:w="25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69" w:hRule="atLeast"/>
          <w:jc w:val="center"/>
        </w:trPr>
        <w:tc>
          <w:tcPr>
            <w:tcW w:w="949"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auto"/>
                <w:sz w:val="24"/>
                <w:highlight w:val="none"/>
              </w:rPr>
            </w:pPr>
            <w:r>
              <w:rPr>
                <w:rFonts w:hint="eastAsia" w:ascii="宋体" w:hAnsi="宋体" w:cs="宋体"/>
                <w:color w:val="auto"/>
                <w:sz w:val="24"/>
                <w:highlight w:val="none"/>
              </w:rPr>
              <w:t>序号</w:t>
            </w:r>
          </w:p>
        </w:tc>
        <w:tc>
          <w:tcPr>
            <w:tcW w:w="2004"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auto"/>
                <w:sz w:val="24"/>
                <w:highlight w:val="none"/>
              </w:rPr>
            </w:pPr>
            <w:r>
              <w:rPr>
                <w:rFonts w:hint="eastAsia" w:ascii="宋体" w:hAnsi="宋体" w:cs="宋体"/>
                <w:color w:val="auto"/>
                <w:sz w:val="24"/>
                <w:highlight w:val="none"/>
              </w:rPr>
              <w:t>内  容</w:t>
            </w:r>
          </w:p>
        </w:tc>
        <w:tc>
          <w:tcPr>
            <w:tcW w:w="2113"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auto"/>
                <w:sz w:val="24"/>
                <w:highlight w:val="none"/>
              </w:rPr>
            </w:pPr>
            <w:r>
              <w:rPr>
                <w:rFonts w:hint="eastAsia" w:ascii="宋体" w:hAnsi="宋体" w:cs="宋体"/>
                <w:color w:val="auto"/>
                <w:sz w:val="24"/>
                <w:highlight w:val="none"/>
              </w:rPr>
              <w:t>磋商文件</w:t>
            </w:r>
          </w:p>
          <w:p>
            <w:pPr>
              <w:jc w:val="center"/>
              <w:rPr>
                <w:rFonts w:ascii="宋体" w:hAnsi="宋体" w:cs="宋体"/>
                <w:color w:val="auto"/>
                <w:sz w:val="24"/>
                <w:highlight w:val="none"/>
              </w:rPr>
            </w:pPr>
            <w:r>
              <w:rPr>
                <w:rFonts w:hint="eastAsia" w:ascii="宋体" w:hAnsi="宋体" w:cs="宋体"/>
                <w:color w:val="auto"/>
                <w:sz w:val="24"/>
                <w:highlight w:val="none"/>
              </w:rPr>
              <w:t>规范要求</w:t>
            </w:r>
          </w:p>
        </w:tc>
        <w:tc>
          <w:tcPr>
            <w:tcW w:w="1750"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auto"/>
                <w:sz w:val="24"/>
                <w:highlight w:val="none"/>
              </w:rPr>
            </w:pPr>
            <w:r>
              <w:rPr>
                <w:rFonts w:hint="eastAsia" w:ascii="宋体" w:hAnsi="宋体" w:cs="宋体"/>
                <w:color w:val="auto"/>
                <w:sz w:val="24"/>
                <w:highlight w:val="none"/>
              </w:rPr>
              <w:t>磋商响应文件</w:t>
            </w:r>
          </w:p>
          <w:p>
            <w:pPr>
              <w:jc w:val="center"/>
              <w:rPr>
                <w:rFonts w:ascii="宋体" w:hAnsi="宋体" w:cs="宋体"/>
                <w:color w:val="auto"/>
                <w:sz w:val="24"/>
                <w:highlight w:val="none"/>
              </w:rPr>
            </w:pPr>
            <w:r>
              <w:rPr>
                <w:rFonts w:hint="eastAsia" w:ascii="宋体" w:hAnsi="宋体" w:cs="宋体"/>
                <w:color w:val="auto"/>
                <w:sz w:val="24"/>
                <w:highlight w:val="none"/>
              </w:rPr>
              <w:t>对应规范</w:t>
            </w:r>
          </w:p>
        </w:tc>
        <w:tc>
          <w:tcPr>
            <w:tcW w:w="2514"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auto"/>
                <w:sz w:val="24"/>
                <w:highlight w:val="none"/>
              </w:rPr>
            </w:pPr>
            <w:r>
              <w:rPr>
                <w:rFonts w:hint="eastAsia" w:ascii="宋体" w:hAnsi="宋体" w:cs="宋体"/>
                <w:color w:val="auto"/>
                <w:sz w:val="24"/>
                <w:highlight w:val="none"/>
              </w:rPr>
              <w:t>偏离情况</w:t>
            </w:r>
          </w:p>
          <w:p>
            <w:pPr>
              <w:jc w:val="center"/>
              <w:rPr>
                <w:rFonts w:ascii="宋体" w:hAnsi="宋体" w:cs="宋体"/>
                <w:color w:val="auto"/>
                <w:sz w:val="24"/>
                <w:highlight w:val="none"/>
              </w:rPr>
            </w:pPr>
            <w:r>
              <w:rPr>
                <w:rFonts w:hint="eastAsia" w:ascii="宋体" w:hAnsi="宋体" w:cs="宋体"/>
                <w:color w:val="auto"/>
                <w:sz w:val="24"/>
                <w:highlight w:val="none"/>
              </w:rPr>
              <w:t>（注明正偏离、负偏离或无偏离）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9" w:hRule="atLeast"/>
          <w:jc w:val="center"/>
        </w:trPr>
        <w:tc>
          <w:tcPr>
            <w:tcW w:w="949" w:type="dxa"/>
            <w:tcBorders>
              <w:top w:val="single" w:color="auto" w:sz="4" w:space="0"/>
              <w:left w:val="single" w:color="auto" w:sz="4" w:space="0"/>
              <w:bottom w:val="single" w:color="auto" w:sz="4" w:space="0"/>
              <w:right w:val="single" w:color="auto" w:sz="4" w:space="0"/>
            </w:tcBorders>
          </w:tcPr>
          <w:p>
            <w:pPr>
              <w:jc w:val="center"/>
              <w:rPr>
                <w:rFonts w:ascii="宋体" w:hAnsi="宋体" w:cs="宋体"/>
                <w:color w:val="auto"/>
                <w:sz w:val="24"/>
                <w:highlight w:val="none"/>
              </w:rPr>
            </w:pPr>
          </w:p>
        </w:tc>
        <w:tc>
          <w:tcPr>
            <w:tcW w:w="2004"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2113"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1750"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2514"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9" w:hRule="atLeast"/>
          <w:jc w:val="center"/>
        </w:trPr>
        <w:tc>
          <w:tcPr>
            <w:tcW w:w="949"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2004"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2113"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1750"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2514"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9" w:hRule="atLeast"/>
          <w:jc w:val="center"/>
        </w:trPr>
        <w:tc>
          <w:tcPr>
            <w:tcW w:w="949"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2004"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2113"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1750"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2514"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8" w:hRule="atLeast"/>
          <w:jc w:val="center"/>
        </w:trPr>
        <w:tc>
          <w:tcPr>
            <w:tcW w:w="949"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2004"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2113"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1750"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2514"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9" w:hRule="atLeast"/>
          <w:jc w:val="center"/>
        </w:trPr>
        <w:tc>
          <w:tcPr>
            <w:tcW w:w="949"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2004"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2113"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1750"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2514"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9" w:hRule="atLeast"/>
          <w:jc w:val="center"/>
        </w:trPr>
        <w:tc>
          <w:tcPr>
            <w:tcW w:w="949"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2004"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2113"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1750"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2514"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9" w:hRule="atLeast"/>
          <w:jc w:val="center"/>
        </w:trPr>
        <w:tc>
          <w:tcPr>
            <w:tcW w:w="949"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2004"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2113"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1750"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2514"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9" w:hRule="atLeast"/>
          <w:jc w:val="center"/>
        </w:trPr>
        <w:tc>
          <w:tcPr>
            <w:tcW w:w="949"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2004"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2113"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1750"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2514"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9" w:hRule="atLeast"/>
          <w:jc w:val="center"/>
        </w:trPr>
        <w:tc>
          <w:tcPr>
            <w:tcW w:w="949"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2004"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2113"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1750"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2514"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9" w:hRule="atLeast"/>
          <w:jc w:val="center"/>
        </w:trPr>
        <w:tc>
          <w:tcPr>
            <w:tcW w:w="949"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2004"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2113"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1750"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2514"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9" w:hRule="atLeast"/>
          <w:jc w:val="center"/>
        </w:trPr>
        <w:tc>
          <w:tcPr>
            <w:tcW w:w="949"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2004"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2113"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1750"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2514"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9" w:hRule="atLeast"/>
          <w:jc w:val="center"/>
        </w:trPr>
        <w:tc>
          <w:tcPr>
            <w:tcW w:w="949"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2004"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2113"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1750"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c>
          <w:tcPr>
            <w:tcW w:w="2514" w:type="dxa"/>
            <w:tcBorders>
              <w:top w:val="single" w:color="auto" w:sz="4" w:space="0"/>
              <w:left w:val="single" w:color="auto" w:sz="4" w:space="0"/>
              <w:bottom w:val="single" w:color="auto" w:sz="4" w:space="0"/>
              <w:right w:val="single" w:color="auto" w:sz="4" w:space="0"/>
            </w:tcBorders>
          </w:tcPr>
          <w:p>
            <w:pPr>
              <w:rPr>
                <w:rFonts w:ascii="宋体" w:hAnsi="宋体" w:cs="宋体"/>
                <w:color w:val="auto"/>
                <w:sz w:val="24"/>
                <w:highlight w:val="none"/>
              </w:rPr>
            </w:pPr>
          </w:p>
        </w:tc>
      </w:tr>
    </w:tbl>
    <w:p>
      <w:pPr>
        <w:snapToGrid w:val="0"/>
        <w:spacing w:before="50" w:after="50"/>
        <w:rPr>
          <w:rFonts w:ascii="宋体" w:hAnsi="宋体" w:cs="宋体"/>
          <w:b/>
          <w:bCs/>
          <w:color w:val="auto"/>
          <w:sz w:val="24"/>
          <w:highlight w:val="none"/>
        </w:rPr>
      </w:pPr>
    </w:p>
    <w:p>
      <w:pPr>
        <w:snapToGrid w:val="0"/>
        <w:spacing w:before="50" w:after="50"/>
        <w:rPr>
          <w:rFonts w:ascii="宋体" w:hAnsi="宋体" w:cs="宋体"/>
          <w:b/>
          <w:bCs/>
          <w:color w:val="auto"/>
          <w:spacing w:val="20"/>
          <w:sz w:val="24"/>
          <w:highlight w:val="none"/>
        </w:rPr>
      </w:pPr>
      <w:r>
        <w:rPr>
          <w:rFonts w:hint="eastAsia" w:ascii="宋体" w:hAnsi="宋体" w:cs="宋体"/>
          <w:b/>
          <w:bCs/>
          <w:color w:val="auto"/>
          <w:sz w:val="24"/>
          <w:highlight w:val="none"/>
        </w:rPr>
        <w:t>注：供应商应根据磋商文件的指标、对照磋商文件要求在“偏离情况”栏注明“正偏离”、“负偏离”或“无偏离”。</w:t>
      </w:r>
    </w:p>
    <w:p>
      <w:pPr>
        <w:snapToGrid w:val="0"/>
        <w:spacing w:before="50" w:after="50"/>
        <w:rPr>
          <w:rFonts w:ascii="宋体" w:hAnsi="宋体" w:cs="宋体"/>
          <w:color w:val="auto"/>
          <w:spacing w:val="20"/>
          <w:sz w:val="24"/>
          <w:highlight w:val="none"/>
        </w:rPr>
      </w:pPr>
    </w:p>
    <w:p>
      <w:pPr>
        <w:snapToGrid w:val="0"/>
        <w:spacing w:before="50" w:after="50"/>
        <w:rPr>
          <w:rFonts w:ascii="宋体" w:hAnsi="宋体" w:cs="宋体"/>
          <w:color w:val="auto"/>
          <w:spacing w:val="20"/>
          <w:sz w:val="24"/>
          <w:highlight w:val="none"/>
          <w:u w:val="single"/>
        </w:rPr>
      </w:pPr>
      <w:r>
        <w:rPr>
          <w:rFonts w:hint="eastAsia" w:ascii="宋体" w:hAnsi="宋体" w:cs="宋体"/>
          <w:color w:val="auto"/>
          <w:sz w:val="24"/>
          <w:highlight w:val="none"/>
        </w:rPr>
        <w:t>法定代表人或委托代理人签字</w:t>
      </w:r>
      <w:r>
        <w:rPr>
          <w:rFonts w:hint="eastAsia" w:ascii="宋体" w:hAnsi="宋体" w:cs="宋体"/>
          <w:color w:val="auto"/>
          <w:spacing w:val="20"/>
          <w:sz w:val="24"/>
          <w:highlight w:val="none"/>
        </w:rPr>
        <w:t>：</w:t>
      </w:r>
      <w:r>
        <w:rPr>
          <w:rFonts w:hint="eastAsia" w:ascii="宋体" w:hAnsi="宋体" w:cs="宋体"/>
          <w:color w:val="auto"/>
          <w:spacing w:val="20"/>
          <w:sz w:val="24"/>
          <w:highlight w:val="none"/>
          <w:u w:val="single"/>
        </w:rPr>
        <w:t xml:space="preserve">        </w:t>
      </w:r>
    </w:p>
    <w:p>
      <w:pPr>
        <w:snapToGrid w:val="0"/>
        <w:spacing w:before="50" w:after="50"/>
        <w:rPr>
          <w:rFonts w:ascii="宋体" w:hAnsi="宋体" w:cs="宋体"/>
          <w:color w:val="auto"/>
          <w:sz w:val="24"/>
          <w:highlight w:val="none"/>
        </w:rPr>
      </w:pPr>
      <w:r>
        <w:rPr>
          <w:rFonts w:hint="eastAsia" w:ascii="宋体" w:hAnsi="宋体" w:cs="宋体"/>
          <w:color w:val="auto"/>
          <w:spacing w:val="20"/>
          <w:sz w:val="24"/>
          <w:highlight w:val="none"/>
        </w:rPr>
        <w:t>供应商盖章：</w:t>
      </w:r>
      <w:r>
        <w:rPr>
          <w:rFonts w:hint="eastAsia" w:ascii="宋体" w:hAnsi="宋体" w:cs="宋体"/>
          <w:color w:val="auto"/>
          <w:spacing w:val="20"/>
          <w:sz w:val="24"/>
          <w:highlight w:val="none"/>
          <w:u w:val="single"/>
        </w:rPr>
        <w:t xml:space="preserve">            </w:t>
      </w:r>
      <w:r>
        <w:rPr>
          <w:rFonts w:hint="eastAsia" w:ascii="宋体" w:hAnsi="宋体" w:cs="宋体"/>
          <w:color w:val="auto"/>
          <w:spacing w:val="20"/>
          <w:sz w:val="24"/>
          <w:highlight w:val="none"/>
        </w:rPr>
        <w:t xml:space="preserve">              日 期：</w:t>
      </w:r>
      <w:r>
        <w:rPr>
          <w:rFonts w:hint="eastAsia" w:ascii="宋体" w:hAnsi="宋体" w:cs="宋体"/>
          <w:color w:val="auto"/>
          <w:spacing w:val="20"/>
          <w:sz w:val="24"/>
          <w:highlight w:val="none"/>
          <w:u w:val="single"/>
        </w:rPr>
        <w:t xml:space="preserve">            </w:t>
      </w:r>
    </w:p>
    <w:p>
      <w:pPr>
        <w:snapToGrid w:val="0"/>
        <w:spacing w:before="50" w:afterLines="50"/>
        <w:jc w:val="left"/>
        <w:rPr>
          <w:rFonts w:ascii="宋体" w:hAnsi="宋体" w:cs="宋体"/>
          <w:color w:val="auto"/>
          <w:sz w:val="24"/>
          <w:highlight w:val="none"/>
        </w:rPr>
      </w:pPr>
    </w:p>
    <w:p>
      <w:pPr>
        <w:spacing w:before="260" w:after="260" w:line="415" w:lineRule="auto"/>
        <w:rPr>
          <w:rFonts w:ascii="宋体" w:hAnsi="宋体" w:cs="宋体"/>
          <w:bCs/>
          <w:color w:val="auto"/>
          <w:sz w:val="24"/>
          <w:highlight w:val="none"/>
        </w:rPr>
      </w:pPr>
    </w:p>
    <w:p>
      <w:pPr>
        <w:spacing w:before="260" w:after="260" w:line="415" w:lineRule="auto"/>
        <w:rPr>
          <w:rFonts w:ascii="宋体" w:hAnsi="宋体" w:cs="宋体"/>
          <w:bCs/>
          <w:color w:val="auto"/>
          <w:sz w:val="24"/>
          <w:highlight w:val="none"/>
        </w:rPr>
      </w:pPr>
    </w:p>
    <w:p>
      <w:pPr>
        <w:spacing w:before="260" w:after="260" w:line="415" w:lineRule="auto"/>
        <w:rPr>
          <w:rFonts w:ascii="宋体" w:hAnsi="宋体" w:cs="宋体"/>
          <w:bCs/>
          <w:color w:val="auto"/>
          <w:sz w:val="24"/>
          <w:highlight w:val="none"/>
        </w:rPr>
      </w:pPr>
    </w:p>
    <w:p>
      <w:pPr>
        <w:rPr>
          <w:color w:val="auto"/>
          <w:highlight w:val="none"/>
        </w:rPr>
      </w:pPr>
      <w:bookmarkStart w:id="67" w:name="_Toc13087"/>
      <w:bookmarkStart w:id="68" w:name="_Toc4581"/>
      <w:bookmarkStart w:id="69" w:name="_Toc21446147"/>
      <w:bookmarkStart w:id="70" w:name="_Toc21703809"/>
      <w:bookmarkStart w:id="71" w:name="_Toc31640"/>
      <w:bookmarkStart w:id="72" w:name="_Toc536428271"/>
    </w:p>
    <w:p>
      <w:pPr>
        <w:pStyle w:val="6"/>
        <w:keepNext w:val="0"/>
        <w:keepLines w:val="0"/>
        <w:pageBreakBefore/>
        <w:spacing w:line="415" w:lineRule="auto"/>
        <w:rPr>
          <w:rFonts w:hint="eastAsia" w:ascii="宋体" w:hAnsi="宋体" w:eastAsia="宋体" w:cs="宋体"/>
          <w:b w:val="0"/>
          <w:bCs w:val="0"/>
          <w:color w:val="auto"/>
          <w:sz w:val="24"/>
          <w:szCs w:val="24"/>
          <w:highlight w:val="none"/>
        </w:rPr>
      </w:pPr>
      <w:bookmarkStart w:id="73" w:name="_Toc834"/>
      <w:bookmarkStart w:id="74" w:name="_Toc20368"/>
      <w:bookmarkStart w:id="75" w:name="_Toc26142"/>
      <w:bookmarkStart w:id="76" w:name="_Toc10463"/>
      <w:r>
        <w:rPr>
          <w:rFonts w:hint="eastAsia" w:ascii="宋体" w:hAnsi="宋体" w:eastAsia="宋体" w:cs="宋体"/>
          <w:b w:val="0"/>
          <w:bCs w:val="0"/>
          <w:color w:val="auto"/>
          <w:sz w:val="24"/>
          <w:szCs w:val="24"/>
          <w:highlight w:val="none"/>
        </w:rPr>
        <w:t>附件</w:t>
      </w:r>
      <w:r>
        <w:rPr>
          <w:rFonts w:hint="eastAsia" w:ascii="宋体" w:hAnsi="宋体" w:eastAsia="宋体" w:cs="宋体"/>
          <w:b w:val="0"/>
          <w:bCs w:val="0"/>
          <w:color w:val="auto"/>
          <w:sz w:val="24"/>
          <w:szCs w:val="24"/>
          <w:highlight w:val="none"/>
          <w:lang w:val="en-US" w:eastAsia="zh-CN"/>
        </w:rPr>
        <w:t>十</w:t>
      </w:r>
      <w:r>
        <w:rPr>
          <w:rFonts w:hint="eastAsia" w:ascii="宋体" w:hAnsi="宋体" w:eastAsia="宋体" w:cs="宋体"/>
          <w:b w:val="0"/>
          <w:bCs w:val="0"/>
          <w:color w:val="auto"/>
          <w:sz w:val="24"/>
          <w:szCs w:val="24"/>
          <w:highlight w:val="none"/>
        </w:rPr>
        <w:t>：安全生产及其他承诺函</w:t>
      </w:r>
      <w:bookmarkEnd w:id="73"/>
      <w:bookmarkEnd w:id="74"/>
      <w:bookmarkEnd w:id="75"/>
      <w:bookmarkEnd w:id="76"/>
    </w:p>
    <w:p>
      <w:pPr>
        <w:snapToGrid w:val="0"/>
        <w:spacing w:before="50" w:after="190" w:afterLines="50"/>
        <w:jc w:val="center"/>
        <w:rPr>
          <w:rFonts w:hint="eastAsia" w:ascii="宋体" w:hAnsi="宋体" w:cs="宋体"/>
          <w:b/>
          <w:color w:val="auto"/>
          <w:sz w:val="44"/>
          <w:szCs w:val="44"/>
          <w:highlight w:val="none"/>
        </w:rPr>
      </w:pPr>
      <w:r>
        <w:rPr>
          <w:rFonts w:hint="eastAsia" w:ascii="宋体" w:hAnsi="宋体" w:cs="宋体"/>
          <w:b/>
          <w:color w:val="auto"/>
          <w:sz w:val="44"/>
          <w:szCs w:val="44"/>
          <w:highlight w:val="none"/>
        </w:rPr>
        <w:t>安全生产及其他承诺函</w:t>
      </w:r>
    </w:p>
    <w:p>
      <w:pPr>
        <w:snapToGrid w:val="0"/>
        <w:spacing w:before="50" w:after="190" w:afterLines="50"/>
        <w:jc w:val="left"/>
        <w:rPr>
          <w:rFonts w:hint="eastAsia" w:ascii="宋体" w:hAnsi="宋体" w:cs="宋体"/>
          <w:b/>
          <w:color w:val="auto"/>
          <w:sz w:val="24"/>
          <w:highlight w:val="none"/>
        </w:rPr>
      </w:pPr>
    </w:p>
    <w:p>
      <w:pPr>
        <w:spacing w:line="360" w:lineRule="auto"/>
        <w:rPr>
          <w:rFonts w:hint="eastAsia" w:ascii="宋体" w:hAnsi="宋体" w:cs="宋体"/>
          <w:color w:val="auto"/>
          <w:sz w:val="28"/>
          <w:szCs w:val="28"/>
          <w:highlight w:val="none"/>
        </w:rPr>
      </w:pPr>
      <w:r>
        <w:rPr>
          <w:rFonts w:hint="eastAsia" w:ascii="宋体" w:hAnsi="宋体" w:cs="宋体"/>
          <w:color w:val="auto"/>
          <w:sz w:val="28"/>
          <w:szCs w:val="28"/>
          <w:highlight w:val="none"/>
        </w:rPr>
        <w:t>致：</w:t>
      </w:r>
      <w:r>
        <w:rPr>
          <w:rFonts w:hint="eastAsia" w:ascii="宋体" w:hAnsi="宋体" w:cs="宋体"/>
          <w:color w:val="auto"/>
          <w:sz w:val="28"/>
          <w:szCs w:val="28"/>
          <w:highlight w:val="none"/>
          <w:u w:val="none"/>
        </w:rPr>
        <w:t>东阳市三单乡人民政府</w:t>
      </w:r>
      <w:r>
        <w:rPr>
          <w:rFonts w:hint="eastAsia" w:ascii="宋体" w:hAnsi="宋体" w:cs="宋体"/>
          <w:color w:val="auto"/>
          <w:sz w:val="28"/>
          <w:szCs w:val="28"/>
          <w:highlight w:val="none"/>
        </w:rPr>
        <w:t> </w:t>
      </w:r>
    </w:p>
    <w:p>
      <w:pPr>
        <w:spacing w:line="360" w:lineRule="auto"/>
        <w:ind w:firstLine="560" w:firstLineChars="200"/>
        <w:rPr>
          <w:rFonts w:hint="eastAsia" w:ascii="宋体" w:hAnsi="宋体" w:cs="宋体"/>
          <w:color w:val="auto"/>
          <w:sz w:val="28"/>
          <w:szCs w:val="28"/>
          <w:highlight w:val="none"/>
        </w:rPr>
      </w:pPr>
      <w:r>
        <w:rPr>
          <w:rFonts w:hint="eastAsia" w:ascii="宋体" w:hAnsi="宋体"/>
          <w:color w:val="auto"/>
          <w:sz w:val="28"/>
          <w:szCs w:val="28"/>
          <w:highlight w:val="none"/>
        </w:rPr>
        <w:t>根据贵方</w:t>
      </w:r>
      <w:r>
        <w:rPr>
          <w:rFonts w:hint="eastAsia" w:ascii="宋体" w:hAnsi="宋体"/>
          <w:color w:val="auto"/>
          <w:sz w:val="28"/>
          <w:szCs w:val="28"/>
          <w:highlight w:val="none"/>
          <w:u w:val="single"/>
        </w:rPr>
        <w:t xml:space="preserve">                        项目</w:t>
      </w:r>
      <w:r>
        <w:rPr>
          <w:rFonts w:hint="eastAsia" w:ascii="宋体" w:hAnsi="宋体"/>
          <w:color w:val="auto"/>
          <w:sz w:val="28"/>
          <w:szCs w:val="28"/>
          <w:highlight w:val="none"/>
          <w:lang w:val="en-US" w:eastAsia="zh-CN"/>
        </w:rPr>
        <w:t>招标</w:t>
      </w:r>
      <w:r>
        <w:rPr>
          <w:rFonts w:hint="eastAsia" w:ascii="宋体" w:hAnsi="宋体"/>
          <w:color w:val="auto"/>
          <w:sz w:val="28"/>
          <w:szCs w:val="28"/>
          <w:highlight w:val="none"/>
        </w:rPr>
        <w:t>公告（项目编号：</w:t>
      </w:r>
      <w:r>
        <w:rPr>
          <w:rFonts w:hint="eastAsia" w:ascii="宋体" w:hAnsi="宋体"/>
          <w:color w:val="auto"/>
          <w:sz w:val="28"/>
          <w:szCs w:val="28"/>
          <w:highlight w:val="none"/>
          <w:u w:val="single"/>
        </w:rPr>
        <w:t xml:space="preserve">         </w:t>
      </w:r>
      <w:r>
        <w:rPr>
          <w:rFonts w:hint="eastAsia" w:ascii="宋体" w:hAnsi="宋体"/>
          <w:color w:val="auto"/>
          <w:sz w:val="28"/>
          <w:szCs w:val="28"/>
          <w:highlight w:val="none"/>
        </w:rPr>
        <w:t>），签字代表</w:t>
      </w:r>
      <w:r>
        <w:rPr>
          <w:rFonts w:hint="eastAsia" w:ascii="宋体" w:hAnsi="宋体"/>
          <w:color w:val="auto"/>
          <w:sz w:val="28"/>
          <w:szCs w:val="28"/>
          <w:highlight w:val="none"/>
          <w:u w:val="single"/>
        </w:rPr>
        <w:t xml:space="preserve">             </w:t>
      </w:r>
      <w:r>
        <w:rPr>
          <w:rFonts w:hint="eastAsia" w:ascii="宋体" w:hAnsi="宋体"/>
          <w:color w:val="auto"/>
          <w:sz w:val="28"/>
          <w:szCs w:val="28"/>
          <w:highlight w:val="none"/>
        </w:rPr>
        <w:t>（全名）经正式授权并代表</w:t>
      </w:r>
      <w:r>
        <w:rPr>
          <w:rFonts w:hint="eastAsia" w:ascii="宋体" w:hAnsi="宋体"/>
          <w:color w:val="auto"/>
          <w:sz w:val="28"/>
          <w:szCs w:val="28"/>
          <w:highlight w:val="none"/>
          <w:lang w:val="en-US" w:eastAsia="zh-CN"/>
        </w:rPr>
        <w:t>投标人</w:t>
      </w:r>
      <w:r>
        <w:rPr>
          <w:rFonts w:hint="eastAsia" w:ascii="宋体" w:hAnsi="宋体"/>
          <w:color w:val="auto"/>
          <w:sz w:val="28"/>
          <w:szCs w:val="28"/>
          <w:highlight w:val="none"/>
          <w:u w:val="single"/>
        </w:rPr>
        <w:t xml:space="preserve">                         </w:t>
      </w:r>
      <w:r>
        <w:rPr>
          <w:rFonts w:hint="eastAsia" w:ascii="宋体" w:hAnsi="宋体"/>
          <w:color w:val="auto"/>
          <w:sz w:val="28"/>
          <w:szCs w:val="28"/>
          <w:highlight w:val="none"/>
        </w:rPr>
        <w:t>（</w:t>
      </w:r>
      <w:r>
        <w:rPr>
          <w:rFonts w:hint="eastAsia" w:ascii="宋体" w:hAnsi="宋体"/>
          <w:color w:val="auto"/>
          <w:sz w:val="28"/>
          <w:szCs w:val="28"/>
          <w:highlight w:val="none"/>
          <w:lang w:val="en-US" w:eastAsia="zh-CN"/>
        </w:rPr>
        <w:t>投标人</w:t>
      </w:r>
      <w:r>
        <w:rPr>
          <w:rFonts w:hint="eastAsia" w:ascii="宋体" w:hAnsi="宋体"/>
          <w:color w:val="auto"/>
          <w:sz w:val="28"/>
          <w:szCs w:val="28"/>
          <w:highlight w:val="none"/>
        </w:rPr>
        <w:t>名称）作出如下承诺：</w:t>
      </w:r>
    </w:p>
    <w:p>
      <w:pPr>
        <w:spacing w:line="360" w:lineRule="auto"/>
        <w:ind w:firstLine="560" w:firstLineChars="200"/>
        <w:rPr>
          <w:rFonts w:hint="eastAsia" w:ascii="宋体" w:hAnsi="宋体"/>
          <w:color w:val="auto"/>
          <w:sz w:val="28"/>
          <w:szCs w:val="28"/>
          <w:highlight w:val="none"/>
        </w:rPr>
      </w:pPr>
    </w:p>
    <w:p>
      <w:pPr>
        <w:spacing w:line="360" w:lineRule="auto"/>
        <w:ind w:firstLine="560" w:firstLineChars="200"/>
        <w:rPr>
          <w:rFonts w:hint="eastAsia" w:ascii="宋体" w:hAnsi="宋体"/>
          <w:color w:val="auto"/>
          <w:sz w:val="28"/>
          <w:szCs w:val="28"/>
          <w:highlight w:val="none"/>
        </w:rPr>
      </w:pPr>
      <w:r>
        <w:rPr>
          <w:rFonts w:hint="eastAsia" w:ascii="宋体" w:hAnsi="宋体"/>
          <w:color w:val="auto"/>
          <w:sz w:val="28"/>
          <w:szCs w:val="28"/>
          <w:highlight w:val="none"/>
        </w:rPr>
        <w:t>（1）我方承诺本项目在验收合格前所发生的一切经济、安全及其他责任事故以及验收合格后因</w:t>
      </w:r>
      <w:r>
        <w:rPr>
          <w:rFonts w:hint="eastAsia" w:ascii="宋体" w:hAnsi="宋体"/>
          <w:color w:val="auto"/>
          <w:sz w:val="28"/>
          <w:szCs w:val="28"/>
          <w:highlight w:val="none"/>
          <w:lang w:val="en-US" w:eastAsia="zh-CN"/>
        </w:rPr>
        <w:t>中标人</w:t>
      </w:r>
      <w:r>
        <w:rPr>
          <w:rFonts w:hint="eastAsia" w:ascii="宋体" w:hAnsi="宋体"/>
          <w:color w:val="auto"/>
          <w:sz w:val="28"/>
          <w:szCs w:val="28"/>
          <w:highlight w:val="none"/>
        </w:rPr>
        <w:t>原因导致的一切事故及损失均由我公司承担，与采购人无关。</w:t>
      </w:r>
    </w:p>
    <w:p>
      <w:pPr>
        <w:spacing w:line="360" w:lineRule="auto"/>
        <w:ind w:firstLine="560" w:firstLineChars="200"/>
        <w:rPr>
          <w:rFonts w:hint="eastAsia" w:ascii="宋体" w:hAnsi="宋体"/>
          <w:color w:val="auto"/>
          <w:sz w:val="28"/>
          <w:szCs w:val="28"/>
          <w:highlight w:val="none"/>
        </w:rPr>
      </w:pPr>
      <w:r>
        <w:rPr>
          <w:rFonts w:hint="eastAsia" w:ascii="宋体" w:hAnsi="宋体"/>
          <w:color w:val="auto"/>
          <w:sz w:val="28"/>
          <w:szCs w:val="28"/>
          <w:highlight w:val="none"/>
        </w:rPr>
        <w:t>（</w:t>
      </w:r>
      <w:r>
        <w:rPr>
          <w:rFonts w:hint="eastAsia" w:ascii="宋体" w:hAnsi="宋体"/>
          <w:color w:val="auto"/>
          <w:sz w:val="28"/>
          <w:szCs w:val="28"/>
          <w:highlight w:val="none"/>
          <w:lang w:val="en-US" w:eastAsia="zh-CN"/>
        </w:rPr>
        <w:t>2</w:t>
      </w:r>
      <w:r>
        <w:rPr>
          <w:rFonts w:hint="eastAsia" w:ascii="宋体" w:hAnsi="宋体"/>
          <w:color w:val="auto"/>
          <w:sz w:val="28"/>
          <w:szCs w:val="28"/>
          <w:highlight w:val="none"/>
        </w:rPr>
        <w:t>）在施工过程中产生的垃圾，由我公司清运、处置。</w:t>
      </w:r>
    </w:p>
    <w:p>
      <w:pPr>
        <w:rPr>
          <w:rFonts w:hint="eastAsia" w:ascii="宋体" w:hAnsi="宋体" w:cs="宋体"/>
          <w:color w:val="auto"/>
          <w:sz w:val="28"/>
          <w:szCs w:val="28"/>
          <w:highlight w:val="none"/>
        </w:rPr>
      </w:pPr>
    </w:p>
    <w:p>
      <w:pPr>
        <w:spacing w:line="360" w:lineRule="auto"/>
        <w:rPr>
          <w:rFonts w:hint="eastAsia" w:ascii="宋体" w:hAnsi="宋体" w:cs="宋体"/>
          <w:color w:val="auto"/>
          <w:sz w:val="28"/>
          <w:szCs w:val="28"/>
          <w:highlight w:val="none"/>
        </w:rPr>
      </w:pPr>
    </w:p>
    <w:p>
      <w:pPr>
        <w:spacing w:line="360" w:lineRule="auto"/>
        <w:ind w:firstLine="560" w:firstLineChars="200"/>
        <w:rPr>
          <w:rFonts w:hint="eastAsia" w:ascii="宋体" w:hAnsi="宋体"/>
          <w:color w:val="auto"/>
          <w:sz w:val="28"/>
          <w:szCs w:val="28"/>
          <w:highlight w:val="none"/>
        </w:rPr>
      </w:pPr>
    </w:p>
    <w:bookmarkEnd w:id="67"/>
    <w:bookmarkEnd w:id="68"/>
    <w:p>
      <w:pPr>
        <w:spacing w:line="360" w:lineRule="auto"/>
        <w:ind w:firstLine="3920" w:firstLineChars="1400"/>
        <w:rPr>
          <w:rFonts w:hint="eastAsia" w:ascii="宋体" w:hAnsi="宋体"/>
          <w:color w:val="auto"/>
          <w:sz w:val="28"/>
          <w:szCs w:val="28"/>
          <w:highlight w:val="none"/>
        </w:rPr>
      </w:pPr>
      <w:r>
        <w:rPr>
          <w:rFonts w:hint="eastAsia" w:ascii="宋体" w:hAnsi="宋体"/>
          <w:color w:val="auto"/>
          <w:sz w:val="28"/>
          <w:szCs w:val="28"/>
          <w:highlight w:val="none"/>
          <w:lang w:val="en-US" w:eastAsia="zh-CN"/>
        </w:rPr>
        <w:t>供应商</w:t>
      </w:r>
      <w:r>
        <w:rPr>
          <w:rFonts w:hint="eastAsia" w:ascii="宋体" w:hAnsi="宋体"/>
          <w:color w:val="auto"/>
          <w:sz w:val="28"/>
          <w:szCs w:val="28"/>
          <w:highlight w:val="none"/>
        </w:rPr>
        <w:t>（单位盖章）：</w:t>
      </w:r>
    </w:p>
    <w:p>
      <w:pPr>
        <w:spacing w:line="360" w:lineRule="auto"/>
        <w:ind w:firstLine="3920" w:firstLineChars="1400"/>
        <w:rPr>
          <w:rFonts w:hint="eastAsia" w:ascii="宋体" w:hAnsi="宋体" w:cs="宋体"/>
          <w:color w:val="auto"/>
          <w:sz w:val="24"/>
          <w:szCs w:val="24"/>
          <w:highlight w:val="none"/>
        </w:rPr>
      </w:pPr>
      <w:r>
        <w:rPr>
          <w:rFonts w:hint="eastAsia" w:ascii="宋体" w:hAnsi="宋体"/>
          <w:color w:val="auto"/>
          <w:sz w:val="28"/>
          <w:szCs w:val="28"/>
          <w:highlight w:val="none"/>
        </w:rPr>
        <w:t xml:space="preserve">法定代表人或委托代理人（签字或盖章）：   </w:t>
      </w:r>
      <w:r>
        <w:rPr>
          <w:rFonts w:hint="eastAsia" w:ascii="宋体" w:hAnsi="宋体" w:cs="宋体"/>
          <w:color w:val="auto"/>
          <w:sz w:val="24"/>
          <w:szCs w:val="24"/>
          <w:highlight w:val="none"/>
        </w:rPr>
        <w:t xml:space="preserve">                      </w:t>
      </w:r>
    </w:p>
    <w:p>
      <w:pPr>
        <w:spacing w:line="360" w:lineRule="auto"/>
        <w:ind w:firstLine="4480" w:firstLineChars="1600"/>
        <w:rPr>
          <w:rFonts w:hint="eastAsia" w:ascii="宋体" w:hAnsi="宋体"/>
          <w:color w:val="auto"/>
          <w:sz w:val="28"/>
          <w:szCs w:val="28"/>
          <w:highlight w:val="none"/>
          <w:lang w:val="en-US" w:eastAsia="zh-CN"/>
        </w:rPr>
      </w:pPr>
      <w:r>
        <w:rPr>
          <w:rFonts w:hint="eastAsia" w:ascii="宋体" w:hAnsi="宋体"/>
          <w:color w:val="auto"/>
          <w:sz w:val="28"/>
          <w:szCs w:val="28"/>
          <w:highlight w:val="none"/>
          <w:lang w:val="en-US" w:eastAsia="zh-CN"/>
        </w:rPr>
        <w:t>年  月  日</w:t>
      </w:r>
    </w:p>
    <w:p>
      <w:pPr>
        <w:pStyle w:val="6"/>
        <w:keepNext w:val="0"/>
        <w:keepLines w:val="0"/>
        <w:pageBreakBefore/>
        <w:spacing w:line="415" w:lineRule="auto"/>
        <w:rPr>
          <w:rFonts w:ascii="宋体" w:hAnsi="宋体" w:eastAsia="宋体" w:cs="宋体"/>
          <w:b w:val="0"/>
          <w:bCs w:val="0"/>
          <w:color w:val="auto"/>
          <w:sz w:val="24"/>
          <w:szCs w:val="24"/>
          <w:highlight w:val="none"/>
        </w:rPr>
      </w:pPr>
      <w:bookmarkStart w:id="77" w:name="_Toc4897"/>
      <w:r>
        <w:rPr>
          <w:rFonts w:hint="eastAsia" w:ascii="宋体" w:hAnsi="宋体" w:eastAsia="宋体" w:cs="宋体"/>
          <w:b w:val="0"/>
          <w:bCs w:val="0"/>
          <w:color w:val="auto"/>
          <w:sz w:val="24"/>
          <w:szCs w:val="24"/>
          <w:highlight w:val="none"/>
        </w:rPr>
        <w:t>附件十</w:t>
      </w:r>
      <w:r>
        <w:rPr>
          <w:rFonts w:hint="eastAsia" w:ascii="宋体" w:hAnsi="宋体" w:eastAsia="宋体" w:cs="宋体"/>
          <w:b w:val="0"/>
          <w:bCs w:val="0"/>
          <w:color w:val="auto"/>
          <w:sz w:val="24"/>
          <w:szCs w:val="24"/>
          <w:highlight w:val="none"/>
          <w:lang w:val="en-US" w:eastAsia="zh-CN"/>
        </w:rPr>
        <w:t>一</w:t>
      </w:r>
      <w:r>
        <w:rPr>
          <w:rFonts w:hint="eastAsia" w:ascii="宋体" w:hAnsi="宋体" w:eastAsia="宋体" w:cs="宋体"/>
          <w:b w:val="0"/>
          <w:bCs w:val="0"/>
          <w:color w:val="auto"/>
          <w:sz w:val="24"/>
          <w:szCs w:val="24"/>
          <w:highlight w:val="none"/>
        </w:rPr>
        <w:t>：</w:t>
      </w:r>
      <w:bookmarkEnd w:id="69"/>
      <w:bookmarkEnd w:id="70"/>
      <w:bookmarkEnd w:id="71"/>
      <w:bookmarkStart w:id="78" w:name="_Toc20267"/>
      <w:bookmarkStart w:id="79" w:name="_Toc31096"/>
      <w:r>
        <w:rPr>
          <w:rFonts w:hint="eastAsia" w:ascii="宋体" w:hAnsi="宋体" w:eastAsia="宋体" w:cs="宋体"/>
          <w:b w:val="0"/>
          <w:bCs w:val="0"/>
          <w:color w:val="auto"/>
          <w:sz w:val="24"/>
          <w:szCs w:val="24"/>
          <w:highlight w:val="none"/>
        </w:rPr>
        <w:t>拟投入本项目</w:t>
      </w:r>
      <w:bookmarkEnd w:id="78"/>
      <w:r>
        <w:rPr>
          <w:rFonts w:hint="eastAsia" w:ascii="宋体" w:hAnsi="宋体" w:eastAsia="宋体" w:cs="宋体"/>
          <w:b w:val="0"/>
          <w:bCs w:val="0"/>
          <w:color w:val="auto"/>
          <w:sz w:val="24"/>
          <w:szCs w:val="24"/>
          <w:highlight w:val="none"/>
        </w:rPr>
        <w:t>人员一览表</w:t>
      </w:r>
      <w:bookmarkEnd w:id="77"/>
      <w:bookmarkEnd w:id="79"/>
    </w:p>
    <w:p>
      <w:pPr>
        <w:jc w:val="center"/>
        <w:rPr>
          <w:rFonts w:ascii="宋体" w:hAnsi="宋体"/>
          <w:b/>
          <w:color w:val="auto"/>
          <w:sz w:val="28"/>
          <w:szCs w:val="28"/>
          <w:highlight w:val="none"/>
        </w:rPr>
      </w:pPr>
      <w:r>
        <w:rPr>
          <w:rFonts w:ascii="宋体" w:hAnsi="宋体"/>
          <w:b/>
          <w:color w:val="auto"/>
          <w:sz w:val="28"/>
          <w:szCs w:val="28"/>
          <w:highlight w:val="none"/>
        </w:rPr>
        <w:t>拟投入本项目人员一览表</w:t>
      </w:r>
    </w:p>
    <w:p>
      <w:pPr>
        <w:rPr>
          <w:rFonts w:ascii="宋体" w:hAnsi="宋体"/>
          <w:b/>
          <w:color w:val="auto"/>
          <w:sz w:val="28"/>
          <w:szCs w:val="28"/>
          <w:highlight w:val="none"/>
        </w:rPr>
      </w:pPr>
      <w:r>
        <w:rPr>
          <w:rFonts w:hint="eastAsia" w:ascii="宋体" w:hAnsi="宋体"/>
          <w:color w:val="auto"/>
          <w:sz w:val="24"/>
          <w:highlight w:val="none"/>
        </w:rPr>
        <w:t>项目名称：</w:t>
      </w:r>
      <w:r>
        <w:rPr>
          <w:rFonts w:hint="eastAsia" w:ascii="宋体" w:hAnsi="宋体"/>
          <w:color w:val="auto"/>
          <w:sz w:val="24"/>
          <w:highlight w:val="none"/>
          <w:u w:val="single"/>
        </w:rPr>
        <w:t xml:space="preserve">                             </w:t>
      </w:r>
      <w:r>
        <w:rPr>
          <w:rFonts w:hint="eastAsia" w:ascii="宋体" w:hAnsi="宋体"/>
          <w:color w:val="auto"/>
          <w:sz w:val="24"/>
          <w:highlight w:val="none"/>
        </w:rPr>
        <w:t xml:space="preserve">   招标编号：</w:t>
      </w:r>
      <w:r>
        <w:rPr>
          <w:rFonts w:hint="eastAsia" w:ascii="宋体" w:hAnsi="宋体"/>
          <w:color w:val="auto"/>
          <w:sz w:val="24"/>
          <w:highlight w:val="none"/>
          <w:u w:val="single"/>
        </w:rPr>
        <w:t xml:space="preserve">             </w:t>
      </w:r>
      <w:r>
        <w:rPr>
          <w:rFonts w:hint="eastAsia" w:ascii="宋体" w:hAnsi="宋体"/>
          <w:color w:val="auto"/>
          <w:sz w:val="24"/>
          <w:highlight w:val="none"/>
        </w:rPr>
        <w:t xml:space="preserve">   </w:t>
      </w:r>
    </w:p>
    <w:tbl>
      <w:tblPr>
        <w:tblStyle w:val="40"/>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0"/>
        <w:gridCol w:w="1080"/>
        <w:gridCol w:w="1080"/>
        <w:gridCol w:w="1440"/>
        <w:gridCol w:w="1620"/>
        <w:gridCol w:w="1458"/>
        <w:gridCol w:w="15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3" w:hRule="atLeast"/>
        </w:trPr>
        <w:tc>
          <w:tcPr>
            <w:tcW w:w="1260" w:type="dxa"/>
            <w:vMerge w:val="restart"/>
            <w:vAlign w:val="center"/>
          </w:tcPr>
          <w:p>
            <w:pPr>
              <w:jc w:val="center"/>
              <w:rPr>
                <w:rFonts w:ascii="宋体" w:hAnsi="宋体"/>
                <w:color w:val="auto"/>
                <w:szCs w:val="21"/>
                <w:highlight w:val="none"/>
              </w:rPr>
            </w:pPr>
            <w:r>
              <w:rPr>
                <w:rFonts w:hint="eastAsia" w:ascii="宋体" w:hAnsi="宋体"/>
                <w:color w:val="auto"/>
                <w:szCs w:val="21"/>
                <w:highlight w:val="none"/>
              </w:rPr>
              <w:t>在本项目任职岗位</w:t>
            </w:r>
          </w:p>
        </w:tc>
        <w:tc>
          <w:tcPr>
            <w:tcW w:w="1080" w:type="dxa"/>
            <w:vMerge w:val="restart"/>
            <w:vAlign w:val="center"/>
          </w:tcPr>
          <w:p>
            <w:pPr>
              <w:jc w:val="center"/>
              <w:rPr>
                <w:rFonts w:ascii="宋体" w:hAnsi="宋体"/>
                <w:color w:val="auto"/>
                <w:szCs w:val="21"/>
                <w:highlight w:val="none"/>
              </w:rPr>
            </w:pPr>
            <w:r>
              <w:rPr>
                <w:rFonts w:hint="eastAsia" w:ascii="宋体" w:hAnsi="宋体"/>
                <w:color w:val="auto"/>
                <w:szCs w:val="21"/>
                <w:highlight w:val="none"/>
              </w:rPr>
              <w:t>姓名</w:t>
            </w:r>
          </w:p>
        </w:tc>
        <w:tc>
          <w:tcPr>
            <w:tcW w:w="1080" w:type="dxa"/>
            <w:vMerge w:val="restart"/>
            <w:vAlign w:val="center"/>
          </w:tcPr>
          <w:p>
            <w:pPr>
              <w:jc w:val="center"/>
              <w:rPr>
                <w:rFonts w:ascii="宋体" w:hAnsi="宋体"/>
                <w:color w:val="auto"/>
                <w:szCs w:val="21"/>
                <w:highlight w:val="none"/>
              </w:rPr>
            </w:pPr>
            <w:r>
              <w:rPr>
                <w:rFonts w:hint="eastAsia" w:ascii="宋体" w:hAnsi="宋体"/>
                <w:color w:val="auto"/>
                <w:szCs w:val="21"/>
                <w:highlight w:val="none"/>
              </w:rPr>
              <w:t>职称</w:t>
            </w:r>
          </w:p>
        </w:tc>
        <w:tc>
          <w:tcPr>
            <w:tcW w:w="4518" w:type="dxa"/>
            <w:gridSpan w:val="3"/>
            <w:vAlign w:val="center"/>
          </w:tcPr>
          <w:p>
            <w:pPr>
              <w:jc w:val="center"/>
              <w:rPr>
                <w:rFonts w:ascii="宋体" w:hAnsi="宋体"/>
                <w:color w:val="auto"/>
                <w:szCs w:val="21"/>
                <w:highlight w:val="none"/>
              </w:rPr>
            </w:pPr>
            <w:r>
              <w:rPr>
                <w:rFonts w:hint="eastAsia" w:ascii="宋体" w:hAnsi="宋体"/>
                <w:color w:val="auto"/>
                <w:szCs w:val="21"/>
                <w:highlight w:val="none"/>
              </w:rPr>
              <w:t>执业或职业资格证明</w:t>
            </w:r>
          </w:p>
        </w:tc>
        <w:tc>
          <w:tcPr>
            <w:tcW w:w="1505" w:type="dxa"/>
            <w:vMerge w:val="restart"/>
            <w:vAlign w:val="center"/>
          </w:tcPr>
          <w:p>
            <w:pPr>
              <w:jc w:val="center"/>
              <w:rPr>
                <w:rFonts w:ascii="宋体" w:hAnsi="宋体"/>
                <w:color w:val="auto"/>
                <w:szCs w:val="21"/>
                <w:highlight w:val="none"/>
              </w:rPr>
            </w:pPr>
            <w:r>
              <w:rPr>
                <w:rFonts w:hint="eastAsia" w:ascii="宋体" w:hAnsi="宋体"/>
                <w:color w:val="auto"/>
                <w:szCs w:val="21"/>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trPr>
        <w:tc>
          <w:tcPr>
            <w:tcW w:w="1260" w:type="dxa"/>
            <w:vMerge w:val="continue"/>
          </w:tcPr>
          <w:p>
            <w:pPr>
              <w:rPr>
                <w:rFonts w:ascii="宋体" w:hAnsi="宋体"/>
                <w:color w:val="auto"/>
                <w:szCs w:val="21"/>
                <w:highlight w:val="none"/>
              </w:rPr>
            </w:pPr>
          </w:p>
        </w:tc>
        <w:tc>
          <w:tcPr>
            <w:tcW w:w="1080" w:type="dxa"/>
            <w:vMerge w:val="continue"/>
          </w:tcPr>
          <w:p>
            <w:pPr>
              <w:rPr>
                <w:rFonts w:ascii="宋体" w:hAnsi="宋体"/>
                <w:color w:val="auto"/>
                <w:szCs w:val="21"/>
                <w:highlight w:val="none"/>
              </w:rPr>
            </w:pPr>
          </w:p>
        </w:tc>
        <w:tc>
          <w:tcPr>
            <w:tcW w:w="1080" w:type="dxa"/>
            <w:vMerge w:val="continue"/>
          </w:tcPr>
          <w:p>
            <w:pPr>
              <w:rPr>
                <w:rFonts w:ascii="宋体" w:hAnsi="宋体"/>
                <w:color w:val="auto"/>
                <w:szCs w:val="21"/>
                <w:highlight w:val="none"/>
              </w:rPr>
            </w:pPr>
          </w:p>
        </w:tc>
        <w:tc>
          <w:tcPr>
            <w:tcW w:w="1440" w:type="dxa"/>
            <w:vAlign w:val="center"/>
          </w:tcPr>
          <w:p>
            <w:pPr>
              <w:jc w:val="center"/>
              <w:rPr>
                <w:rFonts w:ascii="宋体" w:hAnsi="宋体"/>
                <w:color w:val="auto"/>
                <w:szCs w:val="21"/>
                <w:highlight w:val="none"/>
              </w:rPr>
            </w:pPr>
            <w:r>
              <w:rPr>
                <w:rFonts w:hint="eastAsia" w:ascii="宋体" w:hAnsi="宋体"/>
                <w:color w:val="auto"/>
                <w:szCs w:val="21"/>
                <w:highlight w:val="none"/>
              </w:rPr>
              <w:t>证书名称</w:t>
            </w:r>
          </w:p>
        </w:tc>
        <w:tc>
          <w:tcPr>
            <w:tcW w:w="1620" w:type="dxa"/>
            <w:vAlign w:val="center"/>
          </w:tcPr>
          <w:p>
            <w:pPr>
              <w:jc w:val="center"/>
              <w:rPr>
                <w:rFonts w:ascii="宋体" w:hAnsi="宋体"/>
                <w:color w:val="auto"/>
                <w:szCs w:val="21"/>
                <w:highlight w:val="none"/>
              </w:rPr>
            </w:pPr>
            <w:r>
              <w:rPr>
                <w:rFonts w:hint="eastAsia" w:ascii="宋体" w:hAnsi="宋体"/>
                <w:color w:val="auto"/>
                <w:szCs w:val="21"/>
                <w:highlight w:val="none"/>
              </w:rPr>
              <w:t>级别</w:t>
            </w:r>
          </w:p>
        </w:tc>
        <w:tc>
          <w:tcPr>
            <w:tcW w:w="1458" w:type="dxa"/>
            <w:vAlign w:val="center"/>
          </w:tcPr>
          <w:p>
            <w:pPr>
              <w:jc w:val="center"/>
              <w:rPr>
                <w:rFonts w:ascii="宋体" w:hAnsi="宋体"/>
                <w:color w:val="auto"/>
                <w:szCs w:val="21"/>
                <w:highlight w:val="none"/>
              </w:rPr>
            </w:pPr>
            <w:r>
              <w:rPr>
                <w:rFonts w:hint="eastAsia" w:ascii="宋体" w:hAnsi="宋体"/>
                <w:color w:val="auto"/>
                <w:szCs w:val="21"/>
                <w:highlight w:val="none"/>
              </w:rPr>
              <w:t>证号</w:t>
            </w:r>
          </w:p>
        </w:tc>
        <w:tc>
          <w:tcPr>
            <w:tcW w:w="1505" w:type="dxa"/>
            <w:vMerge w:val="continue"/>
          </w:tcPr>
          <w:p>
            <w:pPr>
              <w:rPr>
                <w:rFonts w:ascii="宋体" w:hAnsi="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1260" w:type="dxa"/>
          </w:tcPr>
          <w:p>
            <w:pPr>
              <w:rPr>
                <w:rFonts w:ascii="宋体" w:hAnsi="宋体"/>
                <w:color w:val="auto"/>
                <w:szCs w:val="21"/>
                <w:highlight w:val="none"/>
              </w:rPr>
            </w:pPr>
          </w:p>
        </w:tc>
        <w:tc>
          <w:tcPr>
            <w:tcW w:w="1080" w:type="dxa"/>
          </w:tcPr>
          <w:p>
            <w:pPr>
              <w:rPr>
                <w:rFonts w:ascii="宋体" w:hAnsi="宋体"/>
                <w:color w:val="auto"/>
                <w:szCs w:val="21"/>
                <w:highlight w:val="none"/>
              </w:rPr>
            </w:pPr>
          </w:p>
        </w:tc>
        <w:tc>
          <w:tcPr>
            <w:tcW w:w="1080" w:type="dxa"/>
          </w:tcPr>
          <w:p>
            <w:pPr>
              <w:rPr>
                <w:rFonts w:ascii="宋体" w:hAnsi="宋体"/>
                <w:color w:val="auto"/>
                <w:szCs w:val="21"/>
                <w:highlight w:val="none"/>
              </w:rPr>
            </w:pPr>
          </w:p>
        </w:tc>
        <w:tc>
          <w:tcPr>
            <w:tcW w:w="1440" w:type="dxa"/>
          </w:tcPr>
          <w:p>
            <w:pPr>
              <w:rPr>
                <w:rFonts w:ascii="宋体" w:hAnsi="宋体"/>
                <w:color w:val="auto"/>
                <w:szCs w:val="21"/>
                <w:highlight w:val="none"/>
              </w:rPr>
            </w:pPr>
          </w:p>
        </w:tc>
        <w:tc>
          <w:tcPr>
            <w:tcW w:w="1620" w:type="dxa"/>
          </w:tcPr>
          <w:p>
            <w:pPr>
              <w:rPr>
                <w:rFonts w:ascii="宋体" w:hAnsi="宋体"/>
                <w:color w:val="auto"/>
                <w:szCs w:val="21"/>
                <w:highlight w:val="none"/>
              </w:rPr>
            </w:pPr>
          </w:p>
        </w:tc>
        <w:tc>
          <w:tcPr>
            <w:tcW w:w="1458" w:type="dxa"/>
          </w:tcPr>
          <w:p>
            <w:pPr>
              <w:rPr>
                <w:rFonts w:ascii="宋体" w:hAnsi="宋体"/>
                <w:color w:val="auto"/>
                <w:szCs w:val="21"/>
                <w:highlight w:val="none"/>
              </w:rPr>
            </w:pPr>
          </w:p>
        </w:tc>
        <w:tc>
          <w:tcPr>
            <w:tcW w:w="1505" w:type="dxa"/>
          </w:tcPr>
          <w:p>
            <w:pPr>
              <w:rPr>
                <w:rFonts w:ascii="宋体" w:hAnsi="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atLeast"/>
        </w:trPr>
        <w:tc>
          <w:tcPr>
            <w:tcW w:w="1260" w:type="dxa"/>
          </w:tcPr>
          <w:p>
            <w:pPr>
              <w:rPr>
                <w:rFonts w:ascii="宋体" w:hAnsi="宋体"/>
                <w:color w:val="auto"/>
                <w:szCs w:val="21"/>
                <w:highlight w:val="none"/>
              </w:rPr>
            </w:pPr>
          </w:p>
        </w:tc>
        <w:tc>
          <w:tcPr>
            <w:tcW w:w="1080" w:type="dxa"/>
          </w:tcPr>
          <w:p>
            <w:pPr>
              <w:rPr>
                <w:rFonts w:ascii="宋体" w:hAnsi="宋体"/>
                <w:color w:val="auto"/>
                <w:szCs w:val="21"/>
                <w:highlight w:val="none"/>
              </w:rPr>
            </w:pPr>
          </w:p>
        </w:tc>
        <w:tc>
          <w:tcPr>
            <w:tcW w:w="1080" w:type="dxa"/>
          </w:tcPr>
          <w:p>
            <w:pPr>
              <w:rPr>
                <w:rFonts w:ascii="宋体" w:hAnsi="宋体"/>
                <w:color w:val="auto"/>
                <w:szCs w:val="21"/>
                <w:highlight w:val="none"/>
              </w:rPr>
            </w:pPr>
          </w:p>
        </w:tc>
        <w:tc>
          <w:tcPr>
            <w:tcW w:w="1440" w:type="dxa"/>
          </w:tcPr>
          <w:p>
            <w:pPr>
              <w:rPr>
                <w:rFonts w:ascii="宋体" w:hAnsi="宋体"/>
                <w:color w:val="auto"/>
                <w:szCs w:val="21"/>
                <w:highlight w:val="none"/>
              </w:rPr>
            </w:pPr>
          </w:p>
        </w:tc>
        <w:tc>
          <w:tcPr>
            <w:tcW w:w="1620" w:type="dxa"/>
          </w:tcPr>
          <w:p>
            <w:pPr>
              <w:rPr>
                <w:rFonts w:ascii="宋体" w:hAnsi="宋体"/>
                <w:color w:val="auto"/>
                <w:szCs w:val="21"/>
                <w:highlight w:val="none"/>
              </w:rPr>
            </w:pPr>
          </w:p>
        </w:tc>
        <w:tc>
          <w:tcPr>
            <w:tcW w:w="1458" w:type="dxa"/>
          </w:tcPr>
          <w:p>
            <w:pPr>
              <w:rPr>
                <w:rFonts w:ascii="宋体" w:hAnsi="宋体"/>
                <w:color w:val="auto"/>
                <w:szCs w:val="21"/>
                <w:highlight w:val="none"/>
              </w:rPr>
            </w:pPr>
          </w:p>
        </w:tc>
        <w:tc>
          <w:tcPr>
            <w:tcW w:w="1505" w:type="dxa"/>
          </w:tcPr>
          <w:p>
            <w:pPr>
              <w:rPr>
                <w:rFonts w:ascii="宋体" w:hAnsi="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atLeast"/>
        </w:trPr>
        <w:tc>
          <w:tcPr>
            <w:tcW w:w="1260" w:type="dxa"/>
          </w:tcPr>
          <w:p>
            <w:pPr>
              <w:rPr>
                <w:rFonts w:ascii="宋体" w:hAnsi="宋体"/>
                <w:color w:val="auto"/>
                <w:szCs w:val="21"/>
                <w:highlight w:val="none"/>
              </w:rPr>
            </w:pPr>
          </w:p>
        </w:tc>
        <w:tc>
          <w:tcPr>
            <w:tcW w:w="1080" w:type="dxa"/>
          </w:tcPr>
          <w:p>
            <w:pPr>
              <w:rPr>
                <w:rFonts w:ascii="宋体" w:hAnsi="宋体"/>
                <w:color w:val="auto"/>
                <w:szCs w:val="21"/>
                <w:highlight w:val="none"/>
              </w:rPr>
            </w:pPr>
          </w:p>
        </w:tc>
        <w:tc>
          <w:tcPr>
            <w:tcW w:w="1080" w:type="dxa"/>
          </w:tcPr>
          <w:p>
            <w:pPr>
              <w:rPr>
                <w:rFonts w:ascii="宋体" w:hAnsi="宋体"/>
                <w:color w:val="auto"/>
                <w:szCs w:val="21"/>
                <w:highlight w:val="none"/>
              </w:rPr>
            </w:pPr>
          </w:p>
        </w:tc>
        <w:tc>
          <w:tcPr>
            <w:tcW w:w="1440" w:type="dxa"/>
          </w:tcPr>
          <w:p>
            <w:pPr>
              <w:rPr>
                <w:rFonts w:ascii="宋体" w:hAnsi="宋体"/>
                <w:color w:val="auto"/>
                <w:szCs w:val="21"/>
                <w:highlight w:val="none"/>
              </w:rPr>
            </w:pPr>
          </w:p>
        </w:tc>
        <w:tc>
          <w:tcPr>
            <w:tcW w:w="1620" w:type="dxa"/>
          </w:tcPr>
          <w:p>
            <w:pPr>
              <w:rPr>
                <w:rFonts w:ascii="宋体" w:hAnsi="宋体"/>
                <w:color w:val="auto"/>
                <w:szCs w:val="21"/>
                <w:highlight w:val="none"/>
              </w:rPr>
            </w:pPr>
          </w:p>
        </w:tc>
        <w:tc>
          <w:tcPr>
            <w:tcW w:w="1458" w:type="dxa"/>
          </w:tcPr>
          <w:p>
            <w:pPr>
              <w:rPr>
                <w:rFonts w:ascii="宋体" w:hAnsi="宋体"/>
                <w:color w:val="auto"/>
                <w:szCs w:val="21"/>
                <w:highlight w:val="none"/>
              </w:rPr>
            </w:pPr>
          </w:p>
        </w:tc>
        <w:tc>
          <w:tcPr>
            <w:tcW w:w="1505" w:type="dxa"/>
          </w:tcPr>
          <w:p>
            <w:pPr>
              <w:rPr>
                <w:rFonts w:ascii="宋体" w:hAnsi="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1260" w:type="dxa"/>
          </w:tcPr>
          <w:p>
            <w:pPr>
              <w:rPr>
                <w:rFonts w:ascii="宋体" w:hAnsi="宋体"/>
                <w:color w:val="auto"/>
                <w:szCs w:val="21"/>
                <w:highlight w:val="none"/>
              </w:rPr>
            </w:pPr>
          </w:p>
        </w:tc>
        <w:tc>
          <w:tcPr>
            <w:tcW w:w="1080" w:type="dxa"/>
          </w:tcPr>
          <w:p>
            <w:pPr>
              <w:rPr>
                <w:rFonts w:ascii="宋体" w:hAnsi="宋体"/>
                <w:color w:val="auto"/>
                <w:szCs w:val="21"/>
                <w:highlight w:val="none"/>
              </w:rPr>
            </w:pPr>
          </w:p>
        </w:tc>
        <w:tc>
          <w:tcPr>
            <w:tcW w:w="1080" w:type="dxa"/>
          </w:tcPr>
          <w:p>
            <w:pPr>
              <w:rPr>
                <w:rFonts w:ascii="宋体" w:hAnsi="宋体"/>
                <w:color w:val="auto"/>
                <w:szCs w:val="21"/>
                <w:highlight w:val="none"/>
              </w:rPr>
            </w:pPr>
          </w:p>
        </w:tc>
        <w:tc>
          <w:tcPr>
            <w:tcW w:w="1440" w:type="dxa"/>
          </w:tcPr>
          <w:p>
            <w:pPr>
              <w:rPr>
                <w:rFonts w:ascii="宋体" w:hAnsi="宋体"/>
                <w:color w:val="auto"/>
                <w:szCs w:val="21"/>
                <w:highlight w:val="none"/>
              </w:rPr>
            </w:pPr>
          </w:p>
        </w:tc>
        <w:tc>
          <w:tcPr>
            <w:tcW w:w="1620" w:type="dxa"/>
          </w:tcPr>
          <w:p>
            <w:pPr>
              <w:rPr>
                <w:rFonts w:ascii="宋体" w:hAnsi="宋体"/>
                <w:color w:val="auto"/>
                <w:szCs w:val="21"/>
                <w:highlight w:val="none"/>
              </w:rPr>
            </w:pPr>
          </w:p>
        </w:tc>
        <w:tc>
          <w:tcPr>
            <w:tcW w:w="1458" w:type="dxa"/>
          </w:tcPr>
          <w:p>
            <w:pPr>
              <w:rPr>
                <w:rFonts w:ascii="宋体" w:hAnsi="宋体"/>
                <w:color w:val="auto"/>
                <w:szCs w:val="21"/>
                <w:highlight w:val="none"/>
              </w:rPr>
            </w:pPr>
          </w:p>
        </w:tc>
        <w:tc>
          <w:tcPr>
            <w:tcW w:w="1505" w:type="dxa"/>
          </w:tcPr>
          <w:p>
            <w:pPr>
              <w:rPr>
                <w:rFonts w:ascii="宋体" w:hAnsi="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1260" w:type="dxa"/>
          </w:tcPr>
          <w:p>
            <w:pPr>
              <w:rPr>
                <w:rFonts w:ascii="宋体" w:hAnsi="宋体"/>
                <w:color w:val="auto"/>
                <w:szCs w:val="21"/>
                <w:highlight w:val="none"/>
              </w:rPr>
            </w:pPr>
          </w:p>
        </w:tc>
        <w:tc>
          <w:tcPr>
            <w:tcW w:w="1080" w:type="dxa"/>
          </w:tcPr>
          <w:p>
            <w:pPr>
              <w:rPr>
                <w:rFonts w:ascii="宋体" w:hAnsi="宋体"/>
                <w:color w:val="auto"/>
                <w:szCs w:val="21"/>
                <w:highlight w:val="none"/>
              </w:rPr>
            </w:pPr>
          </w:p>
        </w:tc>
        <w:tc>
          <w:tcPr>
            <w:tcW w:w="1080" w:type="dxa"/>
          </w:tcPr>
          <w:p>
            <w:pPr>
              <w:rPr>
                <w:rFonts w:ascii="宋体" w:hAnsi="宋体"/>
                <w:color w:val="auto"/>
                <w:szCs w:val="21"/>
                <w:highlight w:val="none"/>
              </w:rPr>
            </w:pPr>
          </w:p>
        </w:tc>
        <w:tc>
          <w:tcPr>
            <w:tcW w:w="1440" w:type="dxa"/>
          </w:tcPr>
          <w:p>
            <w:pPr>
              <w:rPr>
                <w:rFonts w:ascii="宋体" w:hAnsi="宋体"/>
                <w:color w:val="auto"/>
                <w:szCs w:val="21"/>
                <w:highlight w:val="none"/>
              </w:rPr>
            </w:pPr>
          </w:p>
        </w:tc>
        <w:tc>
          <w:tcPr>
            <w:tcW w:w="1620" w:type="dxa"/>
          </w:tcPr>
          <w:p>
            <w:pPr>
              <w:rPr>
                <w:rFonts w:ascii="宋体" w:hAnsi="宋体"/>
                <w:color w:val="auto"/>
                <w:szCs w:val="21"/>
                <w:highlight w:val="none"/>
              </w:rPr>
            </w:pPr>
          </w:p>
        </w:tc>
        <w:tc>
          <w:tcPr>
            <w:tcW w:w="1458" w:type="dxa"/>
          </w:tcPr>
          <w:p>
            <w:pPr>
              <w:rPr>
                <w:rFonts w:ascii="宋体" w:hAnsi="宋体"/>
                <w:color w:val="auto"/>
                <w:szCs w:val="21"/>
                <w:highlight w:val="none"/>
              </w:rPr>
            </w:pPr>
          </w:p>
        </w:tc>
        <w:tc>
          <w:tcPr>
            <w:tcW w:w="1505" w:type="dxa"/>
          </w:tcPr>
          <w:p>
            <w:pPr>
              <w:rPr>
                <w:rFonts w:ascii="宋体" w:hAnsi="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atLeast"/>
        </w:trPr>
        <w:tc>
          <w:tcPr>
            <w:tcW w:w="1260" w:type="dxa"/>
          </w:tcPr>
          <w:p>
            <w:pPr>
              <w:rPr>
                <w:rFonts w:ascii="宋体" w:hAnsi="宋体"/>
                <w:color w:val="auto"/>
                <w:szCs w:val="21"/>
                <w:highlight w:val="none"/>
              </w:rPr>
            </w:pPr>
          </w:p>
        </w:tc>
        <w:tc>
          <w:tcPr>
            <w:tcW w:w="1080" w:type="dxa"/>
          </w:tcPr>
          <w:p>
            <w:pPr>
              <w:rPr>
                <w:rFonts w:ascii="宋体" w:hAnsi="宋体"/>
                <w:color w:val="auto"/>
                <w:szCs w:val="21"/>
                <w:highlight w:val="none"/>
              </w:rPr>
            </w:pPr>
          </w:p>
        </w:tc>
        <w:tc>
          <w:tcPr>
            <w:tcW w:w="1080" w:type="dxa"/>
          </w:tcPr>
          <w:p>
            <w:pPr>
              <w:rPr>
                <w:rFonts w:ascii="宋体" w:hAnsi="宋体"/>
                <w:color w:val="auto"/>
                <w:szCs w:val="21"/>
                <w:highlight w:val="none"/>
              </w:rPr>
            </w:pPr>
          </w:p>
        </w:tc>
        <w:tc>
          <w:tcPr>
            <w:tcW w:w="1440" w:type="dxa"/>
          </w:tcPr>
          <w:p>
            <w:pPr>
              <w:rPr>
                <w:rFonts w:ascii="宋体" w:hAnsi="宋体"/>
                <w:color w:val="auto"/>
                <w:szCs w:val="21"/>
                <w:highlight w:val="none"/>
              </w:rPr>
            </w:pPr>
          </w:p>
        </w:tc>
        <w:tc>
          <w:tcPr>
            <w:tcW w:w="1620" w:type="dxa"/>
          </w:tcPr>
          <w:p>
            <w:pPr>
              <w:rPr>
                <w:rFonts w:ascii="宋体" w:hAnsi="宋体"/>
                <w:color w:val="auto"/>
                <w:szCs w:val="21"/>
                <w:highlight w:val="none"/>
              </w:rPr>
            </w:pPr>
          </w:p>
        </w:tc>
        <w:tc>
          <w:tcPr>
            <w:tcW w:w="1458" w:type="dxa"/>
          </w:tcPr>
          <w:p>
            <w:pPr>
              <w:rPr>
                <w:rFonts w:ascii="宋体" w:hAnsi="宋体"/>
                <w:color w:val="auto"/>
                <w:szCs w:val="21"/>
                <w:highlight w:val="none"/>
              </w:rPr>
            </w:pPr>
          </w:p>
        </w:tc>
        <w:tc>
          <w:tcPr>
            <w:tcW w:w="1505" w:type="dxa"/>
          </w:tcPr>
          <w:p>
            <w:pPr>
              <w:rPr>
                <w:rFonts w:ascii="宋体" w:hAnsi="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atLeast"/>
        </w:trPr>
        <w:tc>
          <w:tcPr>
            <w:tcW w:w="1260" w:type="dxa"/>
          </w:tcPr>
          <w:p>
            <w:pPr>
              <w:rPr>
                <w:rFonts w:ascii="宋体" w:hAnsi="宋体"/>
                <w:color w:val="auto"/>
                <w:szCs w:val="21"/>
                <w:highlight w:val="none"/>
              </w:rPr>
            </w:pPr>
          </w:p>
        </w:tc>
        <w:tc>
          <w:tcPr>
            <w:tcW w:w="1080" w:type="dxa"/>
          </w:tcPr>
          <w:p>
            <w:pPr>
              <w:rPr>
                <w:rFonts w:ascii="宋体" w:hAnsi="宋体"/>
                <w:color w:val="auto"/>
                <w:szCs w:val="21"/>
                <w:highlight w:val="none"/>
              </w:rPr>
            </w:pPr>
          </w:p>
        </w:tc>
        <w:tc>
          <w:tcPr>
            <w:tcW w:w="1080" w:type="dxa"/>
          </w:tcPr>
          <w:p>
            <w:pPr>
              <w:rPr>
                <w:rFonts w:ascii="宋体" w:hAnsi="宋体"/>
                <w:color w:val="auto"/>
                <w:szCs w:val="21"/>
                <w:highlight w:val="none"/>
              </w:rPr>
            </w:pPr>
          </w:p>
        </w:tc>
        <w:tc>
          <w:tcPr>
            <w:tcW w:w="1440" w:type="dxa"/>
          </w:tcPr>
          <w:p>
            <w:pPr>
              <w:rPr>
                <w:rFonts w:ascii="宋体" w:hAnsi="宋体"/>
                <w:color w:val="auto"/>
                <w:szCs w:val="21"/>
                <w:highlight w:val="none"/>
              </w:rPr>
            </w:pPr>
          </w:p>
        </w:tc>
        <w:tc>
          <w:tcPr>
            <w:tcW w:w="1620" w:type="dxa"/>
          </w:tcPr>
          <w:p>
            <w:pPr>
              <w:rPr>
                <w:rFonts w:ascii="宋体" w:hAnsi="宋体"/>
                <w:color w:val="auto"/>
                <w:szCs w:val="21"/>
                <w:highlight w:val="none"/>
              </w:rPr>
            </w:pPr>
          </w:p>
        </w:tc>
        <w:tc>
          <w:tcPr>
            <w:tcW w:w="1458" w:type="dxa"/>
          </w:tcPr>
          <w:p>
            <w:pPr>
              <w:rPr>
                <w:rFonts w:ascii="宋体" w:hAnsi="宋体"/>
                <w:color w:val="auto"/>
                <w:szCs w:val="21"/>
                <w:highlight w:val="none"/>
              </w:rPr>
            </w:pPr>
          </w:p>
        </w:tc>
        <w:tc>
          <w:tcPr>
            <w:tcW w:w="1505" w:type="dxa"/>
          </w:tcPr>
          <w:p>
            <w:pPr>
              <w:rPr>
                <w:rFonts w:ascii="宋体" w:hAnsi="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1260" w:type="dxa"/>
          </w:tcPr>
          <w:p>
            <w:pPr>
              <w:rPr>
                <w:rFonts w:ascii="宋体" w:hAnsi="宋体"/>
                <w:color w:val="auto"/>
                <w:szCs w:val="21"/>
                <w:highlight w:val="none"/>
              </w:rPr>
            </w:pPr>
          </w:p>
        </w:tc>
        <w:tc>
          <w:tcPr>
            <w:tcW w:w="1080" w:type="dxa"/>
          </w:tcPr>
          <w:p>
            <w:pPr>
              <w:rPr>
                <w:rFonts w:ascii="宋体" w:hAnsi="宋体"/>
                <w:color w:val="auto"/>
                <w:szCs w:val="21"/>
                <w:highlight w:val="none"/>
              </w:rPr>
            </w:pPr>
          </w:p>
        </w:tc>
        <w:tc>
          <w:tcPr>
            <w:tcW w:w="1080" w:type="dxa"/>
          </w:tcPr>
          <w:p>
            <w:pPr>
              <w:rPr>
                <w:rFonts w:ascii="宋体" w:hAnsi="宋体"/>
                <w:color w:val="auto"/>
                <w:szCs w:val="21"/>
                <w:highlight w:val="none"/>
              </w:rPr>
            </w:pPr>
          </w:p>
        </w:tc>
        <w:tc>
          <w:tcPr>
            <w:tcW w:w="1440" w:type="dxa"/>
          </w:tcPr>
          <w:p>
            <w:pPr>
              <w:rPr>
                <w:rFonts w:ascii="宋体" w:hAnsi="宋体"/>
                <w:color w:val="auto"/>
                <w:szCs w:val="21"/>
                <w:highlight w:val="none"/>
              </w:rPr>
            </w:pPr>
          </w:p>
        </w:tc>
        <w:tc>
          <w:tcPr>
            <w:tcW w:w="1620" w:type="dxa"/>
          </w:tcPr>
          <w:p>
            <w:pPr>
              <w:rPr>
                <w:rFonts w:ascii="宋体" w:hAnsi="宋体"/>
                <w:color w:val="auto"/>
                <w:szCs w:val="21"/>
                <w:highlight w:val="none"/>
              </w:rPr>
            </w:pPr>
          </w:p>
        </w:tc>
        <w:tc>
          <w:tcPr>
            <w:tcW w:w="1458" w:type="dxa"/>
          </w:tcPr>
          <w:p>
            <w:pPr>
              <w:rPr>
                <w:rFonts w:ascii="宋体" w:hAnsi="宋体"/>
                <w:color w:val="auto"/>
                <w:szCs w:val="21"/>
                <w:highlight w:val="none"/>
              </w:rPr>
            </w:pPr>
          </w:p>
        </w:tc>
        <w:tc>
          <w:tcPr>
            <w:tcW w:w="1505" w:type="dxa"/>
          </w:tcPr>
          <w:p>
            <w:pPr>
              <w:rPr>
                <w:rFonts w:ascii="宋体" w:hAnsi="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atLeast"/>
        </w:trPr>
        <w:tc>
          <w:tcPr>
            <w:tcW w:w="1260" w:type="dxa"/>
          </w:tcPr>
          <w:p>
            <w:pPr>
              <w:rPr>
                <w:rFonts w:ascii="宋体" w:hAnsi="宋体"/>
                <w:color w:val="auto"/>
                <w:szCs w:val="21"/>
                <w:highlight w:val="none"/>
              </w:rPr>
            </w:pPr>
          </w:p>
        </w:tc>
        <w:tc>
          <w:tcPr>
            <w:tcW w:w="1080" w:type="dxa"/>
          </w:tcPr>
          <w:p>
            <w:pPr>
              <w:rPr>
                <w:rFonts w:ascii="宋体" w:hAnsi="宋体"/>
                <w:color w:val="auto"/>
                <w:szCs w:val="21"/>
                <w:highlight w:val="none"/>
              </w:rPr>
            </w:pPr>
          </w:p>
        </w:tc>
        <w:tc>
          <w:tcPr>
            <w:tcW w:w="1080" w:type="dxa"/>
          </w:tcPr>
          <w:p>
            <w:pPr>
              <w:rPr>
                <w:rFonts w:ascii="宋体" w:hAnsi="宋体"/>
                <w:color w:val="auto"/>
                <w:szCs w:val="21"/>
                <w:highlight w:val="none"/>
              </w:rPr>
            </w:pPr>
          </w:p>
        </w:tc>
        <w:tc>
          <w:tcPr>
            <w:tcW w:w="1440" w:type="dxa"/>
          </w:tcPr>
          <w:p>
            <w:pPr>
              <w:rPr>
                <w:rFonts w:ascii="宋体" w:hAnsi="宋体"/>
                <w:color w:val="auto"/>
                <w:szCs w:val="21"/>
                <w:highlight w:val="none"/>
              </w:rPr>
            </w:pPr>
          </w:p>
        </w:tc>
        <w:tc>
          <w:tcPr>
            <w:tcW w:w="1620" w:type="dxa"/>
          </w:tcPr>
          <w:p>
            <w:pPr>
              <w:rPr>
                <w:rFonts w:ascii="宋体" w:hAnsi="宋体"/>
                <w:color w:val="auto"/>
                <w:szCs w:val="21"/>
                <w:highlight w:val="none"/>
              </w:rPr>
            </w:pPr>
          </w:p>
        </w:tc>
        <w:tc>
          <w:tcPr>
            <w:tcW w:w="1458" w:type="dxa"/>
          </w:tcPr>
          <w:p>
            <w:pPr>
              <w:rPr>
                <w:rFonts w:ascii="宋体" w:hAnsi="宋体"/>
                <w:color w:val="auto"/>
                <w:szCs w:val="21"/>
                <w:highlight w:val="none"/>
              </w:rPr>
            </w:pPr>
          </w:p>
        </w:tc>
        <w:tc>
          <w:tcPr>
            <w:tcW w:w="1505" w:type="dxa"/>
          </w:tcPr>
          <w:p>
            <w:pPr>
              <w:rPr>
                <w:rFonts w:ascii="宋体" w:hAnsi="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atLeast"/>
        </w:trPr>
        <w:tc>
          <w:tcPr>
            <w:tcW w:w="1260" w:type="dxa"/>
          </w:tcPr>
          <w:p>
            <w:pPr>
              <w:rPr>
                <w:rFonts w:ascii="宋体" w:hAnsi="宋体"/>
                <w:color w:val="auto"/>
                <w:szCs w:val="21"/>
                <w:highlight w:val="none"/>
              </w:rPr>
            </w:pPr>
          </w:p>
        </w:tc>
        <w:tc>
          <w:tcPr>
            <w:tcW w:w="1080" w:type="dxa"/>
          </w:tcPr>
          <w:p>
            <w:pPr>
              <w:rPr>
                <w:rFonts w:ascii="宋体" w:hAnsi="宋体"/>
                <w:color w:val="auto"/>
                <w:szCs w:val="21"/>
                <w:highlight w:val="none"/>
              </w:rPr>
            </w:pPr>
          </w:p>
        </w:tc>
        <w:tc>
          <w:tcPr>
            <w:tcW w:w="1080" w:type="dxa"/>
          </w:tcPr>
          <w:p>
            <w:pPr>
              <w:rPr>
                <w:rFonts w:ascii="宋体" w:hAnsi="宋体"/>
                <w:color w:val="auto"/>
                <w:szCs w:val="21"/>
                <w:highlight w:val="none"/>
              </w:rPr>
            </w:pPr>
          </w:p>
        </w:tc>
        <w:tc>
          <w:tcPr>
            <w:tcW w:w="1440" w:type="dxa"/>
          </w:tcPr>
          <w:p>
            <w:pPr>
              <w:rPr>
                <w:rFonts w:ascii="宋体" w:hAnsi="宋体"/>
                <w:color w:val="auto"/>
                <w:szCs w:val="21"/>
                <w:highlight w:val="none"/>
              </w:rPr>
            </w:pPr>
          </w:p>
        </w:tc>
        <w:tc>
          <w:tcPr>
            <w:tcW w:w="1620" w:type="dxa"/>
          </w:tcPr>
          <w:p>
            <w:pPr>
              <w:rPr>
                <w:rFonts w:ascii="宋体" w:hAnsi="宋体"/>
                <w:color w:val="auto"/>
                <w:szCs w:val="21"/>
                <w:highlight w:val="none"/>
              </w:rPr>
            </w:pPr>
          </w:p>
        </w:tc>
        <w:tc>
          <w:tcPr>
            <w:tcW w:w="1458" w:type="dxa"/>
          </w:tcPr>
          <w:p>
            <w:pPr>
              <w:rPr>
                <w:rFonts w:ascii="宋体" w:hAnsi="宋体"/>
                <w:color w:val="auto"/>
                <w:szCs w:val="21"/>
                <w:highlight w:val="none"/>
              </w:rPr>
            </w:pPr>
          </w:p>
        </w:tc>
        <w:tc>
          <w:tcPr>
            <w:tcW w:w="1505" w:type="dxa"/>
          </w:tcPr>
          <w:p>
            <w:pPr>
              <w:rPr>
                <w:rFonts w:ascii="宋体" w:hAnsi="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atLeast"/>
        </w:trPr>
        <w:tc>
          <w:tcPr>
            <w:tcW w:w="1260" w:type="dxa"/>
          </w:tcPr>
          <w:p>
            <w:pPr>
              <w:rPr>
                <w:rFonts w:ascii="宋体" w:hAnsi="宋体"/>
                <w:color w:val="auto"/>
                <w:szCs w:val="21"/>
                <w:highlight w:val="none"/>
              </w:rPr>
            </w:pPr>
          </w:p>
        </w:tc>
        <w:tc>
          <w:tcPr>
            <w:tcW w:w="1080" w:type="dxa"/>
          </w:tcPr>
          <w:p>
            <w:pPr>
              <w:rPr>
                <w:rFonts w:ascii="宋体" w:hAnsi="宋体"/>
                <w:color w:val="auto"/>
                <w:szCs w:val="21"/>
                <w:highlight w:val="none"/>
              </w:rPr>
            </w:pPr>
          </w:p>
        </w:tc>
        <w:tc>
          <w:tcPr>
            <w:tcW w:w="1080" w:type="dxa"/>
          </w:tcPr>
          <w:p>
            <w:pPr>
              <w:rPr>
                <w:rFonts w:ascii="宋体" w:hAnsi="宋体"/>
                <w:color w:val="auto"/>
                <w:szCs w:val="21"/>
                <w:highlight w:val="none"/>
              </w:rPr>
            </w:pPr>
          </w:p>
        </w:tc>
        <w:tc>
          <w:tcPr>
            <w:tcW w:w="1440" w:type="dxa"/>
          </w:tcPr>
          <w:p>
            <w:pPr>
              <w:rPr>
                <w:rFonts w:ascii="宋体" w:hAnsi="宋体"/>
                <w:color w:val="auto"/>
                <w:szCs w:val="21"/>
                <w:highlight w:val="none"/>
              </w:rPr>
            </w:pPr>
          </w:p>
        </w:tc>
        <w:tc>
          <w:tcPr>
            <w:tcW w:w="1620" w:type="dxa"/>
          </w:tcPr>
          <w:p>
            <w:pPr>
              <w:rPr>
                <w:rFonts w:ascii="宋体" w:hAnsi="宋体"/>
                <w:color w:val="auto"/>
                <w:szCs w:val="21"/>
                <w:highlight w:val="none"/>
              </w:rPr>
            </w:pPr>
          </w:p>
        </w:tc>
        <w:tc>
          <w:tcPr>
            <w:tcW w:w="1458" w:type="dxa"/>
          </w:tcPr>
          <w:p>
            <w:pPr>
              <w:rPr>
                <w:rFonts w:ascii="宋体" w:hAnsi="宋体"/>
                <w:color w:val="auto"/>
                <w:szCs w:val="21"/>
                <w:highlight w:val="none"/>
              </w:rPr>
            </w:pPr>
          </w:p>
        </w:tc>
        <w:tc>
          <w:tcPr>
            <w:tcW w:w="1505" w:type="dxa"/>
          </w:tcPr>
          <w:p>
            <w:pPr>
              <w:rPr>
                <w:rFonts w:ascii="宋体" w:hAnsi="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atLeast"/>
        </w:trPr>
        <w:tc>
          <w:tcPr>
            <w:tcW w:w="1260" w:type="dxa"/>
          </w:tcPr>
          <w:p>
            <w:pPr>
              <w:rPr>
                <w:rFonts w:ascii="宋体" w:hAnsi="宋体"/>
                <w:color w:val="auto"/>
                <w:szCs w:val="21"/>
                <w:highlight w:val="none"/>
              </w:rPr>
            </w:pPr>
          </w:p>
        </w:tc>
        <w:tc>
          <w:tcPr>
            <w:tcW w:w="1080" w:type="dxa"/>
          </w:tcPr>
          <w:p>
            <w:pPr>
              <w:rPr>
                <w:rFonts w:ascii="宋体" w:hAnsi="宋体"/>
                <w:color w:val="auto"/>
                <w:szCs w:val="21"/>
                <w:highlight w:val="none"/>
              </w:rPr>
            </w:pPr>
          </w:p>
        </w:tc>
        <w:tc>
          <w:tcPr>
            <w:tcW w:w="1080" w:type="dxa"/>
          </w:tcPr>
          <w:p>
            <w:pPr>
              <w:rPr>
                <w:rFonts w:ascii="宋体" w:hAnsi="宋体"/>
                <w:color w:val="auto"/>
                <w:szCs w:val="21"/>
                <w:highlight w:val="none"/>
              </w:rPr>
            </w:pPr>
          </w:p>
        </w:tc>
        <w:tc>
          <w:tcPr>
            <w:tcW w:w="1440" w:type="dxa"/>
          </w:tcPr>
          <w:p>
            <w:pPr>
              <w:rPr>
                <w:rFonts w:ascii="宋体" w:hAnsi="宋体"/>
                <w:color w:val="auto"/>
                <w:szCs w:val="21"/>
                <w:highlight w:val="none"/>
              </w:rPr>
            </w:pPr>
          </w:p>
        </w:tc>
        <w:tc>
          <w:tcPr>
            <w:tcW w:w="1620" w:type="dxa"/>
          </w:tcPr>
          <w:p>
            <w:pPr>
              <w:rPr>
                <w:rFonts w:ascii="宋体" w:hAnsi="宋体"/>
                <w:color w:val="auto"/>
                <w:szCs w:val="21"/>
                <w:highlight w:val="none"/>
              </w:rPr>
            </w:pPr>
          </w:p>
        </w:tc>
        <w:tc>
          <w:tcPr>
            <w:tcW w:w="1458" w:type="dxa"/>
          </w:tcPr>
          <w:p>
            <w:pPr>
              <w:rPr>
                <w:rFonts w:ascii="宋体" w:hAnsi="宋体"/>
                <w:color w:val="auto"/>
                <w:szCs w:val="21"/>
                <w:highlight w:val="none"/>
              </w:rPr>
            </w:pPr>
          </w:p>
        </w:tc>
        <w:tc>
          <w:tcPr>
            <w:tcW w:w="1505" w:type="dxa"/>
          </w:tcPr>
          <w:p>
            <w:pPr>
              <w:rPr>
                <w:rFonts w:ascii="宋体" w:hAnsi="宋体"/>
                <w:color w:val="auto"/>
                <w:szCs w:val="21"/>
                <w:highlight w:val="none"/>
              </w:rPr>
            </w:pPr>
          </w:p>
        </w:tc>
      </w:tr>
    </w:tbl>
    <w:p>
      <w:pPr>
        <w:rPr>
          <w:rFonts w:ascii="宋体" w:hAnsi="宋体"/>
          <w:color w:val="auto"/>
          <w:sz w:val="24"/>
          <w:szCs w:val="20"/>
          <w:highlight w:val="none"/>
        </w:rPr>
      </w:pPr>
      <w:r>
        <w:rPr>
          <w:rFonts w:hint="eastAsia" w:ascii="宋体" w:hAnsi="宋体"/>
          <w:color w:val="auto"/>
          <w:szCs w:val="21"/>
          <w:highlight w:val="none"/>
        </w:rPr>
        <w:t>注：本表后附各人员</w:t>
      </w:r>
      <w:r>
        <w:rPr>
          <w:rFonts w:hint="eastAsia"/>
          <w:color w:val="auto"/>
          <w:szCs w:val="21"/>
          <w:highlight w:val="none"/>
        </w:rPr>
        <w:t>相关资料</w:t>
      </w:r>
      <w:r>
        <w:rPr>
          <w:rFonts w:hint="eastAsia" w:ascii="宋体" w:hAnsi="宋体"/>
          <w:color w:val="auto"/>
          <w:szCs w:val="21"/>
          <w:highlight w:val="none"/>
        </w:rPr>
        <w:t>复印件。</w:t>
      </w:r>
    </w:p>
    <w:p>
      <w:pPr>
        <w:snapToGrid w:val="0"/>
        <w:spacing w:line="360" w:lineRule="auto"/>
        <w:ind w:firstLine="480"/>
        <w:rPr>
          <w:rFonts w:ascii="宋体" w:hAnsi="宋体"/>
          <w:color w:val="auto"/>
          <w:sz w:val="24"/>
          <w:highlight w:val="none"/>
        </w:rPr>
      </w:pPr>
    </w:p>
    <w:p>
      <w:pPr>
        <w:snapToGrid w:val="0"/>
        <w:spacing w:line="360" w:lineRule="auto"/>
        <w:rPr>
          <w:rFonts w:ascii="宋体" w:hAnsi="宋体"/>
          <w:color w:val="auto"/>
          <w:sz w:val="24"/>
          <w:highlight w:val="none"/>
        </w:rPr>
      </w:pPr>
      <w:r>
        <w:rPr>
          <w:rFonts w:hint="eastAsia" w:ascii="宋体" w:hAnsi="宋体"/>
          <w:color w:val="auto"/>
          <w:sz w:val="24"/>
          <w:highlight w:val="none"/>
        </w:rPr>
        <w:t>法定代表人或授权委托人签名：</w:t>
      </w:r>
      <w:r>
        <w:rPr>
          <w:rFonts w:hint="eastAsia" w:ascii="宋体" w:hAnsi="宋体"/>
          <w:color w:val="auto"/>
          <w:spacing w:val="20"/>
          <w:sz w:val="24"/>
          <w:highlight w:val="none"/>
          <w:u w:val="single"/>
        </w:rPr>
        <w:t xml:space="preserve">            </w:t>
      </w:r>
    </w:p>
    <w:p>
      <w:pPr>
        <w:snapToGrid w:val="0"/>
        <w:spacing w:line="360" w:lineRule="auto"/>
        <w:jc w:val="left"/>
        <w:rPr>
          <w:rFonts w:ascii="宋体" w:hAnsi="宋体"/>
          <w:color w:val="auto"/>
          <w:spacing w:val="20"/>
          <w:sz w:val="24"/>
          <w:highlight w:val="none"/>
        </w:rPr>
      </w:pPr>
      <w:r>
        <w:rPr>
          <w:rFonts w:hint="eastAsia" w:ascii="宋体" w:hAnsi="宋体"/>
          <w:color w:val="auto"/>
          <w:spacing w:val="20"/>
          <w:sz w:val="24"/>
          <w:highlight w:val="none"/>
        </w:rPr>
        <w:t>供应商全称（盖章）：</w:t>
      </w:r>
      <w:r>
        <w:rPr>
          <w:rFonts w:hint="eastAsia" w:ascii="宋体" w:hAnsi="宋体"/>
          <w:color w:val="auto"/>
          <w:spacing w:val="20"/>
          <w:sz w:val="24"/>
          <w:highlight w:val="none"/>
          <w:u w:val="single"/>
        </w:rPr>
        <w:t xml:space="preserve">                    </w:t>
      </w:r>
    </w:p>
    <w:p>
      <w:pPr>
        <w:snapToGrid w:val="0"/>
        <w:spacing w:line="360" w:lineRule="auto"/>
        <w:jc w:val="left"/>
        <w:rPr>
          <w:rFonts w:ascii="宋体" w:hAnsi="宋体"/>
          <w:color w:val="auto"/>
          <w:spacing w:val="20"/>
          <w:sz w:val="24"/>
          <w:highlight w:val="none"/>
          <w:u w:val="single"/>
        </w:rPr>
      </w:pPr>
      <w:r>
        <w:rPr>
          <w:rFonts w:hint="eastAsia" w:ascii="宋体" w:hAnsi="宋体"/>
          <w:color w:val="auto"/>
          <w:spacing w:val="20"/>
          <w:sz w:val="24"/>
          <w:highlight w:val="none"/>
        </w:rPr>
        <w:t>日  期：</w:t>
      </w:r>
      <w:r>
        <w:rPr>
          <w:rFonts w:hint="eastAsia" w:ascii="宋体" w:hAnsi="宋体"/>
          <w:color w:val="auto"/>
          <w:spacing w:val="20"/>
          <w:sz w:val="24"/>
          <w:highlight w:val="none"/>
          <w:u w:val="single"/>
        </w:rPr>
        <w:t xml:space="preserve">                             </w:t>
      </w:r>
    </w:p>
    <w:p>
      <w:pPr>
        <w:snapToGrid w:val="0"/>
        <w:ind w:firstLine="470" w:firstLineChars="196"/>
        <w:jc w:val="left"/>
        <w:rPr>
          <w:rFonts w:ascii="宋体" w:hAnsi="宋体"/>
          <w:color w:val="auto"/>
          <w:sz w:val="24"/>
          <w:highlight w:val="none"/>
        </w:rPr>
      </w:pPr>
    </w:p>
    <w:p>
      <w:pPr>
        <w:rPr>
          <w:rFonts w:ascii="宋体" w:hAnsi="宋体" w:cs="宋体"/>
          <w:b/>
          <w:bCs/>
          <w:color w:val="auto"/>
          <w:sz w:val="24"/>
          <w:szCs w:val="32"/>
          <w:highlight w:val="none"/>
        </w:rPr>
      </w:pPr>
    </w:p>
    <w:bookmarkEnd w:id="72"/>
    <w:p>
      <w:pPr>
        <w:widowControl/>
        <w:spacing w:line="560" w:lineRule="exact"/>
        <w:ind w:firstLine="4080" w:firstLineChars="1700"/>
        <w:rPr>
          <w:rFonts w:ascii="宋体" w:hAnsi="宋体"/>
          <w:color w:val="auto"/>
          <w:sz w:val="24"/>
          <w:highlight w:val="none"/>
        </w:rPr>
      </w:pPr>
    </w:p>
    <w:p>
      <w:pPr>
        <w:pStyle w:val="6"/>
        <w:keepNext w:val="0"/>
        <w:keepLines w:val="0"/>
        <w:pageBreakBefore/>
        <w:rPr>
          <w:rFonts w:ascii="宋体" w:hAnsi="宋体" w:eastAsia="宋体" w:cs="宋体"/>
          <w:b w:val="0"/>
          <w:color w:val="auto"/>
          <w:kern w:val="0"/>
          <w:sz w:val="24"/>
          <w:szCs w:val="20"/>
          <w:highlight w:val="none"/>
        </w:rPr>
      </w:pPr>
      <w:bookmarkStart w:id="80" w:name="_Toc10587"/>
      <w:bookmarkStart w:id="81" w:name="_Toc22881"/>
      <w:r>
        <w:rPr>
          <w:rFonts w:hint="eastAsia" w:ascii="宋体" w:hAnsi="宋体" w:eastAsia="宋体" w:cs="宋体"/>
          <w:b w:val="0"/>
          <w:color w:val="auto"/>
          <w:kern w:val="0"/>
          <w:sz w:val="24"/>
          <w:szCs w:val="20"/>
          <w:highlight w:val="none"/>
        </w:rPr>
        <w:t>附件十</w:t>
      </w:r>
      <w:r>
        <w:rPr>
          <w:rFonts w:hint="eastAsia" w:ascii="宋体" w:hAnsi="宋体" w:eastAsia="宋体" w:cs="宋体"/>
          <w:b w:val="0"/>
          <w:color w:val="auto"/>
          <w:kern w:val="0"/>
          <w:sz w:val="24"/>
          <w:szCs w:val="20"/>
          <w:highlight w:val="none"/>
          <w:lang w:val="en-US" w:eastAsia="zh-CN"/>
        </w:rPr>
        <w:t>二</w:t>
      </w:r>
      <w:r>
        <w:rPr>
          <w:rFonts w:hint="eastAsia" w:ascii="宋体" w:hAnsi="宋体" w:eastAsia="宋体" w:cs="宋体"/>
          <w:b w:val="0"/>
          <w:color w:val="auto"/>
          <w:kern w:val="0"/>
          <w:sz w:val="24"/>
          <w:szCs w:val="20"/>
          <w:highlight w:val="none"/>
        </w:rPr>
        <w:t>：同类项目业绩</w:t>
      </w:r>
      <w:bookmarkEnd w:id="80"/>
      <w:bookmarkEnd w:id="81"/>
    </w:p>
    <w:p>
      <w:pPr>
        <w:widowControl/>
        <w:jc w:val="left"/>
        <w:rPr>
          <w:rFonts w:ascii="宋体" w:hAnsi="宋体" w:cs="宋体"/>
          <w:color w:val="auto"/>
          <w:kern w:val="0"/>
          <w:sz w:val="24"/>
          <w:szCs w:val="20"/>
          <w:highlight w:val="none"/>
        </w:rPr>
      </w:pPr>
    </w:p>
    <w:p>
      <w:pPr>
        <w:widowControl/>
        <w:jc w:val="center"/>
        <w:rPr>
          <w:rFonts w:ascii="宋体" w:hAnsi="宋体" w:cs="宋体"/>
          <w:b/>
          <w:color w:val="auto"/>
          <w:kern w:val="0"/>
          <w:sz w:val="28"/>
          <w:szCs w:val="28"/>
          <w:highlight w:val="none"/>
        </w:rPr>
      </w:pPr>
      <w:r>
        <w:rPr>
          <w:rFonts w:hint="eastAsia" w:ascii="宋体" w:hAnsi="宋体" w:cs="宋体"/>
          <w:b/>
          <w:color w:val="auto"/>
          <w:kern w:val="0"/>
          <w:sz w:val="28"/>
          <w:szCs w:val="28"/>
          <w:highlight w:val="none"/>
        </w:rPr>
        <w:t>同类项目业绩</w:t>
      </w:r>
    </w:p>
    <w:p>
      <w:pPr>
        <w:outlineLvl w:val="9"/>
        <w:rPr>
          <w:color w:val="auto"/>
          <w:highlight w:val="none"/>
        </w:rPr>
      </w:pPr>
    </w:p>
    <w:tbl>
      <w:tblPr>
        <w:tblStyle w:val="4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2"/>
        <w:gridCol w:w="1312"/>
        <w:gridCol w:w="1312"/>
        <w:gridCol w:w="1312"/>
        <w:gridCol w:w="1312"/>
        <w:gridCol w:w="1312"/>
        <w:gridCol w:w="13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6" w:hRule="atLeast"/>
          <w:jc w:val="center"/>
        </w:trPr>
        <w:tc>
          <w:tcPr>
            <w:tcW w:w="1312" w:type="dxa"/>
            <w:vAlign w:val="center"/>
          </w:tcPr>
          <w:p>
            <w:pPr>
              <w:jc w:val="center"/>
              <w:rPr>
                <w:rFonts w:ascii="宋体" w:hAnsi="宋体" w:cs="宋体"/>
                <w:color w:val="auto"/>
                <w:sz w:val="24"/>
                <w:highlight w:val="none"/>
                <w:lang w:val="zh-CN"/>
              </w:rPr>
            </w:pPr>
            <w:r>
              <w:rPr>
                <w:rFonts w:hint="eastAsia" w:ascii="宋体" w:hAnsi="宋体" w:cs="宋体"/>
                <w:color w:val="auto"/>
                <w:sz w:val="24"/>
                <w:highlight w:val="none"/>
                <w:lang w:val="zh-CN"/>
              </w:rPr>
              <w:t>项目名称</w:t>
            </w:r>
          </w:p>
        </w:tc>
        <w:tc>
          <w:tcPr>
            <w:tcW w:w="1312" w:type="dxa"/>
            <w:vAlign w:val="center"/>
          </w:tcPr>
          <w:p>
            <w:pPr>
              <w:jc w:val="center"/>
              <w:rPr>
                <w:rFonts w:ascii="宋体" w:hAnsi="宋体" w:cs="宋体"/>
                <w:color w:val="auto"/>
                <w:sz w:val="24"/>
                <w:highlight w:val="none"/>
                <w:lang w:val="zh-CN"/>
              </w:rPr>
            </w:pPr>
            <w:r>
              <w:rPr>
                <w:rFonts w:hint="eastAsia" w:ascii="宋体" w:hAnsi="宋体" w:cs="宋体"/>
                <w:color w:val="auto"/>
                <w:sz w:val="24"/>
                <w:highlight w:val="none"/>
                <w:lang w:val="zh-CN"/>
              </w:rPr>
              <w:t>项目</w:t>
            </w:r>
          </w:p>
          <w:p>
            <w:pPr>
              <w:jc w:val="center"/>
              <w:rPr>
                <w:rFonts w:ascii="宋体" w:hAnsi="宋体" w:cs="宋体"/>
                <w:color w:val="auto"/>
                <w:sz w:val="24"/>
                <w:highlight w:val="none"/>
                <w:lang w:val="zh-CN"/>
              </w:rPr>
            </w:pPr>
            <w:r>
              <w:rPr>
                <w:rFonts w:hint="eastAsia" w:ascii="宋体" w:hAnsi="宋体" w:cs="宋体"/>
                <w:color w:val="auto"/>
                <w:sz w:val="24"/>
                <w:highlight w:val="none"/>
                <w:lang w:val="zh-CN"/>
              </w:rPr>
              <w:t>类型</w:t>
            </w:r>
          </w:p>
        </w:tc>
        <w:tc>
          <w:tcPr>
            <w:tcW w:w="1312" w:type="dxa"/>
            <w:vAlign w:val="center"/>
          </w:tcPr>
          <w:p>
            <w:pPr>
              <w:jc w:val="center"/>
              <w:rPr>
                <w:rFonts w:ascii="宋体" w:hAnsi="宋体" w:cs="宋体"/>
                <w:color w:val="auto"/>
                <w:sz w:val="24"/>
                <w:highlight w:val="none"/>
                <w:lang w:val="zh-CN"/>
              </w:rPr>
            </w:pPr>
            <w:r>
              <w:rPr>
                <w:rFonts w:hint="eastAsia" w:ascii="宋体" w:hAnsi="宋体" w:cs="宋体"/>
                <w:color w:val="auto"/>
                <w:sz w:val="24"/>
                <w:highlight w:val="none"/>
                <w:lang w:val="zh-CN"/>
              </w:rPr>
              <w:t>简要描述</w:t>
            </w:r>
          </w:p>
        </w:tc>
        <w:tc>
          <w:tcPr>
            <w:tcW w:w="1312" w:type="dxa"/>
            <w:vAlign w:val="center"/>
          </w:tcPr>
          <w:p>
            <w:pPr>
              <w:jc w:val="center"/>
              <w:rPr>
                <w:rFonts w:ascii="宋体" w:hAnsi="宋体" w:cs="宋体"/>
                <w:color w:val="auto"/>
                <w:sz w:val="24"/>
                <w:highlight w:val="none"/>
                <w:lang w:val="zh-CN"/>
              </w:rPr>
            </w:pPr>
            <w:r>
              <w:rPr>
                <w:rFonts w:hint="eastAsia" w:ascii="宋体" w:hAnsi="宋体" w:cs="宋体"/>
                <w:color w:val="auto"/>
                <w:sz w:val="24"/>
                <w:highlight w:val="none"/>
                <w:lang w:val="zh-CN"/>
              </w:rPr>
              <w:t>项目</w:t>
            </w:r>
          </w:p>
          <w:p>
            <w:pPr>
              <w:jc w:val="center"/>
              <w:rPr>
                <w:rFonts w:ascii="宋体" w:hAnsi="宋体" w:cs="宋体"/>
                <w:color w:val="auto"/>
                <w:sz w:val="24"/>
                <w:highlight w:val="none"/>
                <w:lang w:val="zh-CN"/>
              </w:rPr>
            </w:pPr>
            <w:r>
              <w:rPr>
                <w:rFonts w:hint="eastAsia" w:ascii="宋体" w:hAnsi="宋体" w:cs="宋体"/>
                <w:color w:val="auto"/>
                <w:sz w:val="24"/>
                <w:highlight w:val="none"/>
                <w:lang w:val="zh-CN"/>
              </w:rPr>
              <w:t>金额</w:t>
            </w:r>
          </w:p>
          <w:p>
            <w:pPr>
              <w:jc w:val="center"/>
              <w:rPr>
                <w:rFonts w:ascii="宋体" w:hAnsi="宋体" w:cs="宋体"/>
                <w:color w:val="auto"/>
                <w:sz w:val="24"/>
                <w:highlight w:val="none"/>
                <w:lang w:val="zh-CN"/>
              </w:rPr>
            </w:pPr>
            <w:r>
              <w:rPr>
                <w:rFonts w:hint="eastAsia" w:ascii="宋体" w:hAnsi="宋体" w:cs="宋体"/>
                <w:color w:val="auto"/>
                <w:sz w:val="24"/>
                <w:highlight w:val="none"/>
                <w:lang w:val="zh-CN"/>
              </w:rPr>
              <w:t>（万元）</w:t>
            </w:r>
          </w:p>
        </w:tc>
        <w:tc>
          <w:tcPr>
            <w:tcW w:w="1312" w:type="dxa"/>
            <w:vAlign w:val="center"/>
          </w:tcPr>
          <w:p>
            <w:pPr>
              <w:jc w:val="center"/>
              <w:rPr>
                <w:rFonts w:ascii="宋体" w:hAnsi="宋体" w:cs="宋体"/>
                <w:color w:val="auto"/>
                <w:sz w:val="24"/>
                <w:highlight w:val="none"/>
                <w:lang w:val="zh-CN"/>
              </w:rPr>
            </w:pPr>
            <w:r>
              <w:rPr>
                <w:rFonts w:hint="eastAsia" w:ascii="宋体" w:hAnsi="宋体" w:cs="宋体"/>
                <w:color w:val="auto"/>
                <w:sz w:val="24"/>
                <w:highlight w:val="none"/>
                <w:lang w:val="zh-CN"/>
              </w:rPr>
              <w:t>实施时间</w:t>
            </w:r>
          </w:p>
        </w:tc>
        <w:tc>
          <w:tcPr>
            <w:tcW w:w="1312" w:type="dxa"/>
            <w:vAlign w:val="center"/>
          </w:tcPr>
          <w:p>
            <w:pPr>
              <w:jc w:val="center"/>
              <w:rPr>
                <w:rFonts w:ascii="宋体" w:hAnsi="宋体" w:cs="宋体"/>
                <w:color w:val="auto"/>
                <w:sz w:val="24"/>
                <w:highlight w:val="none"/>
                <w:lang w:val="zh-CN"/>
              </w:rPr>
            </w:pPr>
            <w:r>
              <w:rPr>
                <w:rFonts w:hint="eastAsia" w:ascii="宋体" w:hAnsi="宋体" w:cs="宋体"/>
                <w:color w:val="auto"/>
                <w:sz w:val="24"/>
                <w:highlight w:val="none"/>
                <w:lang w:val="zh-CN"/>
              </w:rPr>
              <w:t>项目单位、联系人及电话</w:t>
            </w:r>
          </w:p>
        </w:tc>
        <w:tc>
          <w:tcPr>
            <w:tcW w:w="1313" w:type="dxa"/>
            <w:vAlign w:val="center"/>
          </w:tcPr>
          <w:p>
            <w:pPr>
              <w:jc w:val="center"/>
              <w:rPr>
                <w:rFonts w:ascii="宋体" w:hAnsi="宋体" w:cs="宋体"/>
                <w:color w:val="auto"/>
                <w:sz w:val="24"/>
                <w:highlight w:val="none"/>
                <w:lang w:val="zh-CN"/>
              </w:rPr>
            </w:pPr>
            <w:r>
              <w:rPr>
                <w:rFonts w:hint="eastAsia" w:ascii="宋体" w:hAnsi="宋体" w:cs="宋体"/>
                <w:color w:val="auto"/>
                <w:sz w:val="24"/>
                <w:highlight w:val="none"/>
                <w:lang w:val="zh-CN"/>
              </w:rPr>
              <w:t>项目完成情况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4" w:hRule="atLeast"/>
          <w:jc w:val="center"/>
        </w:trPr>
        <w:tc>
          <w:tcPr>
            <w:tcW w:w="1312" w:type="dxa"/>
            <w:vAlign w:val="center"/>
          </w:tcPr>
          <w:p>
            <w:pPr>
              <w:autoSpaceDE w:val="0"/>
              <w:autoSpaceDN w:val="0"/>
              <w:adjustRightInd w:val="0"/>
              <w:spacing w:line="360" w:lineRule="auto"/>
              <w:jc w:val="center"/>
              <w:rPr>
                <w:rFonts w:ascii="宋体" w:hAnsi="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ascii="宋体" w:hAnsi="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ascii="宋体" w:hAnsi="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ascii="宋体" w:hAnsi="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ascii="宋体" w:hAnsi="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ascii="宋体" w:hAnsi="宋体" w:cs="宋体"/>
                <w:color w:val="auto"/>
                <w:sz w:val="24"/>
                <w:highlight w:val="none"/>
                <w:lang w:val="zh-CN"/>
              </w:rPr>
            </w:pPr>
          </w:p>
        </w:tc>
        <w:tc>
          <w:tcPr>
            <w:tcW w:w="1313" w:type="dxa"/>
            <w:vAlign w:val="center"/>
          </w:tcPr>
          <w:p>
            <w:pPr>
              <w:autoSpaceDE w:val="0"/>
              <w:autoSpaceDN w:val="0"/>
              <w:adjustRightInd w:val="0"/>
              <w:spacing w:line="360" w:lineRule="auto"/>
              <w:jc w:val="center"/>
              <w:rPr>
                <w:rFonts w:ascii="宋体" w:hAnsi="宋体" w:cs="宋体"/>
                <w:color w:val="auto"/>
                <w:sz w:val="24"/>
                <w:highlight w:val="none"/>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0" w:hRule="atLeast"/>
          <w:jc w:val="center"/>
        </w:trPr>
        <w:tc>
          <w:tcPr>
            <w:tcW w:w="1312" w:type="dxa"/>
            <w:vAlign w:val="center"/>
          </w:tcPr>
          <w:p>
            <w:pPr>
              <w:autoSpaceDE w:val="0"/>
              <w:autoSpaceDN w:val="0"/>
              <w:adjustRightInd w:val="0"/>
              <w:spacing w:line="360" w:lineRule="auto"/>
              <w:jc w:val="center"/>
              <w:rPr>
                <w:rFonts w:ascii="宋体" w:hAnsi="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ascii="宋体" w:hAnsi="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ascii="宋体" w:hAnsi="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ascii="宋体" w:hAnsi="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ascii="宋体" w:hAnsi="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ascii="宋体" w:hAnsi="宋体" w:cs="宋体"/>
                <w:color w:val="auto"/>
                <w:sz w:val="24"/>
                <w:highlight w:val="none"/>
                <w:lang w:val="zh-CN"/>
              </w:rPr>
            </w:pPr>
          </w:p>
        </w:tc>
        <w:tc>
          <w:tcPr>
            <w:tcW w:w="1313" w:type="dxa"/>
            <w:vAlign w:val="center"/>
          </w:tcPr>
          <w:p>
            <w:pPr>
              <w:autoSpaceDE w:val="0"/>
              <w:autoSpaceDN w:val="0"/>
              <w:adjustRightInd w:val="0"/>
              <w:spacing w:line="360" w:lineRule="auto"/>
              <w:jc w:val="center"/>
              <w:rPr>
                <w:rFonts w:ascii="宋体" w:hAnsi="宋体" w:cs="宋体"/>
                <w:color w:val="auto"/>
                <w:sz w:val="24"/>
                <w:highlight w:val="none"/>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4" w:hRule="atLeast"/>
          <w:jc w:val="center"/>
        </w:trPr>
        <w:tc>
          <w:tcPr>
            <w:tcW w:w="1312" w:type="dxa"/>
            <w:vAlign w:val="center"/>
          </w:tcPr>
          <w:p>
            <w:pPr>
              <w:autoSpaceDE w:val="0"/>
              <w:autoSpaceDN w:val="0"/>
              <w:adjustRightInd w:val="0"/>
              <w:spacing w:line="360" w:lineRule="auto"/>
              <w:jc w:val="center"/>
              <w:rPr>
                <w:rFonts w:ascii="宋体" w:hAnsi="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ascii="宋体" w:hAnsi="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ascii="宋体" w:hAnsi="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ascii="宋体" w:hAnsi="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ascii="宋体" w:hAnsi="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ascii="宋体" w:hAnsi="宋体" w:cs="宋体"/>
                <w:color w:val="auto"/>
                <w:sz w:val="24"/>
                <w:highlight w:val="none"/>
                <w:lang w:val="zh-CN"/>
              </w:rPr>
            </w:pPr>
          </w:p>
        </w:tc>
        <w:tc>
          <w:tcPr>
            <w:tcW w:w="1313" w:type="dxa"/>
            <w:vAlign w:val="center"/>
          </w:tcPr>
          <w:p>
            <w:pPr>
              <w:autoSpaceDE w:val="0"/>
              <w:autoSpaceDN w:val="0"/>
              <w:adjustRightInd w:val="0"/>
              <w:spacing w:line="360" w:lineRule="auto"/>
              <w:jc w:val="center"/>
              <w:rPr>
                <w:rFonts w:ascii="宋体" w:hAnsi="宋体" w:cs="宋体"/>
                <w:color w:val="auto"/>
                <w:sz w:val="24"/>
                <w:highlight w:val="none"/>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0" w:hRule="atLeast"/>
          <w:jc w:val="center"/>
        </w:trPr>
        <w:tc>
          <w:tcPr>
            <w:tcW w:w="1312" w:type="dxa"/>
            <w:vAlign w:val="center"/>
          </w:tcPr>
          <w:p>
            <w:pPr>
              <w:autoSpaceDE w:val="0"/>
              <w:autoSpaceDN w:val="0"/>
              <w:adjustRightInd w:val="0"/>
              <w:spacing w:line="360" w:lineRule="auto"/>
              <w:jc w:val="center"/>
              <w:rPr>
                <w:rFonts w:ascii="宋体" w:hAnsi="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ascii="宋体" w:hAnsi="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ascii="宋体" w:hAnsi="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ascii="宋体" w:hAnsi="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ascii="宋体" w:hAnsi="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ascii="宋体" w:hAnsi="宋体" w:cs="宋体"/>
                <w:color w:val="auto"/>
                <w:sz w:val="24"/>
                <w:highlight w:val="none"/>
                <w:lang w:val="zh-CN"/>
              </w:rPr>
            </w:pPr>
          </w:p>
        </w:tc>
        <w:tc>
          <w:tcPr>
            <w:tcW w:w="1313" w:type="dxa"/>
            <w:vAlign w:val="center"/>
          </w:tcPr>
          <w:p>
            <w:pPr>
              <w:autoSpaceDE w:val="0"/>
              <w:autoSpaceDN w:val="0"/>
              <w:adjustRightInd w:val="0"/>
              <w:spacing w:line="360" w:lineRule="auto"/>
              <w:jc w:val="center"/>
              <w:rPr>
                <w:rFonts w:ascii="宋体" w:hAnsi="宋体" w:cs="宋体"/>
                <w:color w:val="auto"/>
                <w:sz w:val="24"/>
                <w:highlight w:val="none"/>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jc w:val="center"/>
        </w:trPr>
        <w:tc>
          <w:tcPr>
            <w:tcW w:w="1312" w:type="dxa"/>
            <w:vAlign w:val="center"/>
          </w:tcPr>
          <w:p>
            <w:pPr>
              <w:autoSpaceDE w:val="0"/>
              <w:autoSpaceDN w:val="0"/>
              <w:adjustRightInd w:val="0"/>
              <w:spacing w:line="360" w:lineRule="auto"/>
              <w:jc w:val="center"/>
              <w:rPr>
                <w:rFonts w:ascii="宋体" w:hAnsi="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ascii="宋体" w:hAnsi="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ascii="宋体" w:hAnsi="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ascii="宋体" w:hAnsi="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ascii="宋体" w:hAnsi="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ascii="宋体" w:hAnsi="宋体" w:cs="宋体"/>
                <w:color w:val="auto"/>
                <w:sz w:val="24"/>
                <w:highlight w:val="none"/>
                <w:lang w:val="zh-CN"/>
              </w:rPr>
            </w:pPr>
          </w:p>
        </w:tc>
        <w:tc>
          <w:tcPr>
            <w:tcW w:w="1313" w:type="dxa"/>
            <w:vAlign w:val="center"/>
          </w:tcPr>
          <w:p>
            <w:pPr>
              <w:autoSpaceDE w:val="0"/>
              <w:autoSpaceDN w:val="0"/>
              <w:adjustRightInd w:val="0"/>
              <w:spacing w:line="360" w:lineRule="auto"/>
              <w:jc w:val="center"/>
              <w:rPr>
                <w:rFonts w:ascii="宋体" w:hAnsi="宋体" w:cs="宋体"/>
                <w:color w:val="auto"/>
                <w:sz w:val="24"/>
                <w:highlight w:val="none"/>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6" w:hRule="atLeast"/>
          <w:jc w:val="center"/>
        </w:trPr>
        <w:tc>
          <w:tcPr>
            <w:tcW w:w="1312" w:type="dxa"/>
            <w:vAlign w:val="center"/>
          </w:tcPr>
          <w:p>
            <w:pPr>
              <w:autoSpaceDE w:val="0"/>
              <w:autoSpaceDN w:val="0"/>
              <w:adjustRightInd w:val="0"/>
              <w:spacing w:line="360" w:lineRule="auto"/>
              <w:jc w:val="center"/>
              <w:rPr>
                <w:rFonts w:ascii="宋体" w:hAnsi="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ascii="宋体" w:hAnsi="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ascii="宋体" w:hAnsi="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ascii="宋体" w:hAnsi="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ascii="宋体" w:hAnsi="宋体" w:cs="宋体"/>
                <w:color w:val="auto"/>
                <w:sz w:val="24"/>
                <w:highlight w:val="none"/>
                <w:lang w:val="zh-CN"/>
              </w:rPr>
            </w:pPr>
          </w:p>
        </w:tc>
        <w:tc>
          <w:tcPr>
            <w:tcW w:w="1312" w:type="dxa"/>
            <w:vAlign w:val="center"/>
          </w:tcPr>
          <w:p>
            <w:pPr>
              <w:autoSpaceDE w:val="0"/>
              <w:autoSpaceDN w:val="0"/>
              <w:adjustRightInd w:val="0"/>
              <w:spacing w:line="360" w:lineRule="auto"/>
              <w:jc w:val="center"/>
              <w:rPr>
                <w:rFonts w:ascii="宋体" w:hAnsi="宋体" w:cs="宋体"/>
                <w:color w:val="auto"/>
                <w:sz w:val="24"/>
                <w:highlight w:val="none"/>
                <w:lang w:val="zh-CN"/>
              </w:rPr>
            </w:pPr>
          </w:p>
        </w:tc>
        <w:tc>
          <w:tcPr>
            <w:tcW w:w="1313" w:type="dxa"/>
            <w:vAlign w:val="center"/>
          </w:tcPr>
          <w:p>
            <w:pPr>
              <w:autoSpaceDE w:val="0"/>
              <w:autoSpaceDN w:val="0"/>
              <w:adjustRightInd w:val="0"/>
              <w:spacing w:line="360" w:lineRule="auto"/>
              <w:jc w:val="center"/>
              <w:rPr>
                <w:rFonts w:ascii="宋体" w:hAnsi="宋体" w:cs="宋体"/>
                <w:color w:val="auto"/>
                <w:sz w:val="24"/>
                <w:highlight w:val="none"/>
                <w:lang w:val="zh-CN"/>
              </w:rPr>
            </w:pPr>
          </w:p>
        </w:tc>
      </w:tr>
    </w:tbl>
    <w:p>
      <w:pPr>
        <w:snapToGrid w:val="0"/>
        <w:spacing w:line="360" w:lineRule="auto"/>
        <w:rPr>
          <w:rFonts w:ascii="宋体" w:hAnsi="宋体" w:cs="宋体"/>
          <w:b/>
          <w:color w:val="auto"/>
          <w:szCs w:val="21"/>
          <w:highlight w:val="none"/>
        </w:rPr>
      </w:pPr>
    </w:p>
    <w:p>
      <w:pPr>
        <w:snapToGrid w:val="0"/>
        <w:spacing w:line="360" w:lineRule="auto"/>
        <w:rPr>
          <w:rFonts w:ascii="宋体" w:hAnsi="宋体" w:cs="宋体"/>
          <w:b/>
          <w:color w:val="auto"/>
          <w:szCs w:val="21"/>
          <w:highlight w:val="none"/>
        </w:rPr>
      </w:pPr>
      <w:r>
        <w:rPr>
          <w:rFonts w:hint="eastAsia" w:ascii="宋体" w:hAnsi="宋体" w:cs="宋体"/>
          <w:b/>
          <w:color w:val="auto"/>
          <w:szCs w:val="21"/>
          <w:highlight w:val="none"/>
        </w:rPr>
        <w:t>注：1、各供应商可以根据各自业绩量准备充分的表格，此页后须附证明材料。</w:t>
      </w:r>
    </w:p>
    <w:p>
      <w:pPr>
        <w:snapToGrid w:val="0"/>
        <w:spacing w:line="360" w:lineRule="auto"/>
        <w:rPr>
          <w:rFonts w:ascii="宋体" w:hAnsi="宋体" w:cs="宋体"/>
          <w:b/>
          <w:color w:val="auto"/>
          <w:szCs w:val="21"/>
          <w:highlight w:val="none"/>
        </w:rPr>
      </w:pPr>
      <w:r>
        <w:rPr>
          <w:rFonts w:hint="eastAsia" w:ascii="宋体" w:hAnsi="宋体" w:cs="宋体"/>
          <w:b/>
          <w:color w:val="auto"/>
          <w:szCs w:val="21"/>
          <w:highlight w:val="none"/>
        </w:rPr>
        <w:t xml:space="preserve">    2、供应商须真实仔细地填写本表格。</w:t>
      </w:r>
    </w:p>
    <w:p>
      <w:pPr>
        <w:widowControl/>
        <w:jc w:val="left"/>
        <w:rPr>
          <w:rFonts w:ascii="宋体" w:hAnsi="宋体" w:cs="宋体"/>
          <w:color w:val="auto"/>
          <w:kern w:val="0"/>
          <w:sz w:val="24"/>
          <w:szCs w:val="20"/>
          <w:highlight w:val="none"/>
        </w:rPr>
      </w:pPr>
    </w:p>
    <w:p>
      <w:pPr>
        <w:widowControl/>
        <w:jc w:val="left"/>
        <w:rPr>
          <w:rFonts w:ascii="宋体" w:hAnsi="宋体" w:cs="宋体"/>
          <w:color w:val="auto"/>
          <w:kern w:val="0"/>
          <w:sz w:val="24"/>
          <w:szCs w:val="20"/>
          <w:highlight w:val="none"/>
        </w:rPr>
      </w:pPr>
    </w:p>
    <w:p>
      <w:pPr>
        <w:widowControl/>
        <w:jc w:val="left"/>
        <w:rPr>
          <w:rFonts w:ascii="宋体" w:hAnsi="宋体" w:cs="宋体"/>
          <w:color w:val="auto"/>
          <w:kern w:val="0"/>
          <w:sz w:val="24"/>
          <w:szCs w:val="20"/>
          <w:highlight w:val="none"/>
        </w:rPr>
      </w:pPr>
    </w:p>
    <w:p>
      <w:pPr>
        <w:pStyle w:val="13"/>
        <w:overflowPunct w:val="0"/>
        <w:spacing w:line="360" w:lineRule="auto"/>
        <w:ind w:right="420" w:firstLine="3300" w:firstLineChars="1375"/>
        <w:rPr>
          <w:rFonts w:ascii="宋体" w:hAnsi="宋体" w:cs="宋体"/>
          <w:color w:val="auto"/>
          <w:sz w:val="24"/>
          <w:szCs w:val="24"/>
          <w:highlight w:val="none"/>
        </w:rPr>
      </w:pPr>
      <w:r>
        <w:rPr>
          <w:rFonts w:hint="eastAsia" w:ascii="宋体" w:hAnsi="宋体" w:cs="宋体"/>
          <w:color w:val="auto"/>
          <w:sz w:val="24"/>
          <w:szCs w:val="24"/>
          <w:highlight w:val="none"/>
        </w:rPr>
        <w:t>供应商（单位盖章）：</w:t>
      </w:r>
    </w:p>
    <w:p>
      <w:pPr>
        <w:pStyle w:val="13"/>
        <w:overflowPunct w:val="0"/>
        <w:spacing w:line="360" w:lineRule="auto"/>
        <w:ind w:right="420" w:firstLine="3360" w:firstLineChars="1400"/>
        <w:rPr>
          <w:rFonts w:ascii="宋体" w:hAnsi="宋体" w:cs="宋体"/>
          <w:color w:val="auto"/>
          <w:sz w:val="24"/>
          <w:szCs w:val="24"/>
          <w:highlight w:val="none"/>
        </w:rPr>
      </w:pPr>
      <w:r>
        <w:rPr>
          <w:rFonts w:hint="eastAsia" w:ascii="宋体" w:hAnsi="宋体" w:cs="宋体"/>
          <w:color w:val="auto"/>
          <w:sz w:val="24"/>
          <w:szCs w:val="24"/>
          <w:highlight w:val="none"/>
        </w:rPr>
        <w:t xml:space="preserve">法定代表人或委托代理人（签字或盖章）：                         </w:t>
      </w:r>
    </w:p>
    <w:p>
      <w:pPr>
        <w:spacing w:beforeLines="50" w:line="360" w:lineRule="auto"/>
        <w:ind w:right="-21" w:rightChars="-10" w:firstLine="470" w:firstLineChars="196"/>
        <w:jc w:val="right"/>
        <w:rPr>
          <w:rFonts w:ascii="宋体" w:hAnsi="宋体" w:cs="宋体"/>
          <w:color w:val="auto"/>
          <w:sz w:val="24"/>
          <w:highlight w:val="none"/>
        </w:rPr>
      </w:pPr>
      <w:r>
        <w:rPr>
          <w:rFonts w:hint="eastAsia" w:ascii="宋体" w:hAnsi="宋体" w:cs="宋体"/>
          <w:color w:val="auto"/>
          <w:sz w:val="24"/>
          <w:highlight w:val="none"/>
        </w:rPr>
        <w:t>年  月  日</w:t>
      </w:r>
    </w:p>
    <w:p>
      <w:pPr>
        <w:widowControl/>
        <w:jc w:val="left"/>
        <w:rPr>
          <w:rFonts w:ascii="宋体" w:hAnsi="宋体" w:cs="宋体"/>
          <w:color w:val="auto"/>
          <w:kern w:val="0"/>
          <w:sz w:val="24"/>
          <w:szCs w:val="20"/>
          <w:highlight w:val="none"/>
        </w:rPr>
      </w:pPr>
    </w:p>
    <w:p>
      <w:pPr>
        <w:rPr>
          <w:rFonts w:ascii="宋体" w:hAnsi="宋体" w:cs="宋体"/>
          <w:bCs/>
          <w:color w:val="auto"/>
          <w:sz w:val="24"/>
          <w:szCs w:val="32"/>
          <w:highlight w:val="none"/>
        </w:rPr>
      </w:pPr>
    </w:p>
    <w:p>
      <w:pPr>
        <w:pageBreakBefore/>
        <w:spacing w:before="260" w:after="260" w:line="415" w:lineRule="auto"/>
        <w:outlineLvl w:val="1"/>
        <w:rPr>
          <w:rFonts w:ascii="宋体" w:hAnsi="宋体" w:cs="宋体"/>
          <w:bCs/>
          <w:color w:val="auto"/>
          <w:sz w:val="24"/>
          <w:highlight w:val="none"/>
        </w:rPr>
      </w:pPr>
      <w:bookmarkStart w:id="82" w:name="_Toc6458"/>
      <w:r>
        <w:rPr>
          <w:rFonts w:hint="eastAsia" w:ascii="宋体" w:hAnsi="宋体" w:cs="宋体"/>
          <w:bCs/>
          <w:color w:val="auto"/>
          <w:sz w:val="24"/>
          <w:highlight w:val="none"/>
        </w:rPr>
        <w:t>附件十</w:t>
      </w:r>
      <w:r>
        <w:rPr>
          <w:rFonts w:hint="eastAsia" w:ascii="宋体" w:hAnsi="宋体" w:cs="宋体"/>
          <w:bCs/>
          <w:color w:val="auto"/>
          <w:sz w:val="24"/>
          <w:highlight w:val="none"/>
          <w:lang w:val="en-US" w:eastAsia="zh-CN"/>
        </w:rPr>
        <w:t>三</w:t>
      </w:r>
      <w:r>
        <w:rPr>
          <w:rFonts w:hint="eastAsia" w:ascii="宋体" w:hAnsi="宋体" w:cs="宋体"/>
          <w:bCs/>
          <w:color w:val="auto"/>
          <w:sz w:val="24"/>
          <w:highlight w:val="none"/>
        </w:rPr>
        <w:t>：服务费承诺书</w:t>
      </w:r>
      <w:bookmarkEnd w:id="82"/>
    </w:p>
    <w:p>
      <w:pPr>
        <w:snapToGrid w:val="0"/>
        <w:spacing w:before="50" w:afterLines="50"/>
        <w:jc w:val="center"/>
        <w:rPr>
          <w:rFonts w:ascii="宋体" w:hAnsi="宋体" w:cs="宋体"/>
          <w:b/>
          <w:color w:val="auto"/>
          <w:sz w:val="40"/>
          <w:szCs w:val="40"/>
          <w:highlight w:val="none"/>
        </w:rPr>
      </w:pPr>
      <w:r>
        <w:rPr>
          <w:rFonts w:hint="eastAsia" w:ascii="宋体" w:hAnsi="宋体" w:cs="宋体"/>
          <w:b/>
          <w:color w:val="auto"/>
          <w:sz w:val="40"/>
          <w:szCs w:val="40"/>
          <w:highlight w:val="none"/>
        </w:rPr>
        <w:t>承 诺 书</w:t>
      </w:r>
    </w:p>
    <w:p>
      <w:pPr>
        <w:snapToGrid w:val="0"/>
        <w:spacing w:before="50" w:afterLines="50"/>
        <w:jc w:val="left"/>
        <w:rPr>
          <w:rFonts w:ascii="宋体" w:hAnsi="宋体" w:cs="宋体"/>
          <w:b/>
          <w:color w:val="auto"/>
          <w:sz w:val="24"/>
          <w:highlight w:val="none"/>
        </w:rPr>
      </w:pPr>
    </w:p>
    <w:p>
      <w:pPr>
        <w:snapToGrid w:val="0"/>
        <w:spacing w:before="50" w:afterLines="50" w:line="360" w:lineRule="auto"/>
        <w:jc w:val="left"/>
        <w:rPr>
          <w:rFonts w:ascii="宋体" w:hAnsi="宋体" w:cs="宋体"/>
          <w:b/>
          <w:bCs/>
          <w:color w:val="auto"/>
          <w:sz w:val="24"/>
          <w:highlight w:val="none"/>
        </w:rPr>
      </w:pPr>
      <w:r>
        <w:rPr>
          <w:rFonts w:hint="eastAsia" w:ascii="宋体" w:hAnsi="宋体" w:cs="宋体"/>
          <w:b/>
          <w:color w:val="auto"/>
          <w:sz w:val="24"/>
          <w:highlight w:val="none"/>
        </w:rPr>
        <w:t>东阳市鑫盛工程咨询有限公司</w:t>
      </w:r>
      <w:r>
        <w:rPr>
          <w:rFonts w:hint="eastAsia" w:ascii="宋体" w:hAnsi="宋体" w:cs="宋体"/>
          <w:b/>
          <w:bCs/>
          <w:color w:val="auto"/>
          <w:sz w:val="24"/>
          <w:highlight w:val="none"/>
        </w:rPr>
        <w:t>：</w:t>
      </w:r>
    </w:p>
    <w:p>
      <w:pPr>
        <w:snapToGrid w:val="0"/>
        <w:spacing w:before="50" w:afterLines="50" w:line="360" w:lineRule="auto"/>
        <w:ind w:firstLine="472" w:firstLineChars="196"/>
        <w:jc w:val="left"/>
        <w:rPr>
          <w:rFonts w:ascii="宋体" w:hAnsi="宋体" w:cs="宋体"/>
          <w:b/>
          <w:color w:val="auto"/>
          <w:sz w:val="24"/>
          <w:highlight w:val="none"/>
        </w:rPr>
      </w:pPr>
      <w:r>
        <w:rPr>
          <w:rFonts w:hint="eastAsia" w:ascii="宋体" w:hAnsi="宋体" w:cs="宋体"/>
          <w:b/>
          <w:color w:val="auto"/>
          <w:sz w:val="24"/>
          <w:highlight w:val="none"/>
        </w:rPr>
        <w:t xml:space="preserve">若我公司中标时，在中标结果公示结束之日起3天内，愿按本磋商文件总则第（五）条规定向东阳市鑫盛工程咨询有限公司支付中标服务费。    </w:t>
      </w:r>
    </w:p>
    <w:p>
      <w:pPr>
        <w:snapToGrid w:val="0"/>
        <w:spacing w:before="50" w:afterLines="50" w:line="360" w:lineRule="auto"/>
        <w:ind w:firstLine="482" w:firstLineChars="200"/>
        <w:jc w:val="left"/>
        <w:rPr>
          <w:rFonts w:ascii="宋体" w:hAnsi="宋体" w:cs="宋体"/>
          <w:b/>
          <w:color w:val="auto"/>
          <w:sz w:val="24"/>
          <w:highlight w:val="none"/>
        </w:rPr>
      </w:pPr>
      <w:r>
        <w:rPr>
          <w:rFonts w:hint="eastAsia" w:ascii="宋体" w:hAnsi="宋体" w:cs="宋体"/>
          <w:b/>
          <w:color w:val="auto"/>
          <w:sz w:val="24"/>
          <w:highlight w:val="none"/>
        </w:rPr>
        <w:t>特此承诺！</w:t>
      </w:r>
    </w:p>
    <w:p>
      <w:pPr>
        <w:snapToGrid w:val="0"/>
        <w:spacing w:before="50" w:afterLines="50" w:line="360" w:lineRule="auto"/>
        <w:jc w:val="left"/>
        <w:rPr>
          <w:rFonts w:ascii="宋体" w:hAnsi="宋体" w:cs="宋体"/>
          <w:b/>
          <w:color w:val="auto"/>
          <w:sz w:val="24"/>
          <w:highlight w:val="none"/>
        </w:rPr>
      </w:pPr>
    </w:p>
    <w:p>
      <w:pPr>
        <w:snapToGrid w:val="0"/>
        <w:spacing w:before="50" w:afterLines="50"/>
        <w:jc w:val="left"/>
        <w:rPr>
          <w:rFonts w:ascii="宋体" w:hAnsi="宋体" w:cs="宋体"/>
          <w:b/>
          <w:color w:val="auto"/>
          <w:sz w:val="24"/>
          <w:highlight w:val="none"/>
        </w:rPr>
      </w:pPr>
    </w:p>
    <w:p>
      <w:pPr>
        <w:snapToGrid w:val="0"/>
        <w:spacing w:before="50" w:afterLines="50"/>
        <w:jc w:val="left"/>
        <w:rPr>
          <w:rFonts w:ascii="宋体" w:hAnsi="宋体" w:cs="宋体"/>
          <w:b/>
          <w:color w:val="auto"/>
          <w:sz w:val="24"/>
          <w:highlight w:val="none"/>
        </w:rPr>
      </w:pPr>
    </w:p>
    <w:p>
      <w:pPr>
        <w:snapToGrid w:val="0"/>
        <w:spacing w:before="50" w:afterLines="50"/>
        <w:jc w:val="left"/>
        <w:rPr>
          <w:rFonts w:ascii="宋体" w:hAnsi="宋体" w:cs="宋体"/>
          <w:b/>
          <w:color w:val="auto"/>
          <w:sz w:val="24"/>
          <w:highlight w:val="none"/>
        </w:rPr>
      </w:pPr>
    </w:p>
    <w:p>
      <w:pPr>
        <w:snapToGrid w:val="0"/>
        <w:spacing w:before="50" w:afterLines="50"/>
        <w:jc w:val="left"/>
        <w:rPr>
          <w:rFonts w:ascii="宋体" w:hAnsi="宋体" w:cs="宋体"/>
          <w:b/>
          <w:color w:val="auto"/>
          <w:sz w:val="24"/>
          <w:highlight w:val="none"/>
        </w:rPr>
      </w:pPr>
    </w:p>
    <w:p>
      <w:pPr>
        <w:snapToGrid w:val="0"/>
        <w:spacing w:before="50" w:afterLines="50"/>
        <w:jc w:val="left"/>
        <w:rPr>
          <w:rFonts w:ascii="宋体" w:hAnsi="宋体" w:cs="宋体"/>
          <w:b/>
          <w:color w:val="auto"/>
          <w:sz w:val="24"/>
          <w:highlight w:val="none"/>
        </w:rPr>
      </w:pPr>
    </w:p>
    <w:p>
      <w:pPr>
        <w:snapToGrid w:val="0"/>
        <w:spacing w:before="50" w:afterLines="50"/>
        <w:ind w:firstLine="236" w:firstLineChars="98"/>
        <w:jc w:val="left"/>
        <w:rPr>
          <w:rFonts w:ascii="宋体" w:hAnsi="宋体" w:cs="宋体"/>
          <w:b/>
          <w:color w:val="auto"/>
          <w:sz w:val="24"/>
          <w:highlight w:val="none"/>
        </w:rPr>
      </w:pPr>
      <w:r>
        <w:rPr>
          <w:rFonts w:hint="eastAsia" w:ascii="宋体" w:hAnsi="宋体" w:cs="宋体"/>
          <w:b/>
          <w:color w:val="auto"/>
          <w:sz w:val="24"/>
          <w:highlight w:val="none"/>
        </w:rPr>
        <w:t>承诺单位(盖章)：</w:t>
      </w:r>
    </w:p>
    <w:p>
      <w:pPr>
        <w:snapToGrid w:val="0"/>
        <w:spacing w:before="50" w:afterLines="50"/>
        <w:jc w:val="left"/>
        <w:rPr>
          <w:rFonts w:ascii="宋体" w:hAnsi="宋体" w:cs="宋体"/>
          <w:b/>
          <w:color w:val="auto"/>
          <w:sz w:val="24"/>
          <w:highlight w:val="none"/>
        </w:rPr>
      </w:pPr>
    </w:p>
    <w:p>
      <w:pPr>
        <w:snapToGrid w:val="0"/>
        <w:spacing w:before="50" w:afterLines="50"/>
        <w:jc w:val="left"/>
        <w:rPr>
          <w:rFonts w:ascii="宋体" w:hAnsi="宋体" w:cs="宋体"/>
          <w:b/>
          <w:color w:val="auto"/>
          <w:sz w:val="24"/>
          <w:highlight w:val="none"/>
        </w:rPr>
      </w:pPr>
    </w:p>
    <w:p>
      <w:pPr>
        <w:snapToGrid w:val="0"/>
        <w:spacing w:before="50" w:afterLines="50"/>
        <w:ind w:firstLine="236" w:firstLineChars="98"/>
        <w:jc w:val="left"/>
        <w:rPr>
          <w:rFonts w:ascii="宋体" w:hAnsi="宋体" w:cs="宋体"/>
          <w:b/>
          <w:color w:val="auto"/>
          <w:sz w:val="24"/>
          <w:highlight w:val="none"/>
        </w:rPr>
      </w:pPr>
      <w:r>
        <w:rPr>
          <w:rFonts w:hint="eastAsia" w:ascii="宋体" w:hAnsi="宋体" w:cs="宋体"/>
          <w:b/>
          <w:color w:val="auto"/>
          <w:sz w:val="24"/>
          <w:highlight w:val="none"/>
        </w:rPr>
        <w:t>法定代表人或委托代理人(签字)：</w:t>
      </w:r>
    </w:p>
    <w:p>
      <w:pPr>
        <w:snapToGrid w:val="0"/>
        <w:spacing w:before="50" w:afterLines="50"/>
        <w:jc w:val="left"/>
        <w:rPr>
          <w:rFonts w:ascii="宋体" w:hAnsi="宋体" w:cs="宋体"/>
          <w:b/>
          <w:bCs/>
          <w:color w:val="auto"/>
          <w:sz w:val="24"/>
          <w:highlight w:val="none"/>
        </w:rPr>
      </w:pPr>
    </w:p>
    <w:p>
      <w:pPr>
        <w:snapToGrid w:val="0"/>
        <w:spacing w:before="50" w:afterLines="50"/>
        <w:jc w:val="left"/>
        <w:rPr>
          <w:rFonts w:ascii="宋体" w:hAnsi="宋体" w:cs="宋体"/>
          <w:b/>
          <w:bCs/>
          <w:color w:val="auto"/>
          <w:sz w:val="24"/>
          <w:highlight w:val="none"/>
        </w:rPr>
      </w:pPr>
    </w:p>
    <w:p>
      <w:pPr>
        <w:snapToGrid w:val="0"/>
        <w:spacing w:before="50" w:afterLines="50"/>
        <w:ind w:firstLine="5980" w:firstLineChars="2482"/>
        <w:jc w:val="left"/>
        <w:rPr>
          <w:rFonts w:ascii="宋体" w:hAnsi="宋体" w:cs="宋体"/>
          <w:b/>
          <w:bCs/>
          <w:color w:val="auto"/>
          <w:sz w:val="24"/>
          <w:highlight w:val="none"/>
        </w:rPr>
      </w:pPr>
      <w:r>
        <w:rPr>
          <w:rFonts w:hint="eastAsia" w:ascii="宋体" w:hAnsi="宋体" w:cs="宋体"/>
          <w:b/>
          <w:bCs/>
          <w:color w:val="auto"/>
          <w:sz w:val="24"/>
          <w:highlight w:val="none"/>
        </w:rPr>
        <w:t>年     月    日</w:t>
      </w:r>
    </w:p>
    <w:p>
      <w:pPr>
        <w:snapToGrid w:val="0"/>
        <w:spacing w:before="50" w:afterLines="50"/>
        <w:jc w:val="left"/>
        <w:rPr>
          <w:rFonts w:ascii="宋体" w:hAnsi="宋体" w:cs="宋体"/>
          <w:b/>
          <w:color w:val="auto"/>
          <w:sz w:val="24"/>
          <w:highlight w:val="none"/>
        </w:rPr>
      </w:pPr>
    </w:p>
    <w:p>
      <w:pPr>
        <w:snapToGrid w:val="0"/>
        <w:spacing w:beforeLines="50" w:after="50" w:line="276" w:lineRule="auto"/>
        <w:jc w:val="left"/>
        <w:rPr>
          <w:rFonts w:ascii="宋体" w:hAnsi="宋体" w:cs="宋体"/>
          <w:color w:val="auto"/>
          <w:sz w:val="24"/>
          <w:highlight w:val="none"/>
        </w:rPr>
      </w:pPr>
    </w:p>
    <w:p>
      <w:pPr>
        <w:snapToGrid w:val="0"/>
        <w:spacing w:beforeLines="50" w:after="50" w:line="276" w:lineRule="auto"/>
        <w:jc w:val="left"/>
        <w:rPr>
          <w:rFonts w:ascii="宋体" w:hAnsi="宋体" w:cs="宋体"/>
          <w:color w:val="auto"/>
          <w:sz w:val="24"/>
          <w:highlight w:val="none"/>
        </w:rPr>
      </w:pPr>
    </w:p>
    <w:p>
      <w:pPr>
        <w:snapToGrid w:val="0"/>
        <w:spacing w:beforeLines="50" w:after="50" w:line="276" w:lineRule="auto"/>
        <w:jc w:val="left"/>
        <w:rPr>
          <w:rFonts w:ascii="宋体" w:hAnsi="宋体" w:cs="宋体"/>
          <w:color w:val="auto"/>
          <w:sz w:val="24"/>
          <w:highlight w:val="none"/>
        </w:rPr>
      </w:pPr>
    </w:p>
    <w:p>
      <w:pPr>
        <w:rPr>
          <w:rFonts w:ascii="宋体" w:hAnsi="宋体" w:cs="宋体"/>
          <w:bCs/>
          <w:color w:val="auto"/>
          <w:sz w:val="24"/>
          <w:highlight w:val="none"/>
        </w:rPr>
      </w:pPr>
      <w:bookmarkStart w:id="83" w:name="_Toc7166659"/>
      <w:bookmarkStart w:id="84" w:name="_Toc514425251"/>
    </w:p>
    <w:bookmarkEnd w:id="83"/>
    <w:bookmarkEnd w:id="84"/>
    <w:p>
      <w:pPr>
        <w:rPr>
          <w:rFonts w:ascii="宋体" w:hAnsi="宋体" w:cs="宋体"/>
          <w:b/>
          <w:color w:val="auto"/>
          <w:sz w:val="24"/>
          <w:highlight w:val="none"/>
        </w:rPr>
      </w:pPr>
    </w:p>
    <w:p>
      <w:pPr>
        <w:pageBreakBefore/>
        <w:spacing w:before="260" w:after="260" w:line="415" w:lineRule="auto"/>
        <w:outlineLvl w:val="1"/>
        <w:rPr>
          <w:rFonts w:ascii="宋体" w:hAnsi="宋体" w:cs="宋体"/>
          <w:bCs/>
          <w:color w:val="auto"/>
          <w:sz w:val="24"/>
          <w:highlight w:val="none"/>
        </w:rPr>
      </w:pPr>
      <w:bookmarkStart w:id="85" w:name="_Toc496598995"/>
      <w:bookmarkStart w:id="86" w:name="_Toc4501"/>
      <w:r>
        <w:rPr>
          <w:rFonts w:hint="eastAsia" w:ascii="宋体" w:hAnsi="宋体" w:cs="宋体"/>
          <w:bCs/>
          <w:color w:val="auto"/>
          <w:sz w:val="24"/>
          <w:highlight w:val="none"/>
        </w:rPr>
        <w:t>附件十</w:t>
      </w:r>
      <w:r>
        <w:rPr>
          <w:rFonts w:hint="eastAsia" w:ascii="宋体" w:hAnsi="宋体" w:cs="宋体"/>
          <w:bCs/>
          <w:color w:val="auto"/>
          <w:sz w:val="24"/>
          <w:highlight w:val="none"/>
          <w:lang w:val="en-US" w:eastAsia="zh-CN"/>
        </w:rPr>
        <w:t>四</w:t>
      </w:r>
      <w:r>
        <w:rPr>
          <w:rFonts w:hint="eastAsia" w:ascii="宋体" w:hAnsi="宋体" w:cs="宋体"/>
          <w:bCs/>
          <w:color w:val="auto"/>
          <w:sz w:val="24"/>
          <w:highlight w:val="none"/>
        </w:rPr>
        <w:t>:</w:t>
      </w:r>
      <w:bookmarkEnd w:id="85"/>
      <w:r>
        <w:rPr>
          <w:rFonts w:hint="eastAsia" w:ascii="宋体" w:hAnsi="宋体" w:cs="宋体"/>
          <w:bCs/>
          <w:color w:val="auto"/>
          <w:sz w:val="24"/>
          <w:highlight w:val="none"/>
        </w:rPr>
        <w:t>磋商函</w:t>
      </w:r>
      <w:bookmarkEnd w:id="86"/>
    </w:p>
    <w:p>
      <w:pPr>
        <w:snapToGrid w:val="0"/>
        <w:spacing w:beforeLines="50" w:after="50" w:line="480" w:lineRule="auto"/>
        <w:jc w:val="center"/>
        <w:rPr>
          <w:rFonts w:ascii="宋体" w:hAnsi="宋体" w:cs="宋体"/>
          <w:b/>
          <w:color w:val="auto"/>
          <w:sz w:val="40"/>
          <w:szCs w:val="40"/>
          <w:highlight w:val="none"/>
        </w:rPr>
      </w:pPr>
      <w:r>
        <w:rPr>
          <w:rFonts w:hint="eastAsia" w:ascii="宋体" w:hAnsi="宋体" w:cs="宋体"/>
          <w:b/>
          <w:color w:val="auto"/>
          <w:sz w:val="40"/>
          <w:szCs w:val="40"/>
          <w:highlight w:val="none"/>
        </w:rPr>
        <w:t>磋 商 函</w:t>
      </w:r>
    </w:p>
    <w:p>
      <w:pPr>
        <w:snapToGrid w:val="0"/>
        <w:spacing w:line="360" w:lineRule="auto"/>
        <w:rPr>
          <w:rFonts w:ascii="宋体" w:hAnsi="宋体" w:cs="宋体"/>
          <w:color w:val="auto"/>
          <w:sz w:val="24"/>
          <w:highlight w:val="none"/>
        </w:rPr>
      </w:pPr>
      <w:r>
        <w:rPr>
          <w:rFonts w:hint="eastAsia" w:ascii="宋体" w:hAnsi="宋体" w:cs="宋体"/>
          <w:color w:val="auto"/>
          <w:sz w:val="24"/>
          <w:highlight w:val="none"/>
        </w:rPr>
        <w:t>致：</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（招标采购单位名称）：</w:t>
      </w:r>
    </w:p>
    <w:p>
      <w:pPr>
        <w:snapToGrid w:val="0"/>
        <w:spacing w:line="360" w:lineRule="auto"/>
        <w:ind w:firstLine="480"/>
        <w:rPr>
          <w:rFonts w:ascii="宋体" w:hAnsi="宋体" w:cs="宋体"/>
          <w:color w:val="auto"/>
          <w:sz w:val="24"/>
          <w:highlight w:val="none"/>
        </w:rPr>
      </w:pPr>
      <w:r>
        <w:rPr>
          <w:rFonts w:hint="eastAsia" w:ascii="宋体" w:hAnsi="宋体" w:cs="宋体"/>
          <w:color w:val="auto"/>
          <w:sz w:val="24"/>
          <w:highlight w:val="none"/>
        </w:rPr>
        <w:t>根据贵方为</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项目的磋商公告/磋商邀请书</w:t>
      </w:r>
    </w:p>
    <w:p>
      <w:pPr>
        <w:snapToGrid w:val="0"/>
        <w:spacing w:line="360" w:lineRule="auto"/>
        <w:rPr>
          <w:rFonts w:ascii="宋体" w:hAnsi="宋体" w:cs="宋体"/>
          <w:color w:val="auto"/>
          <w:sz w:val="24"/>
          <w:highlight w:val="none"/>
        </w:rPr>
      </w:pPr>
      <w:r>
        <w:rPr>
          <w:rFonts w:hint="eastAsia" w:ascii="宋体" w:hAnsi="宋体" w:cs="宋体"/>
          <w:color w:val="auto"/>
          <w:sz w:val="24"/>
          <w:highlight w:val="none"/>
        </w:rPr>
        <w:t>（项目编号：</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），签字代表</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（全名）经正式授权并代表供应商</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（供应商名称）提交电子磋商响应文件。</w:t>
      </w:r>
    </w:p>
    <w:p>
      <w:pPr>
        <w:snapToGrid w:val="0"/>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据此函，签字代表宣布同意如下：</w:t>
      </w:r>
    </w:p>
    <w:p>
      <w:pPr>
        <w:snapToGrid w:val="0"/>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1.供应商已详细审查全部“磋商文件”，包括修改文件（如有的话）以及全部参考资料和有关附件，已经了解我方对于磋商文件、采购过程、采购结果有依法进行询问、质疑、投诉的权利及相关渠道和要求。</w:t>
      </w:r>
    </w:p>
    <w:p>
      <w:pPr>
        <w:snapToGrid w:val="0"/>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2.供应商在磋商之前已经与贵方进行了充分的沟通，完全理解并接受磋商文件的各项规定和要求，对磋商文件的合理性、合法性不再有异议。</w:t>
      </w:r>
    </w:p>
    <w:p>
      <w:pPr>
        <w:snapToGrid w:val="0"/>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3.本磋商响应文件有效期自开标日起 ______天。</w:t>
      </w:r>
    </w:p>
    <w:p>
      <w:pPr>
        <w:snapToGrid w:val="0"/>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4.如中标，本磋商响应文件至本项目合同履行完毕止均保持有效，本供应商将按“磋商文件”及政府采购法律、法规的规定履行合同责任和义务。</w:t>
      </w:r>
    </w:p>
    <w:p>
      <w:pPr>
        <w:snapToGrid w:val="0"/>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5.供应商同意按照贵方要求提供与磋商有关的一切数据或资料。</w:t>
      </w:r>
    </w:p>
    <w:p>
      <w:pPr>
        <w:snapToGrid w:val="0"/>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6.与本磋商有关的一切正式往来信函请寄：</w:t>
      </w:r>
    </w:p>
    <w:p>
      <w:pPr>
        <w:snapToGrid w:val="0"/>
        <w:spacing w:line="360" w:lineRule="auto"/>
        <w:rPr>
          <w:rFonts w:ascii="宋体" w:hAnsi="宋体" w:cs="宋体"/>
          <w:color w:val="auto"/>
          <w:sz w:val="24"/>
          <w:highlight w:val="none"/>
        </w:rPr>
      </w:pPr>
      <w:r>
        <w:rPr>
          <w:rFonts w:hint="eastAsia" w:ascii="宋体" w:hAnsi="宋体" w:cs="宋体"/>
          <w:color w:val="auto"/>
          <w:sz w:val="24"/>
          <w:highlight w:val="none"/>
        </w:rPr>
        <w:t>地址：__________</w:t>
      </w:r>
      <w:r>
        <w:rPr>
          <w:rFonts w:hint="eastAsia" w:ascii="宋体" w:hAnsi="宋体" w:cs="宋体"/>
          <w:color w:val="auto"/>
          <w:sz w:val="24"/>
          <w:highlight w:val="none"/>
          <w:u w:val="single"/>
        </w:rPr>
        <w:t xml:space="preserve">        _</w:t>
      </w:r>
      <w:r>
        <w:rPr>
          <w:rFonts w:hint="eastAsia" w:ascii="宋体" w:hAnsi="宋体" w:cs="宋体"/>
          <w:color w:val="auto"/>
          <w:sz w:val="24"/>
          <w:highlight w:val="none"/>
        </w:rPr>
        <w:t>____邮编：__________   电话：______________</w:t>
      </w:r>
    </w:p>
    <w:p>
      <w:pPr>
        <w:snapToGrid w:val="0"/>
        <w:spacing w:line="360" w:lineRule="auto"/>
        <w:rPr>
          <w:rFonts w:ascii="宋体" w:hAnsi="宋体" w:cs="宋体"/>
          <w:color w:val="auto"/>
          <w:sz w:val="24"/>
          <w:highlight w:val="none"/>
        </w:rPr>
      </w:pPr>
      <w:r>
        <w:rPr>
          <w:rFonts w:hint="eastAsia" w:ascii="宋体" w:hAnsi="宋体" w:cs="宋体"/>
          <w:color w:val="auto"/>
          <w:sz w:val="24"/>
          <w:highlight w:val="none"/>
        </w:rPr>
        <w:t>传真：______________供应商代表姓名 ___________  职务：______</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_______</w:t>
      </w:r>
    </w:p>
    <w:p>
      <w:pPr>
        <w:snapToGrid w:val="0"/>
        <w:spacing w:line="360" w:lineRule="auto"/>
        <w:rPr>
          <w:rFonts w:ascii="宋体" w:hAnsi="宋体" w:cs="宋体"/>
          <w:color w:val="auto"/>
          <w:sz w:val="24"/>
          <w:highlight w:val="none"/>
        </w:rPr>
      </w:pPr>
    </w:p>
    <w:p>
      <w:pPr>
        <w:snapToGrid w:val="0"/>
        <w:spacing w:line="360" w:lineRule="auto"/>
        <w:rPr>
          <w:rFonts w:ascii="宋体" w:hAnsi="宋体" w:cs="宋体"/>
          <w:color w:val="auto"/>
          <w:sz w:val="24"/>
          <w:highlight w:val="none"/>
        </w:rPr>
      </w:pPr>
    </w:p>
    <w:p>
      <w:pPr>
        <w:snapToGrid w:val="0"/>
        <w:spacing w:line="360" w:lineRule="auto"/>
        <w:rPr>
          <w:rFonts w:ascii="宋体" w:hAnsi="宋体" w:cs="宋体"/>
          <w:color w:val="auto"/>
          <w:sz w:val="24"/>
          <w:highlight w:val="none"/>
        </w:rPr>
      </w:pPr>
      <w:r>
        <w:rPr>
          <w:rFonts w:hint="eastAsia" w:ascii="宋体" w:hAnsi="宋体" w:cs="宋体"/>
          <w:color w:val="auto"/>
          <w:sz w:val="24"/>
          <w:highlight w:val="none"/>
        </w:rPr>
        <w:t>供应商名称(公章):___________________</w:t>
      </w:r>
    </w:p>
    <w:p>
      <w:pPr>
        <w:snapToGrid w:val="0"/>
        <w:spacing w:line="360" w:lineRule="auto"/>
        <w:rPr>
          <w:rFonts w:ascii="宋体" w:hAnsi="宋体" w:cs="宋体"/>
          <w:color w:val="auto"/>
          <w:sz w:val="24"/>
          <w:highlight w:val="none"/>
        </w:rPr>
      </w:pPr>
      <w:r>
        <w:rPr>
          <w:rFonts w:hint="eastAsia" w:ascii="宋体" w:hAnsi="宋体" w:cs="宋体"/>
          <w:color w:val="auto"/>
          <w:sz w:val="24"/>
          <w:highlight w:val="none"/>
        </w:rPr>
        <w:t xml:space="preserve">委托代理人签字:___________ </w:t>
      </w:r>
    </w:p>
    <w:p>
      <w:pPr>
        <w:snapToGrid w:val="0"/>
        <w:spacing w:line="360" w:lineRule="auto"/>
        <w:rPr>
          <w:rFonts w:ascii="宋体" w:hAnsi="宋体" w:cs="宋体"/>
          <w:color w:val="auto"/>
          <w:sz w:val="24"/>
          <w:highlight w:val="none"/>
        </w:rPr>
      </w:pPr>
      <w:r>
        <w:rPr>
          <w:rFonts w:hint="eastAsia" w:ascii="宋体" w:hAnsi="宋体" w:cs="宋体"/>
          <w:color w:val="auto"/>
          <w:sz w:val="24"/>
          <w:highlight w:val="none"/>
        </w:rPr>
        <w:t>日期:_____年___月___日</w:t>
      </w:r>
    </w:p>
    <w:p>
      <w:pPr>
        <w:snapToGrid w:val="0"/>
        <w:spacing w:before="156" w:after="156" w:line="360" w:lineRule="auto"/>
        <w:rPr>
          <w:rFonts w:ascii="宋体" w:hAnsi="宋体" w:cs="宋体"/>
          <w:color w:val="auto"/>
          <w:sz w:val="24"/>
          <w:highlight w:val="none"/>
        </w:rPr>
      </w:pPr>
    </w:p>
    <w:p>
      <w:pPr>
        <w:snapToGrid w:val="0"/>
        <w:spacing w:before="50" w:afterLines="50"/>
        <w:jc w:val="left"/>
        <w:rPr>
          <w:rFonts w:ascii="宋体" w:hAnsi="宋体" w:cs="宋体"/>
          <w:b/>
          <w:color w:val="auto"/>
          <w:sz w:val="24"/>
          <w:highlight w:val="none"/>
        </w:rPr>
      </w:pPr>
    </w:p>
    <w:p>
      <w:pPr>
        <w:snapToGrid w:val="0"/>
        <w:spacing w:before="50" w:afterLines="50"/>
        <w:jc w:val="left"/>
        <w:rPr>
          <w:rFonts w:ascii="宋体" w:hAnsi="宋体" w:cs="宋体"/>
          <w:b/>
          <w:color w:val="auto"/>
          <w:sz w:val="24"/>
          <w:highlight w:val="none"/>
        </w:rPr>
      </w:pPr>
    </w:p>
    <w:p>
      <w:pPr>
        <w:snapToGrid w:val="0"/>
        <w:spacing w:before="50" w:afterLines="50"/>
        <w:jc w:val="left"/>
        <w:rPr>
          <w:rFonts w:ascii="宋体" w:hAnsi="宋体" w:cs="宋体"/>
          <w:b/>
          <w:color w:val="auto"/>
          <w:sz w:val="24"/>
          <w:highlight w:val="none"/>
        </w:rPr>
      </w:pPr>
    </w:p>
    <w:p>
      <w:pPr>
        <w:keepNext/>
        <w:keepLines/>
        <w:spacing w:before="260" w:after="260" w:line="360" w:lineRule="auto"/>
        <w:outlineLvl w:val="1"/>
        <w:rPr>
          <w:rFonts w:ascii="宋体" w:hAnsi="宋体"/>
          <w:bCs/>
          <w:color w:val="auto"/>
          <w:sz w:val="24"/>
          <w:highlight w:val="none"/>
        </w:rPr>
      </w:pPr>
      <w:bookmarkStart w:id="87" w:name="_Toc12413"/>
      <w:bookmarkStart w:id="88" w:name="_Toc14942623"/>
      <w:bookmarkStart w:id="89" w:name="_Toc26482"/>
      <w:bookmarkStart w:id="90" w:name="_Toc29118"/>
      <w:bookmarkStart w:id="91" w:name="_Toc2590"/>
      <w:bookmarkStart w:id="92" w:name="_Toc1663"/>
      <w:bookmarkStart w:id="93" w:name="_Toc496598998"/>
      <w:r>
        <w:rPr>
          <w:rFonts w:hint="eastAsia" w:ascii="宋体" w:hAnsi="宋体"/>
          <w:bCs/>
          <w:color w:val="auto"/>
          <w:sz w:val="24"/>
          <w:highlight w:val="none"/>
        </w:rPr>
        <w:t>附件十</w:t>
      </w:r>
      <w:r>
        <w:rPr>
          <w:rFonts w:hint="eastAsia" w:ascii="宋体" w:hAnsi="宋体"/>
          <w:bCs/>
          <w:color w:val="auto"/>
          <w:sz w:val="24"/>
          <w:highlight w:val="none"/>
          <w:lang w:val="en-US" w:eastAsia="zh-CN"/>
        </w:rPr>
        <w:t>五</w:t>
      </w:r>
      <w:r>
        <w:rPr>
          <w:rFonts w:hint="eastAsia" w:ascii="宋体" w:hAnsi="宋体"/>
          <w:bCs/>
          <w:color w:val="auto"/>
          <w:sz w:val="24"/>
          <w:highlight w:val="none"/>
        </w:rPr>
        <w:t>：</w:t>
      </w:r>
      <w:bookmarkEnd w:id="87"/>
      <w:bookmarkEnd w:id="88"/>
      <w:bookmarkEnd w:id="89"/>
      <w:r>
        <w:rPr>
          <w:rFonts w:hint="eastAsia" w:ascii="宋体" w:hAnsi="宋体"/>
          <w:bCs/>
          <w:color w:val="auto"/>
          <w:sz w:val="24"/>
          <w:highlight w:val="none"/>
        </w:rPr>
        <w:t>初次报价表</w:t>
      </w:r>
      <w:bookmarkEnd w:id="90"/>
    </w:p>
    <w:p>
      <w:pPr>
        <w:snapToGrid w:val="0"/>
        <w:spacing w:before="50" w:after="50" w:line="360" w:lineRule="auto"/>
        <w:jc w:val="center"/>
        <w:rPr>
          <w:rFonts w:ascii="宋体" w:hAnsi="宋体"/>
          <w:b/>
          <w:color w:val="auto"/>
          <w:sz w:val="24"/>
          <w:highlight w:val="none"/>
        </w:rPr>
      </w:pPr>
      <w:r>
        <w:rPr>
          <w:rFonts w:hint="eastAsia" w:ascii="宋体" w:hAnsi="宋体"/>
          <w:b/>
          <w:color w:val="auto"/>
          <w:sz w:val="24"/>
          <w:highlight w:val="none"/>
        </w:rPr>
        <w:t>初次报价表</w:t>
      </w:r>
    </w:p>
    <w:p>
      <w:pPr>
        <w:spacing w:line="360" w:lineRule="auto"/>
        <w:rPr>
          <w:rFonts w:ascii="宋体" w:hAnsi="宋体"/>
          <w:b/>
          <w:color w:val="auto"/>
          <w:sz w:val="24"/>
          <w:highlight w:val="none"/>
        </w:rPr>
      </w:pPr>
      <w:r>
        <w:rPr>
          <w:rFonts w:hint="eastAsia" w:ascii="宋体" w:hAnsi="宋体"/>
          <w:b/>
          <w:color w:val="auto"/>
          <w:sz w:val="24"/>
          <w:highlight w:val="none"/>
        </w:rPr>
        <w:t xml:space="preserve">招标编号：                             </w:t>
      </w:r>
    </w:p>
    <w:p>
      <w:pPr>
        <w:spacing w:line="360" w:lineRule="auto"/>
        <w:rPr>
          <w:rFonts w:ascii="宋体" w:hAnsi="宋体"/>
          <w:b/>
          <w:color w:val="auto"/>
          <w:sz w:val="24"/>
          <w:highlight w:val="none"/>
        </w:rPr>
      </w:pPr>
      <w:r>
        <w:rPr>
          <w:rFonts w:hint="eastAsia" w:ascii="宋体" w:hAnsi="宋体"/>
          <w:b/>
          <w:color w:val="auto"/>
          <w:sz w:val="24"/>
          <w:highlight w:val="none"/>
        </w:rPr>
        <w:t>供应商名称：                                          单位：元</w:t>
      </w:r>
    </w:p>
    <w:tbl>
      <w:tblPr>
        <w:tblStyle w:val="40"/>
        <w:tblW w:w="9839"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156"/>
        <w:gridCol w:w="4668"/>
        <w:gridCol w:w="2152"/>
        <w:gridCol w:w="1863"/>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851" w:hRule="atLeast"/>
          <w:jc w:val="center"/>
        </w:trPr>
        <w:tc>
          <w:tcPr>
            <w:tcW w:w="1156" w:type="dxa"/>
            <w:tcBorders>
              <w:top w:val="single" w:color="auto" w:sz="4" w:space="0"/>
              <w:left w:val="single" w:color="auto" w:sz="4" w:space="0"/>
              <w:bottom w:val="single" w:color="auto" w:sz="4" w:space="0"/>
              <w:right w:val="single" w:color="auto" w:sz="4" w:space="0"/>
            </w:tcBorders>
            <w:vAlign w:val="center"/>
          </w:tcPr>
          <w:p>
            <w:pPr>
              <w:snapToGrid w:val="0"/>
              <w:spacing w:before="50" w:after="50"/>
              <w:jc w:val="center"/>
              <w:rPr>
                <w:rFonts w:hint="default" w:ascii="宋体" w:hAnsi="宋体" w:eastAsia="宋体" w:cs="宋体"/>
                <w:b/>
                <w:color w:val="auto"/>
                <w:sz w:val="24"/>
                <w:highlight w:val="none"/>
                <w:lang w:val="en-US" w:eastAsia="zh-CN"/>
              </w:rPr>
            </w:pPr>
            <w:r>
              <w:rPr>
                <w:rFonts w:hint="eastAsia" w:ascii="宋体" w:hAnsi="宋体" w:cs="宋体"/>
                <w:b/>
                <w:color w:val="auto"/>
                <w:sz w:val="24"/>
                <w:highlight w:val="none"/>
                <w:lang w:val="en-US" w:eastAsia="zh-CN"/>
              </w:rPr>
              <w:t>序号</w:t>
            </w:r>
          </w:p>
        </w:tc>
        <w:tc>
          <w:tcPr>
            <w:tcW w:w="4668" w:type="dxa"/>
            <w:tcBorders>
              <w:top w:val="single" w:color="auto" w:sz="4" w:space="0"/>
              <w:left w:val="single" w:color="auto" w:sz="4" w:space="0"/>
              <w:bottom w:val="single" w:color="auto" w:sz="4" w:space="0"/>
              <w:right w:val="single" w:color="auto" w:sz="4" w:space="0"/>
            </w:tcBorders>
            <w:vAlign w:val="center"/>
          </w:tcPr>
          <w:p>
            <w:pPr>
              <w:snapToGrid w:val="0"/>
              <w:spacing w:before="50" w:after="50"/>
              <w:jc w:val="center"/>
              <w:rPr>
                <w:rFonts w:ascii="宋体" w:hAnsi="宋体" w:cs="宋体"/>
                <w:b/>
                <w:color w:val="auto"/>
                <w:sz w:val="24"/>
                <w:highlight w:val="none"/>
              </w:rPr>
            </w:pPr>
            <w:r>
              <w:rPr>
                <w:rFonts w:hint="eastAsia" w:ascii="宋体" w:hAnsi="宋体" w:cs="宋体"/>
                <w:b/>
                <w:color w:val="auto"/>
                <w:sz w:val="24"/>
                <w:highlight w:val="none"/>
              </w:rPr>
              <w:t>采购内容</w:t>
            </w:r>
          </w:p>
        </w:tc>
        <w:tc>
          <w:tcPr>
            <w:tcW w:w="2152" w:type="dxa"/>
            <w:tcBorders>
              <w:top w:val="single" w:color="auto" w:sz="4" w:space="0"/>
              <w:left w:val="single" w:color="auto" w:sz="4" w:space="0"/>
              <w:bottom w:val="single" w:color="auto" w:sz="4" w:space="0"/>
              <w:right w:val="single" w:color="auto" w:sz="4" w:space="0"/>
            </w:tcBorders>
            <w:vAlign w:val="center"/>
          </w:tcPr>
          <w:p>
            <w:pPr>
              <w:snapToGrid w:val="0"/>
              <w:spacing w:before="50" w:after="50"/>
              <w:jc w:val="center"/>
              <w:rPr>
                <w:rFonts w:ascii="宋体" w:hAnsi="宋体" w:cs="宋体"/>
                <w:b/>
                <w:color w:val="auto"/>
                <w:sz w:val="24"/>
                <w:highlight w:val="none"/>
              </w:rPr>
            </w:pPr>
            <w:r>
              <w:rPr>
                <w:rFonts w:hint="eastAsia" w:ascii="宋体" w:hAnsi="宋体" w:cs="宋体"/>
                <w:b/>
                <w:bCs/>
                <w:color w:val="auto"/>
                <w:sz w:val="24"/>
                <w:highlight w:val="none"/>
              </w:rPr>
              <w:t>让利</w:t>
            </w:r>
            <w:r>
              <w:rPr>
                <w:rFonts w:ascii="宋体" w:hAnsi="宋体" w:cs="宋体"/>
                <w:b/>
                <w:color w:val="auto"/>
                <w:sz w:val="24"/>
                <w:highlight w:val="none"/>
              </w:rPr>
              <w:t>下浮率（%）</w:t>
            </w:r>
          </w:p>
        </w:tc>
        <w:tc>
          <w:tcPr>
            <w:tcW w:w="1863" w:type="dxa"/>
            <w:tcBorders>
              <w:top w:val="single" w:color="auto" w:sz="4" w:space="0"/>
              <w:left w:val="single" w:color="auto" w:sz="4" w:space="0"/>
              <w:bottom w:val="single" w:color="auto" w:sz="4" w:space="0"/>
              <w:right w:val="single" w:color="auto" w:sz="4" w:space="0"/>
            </w:tcBorders>
            <w:vAlign w:val="center"/>
          </w:tcPr>
          <w:p>
            <w:pPr>
              <w:snapToGrid w:val="0"/>
              <w:spacing w:before="50" w:after="50"/>
              <w:jc w:val="center"/>
              <w:rPr>
                <w:rFonts w:ascii="宋体" w:hAnsi="宋体" w:cs="宋体"/>
                <w:b/>
                <w:color w:val="auto"/>
                <w:sz w:val="24"/>
                <w:highlight w:val="none"/>
              </w:rPr>
            </w:pPr>
            <w:r>
              <w:rPr>
                <w:rFonts w:hint="eastAsia" w:ascii="宋体" w:hAnsi="宋体" w:cs="宋体"/>
                <w:b/>
                <w:bCs/>
                <w:color w:val="auto"/>
                <w:sz w:val="24"/>
                <w:highlight w:val="none"/>
              </w:rPr>
              <w:t>磋商报价（元）</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057" w:hRule="atLeast"/>
          <w:jc w:val="center"/>
        </w:trPr>
        <w:tc>
          <w:tcPr>
            <w:tcW w:w="1156" w:type="dxa"/>
            <w:tcBorders>
              <w:top w:val="single" w:color="auto" w:sz="4" w:space="0"/>
              <w:left w:val="single" w:color="auto" w:sz="4" w:space="0"/>
              <w:bottom w:val="single" w:color="auto" w:sz="4" w:space="0"/>
              <w:right w:val="single" w:color="auto" w:sz="4" w:space="0"/>
            </w:tcBorders>
            <w:vAlign w:val="center"/>
          </w:tcPr>
          <w:p>
            <w:pPr>
              <w:snapToGrid w:val="0"/>
              <w:spacing w:before="50" w:after="50"/>
              <w:jc w:val="center"/>
              <w:rPr>
                <w:rFonts w:hint="default" w:ascii="宋体" w:hAnsi="宋体" w:eastAsia="宋体" w:cs="宋体"/>
                <w:color w:val="auto"/>
                <w:sz w:val="24"/>
                <w:highlight w:val="none"/>
                <w:lang w:val="en-US" w:eastAsia="zh-CN"/>
              </w:rPr>
            </w:pPr>
            <w:r>
              <w:rPr>
                <w:rFonts w:hint="eastAsia" w:ascii="宋体" w:hAnsi="宋体" w:cs="宋体"/>
                <w:color w:val="auto"/>
                <w:sz w:val="24"/>
                <w:highlight w:val="none"/>
                <w:lang w:val="en-US" w:eastAsia="zh-CN"/>
              </w:rPr>
              <w:t>1</w:t>
            </w:r>
          </w:p>
        </w:tc>
        <w:tc>
          <w:tcPr>
            <w:tcW w:w="4668" w:type="dxa"/>
            <w:tcBorders>
              <w:top w:val="single" w:color="auto" w:sz="4" w:space="0"/>
              <w:left w:val="single" w:color="auto" w:sz="4" w:space="0"/>
              <w:bottom w:val="single" w:color="auto" w:sz="4" w:space="0"/>
              <w:right w:val="single" w:color="auto" w:sz="4" w:space="0"/>
            </w:tcBorders>
            <w:vAlign w:val="center"/>
          </w:tcPr>
          <w:p>
            <w:pPr>
              <w:snapToGrid w:val="0"/>
              <w:spacing w:before="50" w:after="50"/>
              <w:jc w:val="center"/>
              <w:rPr>
                <w:rFonts w:ascii="宋体" w:hAnsi="宋体" w:cs="宋体"/>
                <w:color w:val="auto"/>
                <w:sz w:val="24"/>
                <w:highlight w:val="none"/>
              </w:rPr>
            </w:pPr>
            <w:r>
              <w:rPr>
                <w:rFonts w:hint="eastAsia" w:ascii="宋体" w:hAnsi="宋体" w:cs="宋体"/>
                <w:color w:val="auto"/>
                <w:sz w:val="24"/>
                <w:highlight w:val="none"/>
              </w:rPr>
              <w:t>三单乡三单村一事一议财政奖补支持打造共富乡村试点项目软装工程</w:t>
            </w:r>
          </w:p>
        </w:tc>
        <w:tc>
          <w:tcPr>
            <w:tcW w:w="2152" w:type="dxa"/>
            <w:tcBorders>
              <w:top w:val="single" w:color="auto" w:sz="4" w:space="0"/>
              <w:left w:val="single" w:color="auto" w:sz="4" w:space="0"/>
              <w:bottom w:val="single" w:color="auto" w:sz="4" w:space="0"/>
              <w:right w:val="single" w:color="auto" w:sz="4" w:space="0"/>
            </w:tcBorders>
            <w:vAlign w:val="center"/>
          </w:tcPr>
          <w:p>
            <w:pPr>
              <w:snapToGrid w:val="0"/>
              <w:spacing w:before="50" w:after="50"/>
              <w:jc w:val="center"/>
              <w:rPr>
                <w:rFonts w:ascii="宋体" w:hAnsi="宋体" w:cs="宋体"/>
                <w:b/>
                <w:color w:val="auto"/>
                <w:sz w:val="24"/>
                <w:highlight w:val="none"/>
              </w:rPr>
            </w:pPr>
          </w:p>
        </w:tc>
        <w:tc>
          <w:tcPr>
            <w:tcW w:w="1863" w:type="dxa"/>
            <w:tcBorders>
              <w:top w:val="single" w:color="auto" w:sz="4" w:space="0"/>
              <w:left w:val="single" w:color="auto" w:sz="4" w:space="0"/>
              <w:bottom w:val="single" w:color="auto" w:sz="4" w:space="0"/>
              <w:right w:val="single" w:color="auto" w:sz="4" w:space="0"/>
            </w:tcBorders>
            <w:vAlign w:val="center"/>
          </w:tcPr>
          <w:p>
            <w:pPr>
              <w:snapToGrid w:val="0"/>
              <w:spacing w:before="50" w:after="50"/>
              <w:jc w:val="cente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5" w:hRule="atLeast"/>
          <w:jc w:val="center"/>
        </w:trPr>
        <w:tc>
          <w:tcPr>
            <w:tcW w:w="9839" w:type="dxa"/>
            <w:gridSpan w:val="4"/>
            <w:tcBorders>
              <w:top w:val="single" w:color="auto" w:sz="4" w:space="0"/>
              <w:left w:val="single" w:color="auto" w:sz="4" w:space="0"/>
              <w:bottom w:val="single" w:color="auto" w:sz="4" w:space="0"/>
              <w:right w:val="single" w:color="auto" w:sz="4" w:space="0"/>
            </w:tcBorders>
            <w:vAlign w:val="center"/>
          </w:tcPr>
          <w:p>
            <w:pPr>
              <w:snapToGrid w:val="0"/>
              <w:spacing w:before="50" w:after="50"/>
              <w:rPr>
                <w:rFonts w:ascii="宋体" w:hAnsi="宋体" w:cs="宋体"/>
                <w:color w:val="auto"/>
                <w:sz w:val="24"/>
                <w:highlight w:val="none"/>
              </w:rPr>
            </w:pPr>
            <w:r>
              <w:rPr>
                <w:rFonts w:hint="eastAsia" w:ascii="宋体" w:hAnsi="宋体" w:cs="宋体"/>
                <w:color w:val="auto"/>
                <w:sz w:val="24"/>
                <w:highlight w:val="none"/>
              </w:rPr>
              <w:t>磋商报价大写（人民币）：</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 xml:space="preserve"> 小写：</w:t>
            </w:r>
            <w:r>
              <w:rPr>
                <w:rFonts w:hint="eastAsia" w:ascii="宋体" w:hAnsi="宋体" w:cs="宋体"/>
                <w:color w:val="auto"/>
                <w:sz w:val="24"/>
                <w:highlight w:val="none"/>
                <w:u w:val="single"/>
              </w:rPr>
              <w:t xml:space="preserve">                     </w:t>
            </w:r>
          </w:p>
        </w:tc>
      </w:tr>
    </w:tbl>
    <w:p>
      <w:pPr>
        <w:spacing w:line="360" w:lineRule="auto"/>
        <w:jc w:val="left"/>
        <w:rPr>
          <w:rFonts w:ascii="宋体" w:hAnsi="宋体"/>
          <w:color w:val="auto"/>
          <w:sz w:val="24"/>
          <w:highlight w:val="none"/>
        </w:rPr>
      </w:pPr>
    </w:p>
    <w:p>
      <w:pPr>
        <w:spacing w:line="360" w:lineRule="auto"/>
        <w:jc w:val="left"/>
        <w:rPr>
          <w:rFonts w:ascii="宋体" w:hAnsi="宋体"/>
          <w:color w:val="auto"/>
          <w:sz w:val="24"/>
          <w:highlight w:val="none"/>
        </w:rPr>
      </w:pPr>
      <w:r>
        <w:rPr>
          <w:rFonts w:ascii="宋体" w:hAnsi="宋体"/>
          <w:color w:val="auto"/>
          <w:sz w:val="24"/>
          <w:highlight w:val="none"/>
        </w:rPr>
        <w:t>注：</w:t>
      </w:r>
      <w:r>
        <w:rPr>
          <w:rFonts w:hint="eastAsia" w:ascii="宋体" w:hAnsi="宋体"/>
          <w:color w:val="auto"/>
          <w:sz w:val="24"/>
          <w:highlight w:val="none"/>
        </w:rPr>
        <w:t>▲1、磋商报价一栏必须填写，否则其磋商作无效标处理。</w:t>
      </w:r>
    </w:p>
    <w:p>
      <w:pPr>
        <w:spacing w:line="360" w:lineRule="auto"/>
        <w:ind w:firstLine="480" w:firstLineChars="200"/>
        <w:jc w:val="left"/>
        <w:rPr>
          <w:rFonts w:ascii="宋体" w:hAnsi="宋体"/>
          <w:color w:val="auto"/>
          <w:sz w:val="24"/>
          <w:highlight w:val="none"/>
        </w:rPr>
      </w:pPr>
      <w:r>
        <w:rPr>
          <w:rFonts w:hint="eastAsia" w:ascii="宋体" w:hAnsi="宋体"/>
          <w:color w:val="auto"/>
          <w:sz w:val="24"/>
          <w:highlight w:val="none"/>
        </w:rPr>
        <w:t>▲2、磋商报价一经涂改，应在涂改处加盖单位公章或者由法定代表人或授权委托人签字或盖章，否则其磋商作无效标处理</w:t>
      </w:r>
      <w:r>
        <w:rPr>
          <w:rFonts w:hint="eastAsia" w:ascii="宋体" w:hAnsi="宋体" w:cs="Arial"/>
          <w:bCs/>
          <w:color w:val="auto"/>
          <w:sz w:val="24"/>
          <w:highlight w:val="none"/>
        </w:rPr>
        <w:t>；</w:t>
      </w:r>
    </w:p>
    <w:p>
      <w:pPr>
        <w:numPr>
          <w:ilvl w:val="0"/>
          <w:numId w:val="0"/>
        </w:numPr>
        <w:spacing w:line="360" w:lineRule="auto"/>
        <w:ind w:firstLine="482" w:firstLineChars="200"/>
        <w:jc w:val="left"/>
        <w:rPr>
          <w:rFonts w:hint="eastAsia" w:ascii="宋体" w:hAnsi="宋体" w:cs="Times New Roman"/>
          <w:b/>
          <w:bCs/>
          <w:color w:val="auto"/>
          <w:sz w:val="24"/>
          <w:highlight w:val="none"/>
          <w:lang w:val="en-US" w:eastAsia="zh-CN"/>
        </w:rPr>
      </w:pPr>
      <w:r>
        <w:rPr>
          <w:rFonts w:hint="eastAsia" w:ascii="宋体" w:hAnsi="宋体" w:cs="Times New Roman"/>
          <w:b/>
          <w:bCs/>
          <w:color w:val="auto"/>
          <w:sz w:val="24"/>
          <w:highlight w:val="none"/>
          <w:lang w:val="en-US" w:eastAsia="zh-CN"/>
        </w:rPr>
        <w:t>3、本项目磋商下浮率不得小于8%，小于8%的按无效标处理。</w:t>
      </w:r>
    </w:p>
    <w:p>
      <w:pPr>
        <w:numPr>
          <w:ilvl w:val="0"/>
          <w:numId w:val="0"/>
        </w:numPr>
        <w:spacing w:line="360" w:lineRule="auto"/>
        <w:ind w:firstLine="482" w:firstLineChars="200"/>
        <w:jc w:val="left"/>
        <w:rPr>
          <w:rFonts w:hint="default" w:ascii="宋体" w:hAnsi="宋体" w:eastAsia="宋体" w:cs="Times New Roman"/>
          <w:b/>
          <w:bCs/>
          <w:color w:val="auto"/>
          <w:sz w:val="24"/>
          <w:highlight w:val="none"/>
          <w:lang w:val="en-US" w:eastAsia="zh-CN"/>
        </w:rPr>
      </w:pPr>
      <w:r>
        <w:rPr>
          <w:rFonts w:hint="eastAsia" w:ascii="宋体" w:hAnsi="宋体" w:cs="Times New Roman"/>
          <w:b/>
          <w:bCs/>
          <w:color w:val="auto"/>
          <w:sz w:val="24"/>
          <w:highlight w:val="none"/>
          <w:lang w:val="en-US" w:eastAsia="zh-CN"/>
        </w:rPr>
        <w:t>4、</w:t>
      </w:r>
      <w:r>
        <w:rPr>
          <w:rFonts w:hint="eastAsia" w:ascii="宋体" w:hAnsi="宋体" w:eastAsia="宋体" w:cs="Times New Roman"/>
          <w:b/>
          <w:bCs/>
          <w:color w:val="auto"/>
          <w:sz w:val="24"/>
          <w:highlight w:val="none"/>
        </w:rPr>
        <w:t>磋商报价=</w:t>
      </w:r>
      <w:r>
        <w:rPr>
          <w:rFonts w:hint="eastAsia" w:ascii="宋体" w:hAnsi="宋体" w:cs="Times New Roman"/>
          <w:b/>
          <w:bCs/>
          <w:color w:val="auto"/>
          <w:sz w:val="24"/>
          <w:highlight w:val="none"/>
          <w:lang w:val="en-US" w:eastAsia="zh-CN"/>
        </w:rPr>
        <w:t xml:space="preserve"> 2446995.5</w:t>
      </w:r>
      <w:r>
        <w:rPr>
          <w:rFonts w:hint="eastAsia" w:ascii="宋体" w:hAnsi="宋体" w:cs="Times New Roman"/>
          <w:b/>
          <w:bCs/>
          <w:color w:val="auto"/>
          <w:sz w:val="24"/>
          <w:highlight w:val="none"/>
          <w:lang w:eastAsia="zh-CN"/>
        </w:rPr>
        <w:t>元</w:t>
      </w:r>
      <w:r>
        <w:rPr>
          <w:rFonts w:hint="eastAsia" w:ascii="宋体" w:hAnsi="宋体" w:eastAsia="宋体" w:cs="Times New Roman"/>
          <w:b/>
          <w:bCs/>
          <w:color w:val="auto"/>
          <w:sz w:val="24"/>
          <w:highlight w:val="none"/>
        </w:rPr>
        <w:t>*（1-让利下浮率）</w:t>
      </w:r>
      <w:r>
        <w:rPr>
          <w:rFonts w:hint="eastAsia" w:ascii="宋体" w:hAnsi="宋体" w:cs="Times New Roman"/>
          <w:b/>
          <w:bCs/>
          <w:color w:val="auto"/>
          <w:sz w:val="24"/>
          <w:highlight w:val="none"/>
          <w:lang w:val="en-US" w:eastAsia="zh-CN"/>
        </w:rPr>
        <w:t xml:space="preserve">。   </w:t>
      </w:r>
    </w:p>
    <w:p>
      <w:pPr>
        <w:spacing w:line="360" w:lineRule="auto"/>
        <w:ind w:firstLine="480" w:firstLineChars="200"/>
        <w:jc w:val="left"/>
        <w:rPr>
          <w:rFonts w:hint="eastAsia" w:ascii="宋体" w:hAnsi="宋体" w:eastAsia="宋体" w:cs="Times New Roman"/>
          <w:color w:val="auto"/>
          <w:kern w:val="2"/>
          <w:sz w:val="24"/>
          <w:szCs w:val="24"/>
          <w:highlight w:val="none"/>
          <w:lang w:val="en-US" w:eastAsia="zh-CN" w:bidi="ar-SA"/>
        </w:rPr>
      </w:pPr>
      <w:r>
        <w:rPr>
          <w:rFonts w:hint="eastAsia" w:ascii="宋体" w:hAnsi="宋体" w:cs="Times New Roman"/>
          <w:color w:val="auto"/>
          <w:kern w:val="2"/>
          <w:sz w:val="24"/>
          <w:szCs w:val="24"/>
          <w:highlight w:val="none"/>
          <w:lang w:val="en-US" w:eastAsia="zh-CN" w:bidi="ar-SA"/>
        </w:rPr>
        <w:t>5</w:t>
      </w:r>
      <w:r>
        <w:rPr>
          <w:rFonts w:hint="eastAsia" w:ascii="宋体" w:hAnsi="宋体" w:eastAsia="宋体" w:cs="Times New Roman"/>
          <w:color w:val="auto"/>
          <w:kern w:val="2"/>
          <w:sz w:val="24"/>
          <w:szCs w:val="24"/>
          <w:highlight w:val="none"/>
          <w:lang w:val="en-US" w:eastAsia="zh-CN" w:bidi="ar-SA"/>
        </w:rPr>
        <w:t>、本合同为固定总价合同，其合同总价已包含采购人确认的施工图、投标人投标报价所列内容及所涉及的各项风险费用，在完成本合同工程范围内内容只核减不核增。</w:t>
      </w:r>
    </w:p>
    <w:p>
      <w:pPr>
        <w:spacing w:line="360" w:lineRule="auto"/>
        <w:ind w:firstLine="480" w:firstLineChars="200"/>
        <w:jc w:val="left"/>
        <w:rPr>
          <w:rFonts w:ascii="宋体" w:hAnsi="宋体"/>
          <w:color w:val="auto"/>
          <w:sz w:val="24"/>
          <w:highlight w:val="none"/>
        </w:rPr>
      </w:pPr>
      <w:r>
        <w:rPr>
          <w:rFonts w:hint="eastAsia" w:ascii="宋体" w:hAnsi="宋体" w:cs="Times New Roman"/>
          <w:color w:val="auto"/>
          <w:kern w:val="2"/>
          <w:sz w:val="24"/>
          <w:szCs w:val="24"/>
          <w:highlight w:val="none"/>
          <w:lang w:val="en-US" w:eastAsia="zh-CN" w:bidi="ar-SA"/>
        </w:rPr>
        <w:t>6</w:t>
      </w:r>
      <w:r>
        <w:rPr>
          <w:rFonts w:hint="eastAsia" w:ascii="宋体" w:hAnsi="宋体" w:eastAsia="宋体" w:cs="Times New Roman"/>
          <w:color w:val="auto"/>
          <w:kern w:val="2"/>
          <w:sz w:val="24"/>
          <w:szCs w:val="24"/>
          <w:highlight w:val="none"/>
          <w:lang w:val="en-US" w:eastAsia="zh-CN" w:bidi="ar-SA"/>
        </w:rPr>
        <w:t>、磋商报价包括施工</w:t>
      </w:r>
      <w:r>
        <w:rPr>
          <w:rFonts w:hint="eastAsia" w:ascii="宋体" w:hAnsi="宋体"/>
          <w:color w:val="auto"/>
          <w:sz w:val="24"/>
          <w:highlight w:val="none"/>
        </w:rPr>
        <w:t>所需的施工费、材料费、供货、运输、装卸、安装调试、机械费、人工费、服务费、安全措施费等实施本项目相关的一切费用及税金。</w:t>
      </w:r>
    </w:p>
    <w:p>
      <w:pPr>
        <w:spacing w:line="360" w:lineRule="auto"/>
        <w:ind w:firstLine="480" w:firstLineChars="200"/>
        <w:jc w:val="left"/>
        <w:rPr>
          <w:rFonts w:ascii="宋体" w:hAnsi="宋体"/>
          <w:color w:val="auto"/>
          <w:sz w:val="24"/>
          <w:highlight w:val="none"/>
        </w:rPr>
      </w:pPr>
      <w:r>
        <w:rPr>
          <w:rFonts w:hint="eastAsia" w:ascii="宋体" w:hAnsi="宋体"/>
          <w:color w:val="auto"/>
          <w:sz w:val="24"/>
          <w:highlight w:val="none"/>
          <w:lang w:val="en-US" w:eastAsia="zh-CN"/>
        </w:rPr>
        <w:t>7</w:t>
      </w:r>
      <w:r>
        <w:rPr>
          <w:rFonts w:hint="eastAsia" w:ascii="宋体" w:hAnsi="宋体"/>
          <w:color w:val="auto"/>
          <w:sz w:val="24"/>
          <w:highlight w:val="none"/>
        </w:rPr>
        <w:t>、本表格式不允许修改，否则作无效标处理。</w:t>
      </w:r>
    </w:p>
    <w:p>
      <w:pPr>
        <w:snapToGrid w:val="0"/>
        <w:spacing w:line="360" w:lineRule="auto"/>
        <w:ind w:firstLine="480" w:firstLineChars="200"/>
        <w:jc w:val="left"/>
        <w:rPr>
          <w:rFonts w:ascii="宋体" w:hAnsi="宋体"/>
          <w:color w:val="auto"/>
          <w:sz w:val="24"/>
          <w:highlight w:val="none"/>
        </w:rPr>
      </w:pPr>
    </w:p>
    <w:p>
      <w:pPr>
        <w:snapToGrid w:val="0"/>
        <w:spacing w:line="360" w:lineRule="auto"/>
        <w:ind w:firstLine="480" w:firstLineChars="200"/>
        <w:jc w:val="left"/>
        <w:rPr>
          <w:rFonts w:ascii="宋体" w:hAnsi="宋体"/>
          <w:color w:val="auto"/>
          <w:sz w:val="24"/>
          <w:highlight w:val="none"/>
        </w:rPr>
      </w:pPr>
    </w:p>
    <w:p>
      <w:pPr>
        <w:snapToGrid w:val="0"/>
        <w:spacing w:before="50" w:after="50"/>
        <w:ind w:left="-2" w:leftChars="-1" w:right="-817" w:rightChars="-389" w:firstLine="360" w:firstLineChars="150"/>
        <w:rPr>
          <w:rFonts w:ascii="宋体" w:hAnsi="宋体"/>
          <w:color w:val="auto"/>
          <w:sz w:val="24"/>
          <w:highlight w:val="none"/>
        </w:rPr>
      </w:pPr>
      <w:r>
        <w:rPr>
          <w:rFonts w:hint="eastAsia" w:ascii="宋体" w:hAnsi="宋体"/>
          <w:color w:val="auto"/>
          <w:sz w:val="24"/>
          <w:highlight w:val="none"/>
        </w:rPr>
        <w:t>法定代表人或委托代理人（签字或盖章）：</w:t>
      </w:r>
    </w:p>
    <w:p>
      <w:pPr>
        <w:snapToGrid w:val="0"/>
        <w:spacing w:before="50" w:after="50"/>
        <w:ind w:left="-2" w:leftChars="-1" w:right="-817" w:rightChars="-389" w:firstLine="360" w:firstLineChars="150"/>
        <w:rPr>
          <w:rFonts w:ascii="宋体" w:hAnsi="宋体"/>
          <w:color w:val="auto"/>
          <w:sz w:val="24"/>
          <w:highlight w:val="none"/>
        </w:rPr>
      </w:pPr>
    </w:p>
    <w:p>
      <w:pPr>
        <w:snapToGrid w:val="0"/>
        <w:spacing w:before="50" w:after="50"/>
        <w:ind w:right="-817" w:rightChars="-389" w:firstLine="360" w:firstLineChars="150"/>
        <w:rPr>
          <w:rFonts w:ascii="宋体" w:hAnsi="宋体"/>
          <w:color w:val="auto"/>
          <w:sz w:val="24"/>
          <w:highlight w:val="none"/>
        </w:rPr>
      </w:pPr>
      <w:r>
        <w:rPr>
          <w:rFonts w:hint="eastAsia" w:ascii="宋体" w:hAnsi="宋体"/>
          <w:color w:val="auto"/>
          <w:sz w:val="24"/>
          <w:highlight w:val="none"/>
        </w:rPr>
        <w:t xml:space="preserve">供应商名称（盖章）：                                         </w:t>
      </w:r>
    </w:p>
    <w:p>
      <w:pPr>
        <w:snapToGrid w:val="0"/>
        <w:spacing w:before="50" w:after="50"/>
        <w:ind w:right="-817" w:rightChars="-389"/>
        <w:rPr>
          <w:rFonts w:ascii="宋体" w:hAnsi="宋体"/>
          <w:color w:val="auto"/>
          <w:sz w:val="24"/>
          <w:highlight w:val="none"/>
        </w:rPr>
      </w:pPr>
    </w:p>
    <w:p>
      <w:pPr>
        <w:spacing w:line="380" w:lineRule="exact"/>
        <w:ind w:firstLine="6240" w:firstLineChars="2600"/>
        <w:rPr>
          <w:rFonts w:ascii="宋体" w:hAnsi="宋体"/>
          <w:b/>
          <w:color w:val="auto"/>
          <w:sz w:val="24"/>
          <w:highlight w:val="none"/>
        </w:rPr>
      </w:pPr>
      <w:r>
        <w:rPr>
          <w:rFonts w:hint="eastAsia" w:ascii="宋体" w:hAnsi="宋体"/>
          <w:color w:val="auto"/>
          <w:sz w:val="24"/>
          <w:highlight w:val="none"/>
        </w:rPr>
        <w:t>日期：    年   月   日</w:t>
      </w:r>
    </w:p>
    <w:p>
      <w:pPr>
        <w:outlineLvl w:val="9"/>
        <w:rPr>
          <w:color w:val="auto"/>
          <w:sz w:val="24"/>
          <w:szCs w:val="24"/>
          <w:highlight w:val="none"/>
        </w:rPr>
      </w:pPr>
    </w:p>
    <w:p>
      <w:pPr>
        <w:outlineLvl w:val="9"/>
        <w:rPr>
          <w:color w:val="auto"/>
          <w:highlight w:val="none"/>
        </w:rPr>
      </w:pPr>
    </w:p>
    <w:bookmarkEnd w:id="91"/>
    <w:bookmarkEnd w:id="92"/>
    <w:bookmarkEnd w:id="93"/>
    <w:p>
      <w:pPr>
        <w:spacing w:before="260" w:after="260" w:line="360" w:lineRule="auto"/>
        <w:outlineLvl w:val="9"/>
        <w:rPr>
          <w:rFonts w:ascii="宋体" w:hAnsi="宋体"/>
          <w:bCs/>
          <w:color w:val="auto"/>
          <w:sz w:val="24"/>
          <w:highlight w:val="none"/>
        </w:rPr>
      </w:pPr>
      <w:bookmarkStart w:id="94" w:name="_Toc496599000"/>
    </w:p>
    <w:p>
      <w:pPr>
        <w:pageBreakBefore/>
        <w:spacing w:before="260" w:after="260" w:line="360" w:lineRule="auto"/>
        <w:outlineLvl w:val="1"/>
        <w:rPr>
          <w:rFonts w:ascii="宋体" w:hAnsi="宋体"/>
          <w:bCs/>
          <w:color w:val="auto"/>
          <w:sz w:val="24"/>
          <w:highlight w:val="none"/>
        </w:rPr>
      </w:pPr>
      <w:bookmarkStart w:id="95" w:name="_Toc25288"/>
      <w:r>
        <w:rPr>
          <w:rFonts w:hint="eastAsia" w:ascii="宋体" w:hAnsi="宋体"/>
          <w:bCs/>
          <w:color w:val="auto"/>
          <w:sz w:val="24"/>
          <w:highlight w:val="none"/>
        </w:rPr>
        <w:t>附件十</w:t>
      </w:r>
      <w:r>
        <w:rPr>
          <w:rFonts w:hint="eastAsia" w:ascii="宋体" w:hAnsi="宋体"/>
          <w:bCs/>
          <w:color w:val="auto"/>
          <w:sz w:val="24"/>
          <w:highlight w:val="none"/>
          <w:lang w:val="en-US" w:eastAsia="zh-CN"/>
        </w:rPr>
        <w:t>六</w:t>
      </w:r>
      <w:r>
        <w:rPr>
          <w:rFonts w:hint="eastAsia" w:ascii="宋体" w:hAnsi="宋体"/>
          <w:bCs/>
          <w:color w:val="auto"/>
          <w:sz w:val="24"/>
          <w:highlight w:val="none"/>
        </w:rPr>
        <w:t>：最终报价表</w:t>
      </w:r>
      <w:bookmarkEnd w:id="95"/>
    </w:p>
    <w:p>
      <w:pPr>
        <w:spacing w:line="360" w:lineRule="auto"/>
        <w:jc w:val="center"/>
        <w:rPr>
          <w:rFonts w:ascii="宋体" w:hAnsi="宋体"/>
          <w:b/>
          <w:color w:val="auto"/>
          <w:sz w:val="24"/>
          <w:highlight w:val="none"/>
        </w:rPr>
      </w:pPr>
      <w:r>
        <w:rPr>
          <w:rFonts w:hint="eastAsia" w:ascii="宋体" w:hAnsi="宋体"/>
          <w:b/>
          <w:color w:val="auto"/>
          <w:sz w:val="24"/>
          <w:highlight w:val="none"/>
        </w:rPr>
        <w:t>最终报价表</w:t>
      </w:r>
    </w:p>
    <w:p>
      <w:pPr>
        <w:spacing w:line="360" w:lineRule="auto"/>
        <w:rPr>
          <w:rFonts w:ascii="宋体" w:hAnsi="宋体"/>
          <w:b/>
          <w:color w:val="auto"/>
          <w:sz w:val="24"/>
          <w:highlight w:val="none"/>
        </w:rPr>
      </w:pPr>
      <w:r>
        <w:rPr>
          <w:rFonts w:hint="eastAsia" w:ascii="宋体" w:hAnsi="宋体"/>
          <w:b/>
          <w:color w:val="auto"/>
          <w:sz w:val="24"/>
          <w:highlight w:val="none"/>
        </w:rPr>
        <w:t xml:space="preserve">招标编号：                             </w:t>
      </w:r>
    </w:p>
    <w:p>
      <w:pPr>
        <w:spacing w:line="360" w:lineRule="auto"/>
        <w:rPr>
          <w:rFonts w:ascii="宋体" w:hAnsi="宋体"/>
          <w:b/>
          <w:color w:val="auto"/>
          <w:sz w:val="24"/>
          <w:highlight w:val="none"/>
        </w:rPr>
      </w:pPr>
      <w:r>
        <w:rPr>
          <w:rFonts w:hint="eastAsia" w:ascii="宋体" w:hAnsi="宋体"/>
          <w:b/>
          <w:color w:val="auto"/>
          <w:sz w:val="24"/>
          <w:highlight w:val="none"/>
        </w:rPr>
        <w:t>供应商名称：                                          单位：元</w:t>
      </w:r>
    </w:p>
    <w:tbl>
      <w:tblPr>
        <w:tblStyle w:val="40"/>
        <w:tblW w:w="9839"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156"/>
        <w:gridCol w:w="4668"/>
        <w:gridCol w:w="2152"/>
        <w:gridCol w:w="1863"/>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851" w:hRule="atLeast"/>
          <w:jc w:val="center"/>
        </w:trPr>
        <w:tc>
          <w:tcPr>
            <w:tcW w:w="1156" w:type="dxa"/>
            <w:tcBorders>
              <w:top w:val="single" w:color="auto" w:sz="4" w:space="0"/>
              <w:left w:val="single" w:color="auto" w:sz="4" w:space="0"/>
              <w:bottom w:val="single" w:color="auto" w:sz="4" w:space="0"/>
              <w:right w:val="single" w:color="auto" w:sz="4" w:space="0"/>
            </w:tcBorders>
            <w:vAlign w:val="center"/>
          </w:tcPr>
          <w:p>
            <w:pPr>
              <w:snapToGrid w:val="0"/>
              <w:spacing w:before="50" w:after="50"/>
              <w:jc w:val="center"/>
              <w:rPr>
                <w:rFonts w:hint="eastAsia" w:ascii="宋体" w:hAnsi="宋体" w:eastAsia="宋体" w:cs="宋体"/>
                <w:b/>
                <w:color w:val="auto"/>
                <w:sz w:val="24"/>
                <w:highlight w:val="none"/>
                <w:lang w:eastAsia="zh-CN"/>
              </w:rPr>
            </w:pPr>
            <w:r>
              <w:rPr>
                <w:rFonts w:hint="eastAsia" w:ascii="宋体" w:hAnsi="宋体" w:cs="宋体"/>
                <w:b/>
                <w:color w:val="auto"/>
                <w:sz w:val="24"/>
                <w:highlight w:val="none"/>
                <w:lang w:val="en-US" w:eastAsia="zh-CN"/>
              </w:rPr>
              <w:t>序号</w:t>
            </w:r>
          </w:p>
        </w:tc>
        <w:tc>
          <w:tcPr>
            <w:tcW w:w="4668" w:type="dxa"/>
            <w:tcBorders>
              <w:top w:val="single" w:color="auto" w:sz="4" w:space="0"/>
              <w:left w:val="single" w:color="auto" w:sz="4" w:space="0"/>
              <w:bottom w:val="single" w:color="auto" w:sz="4" w:space="0"/>
              <w:right w:val="single" w:color="auto" w:sz="4" w:space="0"/>
            </w:tcBorders>
            <w:vAlign w:val="center"/>
          </w:tcPr>
          <w:p>
            <w:pPr>
              <w:snapToGrid w:val="0"/>
              <w:spacing w:before="50" w:after="50"/>
              <w:jc w:val="center"/>
              <w:rPr>
                <w:rFonts w:ascii="宋体" w:hAnsi="宋体" w:cs="宋体"/>
                <w:b/>
                <w:color w:val="auto"/>
                <w:sz w:val="24"/>
                <w:highlight w:val="none"/>
              </w:rPr>
            </w:pPr>
            <w:r>
              <w:rPr>
                <w:rFonts w:hint="eastAsia" w:ascii="宋体" w:hAnsi="宋体" w:cs="宋体"/>
                <w:b/>
                <w:color w:val="auto"/>
                <w:sz w:val="24"/>
                <w:highlight w:val="none"/>
              </w:rPr>
              <w:t>采购内容</w:t>
            </w:r>
          </w:p>
        </w:tc>
        <w:tc>
          <w:tcPr>
            <w:tcW w:w="2152" w:type="dxa"/>
            <w:tcBorders>
              <w:top w:val="single" w:color="auto" w:sz="4" w:space="0"/>
              <w:left w:val="single" w:color="auto" w:sz="4" w:space="0"/>
              <w:bottom w:val="single" w:color="auto" w:sz="4" w:space="0"/>
              <w:right w:val="single" w:color="auto" w:sz="4" w:space="0"/>
            </w:tcBorders>
            <w:vAlign w:val="center"/>
          </w:tcPr>
          <w:p>
            <w:pPr>
              <w:snapToGrid w:val="0"/>
              <w:spacing w:before="50" w:after="50"/>
              <w:jc w:val="center"/>
              <w:rPr>
                <w:rFonts w:ascii="宋体" w:hAnsi="宋体" w:cs="宋体"/>
                <w:b/>
                <w:color w:val="auto"/>
                <w:sz w:val="24"/>
                <w:highlight w:val="none"/>
              </w:rPr>
            </w:pPr>
            <w:r>
              <w:rPr>
                <w:rFonts w:hint="eastAsia" w:ascii="宋体" w:hAnsi="宋体" w:cs="宋体"/>
                <w:b/>
                <w:bCs/>
                <w:color w:val="auto"/>
                <w:sz w:val="24"/>
                <w:highlight w:val="none"/>
              </w:rPr>
              <w:t>让利</w:t>
            </w:r>
            <w:r>
              <w:rPr>
                <w:rFonts w:ascii="宋体" w:hAnsi="宋体" w:cs="宋体"/>
                <w:b/>
                <w:color w:val="auto"/>
                <w:sz w:val="24"/>
                <w:highlight w:val="none"/>
              </w:rPr>
              <w:t>下浮率（%）</w:t>
            </w:r>
          </w:p>
        </w:tc>
        <w:tc>
          <w:tcPr>
            <w:tcW w:w="1863" w:type="dxa"/>
            <w:tcBorders>
              <w:top w:val="single" w:color="auto" w:sz="4" w:space="0"/>
              <w:left w:val="single" w:color="auto" w:sz="4" w:space="0"/>
              <w:bottom w:val="single" w:color="auto" w:sz="4" w:space="0"/>
              <w:right w:val="single" w:color="auto" w:sz="4" w:space="0"/>
            </w:tcBorders>
            <w:vAlign w:val="center"/>
          </w:tcPr>
          <w:p>
            <w:pPr>
              <w:snapToGrid w:val="0"/>
              <w:spacing w:before="50" w:after="50"/>
              <w:jc w:val="center"/>
              <w:rPr>
                <w:rFonts w:ascii="宋体" w:hAnsi="宋体" w:cs="宋体"/>
                <w:b/>
                <w:color w:val="auto"/>
                <w:sz w:val="24"/>
                <w:highlight w:val="none"/>
              </w:rPr>
            </w:pPr>
            <w:r>
              <w:rPr>
                <w:rFonts w:hint="eastAsia" w:ascii="宋体" w:hAnsi="宋体" w:cs="宋体"/>
                <w:b/>
                <w:bCs/>
                <w:color w:val="auto"/>
                <w:sz w:val="24"/>
                <w:highlight w:val="none"/>
              </w:rPr>
              <w:t>磋商报价（元）</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057" w:hRule="atLeast"/>
          <w:jc w:val="center"/>
        </w:trPr>
        <w:tc>
          <w:tcPr>
            <w:tcW w:w="1156" w:type="dxa"/>
            <w:tcBorders>
              <w:top w:val="single" w:color="auto" w:sz="4" w:space="0"/>
              <w:left w:val="single" w:color="auto" w:sz="4" w:space="0"/>
              <w:bottom w:val="single" w:color="auto" w:sz="4" w:space="0"/>
              <w:right w:val="single" w:color="auto" w:sz="4" w:space="0"/>
            </w:tcBorders>
            <w:vAlign w:val="center"/>
          </w:tcPr>
          <w:p>
            <w:pPr>
              <w:snapToGrid w:val="0"/>
              <w:spacing w:before="50" w:after="50"/>
              <w:jc w:val="center"/>
              <w:rPr>
                <w:rFonts w:hint="default" w:ascii="宋体" w:hAnsi="宋体" w:eastAsia="宋体" w:cs="宋体"/>
                <w:color w:val="auto"/>
                <w:sz w:val="24"/>
                <w:highlight w:val="none"/>
                <w:lang w:val="en-US" w:eastAsia="zh-CN"/>
              </w:rPr>
            </w:pPr>
            <w:r>
              <w:rPr>
                <w:rFonts w:hint="eastAsia" w:ascii="宋体" w:hAnsi="宋体" w:cs="宋体"/>
                <w:color w:val="auto"/>
                <w:sz w:val="24"/>
                <w:highlight w:val="none"/>
                <w:lang w:val="en-US" w:eastAsia="zh-CN"/>
              </w:rPr>
              <w:t>1</w:t>
            </w:r>
          </w:p>
        </w:tc>
        <w:tc>
          <w:tcPr>
            <w:tcW w:w="4668" w:type="dxa"/>
            <w:tcBorders>
              <w:top w:val="single" w:color="auto" w:sz="4" w:space="0"/>
              <w:left w:val="single" w:color="auto" w:sz="4" w:space="0"/>
              <w:bottom w:val="single" w:color="auto" w:sz="4" w:space="0"/>
              <w:right w:val="single" w:color="auto" w:sz="4" w:space="0"/>
            </w:tcBorders>
            <w:vAlign w:val="center"/>
          </w:tcPr>
          <w:p>
            <w:pPr>
              <w:snapToGrid w:val="0"/>
              <w:spacing w:before="50" w:after="50"/>
              <w:jc w:val="center"/>
              <w:rPr>
                <w:rFonts w:ascii="宋体" w:hAnsi="宋体" w:cs="宋体"/>
                <w:color w:val="auto"/>
                <w:sz w:val="24"/>
                <w:highlight w:val="none"/>
              </w:rPr>
            </w:pPr>
            <w:r>
              <w:rPr>
                <w:rFonts w:hint="eastAsia" w:ascii="宋体" w:hAnsi="宋体" w:cs="宋体"/>
                <w:color w:val="auto"/>
                <w:sz w:val="24"/>
                <w:highlight w:val="none"/>
              </w:rPr>
              <w:t>三单乡三单村一事一议财政奖补支持打造共富乡村试点项目软装工程</w:t>
            </w:r>
          </w:p>
        </w:tc>
        <w:tc>
          <w:tcPr>
            <w:tcW w:w="2152" w:type="dxa"/>
            <w:tcBorders>
              <w:top w:val="single" w:color="auto" w:sz="4" w:space="0"/>
              <w:left w:val="single" w:color="auto" w:sz="4" w:space="0"/>
              <w:bottom w:val="single" w:color="auto" w:sz="4" w:space="0"/>
              <w:right w:val="single" w:color="auto" w:sz="4" w:space="0"/>
            </w:tcBorders>
            <w:vAlign w:val="center"/>
          </w:tcPr>
          <w:p>
            <w:pPr>
              <w:snapToGrid w:val="0"/>
              <w:spacing w:before="50" w:after="50"/>
              <w:jc w:val="center"/>
              <w:rPr>
                <w:rFonts w:ascii="宋体" w:hAnsi="宋体" w:cs="宋体"/>
                <w:b/>
                <w:color w:val="auto"/>
                <w:sz w:val="24"/>
                <w:highlight w:val="none"/>
              </w:rPr>
            </w:pPr>
            <w:bookmarkStart w:id="110" w:name="_GoBack"/>
            <w:bookmarkEnd w:id="110"/>
          </w:p>
        </w:tc>
        <w:tc>
          <w:tcPr>
            <w:tcW w:w="1863" w:type="dxa"/>
            <w:tcBorders>
              <w:top w:val="single" w:color="auto" w:sz="4" w:space="0"/>
              <w:left w:val="single" w:color="auto" w:sz="4" w:space="0"/>
              <w:bottom w:val="single" w:color="auto" w:sz="4" w:space="0"/>
              <w:right w:val="single" w:color="auto" w:sz="4" w:space="0"/>
            </w:tcBorders>
            <w:vAlign w:val="center"/>
          </w:tcPr>
          <w:p>
            <w:pPr>
              <w:snapToGrid w:val="0"/>
              <w:spacing w:before="50" w:after="50"/>
              <w:jc w:val="cente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5" w:hRule="atLeast"/>
          <w:jc w:val="center"/>
        </w:trPr>
        <w:tc>
          <w:tcPr>
            <w:tcW w:w="9839" w:type="dxa"/>
            <w:gridSpan w:val="4"/>
            <w:tcBorders>
              <w:top w:val="single" w:color="auto" w:sz="4" w:space="0"/>
              <w:left w:val="single" w:color="auto" w:sz="4" w:space="0"/>
              <w:bottom w:val="single" w:color="auto" w:sz="4" w:space="0"/>
              <w:right w:val="single" w:color="auto" w:sz="4" w:space="0"/>
            </w:tcBorders>
            <w:vAlign w:val="center"/>
          </w:tcPr>
          <w:p>
            <w:pPr>
              <w:snapToGrid w:val="0"/>
              <w:spacing w:before="50" w:after="50"/>
              <w:rPr>
                <w:rFonts w:ascii="宋体" w:hAnsi="宋体" w:cs="宋体"/>
                <w:color w:val="auto"/>
                <w:sz w:val="24"/>
                <w:highlight w:val="none"/>
              </w:rPr>
            </w:pPr>
            <w:r>
              <w:rPr>
                <w:rFonts w:hint="eastAsia" w:ascii="宋体" w:hAnsi="宋体" w:cs="宋体"/>
                <w:color w:val="auto"/>
                <w:sz w:val="24"/>
                <w:highlight w:val="none"/>
              </w:rPr>
              <w:t>磋商报价大写（人民币）：</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 xml:space="preserve"> 小写：</w:t>
            </w:r>
            <w:r>
              <w:rPr>
                <w:rFonts w:hint="eastAsia" w:ascii="宋体" w:hAnsi="宋体" w:cs="宋体"/>
                <w:color w:val="auto"/>
                <w:sz w:val="24"/>
                <w:highlight w:val="none"/>
                <w:u w:val="single"/>
              </w:rPr>
              <w:t xml:space="preserve">                     </w:t>
            </w:r>
          </w:p>
        </w:tc>
      </w:tr>
    </w:tbl>
    <w:p>
      <w:pPr>
        <w:spacing w:line="360" w:lineRule="auto"/>
        <w:jc w:val="left"/>
        <w:rPr>
          <w:rFonts w:ascii="宋体" w:hAnsi="宋体"/>
          <w:color w:val="auto"/>
          <w:sz w:val="24"/>
          <w:highlight w:val="none"/>
        </w:rPr>
      </w:pPr>
    </w:p>
    <w:p>
      <w:pPr>
        <w:spacing w:line="360" w:lineRule="auto"/>
        <w:jc w:val="left"/>
        <w:rPr>
          <w:rFonts w:ascii="宋体" w:hAnsi="宋体"/>
          <w:color w:val="auto"/>
          <w:sz w:val="24"/>
          <w:highlight w:val="none"/>
        </w:rPr>
      </w:pPr>
      <w:r>
        <w:rPr>
          <w:rFonts w:ascii="宋体" w:hAnsi="宋体"/>
          <w:color w:val="auto"/>
          <w:sz w:val="24"/>
          <w:highlight w:val="none"/>
        </w:rPr>
        <w:t>注：</w:t>
      </w:r>
      <w:r>
        <w:rPr>
          <w:rFonts w:hint="eastAsia" w:ascii="宋体" w:hAnsi="宋体"/>
          <w:color w:val="auto"/>
          <w:sz w:val="24"/>
          <w:highlight w:val="none"/>
        </w:rPr>
        <w:t>▲1、磋商报价一栏必须填写，否则其磋商作无效标处理。</w:t>
      </w:r>
    </w:p>
    <w:p>
      <w:pPr>
        <w:spacing w:line="360" w:lineRule="auto"/>
        <w:ind w:firstLine="480" w:firstLineChars="200"/>
        <w:jc w:val="left"/>
        <w:rPr>
          <w:rFonts w:ascii="宋体" w:hAnsi="宋体"/>
          <w:color w:val="auto"/>
          <w:sz w:val="24"/>
          <w:highlight w:val="none"/>
        </w:rPr>
      </w:pPr>
      <w:r>
        <w:rPr>
          <w:rFonts w:hint="eastAsia" w:ascii="宋体" w:hAnsi="宋体"/>
          <w:color w:val="auto"/>
          <w:sz w:val="24"/>
          <w:highlight w:val="none"/>
        </w:rPr>
        <w:t>▲2、磋商报价一经涂改，应在涂改处加盖单位公章或者由法定代表人或授权委托人签字或盖章，否则其磋商作无效标处理</w:t>
      </w:r>
      <w:r>
        <w:rPr>
          <w:rFonts w:hint="eastAsia" w:ascii="宋体" w:hAnsi="宋体" w:cs="Arial"/>
          <w:bCs/>
          <w:color w:val="auto"/>
          <w:sz w:val="24"/>
          <w:highlight w:val="none"/>
        </w:rPr>
        <w:t>；</w:t>
      </w:r>
    </w:p>
    <w:p>
      <w:pPr>
        <w:numPr>
          <w:ilvl w:val="0"/>
          <w:numId w:val="0"/>
        </w:numPr>
        <w:spacing w:line="360" w:lineRule="auto"/>
        <w:ind w:firstLine="482" w:firstLineChars="200"/>
        <w:jc w:val="left"/>
        <w:rPr>
          <w:rFonts w:hint="eastAsia" w:ascii="宋体" w:hAnsi="宋体" w:cs="Times New Roman"/>
          <w:b/>
          <w:bCs/>
          <w:color w:val="auto"/>
          <w:sz w:val="24"/>
          <w:highlight w:val="none"/>
          <w:lang w:val="en-US" w:eastAsia="zh-CN"/>
        </w:rPr>
      </w:pPr>
      <w:r>
        <w:rPr>
          <w:rFonts w:hint="eastAsia" w:ascii="宋体" w:hAnsi="宋体" w:cs="Times New Roman"/>
          <w:b/>
          <w:bCs/>
          <w:color w:val="auto"/>
          <w:sz w:val="24"/>
          <w:highlight w:val="none"/>
          <w:lang w:val="en-US" w:eastAsia="zh-CN"/>
        </w:rPr>
        <w:t>3、本项目磋商下浮率不得小于8%，小于8%的按无效标处理。</w:t>
      </w:r>
    </w:p>
    <w:p>
      <w:pPr>
        <w:numPr>
          <w:ilvl w:val="0"/>
          <w:numId w:val="0"/>
        </w:numPr>
        <w:spacing w:line="360" w:lineRule="auto"/>
        <w:ind w:firstLine="482" w:firstLineChars="200"/>
        <w:jc w:val="left"/>
        <w:rPr>
          <w:rFonts w:hint="eastAsia" w:ascii="宋体" w:hAnsi="宋体" w:eastAsia="宋体" w:cs="Times New Roman"/>
          <w:b/>
          <w:bCs/>
          <w:color w:val="auto"/>
          <w:kern w:val="2"/>
          <w:sz w:val="24"/>
          <w:szCs w:val="24"/>
          <w:highlight w:val="none"/>
          <w:lang w:val="en-US" w:eastAsia="zh-CN" w:bidi="ar-SA"/>
        </w:rPr>
      </w:pPr>
      <w:r>
        <w:rPr>
          <w:rFonts w:hint="eastAsia" w:ascii="宋体" w:hAnsi="宋体" w:cs="Times New Roman"/>
          <w:b/>
          <w:bCs/>
          <w:color w:val="auto"/>
          <w:sz w:val="24"/>
          <w:highlight w:val="none"/>
          <w:lang w:val="en-US" w:eastAsia="zh-CN"/>
        </w:rPr>
        <w:t>4、</w:t>
      </w:r>
      <w:r>
        <w:rPr>
          <w:rFonts w:hint="eastAsia" w:ascii="宋体" w:hAnsi="宋体" w:eastAsia="宋体" w:cs="Times New Roman"/>
          <w:b/>
          <w:bCs/>
          <w:color w:val="auto"/>
          <w:sz w:val="24"/>
          <w:highlight w:val="none"/>
        </w:rPr>
        <w:t>磋商报价=</w:t>
      </w:r>
      <w:r>
        <w:rPr>
          <w:rFonts w:hint="eastAsia" w:ascii="宋体" w:hAnsi="宋体" w:cs="Times New Roman"/>
          <w:b/>
          <w:bCs/>
          <w:color w:val="auto"/>
          <w:sz w:val="24"/>
          <w:highlight w:val="none"/>
          <w:lang w:val="en-US" w:eastAsia="zh-CN"/>
        </w:rPr>
        <w:t xml:space="preserve"> 2446995.5 </w:t>
      </w:r>
      <w:r>
        <w:rPr>
          <w:rFonts w:hint="eastAsia" w:ascii="宋体" w:hAnsi="宋体" w:cs="Times New Roman"/>
          <w:b/>
          <w:bCs/>
          <w:color w:val="auto"/>
          <w:sz w:val="24"/>
          <w:highlight w:val="none"/>
          <w:lang w:eastAsia="zh-CN"/>
        </w:rPr>
        <w:t>元</w:t>
      </w:r>
      <w:r>
        <w:rPr>
          <w:rFonts w:hint="eastAsia" w:ascii="宋体" w:hAnsi="宋体" w:eastAsia="宋体" w:cs="Times New Roman"/>
          <w:b/>
          <w:bCs/>
          <w:color w:val="auto"/>
          <w:sz w:val="24"/>
          <w:highlight w:val="none"/>
        </w:rPr>
        <w:t>*（1-让利下浮率）</w:t>
      </w:r>
      <w:r>
        <w:rPr>
          <w:rFonts w:hint="eastAsia" w:ascii="宋体" w:hAnsi="宋体" w:cs="Times New Roman"/>
          <w:b/>
          <w:bCs/>
          <w:color w:val="auto"/>
          <w:sz w:val="24"/>
          <w:highlight w:val="none"/>
          <w:lang w:val="en-US" w:eastAsia="zh-CN"/>
        </w:rPr>
        <w:t xml:space="preserve">。   </w:t>
      </w:r>
    </w:p>
    <w:p>
      <w:pPr>
        <w:spacing w:line="360" w:lineRule="auto"/>
        <w:ind w:firstLine="480" w:firstLineChars="200"/>
        <w:jc w:val="left"/>
        <w:rPr>
          <w:rFonts w:hint="eastAsia" w:ascii="宋体" w:hAnsi="宋体" w:eastAsia="宋体" w:cs="Times New Roman"/>
          <w:color w:val="auto"/>
          <w:kern w:val="2"/>
          <w:sz w:val="24"/>
          <w:szCs w:val="24"/>
          <w:highlight w:val="none"/>
          <w:lang w:val="en-US" w:eastAsia="zh-CN" w:bidi="ar-SA"/>
        </w:rPr>
      </w:pPr>
      <w:r>
        <w:rPr>
          <w:rFonts w:hint="eastAsia" w:ascii="宋体" w:hAnsi="宋体" w:cs="Times New Roman"/>
          <w:color w:val="auto"/>
          <w:kern w:val="2"/>
          <w:sz w:val="24"/>
          <w:szCs w:val="24"/>
          <w:highlight w:val="none"/>
          <w:lang w:val="en-US" w:eastAsia="zh-CN" w:bidi="ar-SA"/>
        </w:rPr>
        <w:t>5</w:t>
      </w:r>
      <w:r>
        <w:rPr>
          <w:rFonts w:hint="eastAsia" w:ascii="宋体" w:hAnsi="宋体" w:eastAsia="宋体" w:cs="Times New Roman"/>
          <w:color w:val="auto"/>
          <w:kern w:val="2"/>
          <w:sz w:val="24"/>
          <w:szCs w:val="24"/>
          <w:highlight w:val="none"/>
          <w:lang w:val="en-US" w:eastAsia="zh-CN" w:bidi="ar-SA"/>
        </w:rPr>
        <w:t>、本合同为固定总价合同，其合同总价已包含采购人确认的施工图、投标人投标报价所列内容及所涉及的各项风险费用，在完成本合同工程范围内内容只核减不核增。</w:t>
      </w:r>
    </w:p>
    <w:p>
      <w:pPr>
        <w:spacing w:line="360" w:lineRule="auto"/>
        <w:ind w:firstLine="480" w:firstLineChars="200"/>
        <w:jc w:val="left"/>
        <w:rPr>
          <w:rFonts w:ascii="宋体" w:hAnsi="宋体"/>
          <w:color w:val="auto"/>
          <w:sz w:val="24"/>
          <w:highlight w:val="none"/>
        </w:rPr>
      </w:pPr>
      <w:r>
        <w:rPr>
          <w:rFonts w:hint="eastAsia" w:ascii="宋体" w:hAnsi="宋体" w:cs="Times New Roman"/>
          <w:color w:val="auto"/>
          <w:kern w:val="2"/>
          <w:sz w:val="24"/>
          <w:szCs w:val="24"/>
          <w:highlight w:val="none"/>
          <w:lang w:val="en-US" w:eastAsia="zh-CN" w:bidi="ar-SA"/>
        </w:rPr>
        <w:t>6</w:t>
      </w:r>
      <w:r>
        <w:rPr>
          <w:rFonts w:hint="eastAsia" w:ascii="宋体" w:hAnsi="宋体" w:eastAsia="宋体" w:cs="Times New Roman"/>
          <w:color w:val="auto"/>
          <w:kern w:val="2"/>
          <w:sz w:val="24"/>
          <w:szCs w:val="24"/>
          <w:highlight w:val="none"/>
          <w:lang w:val="en-US" w:eastAsia="zh-CN" w:bidi="ar-SA"/>
        </w:rPr>
        <w:t>、磋商报价包括施工</w:t>
      </w:r>
      <w:r>
        <w:rPr>
          <w:rFonts w:hint="eastAsia" w:ascii="宋体" w:hAnsi="宋体"/>
          <w:color w:val="auto"/>
          <w:sz w:val="24"/>
          <w:highlight w:val="none"/>
        </w:rPr>
        <w:t>所需的施工费、材料费、供货、运输、装卸、安装调试、机械费、人工费、服务费、安全措施费等实施本项目相关的一切费用及税金。</w:t>
      </w:r>
    </w:p>
    <w:p>
      <w:pPr>
        <w:spacing w:line="360" w:lineRule="auto"/>
        <w:ind w:firstLine="480" w:firstLineChars="200"/>
        <w:jc w:val="left"/>
        <w:rPr>
          <w:rFonts w:ascii="宋体" w:hAnsi="宋体"/>
          <w:color w:val="auto"/>
          <w:sz w:val="24"/>
          <w:highlight w:val="none"/>
        </w:rPr>
      </w:pPr>
      <w:r>
        <w:rPr>
          <w:rFonts w:hint="eastAsia" w:ascii="宋体" w:hAnsi="宋体"/>
          <w:color w:val="auto"/>
          <w:sz w:val="24"/>
          <w:highlight w:val="none"/>
          <w:lang w:val="en-US" w:eastAsia="zh-CN"/>
        </w:rPr>
        <w:t>7</w:t>
      </w:r>
      <w:r>
        <w:rPr>
          <w:rFonts w:hint="eastAsia" w:ascii="宋体" w:hAnsi="宋体"/>
          <w:color w:val="auto"/>
          <w:sz w:val="24"/>
          <w:highlight w:val="none"/>
        </w:rPr>
        <w:t>、本表格式不允许修改，否则作无效标处理。</w:t>
      </w:r>
    </w:p>
    <w:p>
      <w:pPr>
        <w:snapToGrid w:val="0"/>
        <w:spacing w:line="360" w:lineRule="auto"/>
        <w:ind w:firstLine="480" w:firstLineChars="200"/>
        <w:jc w:val="left"/>
        <w:rPr>
          <w:rFonts w:ascii="宋体" w:hAnsi="宋体"/>
          <w:color w:val="auto"/>
          <w:sz w:val="24"/>
          <w:highlight w:val="none"/>
        </w:rPr>
      </w:pPr>
    </w:p>
    <w:p>
      <w:pPr>
        <w:snapToGrid w:val="0"/>
        <w:spacing w:line="360" w:lineRule="auto"/>
        <w:ind w:firstLine="480" w:firstLineChars="200"/>
        <w:jc w:val="left"/>
        <w:rPr>
          <w:rFonts w:ascii="宋体" w:hAnsi="宋体"/>
          <w:color w:val="auto"/>
          <w:sz w:val="24"/>
          <w:highlight w:val="none"/>
        </w:rPr>
      </w:pPr>
    </w:p>
    <w:p>
      <w:pPr>
        <w:snapToGrid w:val="0"/>
        <w:spacing w:before="50" w:after="50"/>
        <w:ind w:left="-2" w:leftChars="-1" w:right="-817" w:rightChars="-389" w:firstLine="360" w:firstLineChars="150"/>
        <w:rPr>
          <w:rFonts w:ascii="宋体" w:hAnsi="宋体"/>
          <w:color w:val="auto"/>
          <w:sz w:val="24"/>
          <w:highlight w:val="none"/>
        </w:rPr>
      </w:pPr>
      <w:r>
        <w:rPr>
          <w:rFonts w:hint="eastAsia" w:ascii="宋体" w:hAnsi="宋体"/>
          <w:color w:val="auto"/>
          <w:sz w:val="24"/>
          <w:highlight w:val="none"/>
        </w:rPr>
        <w:t>法定代表人或委托代理人（签字或盖章）：</w:t>
      </w:r>
    </w:p>
    <w:p>
      <w:pPr>
        <w:snapToGrid w:val="0"/>
        <w:spacing w:before="50" w:after="50"/>
        <w:ind w:left="-2" w:leftChars="-1" w:right="-817" w:rightChars="-389" w:firstLine="360" w:firstLineChars="150"/>
        <w:rPr>
          <w:rFonts w:ascii="宋体" w:hAnsi="宋体"/>
          <w:color w:val="auto"/>
          <w:sz w:val="24"/>
          <w:highlight w:val="none"/>
        </w:rPr>
      </w:pPr>
    </w:p>
    <w:p>
      <w:pPr>
        <w:snapToGrid w:val="0"/>
        <w:spacing w:before="50" w:after="50"/>
        <w:ind w:right="-817" w:rightChars="-389" w:firstLine="360" w:firstLineChars="150"/>
        <w:rPr>
          <w:rFonts w:ascii="宋体" w:hAnsi="宋体"/>
          <w:color w:val="auto"/>
          <w:sz w:val="24"/>
          <w:highlight w:val="none"/>
        </w:rPr>
      </w:pPr>
      <w:r>
        <w:rPr>
          <w:rFonts w:hint="eastAsia" w:ascii="宋体" w:hAnsi="宋体"/>
          <w:color w:val="auto"/>
          <w:sz w:val="24"/>
          <w:highlight w:val="none"/>
        </w:rPr>
        <w:t xml:space="preserve">供应商名称（盖章）：                                         </w:t>
      </w:r>
    </w:p>
    <w:p>
      <w:pPr>
        <w:snapToGrid w:val="0"/>
        <w:spacing w:before="50" w:after="50"/>
        <w:ind w:right="-817" w:rightChars="-389"/>
        <w:rPr>
          <w:rFonts w:ascii="宋体" w:hAnsi="宋体"/>
          <w:color w:val="auto"/>
          <w:sz w:val="24"/>
          <w:highlight w:val="none"/>
        </w:rPr>
      </w:pPr>
    </w:p>
    <w:p>
      <w:pPr>
        <w:spacing w:line="380" w:lineRule="exact"/>
        <w:ind w:firstLine="6240" w:firstLineChars="2600"/>
        <w:rPr>
          <w:rFonts w:ascii="宋体" w:hAnsi="宋体"/>
          <w:b/>
          <w:color w:val="auto"/>
          <w:sz w:val="24"/>
          <w:highlight w:val="none"/>
        </w:rPr>
      </w:pPr>
      <w:r>
        <w:rPr>
          <w:rFonts w:hint="eastAsia" w:ascii="宋体" w:hAnsi="宋体"/>
          <w:color w:val="auto"/>
          <w:sz w:val="24"/>
          <w:highlight w:val="none"/>
        </w:rPr>
        <w:t>日期：    年   月   日</w:t>
      </w:r>
    </w:p>
    <w:p>
      <w:pPr>
        <w:outlineLvl w:val="9"/>
        <w:rPr>
          <w:color w:val="auto"/>
          <w:sz w:val="24"/>
          <w:szCs w:val="24"/>
          <w:highlight w:val="none"/>
        </w:rPr>
      </w:pPr>
    </w:p>
    <w:p>
      <w:pPr>
        <w:pageBreakBefore/>
        <w:spacing w:before="260" w:after="260" w:line="415" w:lineRule="auto"/>
        <w:outlineLvl w:val="1"/>
        <w:rPr>
          <w:rFonts w:ascii="宋体" w:hAnsi="宋体" w:cs="宋体"/>
          <w:bCs/>
          <w:color w:val="auto"/>
          <w:sz w:val="24"/>
          <w:highlight w:val="none"/>
        </w:rPr>
      </w:pPr>
      <w:bookmarkStart w:id="96" w:name="_Toc21391"/>
      <w:r>
        <w:rPr>
          <w:rFonts w:hint="eastAsia" w:ascii="宋体" w:hAnsi="宋体" w:cs="宋体"/>
          <w:bCs/>
          <w:color w:val="auto"/>
          <w:sz w:val="24"/>
          <w:highlight w:val="none"/>
        </w:rPr>
        <w:t>附件十</w:t>
      </w:r>
      <w:r>
        <w:rPr>
          <w:rFonts w:hint="eastAsia" w:ascii="宋体" w:hAnsi="宋体" w:cs="宋体"/>
          <w:bCs/>
          <w:color w:val="auto"/>
          <w:sz w:val="24"/>
          <w:highlight w:val="none"/>
          <w:lang w:val="en-US" w:eastAsia="zh-CN"/>
        </w:rPr>
        <w:t>七</w:t>
      </w:r>
      <w:r>
        <w:rPr>
          <w:rFonts w:hint="eastAsia" w:ascii="宋体" w:hAnsi="宋体" w:cs="宋体"/>
          <w:bCs/>
          <w:color w:val="auto"/>
          <w:sz w:val="24"/>
          <w:highlight w:val="none"/>
        </w:rPr>
        <w:t>：</w:t>
      </w:r>
      <w:bookmarkEnd w:id="94"/>
      <w:r>
        <w:rPr>
          <w:rFonts w:hint="eastAsia" w:ascii="宋体" w:hAnsi="宋体" w:cs="宋体"/>
          <w:bCs/>
          <w:color w:val="auto"/>
          <w:sz w:val="24"/>
          <w:highlight w:val="none"/>
        </w:rPr>
        <w:t>中小企业声明函（工程、服务）</w:t>
      </w:r>
      <w:bookmarkEnd w:id="96"/>
    </w:p>
    <w:p>
      <w:pPr>
        <w:spacing w:line="480" w:lineRule="auto"/>
        <w:jc w:val="center"/>
        <w:rPr>
          <w:rFonts w:ascii="宋体" w:hAnsi="宋体" w:cs="宋体"/>
          <w:b/>
          <w:bCs/>
          <w:color w:val="auto"/>
          <w:sz w:val="40"/>
          <w:szCs w:val="40"/>
          <w:highlight w:val="none"/>
        </w:rPr>
      </w:pPr>
      <w:r>
        <w:rPr>
          <w:rFonts w:hint="eastAsia" w:ascii="宋体" w:hAnsi="宋体" w:cs="宋体"/>
          <w:b/>
          <w:bCs/>
          <w:color w:val="auto"/>
          <w:sz w:val="40"/>
          <w:szCs w:val="40"/>
          <w:highlight w:val="none"/>
        </w:rPr>
        <w:t>中小企业声明函（工程、服务）</w:t>
      </w:r>
    </w:p>
    <w:p>
      <w:pPr>
        <w:jc w:val="center"/>
        <w:rPr>
          <w:rFonts w:ascii="宋体" w:hAnsi="宋体" w:cs="宋体"/>
          <w:color w:val="auto"/>
          <w:sz w:val="24"/>
          <w:highlight w:val="none"/>
        </w:rPr>
      </w:pPr>
    </w:p>
    <w:p>
      <w:pPr>
        <w:spacing w:line="360" w:lineRule="auto"/>
        <w:ind w:firstLine="480" w:firstLineChars="200"/>
        <w:rPr>
          <w:rFonts w:ascii="宋体" w:hAnsi="宋体" w:cs="宋体"/>
          <w:color w:val="auto"/>
          <w:sz w:val="24"/>
          <w:highlight w:val="none"/>
        </w:rPr>
      </w:pPr>
      <w:bookmarkStart w:id="97" w:name="_Toc496599001"/>
      <w:r>
        <w:rPr>
          <w:rFonts w:hint="eastAsia" w:ascii="宋体" w:hAnsi="宋体" w:cs="宋体"/>
          <w:color w:val="auto"/>
          <w:sz w:val="24"/>
          <w:highlight w:val="none"/>
        </w:rPr>
        <w:t>本公司（联合体）郑重声明，根据《政府采购促进中小企业发展管理办法》（财库﹝2020﹞46 号）的规定，本公司（联合体）参加</w:t>
      </w:r>
      <w:r>
        <w:rPr>
          <w:rFonts w:hint="eastAsia" w:ascii="宋体" w:hAnsi="宋体" w:cs="宋体"/>
          <w:color w:val="auto"/>
          <w:sz w:val="24"/>
          <w:highlight w:val="none"/>
          <w:u w:val="single"/>
        </w:rPr>
        <w:t xml:space="preserve">  （单位名称）  </w:t>
      </w:r>
      <w:r>
        <w:rPr>
          <w:rFonts w:hint="eastAsia" w:ascii="宋体" w:hAnsi="宋体" w:cs="宋体"/>
          <w:color w:val="auto"/>
          <w:sz w:val="24"/>
          <w:highlight w:val="none"/>
        </w:rPr>
        <w:t>的</w:t>
      </w:r>
      <w:r>
        <w:rPr>
          <w:rFonts w:hint="eastAsia" w:ascii="宋体" w:hAnsi="宋体" w:cs="宋体"/>
          <w:color w:val="auto"/>
          <w:sz w:val="24"/>
          <w:highlight w:val="none"/>
          <w:u w:val="single"/>
        </w:rPr>
        <w:t xml:space="preserve">  （项目名称）  </w:t>
      </w:r>
      <w:r>
        <w:rPr>
          <w:rFonts w:hint="eastAsia" w:ascii="宋体" w:hAnsi="宋体" w:cs="宋体"/>
          <w:color w:val="auto"/>
          <w:sz w:val="24"/>
          <w:highlight w:val="none"/>
        </w:rPr>
        <w:t>采购活动，工程的施工单位全部为符合政策要求的中小企业（或者：服务全部由符合政策要求的中小企业承接）。相关企业（含联合 体中的中小企业、签订分包意向协议的中小企业）的具体情况如下：</w:t>
      </w:r>
    </w:p>
    <w:p>
      <w:pPr>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highlight w:val="none"/>
        </w:rPr>
        <w:t>1、</w:t>
      </w:r>
      <w:r>
        <w:rPr>
          <w:rFonts w:hint="eastAsia" w:ascii="宋体" w:hAnsi="宋体" w:cs="宋体"/>
          <w:color w:val="auto"/>
          <w:sz w:val="24"/>
          <w:highlight w:val="none"/>
          <w:u w:val="single"/>
        </w:rPr>
        <w:t xml:space="preserve">  （标的名称）  </w:t>
      </w:r>
      <w:r>
        <w:rPr>
          <w:rFonts w:hint="eastAsia" w:ascii="宋体" w:hAnsi="宋体" w:cs="宋体"/>
          <w:color w:val="auto"/>
          <w:sz w:val="24"/>
          <w:highlight w:val="none"/>
        </w:rPr>
        <w:t>，属于</w:t>
      </w:r>
      <w:r>
        <w:rPr>
          <w:rFonts w:ascii="宋体" w:hAnsi="宋体" w:cs="宋体"/>
          <w:color w:val="auto"/>
          <w:sz w:val="24"/>
          <w:highlight w:val="none"/>
          <w:u w:val="single"/>
        </w:rPr>
        <w:t>建筑业</w:t>
      </w:r>
      <w:r>
        <w:rPr>
          <w:rFonts w:hint="eastAsia" w:ascii="宋体" w:hAnsi="宋体" w:cs="宋体"/>
          <w:color w:val="auto"/>
          <w:sz w:val="24"/>
          <w:highlight w:val="none"/>
        </w:rPr>
        <w:t>；承建（承接）企业为</w:t>
      </w:r>
      <w:r>
        <w:rPr>
          <w:rFonts w:hint="eastAsia" w:ascii="宋体" w:hAnsi="宋体" w:cs="宋体"/>
          <w:color w:val="auto"/>
          <w:sz w:val="24"/>
          <w:highlight w:val="none"/>
          <w:u w:val="single"/>
        </w:rPr>
        <w:t xml:space="preserve">  （企业名称）  </w:t>
      </w:r>
      <w:r>
        <w:rPr>
          <w:rFonts w:hint="eastAsia" w:ascii="宋体" w:hAnsi="宋体" w:cs="宋体"/>
          <w:color w:val="auto"/>
          <w:sz w:val="24"/>
          <w:highlight w:val="none"/>
        </w:rPr>
        <w:t>，从业人员</w:t>
      </w:r>
      <w:r>
        <w:rPr>
          <w:rFonts w:hint="eastAsia" w:ascii="宋体" w:hAnsi="宋体" w:cs="宋体"/>
          <w:color w:val="auto"/>
          <w:sz w:val="24"/>
          <w:highlight w:val="none"/>
          <w:u w:val="single"/>
        </w:rPr>
        <w:t xml:space="preserve">   </w:t>
      </w:r>
      <w:r>
        <w:rPr>
          <w:rFonts w:hint="eastAsia" w:ascii="宋体" w:hAnsi="宋体" w:cs="宋体"/>
          <w:color w:val="auto"/>
          <w:sz w:val="24"/>
          <w:highlight w:val="none"/>
          <w:u w:val="single"/>
        </w:rPr>
        <w:tab/>
      </w:r>
      <w:r>
        <w:rPr>
          <w:rFonts w:hint="eastAsia" w:ascii="宋体" w:hAnsi="宋体" w:cs="宋体"/>
          <w:color w:val="auto"/>
          <w:sz w:val="24"/>
          <w:highlight w:val="none"/>
        </w:rPr>
        <w:t>人，营业收入为</w:t>
      </w:r>
      <w:r>
        <w:rPr>
          <w:rFonts w:hint="eastAsia" w:ascii="宋体" w:hAnsi="宋体" w:cs="宋体"/>
          <w:color w:val="auto"/>
          <w:sz w:val="24"/>
          <w:highlight w:val="none"/>
          <w:u w:val="single"/>
        </w:rPr>
        <w:t xml:space="preserve">   </w:t>
      </w:r>
      <w:r>
        <w:rPr>
          <w:rFonts w:hint="eastAsia" w:ascii="宋体" w:hAnsi="宋体" w:cs="宋体"/>
          <w:color w:val="auto"/>
          <w:sz w:val="24"/>
          <w:highlight w:val="none"/>
          <w:u w:val="single"/>
        </w:rPr>
        <w:tab/>
      </w:r>
      <w:r>
        <w:rPr>
          <w:rFonts w:hint="eastAsia" w:ascii="宋体" w:hAnsi="宋体" w:cs="宋体"/>
          <w:color w:val="auto"/>
          <w:sz w:val="24"/>
          <w:highlight w:val="none"/>
        </w:rPr>
        <w:t>万元，资产总额为</w:t>
      </w:r>
      <w:r>
        <w:rPr>
          <w:rFonts w:hint="eastAsia" w:ascii="宋体" w:hAnsi="宋体" w:cs="宋体"/>
          <w:color w:val="auto"/>
          <w:sz w:val="24"/>
          <w:highlight w:val="none"/>
          <w:u w:val="single"/>
        </w:rPr>
        <w:t xml:space="preserve">   </w:t>
      </w:r>
      <w:r>
        <w:rPr>
          <w:rFonts w:hint="eastAsia" w:ascii="宋体" w:hAnsi="宋体" w:cs="宋体"/>
          <w:color w:val="auto"/>
          <w:sz w:val="24"/>
          <w:highlight w:val="none"/>
          <w:u w:val="single"/>
        </w:rPr>
        <w:tab/>
      </w:r>
      <w:r>
        <w:rPr>
          <w:rFonts w:hint="eastAsia" w:ascii="宋体" w:hAnsi="宋体" w:cs="宋体"/>
          <w:color w:val="auto"/>
          <w:sz w:val="24"/>
          <w:highlight w:val="none"/>
        </w:rPr>
        <w:t>万元，</w:t>
      </w:r>
      <w:r>
        <w:rPr>
          <w:rFonts w:hint="eastAsia" w:ascii="宋体" w:hAnsi="宋体" w:cs="宋体"/>
          <w:b/>
          <w:bCs/>
          <w:color w:val="auto"/>
          <w:sz w:val="24"/>
          <w:szCs w:val="32"/>
          <w:highlight w:val="none"/>
        </w:rPr>
        <w:t>属于</w:t>
      </w:r>
      <w:r>
        <w:rPr>
          <w:rFonts w:hint="eastAsia" w:ascii="宋体" w:hAnsi="宋体" w:cs="宋体"/>
          <w:b/>
          <w:bCs/>
          <w:color w:val="auto"/>
          <w:sz w:val="24"/>
          <w:szCs w:val="32"/>
          <w:highlight w:val="none"/>
          <w:u w:val="single"/>
        </w:rPr>
        <w:t xml:space="preserve">         </w:t>
      </w:r>
      <w:r>
        <w:rPr>
          <w:rFonts w:hint="eastAsia" w:ascii="宋体" w:hAnsi="宋体" w:cs="宋体"/>
          <w:b/>
          <w:bCs/>
          <w:color w:val="auto"/>
          <w:sz w:val="24"/>
          <w:szCs w:val="32"/>
          <w:highlight w:val="none"/>
        </w:rPr>
        <w:t>企业</w:t>
      </w:r>
      <w:r>
        <w:rPr>
          <w:rFonts w:hint="eastAsia" w:ascii="宋体" w:hAnsi="宋体" w:cs="宋体"/>
          <w:color w:val="auto"/>
          <w:sz w:val="24"/>
          <w:szCs w:val="32"/>
          <w:highlight w:val="none"/>
        </w:rPr>
        <w:t>（请填写中型企业或小型企业或微型企业）；</w:t>
      </w:r>
    </w:p>
    <w:p>
      <w:pPr>
        <w:spacing w:line="360" w:lineRule="auto"/>
        <w:ind w:firstLine="480" w:firstLineChars="200"/>
        <w:rPr>
          <w:rFonts w:ascii="宋体" w:hAnsi="宋体" w:cs="宋体"/>
          <w:color w:val="auto"/>
          <w:sz w:val="24"/>
          <w:szCs w:val="32"/>
          <w:highlight w:val="none"/>
        </w:rPr>
      </w:pPr>
      <w:r>
        <w:rPr>
          <w:rFonts w:hint="eastAsia" w:ascii="宋体" w:hAnsi="宋体" w:cs="宋体"/>
          <w:color w:val="auto"/>
          <w:sz w:val="24"/>
          <w:highlight w:val="none"/>
        </w:rPr>
        <w:t>2、</w:t>
      </w:r>
      <w:r>
        <w:rPr>
          <w:rFonts w:hint="eastAsia" w:ascii="宋体" w:hAnsi="宋体" w:cs="宋体"/>
          <w:color w:val="auto"/>
          <w:sz w:val="24"/>
          <w:highlight w:val="none"/>
          <w:u w:val="single"/>
        </w:rPr>
        <w:t xml:space="preserve">  （标的名称）  </w:t>
      </w:r>
      <w:r>
        <w:rPr>
          <w:rFonts w:hint="eastAsia" w:ascii="宋体" w:hAnsi="宋体" w:cs="宋体"/>
          <w:color w:val="auto"/>
          <w:sz w:val="24"/>
          <w:highlight w:val="none"/>
        </w:rPr>
        <w:t>，属于</w:t>
      </w:r>
      <w:r>
        <w:rPr>
          <w:rFonts w:ascii="宋体" w:hAnsi="宋体" w:cs="宋体"/>
          <w:color w:val="auto"/>
          <w:sz w:val="24"/>
          <w:highlight w:val="none"/>
          <w:u w:val="single"/>
        </w:rPr>
        <w:t>建筑业</w:t>
      </w:r>
      <w:r>
        <w:rPr>
          <w:rFonts w:hint="eastAsia" w:ascii="宋体" w:hAnsi="宋体" w:cs="宋体"/>
          <w:color w:val="auto"/>
          <w:sz w:val="24"/>
          <w:highlight w:val="none"/>
        </w:rPr>
        <w:t>；承建（承接）企业为</w:t>
      </w:r>
      <w:r>
        <w:rPr>
          <w:rFonts w:hint="eastAsia" w:ascii="宋体" w:hAnsi="宋体" w:cs="宋体"/>
          <w:color w:val="auto"/>
          <w:sz w:val="24"/>
          <w:highlight w:val="none"/>
          <w:u w:val="single"/>
        </w:rPr>
        <w:t xml:space="preserve">  （企业名称）  </w:t>
      </w:r>
      <w:r>
        <w:rPr>
          <w:rFonts w:hint="eastAsia" w:ascii="宋体" w:hAnsi="宋体" w:cs="宋体"/>
          <w:color w:val="auto"/>
          <w:sz w:val="24"/>
          <w:highlight w:val="none"/>
        </w:rPr>
        <w:t>，从业人员</w:t>
      </w:r>
      <w:r>
        <w:rPr>
          <w:rFonts w:hint="eastAsia" w:ascii="宋体" w:hAnsi="宋体" w:cs="宋体"/>
          <w:color w:val="auto"/>
          <w:sz w:val="24"/>
          <w:highlight w:val="none"/>
          <w:u w:val="single"/>
        </w:rPr>
        <w:t xml:space="preserve">   </w:t>
      </w:r>
      <w:r>
        <w:rPr>
          <w:rFonts w:hint="eastAsia" w:ascii="宋体" w:hAnsi="宋体" w:cs="宋体"/>
          <w:color w:val="auto"/>
          <w:sz w:val="24"/>
          <w:highlight w:val="none"/>
          <w:u w:val="single"/>
        </w:rPr>
        <w:tab/>
      </w:r>
      <w:r>
        <w:rPr>
          <w:rFonts w:hint="eastAsia" w:ascii="宋体" w:hAnsi="宋体" w:cs="宋体"/>
          <w:color w:val="auto"/>
          <w:sz w:val="24"/>
          <w:highlight w:val="none"/>
        </w:rPr>
        <w:t>人，营业收入为</w:t>
      </w:r>
      <w:r>
        <w:rPr>
          <w:rFonts w:hint="eastAsia" w:ascii="宋体" w:hAnsi="宋体" w:cs="宋体"/>
          <w:color w:val="auto"/>
          <w:sz w:val="24"/>
          <w:highlight w:val="none"/>
          <w:u w:val="single"/>
        </w:rPr>
        <w:t xml:space="preserve">   </w:t>
      </w:r>
      <w:r>
        <w:rPr>
          <w:rFonts w:hint="eastAsia" w:ascii="宋体" w:hAnsi="宋体" w:cs="宋体"/>
          <w:color w:val="auto"/>
          <w:sz w:val="24"/>
          <w:highlight w:val="none"/>
          <w:u w:val="single"/>
        </w:rPr>
        <w:tab/>
      </w:r>
      <w:r>
        <w:rPr>
          <w:rFonts w:hint="eastAsia" w:ascii="宋体" w:hAnsi="宋体" w:cs="宋体"/>
          <w:color w:val="auto"/>
          <w:sz w:val="24"/>
          <w:highlight w:val="none"/>
        </w:rPr>
        <w:t>万元，资产总额为</w:t>
      </w:r>
      <w:r>
        <w:rPr>
          <w:rFonts w:hint="eastAsia" w:ascii="宋体" w:hAnsi="宋体" w:cs="宋体"/>
          <w:color w:val="auto"/>
          <w:sz w:val="24"/>
          <w:highlight w:val="none"/>
          <w:u w:val="single"/>
        </w:rPr>
        <w:t xml:space="preserve">   </w:t>
      </w:r>
      <w:r>
        <w:rPr>
          <w:rFonts w:hint="eastAsia" w:ascii="宋体" w:hAnsi="宋体" w:cs="宋体"/>
          <w:color w:val="auto"/>
          <w:sz w:val="24"/>
          <w:highlight w:val="none"/>
          <w:u w:val="single"/>
        </w:rPr>
        <w:tab/>
      </w:r>
      <w:r>
        <w:rPr>
          <w:rFonts w:hint="eastAsia" w:ascii="宋体" w:hAnsi="宋体" w:cs="宋体"/>
          <w:color w:val="auto"/>
          <w:sz w:val="24"/>
          <w:highlight w:val="none"/>
        </w:rPr>
        <w:t>万元，</w:t>
      </w:r>
      <w:r>
        <w:rPr>
          <w:rFonts w:hint="eastAsia" w:ascii="宋体" w:hAnsi="宋体" w:cs="宋体"/>
          <w:b/>
          <w:bCs/>
          <w:color w:val="auto"/>
          <w:sz w:val="24"/>
          <w:szCs w:val="32"/>
          <w:highlight w:val="none"/>
        </w:rPr>
        <w:t>属于</w:t>
      </w:r>
      <w:r>
        <w:rPr>
          <w:rFonts w:hint="eastAsia" w:ascii="宋体" w:hAnsi="宋体" w:cs="宋体"/>
          <w:b/>
          <w:bCs/>
          <w:color w:val="auto"/>
          <w:sz w:val="24"/>
          <w:szCs w:val="32"/>
          <w:highlight w:val="none"/>
          <w:u w:val="single"/>
        </w:rPr>
        <w:t xml:space="preserve">         </w:t>
      </w:r>
      <w:r>
        <w:rPr>
          <w:rFonts w:hint="eastAsia" w:ascii="宋体" w:hAnsi="宋体" w:cs="宋体"/>
          <w:b/>
          <w:bCs/>
          <w:color w:val="auto"/>
          <w:sz w:val="24"/>
          <w:szCs w:val="32"/>
          <w:highlight w:val="none"/>
        </w:rPr>
        <w:t>企业</w:t>
      </w:r>
      <w:r>
        <w:rPr>
          <w:rFonts w:hint="eastAsia" w:ascii="宋体" w:hAnsi="宋体" w:cs="宋体"/>
          <w:color w:val="auto"/>
          <w:sz w:val="24"/>
          <w:szCs w:val="32"/>
          <w:highlight w:val="none"/>
        </w:rPr>
        <w:t>（请填写中型企业或小型企业或微型企业）；</w:t>
      </w:r>
    </w:p>
    <w:p>
      <w:pPr>
        <w:spacing w:line="360" w:lineRule="auto"/>
        <w:rPr>
          <w:rFonts w:ascii="宋体" w:hAnsi="宋体" w:cs="宋体"/>
          <w:color w:val="auto"/>
          <w:sz w:val="24"/>
          <w:highlight w:val="none"/>
        </w:rPr>
      </w:pPr>
      <w:r>
        <w:rPr>
          <w:rFonts w:hint="eastAsia" w:ascii="宋体" w:hAnsi="宋体" w:cs="宋体"/>
          <w:color w:val="auto"/>
          <w:sz w:val="24"/>
          <w:highlight w:val="none"/>
        </w:rPr>
        <w:t>……</w:t>
      </w:r>
    </w:p>
    <w:p>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以上企业，不属于大企业的分支机构，不存在控股股东为大企业的情形，也不存在与大企业的负责人为同一人的情形。</w:t>
      </w:r>
    </w:p>
    <w:p>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本企业对上述声明内容的真实性负责。如有虚假，将依法承担相应责任。</w:t>
      </w:r>
    </w:p>
    <w:p>
      <w:pPr>
        <w:spacing w:line="360" w:lineRule="auto"/>
        <w:rPr>
          <w:rFonts w:ascii="宋体" w:hAnsi="宋体" w:cs="宋体"/>
          <w:color w:val="auto"/>
          <w:sz w:val="24"/>
          <w:highlight w:val="none"/>
        </w:rPr>
      </w:pPr>
    </w:p>
    <w:p>
      <w:pPr>
        <w:spacing w:line="360" w:lineRule="auto"/>
        <w:rPr>
          <w:rFonts w:ascii="宋体" w:hAnsi="宋体" w:cs="宋体"/>
          <w:color w:val="auto"/>
          <w:sz w:val="24"/>
          <w:highlight w:val="none"/>
        </w:rPr>
      </w:pPr>
    </w:p>
    <w:p>
      <w:pPr>
        <w:spacing w:line="360" w:lineRule="auto"/>
        <w:ind w:firstLine="5280" w:firstLineChars="2200"/>
        <w:rPr>
          <w:rFonts w:ascii="宋体" w:hAnsi="宋体" w:cs="宋体"/>
          <w:color w:val="auto"/>
          <w:sz w:val="24"/>
          <w:highlight w:val="none"/>
        </w:rPr>
      </w:pPr>
      <w:r>
        <w:rPr>
          <w:rFonts w:hint="eastAsia" w:ascii="宋体" w:hAnsi="宋体" w:cs="宋体"/>
          <w:color w:val="auto"/>
          <w:sz w:val="24"/>
          <w:highlight w:val="none"/>
        </w:rPr>
        <w:t>企业名称（盖章）：</w:t>
      </w:r>
    </w:p>
    <w:p>
      <w:pPr>
        <w:spacing w:line="360" w:lineRule="auto"/>
        <w:ind w:firstLine="5280" w:firstLineChars="2200"/>
        <w:rPr>
          <w:rFonts w:ascii="宋体" w:hAnsi="宋体" w:cs="宋体"/>
          <w:color w:val="auto"/>
          <w:sz w:val="24"/>
          <w:highlight w:val="none"/>
        </w:rPr>
      </w:pPr>
      <w:r>
        <w:rPr>
          <w:rFonts w:hint="eastAsia" w:ascii="宋体" w:hAnsi="宋体" w:cs="宋体"/>
          <w:color w:val="auto"/>
          <w:sz w:val="24"/>
          <w:highlight w:val="none"/>
        </w:rPr>
        <w:t>日期：</w:t>
      </w:r>
    </w:p>
    <w:p>
      <w:pPr>
        <w:spacing w:line="360" w:lineRule="auto"/>
        <w:rPr>
          <w:rFonts w:ascii="宋体" w:hAnsi="宋体" w:cs="宋体"/>
          <w:color w:val="auto"/>
          <w:sz w:val="24"/>
          <w:highlight w:val="none"/>
        </w:rPr>
      </w:pPr>
    </w:p>
    <w:p>
      <w:pPr>
        <w:spacing w:line="360" w:lineRule="auto"/>
        <w:rPr>
          <w:rFonts w:ascii="宋体" w:hAnsi="宋体" w:cs="宋体"/>
          <w:color w:val="auto"/>
          <w:sz w:val="24"/>
          <w:highlight w:val="none"/>
        </w:rPr>
      </w:pPr>
      <w:r>
        <w:rPr>
          <w:rFonts w:ascii="宋体" w:hAnsi="宋体" w:cs="宋体"/>
          <w:color w:val="auto"/>
          <w:sz w:val="24"/>
          <w:highlight w:val="none"/>
        </w:rPr>
        <mc:AlternateContent>
          <mc:Choice Requires="wps">
            <w:drawing>
              <wp:anchor distT="0" distB="0" distL="114300" distR="114300" simplePos="0" relativeHeight="251659264" behindDoc="1" locked="0" layoutInCell="1" allowOverlap="1">
                <wp:simplePos x="0" y="0"/>
                <wp:positionH relativeFrom="page">
                  <wp:posOffset>1143000</wp:posOffset>
                </wp:positionH>
                <wp:positionV relativeFrom="paragraph">
                  <wp:posOffset>111125</wp:posOffset>
                </wp:positionV>
                <wp:extent cx="1828800" cy="0"/>
                <wp:effectExtent l="0" t="0" r="0" b="0"/>
                <wp:wrapTopAndBottom/>
                <wp:docPr id="1" name="直线 6"/>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0" cmpd="sng">
                          <a:solidFill>
                            <a:srgbClr val="000000"/>
                          </a:solidFill>
                          <a:round/>
                        </a:ln>
                        <a:effectLst/>
                      </wps:spPr>
                      <wps:bodyPr/>
                    </wps:wsp>
                  </a:graphicData>
                </a:graphic>
              </wp:anchor>
            </w:drawing>
          </mc:Choice>
          <mc:Fallback>
            <w:pict>
              <v:line id="直线 6" o:spid="_x0000_s1026" o:spt="20" style="position:absolute;left:0pt;margin-left:90pt;margin-top:8.75pt;height:0pt;width:144pt;mso-position-horizontal-relative:page;mso-wrap-distance-bottom:0pt;mso-wrap-distance-top:0pt;z-index:-251657216;mso-width-relative:page;mso-height-relative:page;" filled="f" stroked="t" coordsize="21600,21600" o:gfxdata="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AbbIbj1QAAAAkBAAAPAAAAAAAA&#10;AAEAIAAAACIAAABkcnMvZG93bnJldi54bWxQSwECFAAUAAAACACHTuJAO8rKzdwBAAC3AwAADgAA&#10;AAAAAAABACAAAAAkAQAAZHJzL2Uyb0RvYy54bWxQSwUGAAAAAAYABgBZAQAAcgUAAAAA&#10;">
                <v:fill on="f" focussize="0,0"/>
                <v:stroke weight="0pt" color="#000000" joinstyle="round"/>
                <v:imagedata o:title=""/>
                <o:lock v:ext="edit" aspectratio="f"/>
                <w10:wrap type="topAndBottom"/>
              </v:line>
            </w:pict>
          </mc:Fallback>
        </mc:AlternateContent>
      </w:r>
    </w:p>
    <w:p>
      <w:pPr>
        <w:spacing w:line="360" w:lineRule="auto"/>
        <w:rPr>
          <w:rFonts w:ascii="宋体" w:hAnsi="宋体" w:cs="宋体"/>
          <w:b/>
          <w:bCs/>
          <w:color w:val="auto"/>
          <w:sz w:val="24"/>
          <w:highlight w:val="none"/>
        </w:rPr>
      </w:pPr>
      <w:r>
        <w:rPr>
          <w:rFonts w:hint="eastAsia" w:ascii="宋体" w:hAnsi="宋体" w:cs="宋体"/>
          <w:b/>
          <w:bCs/>
          <w:color w:val="auto"/>
          <w:sz w:val="24"/>
          <w:highlight w:val="none"/>
        </w:rPr>
        <w:t>备注：</w:t>
      </w:r>
    </w:p>
    <w:p>
      <w:pPr>
        <w:spacing w:line="360" w:lineRule="auto"/>
        <w:rPr>
          <w:rFonts w:ascii="宋体" w:hAnsi="宋体" w:cs="宋体"/>
          <w:b/>
          <w:bCs/>
          <w:color w:val="auto"/>
          <w:sz w:val="24"/>
          <w:highlight w:val="none"/>
        </w:rPr>
      </w:pPr>
      <w:r>
        <w:rPr>
          <w:rFonts w:hint="eastAsia" w:ascii="宋体" w:hAnsi="宋体" w:cs="宋体"/>
          <w:b/>
          <w:bCs/>
          <w:color w:val="auto"/>
          <w:sz w:val="24"/>
          <w:highlight w:val="none"/>
        </w:rPr>
        <w:t>1、从业人员、营业收入、资产总额填报上一年度数据，无上一年度数据的新成立企业可不填报。</w:t>
      </w:r>
    </w:p>
    <w:p>
      <w:pPr>
        <w:pStyle w:val="19"/>
        <w:rPr>
          <w:b/>
          <w:bCs/>
          <w:color w:val="auto"/>
          <w:sz w:val="24"/>
          <w:highlight w:val="none"/>
        </w:rPr>
      </w:pPr>
      <w:r>
        <w:rPr>
          <w:rFonts w:hint="eastAsia"/>
          <w:b/>
          <w:bCs/>
          <w:color w:val="auto"/>
          <w:sz w:val="24"/>
          <w:highlight w:val="none"/>
        </w:rPr>
        <w:t>2、本声明函将随中标结果同时公告，接受社会监督。</w:t>
      </w:r>
    </w:p>
    <w:p>
      <w:pPr>
        <w:pageBreakBefore/>
        <w:spacing w:before="260" w:after="260" w:line="415" w:lineRule="auto"/>
        <w:outlineLvl w:val="1"/>
        <w:rPr>
          <w:rFonts w:ascii="宋体" w:hAnsi="宋体" w:cs="宋体"/>
          <w:bCs/>
          <w:color w:val="auto"/>
          <w:sz w:val="24"/>
          <w:highlight w:val="none"/>
        </w:rPr>
      </w:pPr>
      <w:bookmarkStart w:id="98" w:name="_Toc3126"/>
      <w:r>
        <w:rPr>
          <w:rFonts w:hint="eastAsia" w:ascii="宋体" w:hAnsi="宋体" w:cs="宋体"/>
          <w:bCs/>
          <w:color w:val="auto"/>
          <w:sz w:val="24"/>
          <w:highlight w:val="none"/>
        </w:rPr>
        <w:t>附件十</w:t>
      </w:r>
      <w:r>
        <w:rPr>
          <w:rFonts w:hint="eastAsia" w:ascii="宋体" w:hAnsi="宋体" w:cs="宋体"/>
          <w:bCs/>
          <w:color w:val="auto"/>
          <w:sz w:val="24"/>
          <w:highlight w:val="none"/>
          <w:lang w:val="en-US" w:eastAsia="zh-CN"/>
        </w:rPr>
        <w:t>八</w:t>
      </w:r>
      <w:r>
        <w:rPr>
          <w:rFonts w:hint="eastAsia" w:ascii="宋体" w:hAnsi="宋体" w:cs="宋体"/>
          <w:bCs/>
          <w:color w:val="auto"/>
          <w:sz w:val="24"/>
          <w:highlight w:val="none"/>
        </w:rPr>
        <w:t>：</w:t>
      </w:r>
      <w:bookmarkEnd w:id="97"/>
      <w:r>
        <w:rPr>
          <w:rFonts w:hint="eastAsia" w:ascii="宋体" w:hAnsi="宋体" w:cs="宋体"/>
          <w:bCs/>
          <w:color w:val="auto"/>
          <w:sz w:val="24"/>
          <w:highlight w:val="none"/>
        </w:rPr>
        <w:t>东阳市采购项目验收方案</w:t>
      </w:r>
      <w:bookmarkEnd w:id="98"/>
    </w:p>
    <w:p>
      <w:pPr>
        <w:spacing w:after="120"/>
        <w:jc w:val="center"/>
        <w:rPr>
          <w:rFonts w:ascii="宋体" w:hAnsi="宋体" w:cs="宋体"/>
          <w:b/>
          <w:color w:val="auto"/>
          <w:sz w:val="24"/>
          <w:highlight w:val="none"/>
        </w:rPr>
      </w:pPr>
      <w:r>
        <w:rPr>
          <w:rFonts w:hint="eastAsia" w:ascii="宋体" w:hAnsi="宋体" w:cs="宋体"/>
          <w:b/>
          <w:color w:val="auto"/>
          <w:sz w:val="24"/>
          <w:highlight w:val="none"/>
        </w:rPr>
        <w:t>东阳市采购项目验收方案</w:t>
      </w:r>
    </w:p>
    <w:p>
      <w:pPr>
        <w:spacing w:beforeLines="50" w:afterLines="50"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根据《政府采购法》及东阳市政府采购办东财预〔2009〕98号《关于加强政府采购管理工作的补充规定》等有关文件规定，为做好</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采购项目的验收管理工作，特制定本项目验收方案，具体如下。</w:t>
      </w:r>
    </w:p>
    <w:p>
      <w:pPr>
        <w:spacing w:after="120" w:line="360" w:lineRule="auto"/>
        <w:ind w:firstLine="472" w:firstLineChars="196"/>
        <w:rPr>
          <w:rFonts w:ascii="宋体" w:hAnsi="宋体" w:cs="宋体"/>
          <w:b/>
          <w:color w:val="auto"/>
          <w:sz w:val="24"/>
          <w:highlight w:val="none"/>
        </w:rPr>
      </w:pPr>
      <w:r>
        <w:rPr>
          <w:rFonts w:hint="eastAsia" w:ascii="宋体" w:hAnsi="宋体" w:cs="宋体"/>
          <w:b/>
          <w:color w:val="auto"/>
          <w:sz w:val="24"/>
          <w:highlight w:val="none"/>
        </w:rPr>
        <w:t>一、验收项目说明</w:t>
      </w:r>
    </w:p>
    <w:p>
      <w:pPr>
        <w:spacing w:after="120" w:line="360" w:lineRule="auto"/>
        <w:ind w:firstLine="472" w:firstLineChars="196"/>
        <w:rPr>
          <w:rFonts w:ascii="宋体" w:hAnsi="宋体" w:cs="宋体"/>
          <w:b/>
          <w:color w:val="auto"/>
          <w:sz w:val="24"/>
          <w:highlight w:val="none"/>
        </w:rPr>
      </w:pPr>
      <w:r>
        <w:rPr>
          <w:rFonts w:hint="eastAsia" w:ascii="宋体" w:hAnsi="宋体" w:cs="宋体"/>
          <w:b/>
          <w:color w:val="auto"/>
          <w:sz w:val="24"/>
          <w:highlight w:val="none"/>
        </w:rPr>
        <w:t xml:space="preserve">1、招标编号：               </w:t>
      </w:r>
    </w:p>
    <w:p>
      <w:pPr>
        <w:spacing w:after="120" w:line="360" w:lineRule="auto"/>
        <w:ind w:firstLine="472" w:firstLineChars="196"/>
        <w:rPr>
          <w:rFonts w:ascii="宋体" w:hAnsi="宋体" w:cs="宋体"/>
          <w:b/>
          <w:color w:val="auto"/>
          <w:sz w:val="24"/>
          <w:highlight w:val="none"/>
        </w:rPr>
      </w:pPr>
      <w:r>
        <w:rPr>
          <w:rFonts w:hint="eastAsia" w:ascii="宋体" w:hAnsi="宋体" w:cs="宋体"/>
          <w:b/>
          <w:color w:val="auto"/>
          <w:sz w:val="24"/>
          <w:highlight w:val="none"/>
        </w:rPr>
        <w:t>2、采购内容：</w:t>
      </w:r>
    </w:p>
    <w:p>
      <w:pPr>
        <w:spacing w:after="120" w:line="360" w:lineRule="auto"/>
        <w:rPr>
          <w:rFonts w:ascii="宋体" w:hAnsi="宋体" w:cs="宋体"/>
          <w:b/>
          <w:color w:val="auto"/>
          <w:sz w:val="24"/>
          <w:highlight w:val="none"/>
        </w:rPr>
      </w:pPr>
    </w:p>
    <w:p>
      <w:pPr>
        <w:spacing w:after="120" w:line="360" w:lineRule="auto"/>
        <w:ind w:firstLine="482" w:firstLineChars="200"/>
        <w:rPr>
          <w:rFonts w:ascii="宋体" w:hAnsi="宋体" w:cs="宋体"/>
          <w:b/>
          <w:color w:val="auto"/>
          <w:sz w:val="24"/>
          <w:highlight w:val="none"/>
        </w:rPr>
      </w:pPr>
      <w:r>
        <w:rPr>
          <w:rFonts w:hint="eastAsia" w:ascii="宋体" w:hAnsi="宋体" w:cs="宋体"/>
          <w:b/>
          <w:color w:val="auto"/>
          <w:sz w:val="24"/>
          <w:highlight w:val="none"/>
        </w:rPr>
        <w:t>二、验收小组人员</w:t>
      </w:r>
    </w:p>
    <w:p>
      <w:pPr>
        <w:spacing w:after="120" w:line="360" w:lineRule="auto"/>
        <w:ind w:firstLine="472" w:firstLineChars="196"/>
        <w:rPr>
          <w:rFonts w:ascii="宋体" w:hAnsi="宋体" w:cs="宋体"/>
          <w:b/>
          <w:color w:val="auto"/>
          <w:sz w:val="24"/>
          <w:highlight w:val="none"/>
        </w:rPr>
      </w:pPr>
      <w:r>
        <w:rPr>
          <w:rFonts w:hint="eastAsia" w:ascii="宋体" w:hAnsi="宋体" w:cs="宋体"/>
          <w:b/>
          <w:color w:val="auto"/>
          <w:sz w:val="24"/>
          <w:highlight w:val="none"/>
        </w:rPr>
        <w:t>1、本次验收由</w:t>
      </w:r>
      <w:r>
        <w:rPr>
          <w:rFonts w:hint="eastAsia" w:ascii="宋体" w:hAnsi="宋体" w:cs="宋体"/>
          <w:b/>
          <w:color w:val="auto"/>
          <w:sz w:val="24"/>
          <w:highlight w:val="none"/>
          <w:u w:val="single"/>
        </w:rPr>
        <w:t xml:space="preserve">            </w:t>
      </w:r>
      <w:r>
        <w:rPr>
          <w:rFonts w:hint="eastAsia" w:ascii="宋体" w:hAnsi="宋体" w:cs="宋体"/>
          <w:color w:val="auto"/>
          <w:sz w:val="24"/>
          <w:highlight w:val="none"/>
          <w:u w:val="single"/>
        </w:rPr>
        <w:t xml:space="preserve"> </w:t>
      </w:r>
      <w:r>
        <w:rPr>
          <w:rFonts w:hint="eastAsia" w:ascii="宋体" w:hAnsi="宋体" w:cs="宋体"/>
          <w:b/>
          <w:color w:val="auto"/>
          <w:sz w:val="24"/>
          <w:highlight w:val="none"/>
        </w:rPr>
        <w:t>组织。</w:t>
      </w:r>
    </w:p>
    <w:p>
      <w:pPr>
        <w:spacing w:after="120" w:line="360" w:lineRule="auto"/>
        <w:ind w:firstLine="472" w:firstLineChars="196"/>
        <w:rPr>
          <w:rFonts w:ascii="宋体" w:hAnsi="宋体" w:cs="宋体"/>
          <w:b/>
          <w:color w:val="auto"/>
          <w:sz w:val="24"/>
          <w:highlight w:val="none"/>
          <w:u w:val="single"/>
        </w:rPr>
      </w:pPr>
      <w:r>
        <w:rPr>
          <w:rFonts w:hint="eastAsia" w:ascii="宋体" w:hAnsi="宋体" w:cs="宋体"/>
          <w:b/>
          <w:color w:val="auto"/>
          <w:sz w:val="24"/>
          <w:highlight w:val="none"/>
        </w:rPr>
        <w:t>2、验收小组成员名单：</w:t>
      </w:r>
      <w:r>
        <w:rPr>
          <w:rFonts w:hint="eastAsia" w:ascii="宋体" w:hAnsi="宋体" w:cs="宋体"/>
          <w:b/>
          <w:color w:val="auto"/>
          <w:sz w:val="24"/>
          <w:highlight w:val="none"/>
          <w:u w:val="single"/>
        </w:rPr>
        <w:t xml:space="preserve">                                                       </w:t>
      </w:r>
    </w:p>
    <w:p>
      <w:pPr>
        <w:spacing w:after="120" w:line="360" w:lineRule="auto"/>
        <w:ind w:firstLine="472" w:firstLineChars="196"/>
        <w:rPr>
          <w:rFonts w:ascii="宋体" w:hAnsi="宋体" w:cs="宋体"/>
          <w:b/>
          <w:color w:val="auto"/>
          <w:sz w:val="24"/>
          <w:highlight w:val="none"/>
        </w:rPr>
      </w:pPr>
      <w:r>
        <w:rPr>
          <w:rFonts w:hint="eastAsia" w:ascii="宋体" w:hAnsi="宋体" w:cs="宋体"/>
          <w:b/>
          <w:color w:val="auto"/>
          <w:sz w:val="24"/>
          <w:highlight w:val="none"/>
        </w:rPr>
        <w:t>3、验收小组成员签名：</w:t>
      </w:r>
      <w:r>
        <w:rPr>
          <w:rFonts w:hint="eastAsia" w:ascii="宋体" w:hAnsi="宋体" w:cs="宋体"/>
          <w:b/>
          <w:color w:val="auto"/>
          <w:sz w:val="24"/>
          <w:highlight w:val="none"/>
          <w:u w:val="single"/>
        </w:rPr>
        <w:t xml:space="preserve">                                                    </w:t>
      </w:r>
      <w:r>
        <w:rPr>
          <w:rFonts w:hint="eastAsia" w:ascii="宋体" w:hAnsi="宋体" w:cs="宋体"/>
          <w:b/>
          <w:color w:val="auto"/>
          <w:sz w:val="24"/>
          <w:highlight w:val="none"/>
        </w:rPr>
        <w:t xml:space="preserve">                                                                        </w:t>
      </w:r>
    </w:p>
    <w:p>
      <w:pPr>
        <w:spacing w:after="120" w:line="360" w:lineRule="auto"/>
        <w:ind w:firstLine="472" w:firstLineChars="196"/>
        <w:rPr>
          <w:rFonts w:ascii="宋体" w:hAnsi="宋体" w:cs="宋体"/>
          <w:b/>
          <w:color w:val="auto"/>
          <w:sz w:val="24"/>
          <w:highlight w:val="none"/>
        </w:rPr>
      </w:pPr>
      <w:r>
        <w:rPr>
          <w:rFonts w:hint="eastAsia" w:ascii="宋体" w:hAnsi="宋体" w:cs="宋体"/>
          <w:b/>
          <w:color w:val="auto"/>
          <w:sz w:val="24"/>
          <w:highlight w:val="none"/>
        </w:rPr>
        <w:t>三、验收方法与内容</w:t>
      </w:r>
    </w:p>
    <w:p>
      <w:pPr>
        <w:spacing w:after="120" w:line="360" w:lineRule="auto"/>
        <w:rPr>
          <w:rFonts w:ascii="宋体" w:hAnsi="宋体" w:cs="宋体"/>
          <w:b/>
          <w:color w:val="auto"/>
          <w:sz w:val="24"/>
          <w:highlight w:val="none"/>
        </w:rPr>
      </w:pPr>
    </w:p>
    <w:p>
      <w:pPr>
        <w:spacing w:after="120" w:line="360" w:lineRule="auto"/>
        <w:ind w:firstLine="482" w:firstLineChars="200"/>
        <w:rPr>
          <w:rFonts w:ascii="宋体" w:hAnsi="宋体" w:cs="宋体"/>
          <w:b/>
          <w:color w:val="auto"/>
          <w:sz w:val="24"/>
          <w:highlight w:val="none"/>
        </w:rPr>
      </w:pPr>
      <w:r>
        <w:rPr>
          <w:rFonts w:hint="eastAsia" w:ascii="宋体" w:hAnsi="宋体" w:cs="宋体"/>
          <w:b/>
          <w:color w:val="auto"/>
          <w:sz w:val="24"/>
          <w:highlight w:val="none"/>
        </w:rPr>
        <w:t>四、验收时间</w:t>
      </w:r>
    </w:p>
    <w:p>
      <w:pPr>
        <w:spacing w:after="120" w:line="360" w:lineRule="auto"/>
        <w:rPr>
          <w:rFonts w:ascii="宋体" w:hAnsi="宋体" w:cs="宋体"/>
          <w:b/>
          <w:color w:val="auto"/>
          <w:sz w:val="24"/>
          <w:highlight w:val="none"/>
        </w:rPr>
      </w:pPr>
    </w:p>
    <w:p>
      <w:pPr>
        <w:spacing w:after="120" w:line="360" w:lineRule="auto"/>
        <w:ind w:firstLine="472" w:firstLineChars="196"/>
        <w:rPr>
          <w:rFonts w:ascii="宋体" w:hAnsi="宋体" w:cs="宋体"/>
          <w:b/>
          <w:color w:val="auto"/>
          <w:sz w:val="24"/>
          <w:highlight w:val="none"/>
        </w:rPr>
      </w:pPr>
      <w:r>
        <w:rPr>
          <w:rFonts w:hint="eastAsia" w:ascii="宋体" w:hAnsi="宋体" w:cs="宋体"/>
          <w:b/>
          <w:color w:val="auto"/>
          <w:sz w:val="24"/>
          <w:highlight w:val="none"/>
        </w:rPr>
        <w:t>五、验收地点</w:t>
      </w:r>
    </w:p>
    <w:p>
      <w:pPr>
        <w:spacing w:after="120" w:line="360" w:lineRule="auto"/>
        <w:rPr>
          <w:rFonts w:ascii="宋体" w:hAnsi="宋体" w:cs="宋体"/>
          <w:b/>
          <w:color w:val="auto"/>
          <w:sz w:val="24"/>
          <w:highlight w:val="none"/>
        </w:rPr>
      </w:pPr>
    </w:p>
    <w:p>
      <w:pPr>
        <w:spacing w:after="120" w:line="360" w:lineRule="auto"/>
        <w:ind w:firstLine="472" w:firstLineChars="196"/>
        <w:rPr>
          <w:rFonts w:ascii="宋体" w:hAnsi="宋体" w:cs="宋体"/>
          <w:b/>
          <w:color w:val="auto"/>
          <w:sz w:val="24"/>
          <w:highlight w:val="none"/>
        </w:rPr>
      </w:pPr>
      <w:r>
        <w:rPr>
          <w:rFonts w:hint="eastAsia" w:ascii="宋体" w:hAnsi="宋体" w:cs="宋体"/>
          <w:b/>
          <w:color w:val="auto"/>
          <w:sz w:val="24"/>
          <w:highlight w:val="none"/>
        </w:rPr>
        <w:t>六、验收程序</w:t>
      </w:r>
    </w:p>
    <w:p>
      <w:pPr>
        <w:spacing w:after="120" w:line="360" w:lineRule="auto"/>
        <w:ind w:left="479" w:leftChars="228" w:firstLine="470" w:firstLineChars="195"/>
        <w:rPr>
          <w:rFonts w:ascii="宋体" w:hAnsi="宋体" w:cs="宋体"/>
          <w:b/>
          <w:color w:val="auto"/>
          <w:sz w:val="24"/>
          <w:highlight w:val="none"/>
        </w:rPr>
      </w:pPr>
    </w:p>
    <w:p>
      <w:pPr>
        <w:spacing w:after="120" w:line="360" w:lineRule="auto"/>
        <w:ind w:left="479" w:leftChars="228" w:firstLine="470" w:firstLineChars="195"/>
        <w:rPr>
          <w:rFonts w:ascii="宋体" w:hAnsi="宋体" w:cs="宋体"/>
          <w:b/>
          <w:color w:val="auto"/>
          <w:sz w:val="24"/>
          <w:highlight w:val="none"/>
        </w:rPr>
      </w:pPr>
    </w:p>
    <w:p>
      <w:pPr>
        <w:spacing w:after="120" w:line="360" w:lineRule="auto"/>
        <w:ind w:right="-6"/>
        <w:rPr>
          <w:rFonts w:ascii="宋体" w:hAnsi="宋体" w:cs="宋体"/>
          <w:b/>
          <w:color w:val="auto"/>
          <w:sz w:val="24"/>
          <w:highlight w:val="none"/>
        </w:rPr>
      </w:pPr>
      <w:r>
        <w:rPr>
          <w:rFonts w:hint="eastAsia" w:ascii="宋体" w:hAnsi="宋体" w:cs="宋体"/>
          <w:b/>
          <w:color w:val="auto"/>
          <w:sz w:val="24"/>
          <w:highlight w:val="none"/>
        </w:rPr>
        <w:t xml:space="preserve">                                            采购单位（盖章）：</w:t>
      </w:r>
    </w:p>
    <w:p>
      <w:pPr>
        <w:spacing w:after="120" w:line="360" w:lineRule="auto"/>
        <w:ind w:right="960" w:firstLine="470" w:firstLineChars="196"/>
        <w:jc w:val="right"/>
        <w:rPr>
          <w:rFonts w:ascii="宋体" w:hAnsi="宋体" w:cs="宋体"/>
          <w:color w:val="auto"/>
          <w:sz w:val="24"/>
          <w:highlight w:val="none"/>
        </w:rPr>
      </w:pPr>
      <w:r>
        <w:rPr>
          <w:rFonts w:hint="eastAsia" w:ascii="宋体" w:hAnsi="宋体" w:cs="宋体"/>
          <w:color w:val="auto"/>
          <w:sz w:val="24"/>
          <w:highlight w:val="none"/>
        </w:rPr>
        <w:t>年  月  日</w:t>
      </w:r>
    </w:p>
    <w:p>
      <w:pPr>
        <w:pageBreakBefore/>
        <w:spacing w:before="260" w:after="260" w:line="415" w:lineRule="auto"/>
        <w:outlineLvl w:val="1"/>
        <w:rPr>
          <w:rFonts w:ascii="宋体" w:hAnsi="宋体" w:cs="宋体"/>
          <w:bCs/>
          <w:color w:val="auto"/>
          <w:sz w:val="24"/>
          <w:highlight w:val="none"/>
        </w:rPr>
      </w:pPr>
      <w:bookmarkStart w:id="99" w:name="_Toc496599002"/>
      <w:bookmarkStart w:id="100" w:name="_Toc32055"/>
      <w:r>
        <w:rPr>
          <w:rFonts w:hint="eastAsia" w:ascii="宋体" w:hAnsi="宋体" w:cs="宋体"/>
          <w:bCs/>
          <w:color w:val="auto"/>
          <w:sz w:val="24"/>
          <w:highlight w:val="none"/>
        </w:rPr>
        <w:t>附件</w:t>
      </w:r>
      <w:r>
        <w:rPr>
          <w:rFonts w:hint="eastAsia" w:ascii="宋体" w:hAnsi="宋体" w:cs="宋体"/>
          <w:bCs/>
          <w:color w:val="auto"/>
          <w:sz w:val="24"/>
          <w:highlight w:val="none"/>
          <w:lang w:val="en-US" w:eastAsia="zh-CN"/>
        </w:rPr>
        <w:t>十九</w:t>
      </w:r>
      <w:r>
        <w:rPr>
          <w:rFonts w:hint="eastAsia" w:ascii="宋体" w:hAnsi="宋体" w:cs="宋体"/>
          <w:bCs/>
          <w:color w:val="auto"/>
          <w:sz w:val="24"/>
          <w:highlight w:val="none"/>
        </w:rPr>
        <w:t>：</w:t>
      </w:r>
      <w:bookmarkEnd w:id="99"/>
      <w:r>
        <w:rPr>
          <w:rFonts w:hint="eastAsia" w:ascii="宋体" w:hAnsi="宋体" w:cs="宋体"/>
          <w:bCs/>
          <w:color w:val="auto"/>
          <w:sz w:val="24"/>
          <w:highlight w:val="none"/>
        </w:rPr>
        <w:t>东阳市政府采购代理机构社会评价表</w:t>
      </w:r>
      <w:bookmarkEnd w:id="100"/>
    </w:p>
    <w:p>
      <w:pPr>
        <w:jc w:val="center"/>
        <w:rPr>
          <w:rFonts w:ascii="宋体" w:hAnsi="宋体"/>
          <w:color w:val="auto"/>
          <w:sz w:val="44"/>
          <w:szCs w:val="44"/>
          <w:highlight w:val="none"/>
        </w:rPr>
      </w:pPr>
      <w:r>
        <w:rPr>
          <w:rFonts w:hint="eastAsia" w:ascii="宋体" w:hAnsi="宋体"/>
          <w:color w:val="auto"/>
          <w:sz w:val="44"/>
          <w:szCs w:val="44"/>
          <w:highlight w:val="none"/>
        </w:rPr>
        <w:t>东阳市政府采购代理机构社会评价表</w:t>
      </w:r>
    </w:p>
    <w:p>
      <w:pPr>
        <w:rPr>
          <w:rFonts w:ascii="宋体" w:hAnsi="宋体"/>
          <w:color w:val="auto"/>
          <w:sz w:val="28"/>
          <w:szCs w:val="28"/>
          <w:highlight w:val="none"/>
        </w:rPr>
      </w:pPr>
      <w:r>
        <w:rPr>
          <w:rFonts w:hint="eastAsia" w:ascii="宋体" w:hAnsi="宋体"/>
          <w:color w:val="auto"/>
          <w:sz w:val="28"/>
          <w:szCs w:val="28"/>
          <w:highlight w:val="none"/>
        </w:rPr>
        <w:t xml:space="preserve">代理机构名称： </w:t>
      </w:r>
    </w:p>
    <w:tbl>
      <w:tblPr>
        <w:tblStyle w:val="40"/>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2"/>
        <w:gridCol w:w="1469"/>
        <w:gridCol w:w="696"/>
        <w:gridCol w:w="1067"/>
        <w:gridCol w:w="1031"/>
        <w:gridCol w:w="792"/>
        <w:gridCol w:w="28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7" w:hRule="atLeast"/>
        </w:trPr>
        <w:tc>
          <w:tcPr>
            <w:tcW w:w="1242" w:type="dxa"/>
            <w:tcBorders>
              <w:top w:val="single" w:color="auto" w:sz="4" w:space="0"/>
              <w:left w:val="single" w:color="auto" w:sz="4" w:space="0"/>
              <w:bottom w:val="single" w:color="auto" w:sz="4" w:space="0"/>
              <w:right w:val="single" w:color="auto" w:sz="4" w:space="0"/>
            </w:tcBorders>
            <w:vAlign w:val="center"/>
          </w:tcPr>
          <w:p>
            <w:pPr>
              <w:jc w:val="center"/>
              <w:rPr>
                <w:color w:val="auto"/>
                <w:sz w:val="24"/>
                <w:highlight w:val="none"/>
              </w:rPr>
            </w:pPr>
            <w:r>
              <w:rPr>
                <w:rFonts w:hint="eastAsia" w:ascii="宋体" w:hAnsi="宋体"/>
                <w:color w:val="auto"/>
                <w:sz w:val="24"/>
                <w:highlight w:val="none"/>
              </w:rPr>
              <w:t>填表人类别</w:t>
            </w:r>
          </w:p>
        </w:tc>
        <w:tc>
          <w:tcPr>
            <w:tcW w:w="7938" w:type="dxa"/>
            <w:gridSpan w:val="6"/>
            <w:tcBorders>
              <w:top w:val="single" w:color="auto" w:sz="4" w:space="0"/>
              <w:left w:val="nil"/>
              <w:bottom w:val="single" w:color="auto" w:sz="4" w:space="0"/>
              <w:right w:val="single" w:color="auto" w:sz="4" w:space="0"/>
            </w:tcBorders>
            <w:vAlign w:val="center"/>
          </w:tcPr>
          <w:p>
            <w:pPr>
              <w:ind w:firstLine="480" w:firstLineChars="200"/>
              <w:jc w:val="center"/>
              <w:rPr>
                <w:color w:val="auto"/>
                <w:sz w:val="24"/>
                <w:highlight w:val="none"/>
              </w:rPr>
            </w:pPr>
            <w:r>
              <w:rPr>
                <w:rFonts w:hint="eastAsia" w:ascii="宋体" w:hAnsi="宋体"/>
                <w:color w:val="auto"/>
                <w:sz w:val="24"/>
                <w:highlight w:val="none"/>
              </w:rPr>
              <w:t>□采购单位</w:t>
            </w:r>
            <w:r>
              <w:rPr>
                <w:color w:val="auto"/>
                <w:sz w:val="24"/>
                <w:highlight w:val="none"/>
              </w:rPr>
              <w:t xml:space="preserve">      </w:t>
            </w:r>
            <w:r>
              <w:rPr>
                <w:rFonts w:hint="eastAsia" w:ascii="宋体" w:hAnsi="宋体"/>
                <w:color w:val="auto"/>
                <w:sz w:val="24"/>
                <w:highlight w:val="none"/>
              </w:rPr>
              <w:t>□供应商</w:t>
            </w:r>
            <w:r>
              <w:rPr>
                <w:color w:val="auto"/>
                <w:sz w:val="24"/>
                <w:highlight w:val="none"/>
              </w:rPr>
              <w:t xml:space="preserve">      </w:t>
            </w:r>
            <w:r>
              <w:rPr>
                <w:rFonts w:hint="eastAsia" w:ascii="宋体" w:hAnsi="宋体"/>
                <w:color w:val="auto"/>
                <w:sz w:val="24"/>
                <w:highlight w:val="none"/>
              </w:rPr>
              <w:t>□专家</w:t>
            </w:r>
            <w:r>
              <w:rPr>
                <w:color w:val="auto"/>
                <w:sz w:val="24"/>
                <w:highlight w:val="none"/>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6" w:hRule="atLeast"/>
        </w:trPr>
        <w:tc>
          <w:tcPr>
            <w:tcW w:w="1242" w:type="dxa"/>
            <w:tcBorders>
              <w:top w:val="single" w:color="auto" w:sz="4" w:space="0"/>
              <w:left w:val="single" w:color="auto" w:sz="4" w:space="0"/>
              <w:bottom w:val="single" w:color="auto" w:sz="4" w:space="0"/>
              <w:right w:val="single" w:color="auto" w:sz="4" w:space="0"/>
            </w:tcBorders>
            <w:vAlign w:val="center"/>
          </w:tcPr>
          <w:p>
            <w:pPr>
              <w:jc w:val="center"/>
              <w:rPr>
                <w:color w:val="auto"/>
                <w:sz w:val="24"/>
                <w:highlight w:val="none"/>
              </w:rPr>
            </w:pPr>
            <w:r>
              <w:rPr>
                <w:rFonts w:hint="eastAsia" w:ascii="宋体" w:hAnsi="宋体"/>
                <w:color w:val="auto"/>
                <w:sz w:val="24"/>
                <w:highlight w:val="none"/>
              </w:rPr>
              <w:t>填表人名称或姓名</w:t>
            </w:r>
          </w:p>
        </w:tc>
        <w:tc>
          <w:tcPr>
            <w:tcW w:w="4266" w:type="dxa"/>
            <w:gridSpan w:val="4"/>
            <w:tcBorders>
              <w:top w:val="single" w:color="auto" w:sz="4" w:space="0"/>
              <w:left w:val="nil"/>
              <w:bottom w:val="single" w:color="auto" w:sz="4" w:space="0"/>
              <w:right w:val="single" w:color="auto" w:sz="4" w:space="0"/>
            </w:tcBorders>
            <w:vAlign w:val="center"/>
          </w:tcPr>
          <w:p>
            <w:pPr>
              <w:jc w:val="center"/>
              <w:rPr>
                <w:color w:val="auto"/>
                <w:sz w:val="24"/>
                <w:highlight w:val="none"/>
              </w:rPr>
            </w:pPr>
          </w:p>
        </w:tc>
        <w:tc>
          <w:tcPr>
            <w:tcW w:w="792" w:type="dxa"/>
            <w:tcBorders>
              <w:top w:val="single" w:color="auto" w:sz="4" w:space="0"/>
              <w:left w:val="nil"/>
              <w:bottom w:val="single" w:color="auto" w:sz="4" w:space="0"/>
              <w:right w:val="single" w:color="auto" w:sz="4" w:space="0"/>
            </w:tcBorders>
            <w:vAlign w:val="center"/>
          </w:tcPr>
          <w:p>
            <w:pPr>
              <w:jc w:val="center"/>
              <w:rPr>
                <w:color w:val="auto"/>
                <w:sz w:val="24"/>
                <w:highlight w:val="none"/>
              </w:rPr>
            </w:pPr>
            <w:r>
              <w:rPr>
                <w:rFonts w:hint="eastAsia" w:ascii="宋体" w:hAnsi="宋体"/>
                <w:color w:val="auto"/>
                <w:sz w:val="24"/>
                <w:highlight w:val="none"/>
              </w:rPr>
              <w:t>地址</w:t>
            </w:r>
          </w:p>
        </w:tc>
        <w:tc>
          <w:tcPr>
            <w:tcW w:w="2880"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trPr>
        <w:tc>
          <w:tcPr>
            <w:tcW w:w="1242" w:type="dxa"/>
            <w:tcBorders>
              <w:top w:val="single" w:color="auto" w:sz="4" w:space="0"/>
              <w:left w:val="single" w:color="auto" w:sz="4" w:space="0"/>
              <w:bottom w:val="single" w:color="auto" w:sz="4" w:space="0"/>
              <w:right w:val="single" w:color="auto" w:sz="4" w:space="0"/>
            </w:tcBorders>
            <w:vAlign w:val="center"/>
          </w:tcPr>
          <w:p>
            <w:pPr>
              <w:jc w:val="center"/>
              <w:rPr>
                <w:color w:val="auto"/>
                <w:sz w:val="24"/>
                <w:highlight w:val="none"/>
              </w:rPr>
            </w:pPr>
            <w:r>
              <w:rPr>
                <w:rFonts w:hint="eastAsia" w:ascii="宋体" w:hAnsi="宋体"/>
                <w:color w:val="auto"/>
                <w:sz w:val="24"/>
                <w:highlight w:val="none"/>
              </w:rPr>
              <w:t>联系人</w:t>
            </w:r>
          </w:p>
        </w:tc>
        <w:tc>
          <w:tcPr>
            <w:tcW w:w="1470" w:type="dxa"/>
            <w:tcBorders>
              <w:top w:val="single" w:color="auto" w:sz="4" w:space="0"/>
              <w:left w:val="nil"/>
              <w:bottom w:val="single" w:color="auto" w:sz="4" w:space="0"/>
              <w:right w:val="single" w:color="auto" w:sz="4" w:space="0"/>
            </w:tcBorders>
            <w:vAlign w:val="center"/>
          </w:tcPr>
          <w:p>
            <w:pPr>
              <w:jc w:val="center"/>
              <w:rPr>
                <w:color w:val="auto"/>
                <w:sz w:val="24"/>
                <w:highlight w:val="none"/>
              </w:rPr>
            </w:pPr>
          </w:p>
        </w:tc>
        <w:tc>
          <w:tcPr>
            <w:tcW w:w="696" w:type="dxa"/>
            <w:tcBorders>
              <w:top w:val="single" w:color="auto" w:sz="4" w:space="0"/>
              <w:left w:val="nil"/>
              <w:bottom w:val="single" w:color="auto" w:sz="4" w:space="0"/>
              <w:right w:val="single" w:color="auto" w:sz="4" w:space="0"/>
            </w:tcBorders>
            <w:vAlign w:val="center"/>
          </w:tcPr>
          <w:p>
            <w:pPr>
              <w:jc w:val="center"/>
              <w:rPr>
                <w:color w:val="auto"/>
                <w:sz w:val="24"/>
                <w:highlight w:val="none"/>
              </w:rPr>
            </w:pPr>
            <w:r>
              <w:rPr>
                <w:rFonts w:hint="eastAsia" w:ascii="宋体" w:hAnsi="宋体"/>
                <w:color w:val="auto"/>
                <w:sz w:val="24"/>
                <w:highlight w:val="none"/>
              </w:rPr>
              <w:t>电话</w:t>
            </w:r>
          </w:p>
        </w:tc>
        <w:tc>
          <w:tcPr>
            <w:tcW w:w="2100" w:type="dxa"/>
            <w:gridSpan w:val="2"/>
            <w:tcBorders>
              <w:top w:val="single" w:color="auto" w:sz="4" w:space="0"/>
              <w:left w:val="nil"/>
              <w:bottom w:val="single" w:color="auto" w:sz="4" w:space="0"/>
              <w:right w:val="single" w:color="auto" w:sz="4" w:space="0"/>
            </w:tcBorders>
            <w:vAlign w:val="center"/>
          </w:tcPr>
          <w:p>
            <w:pPr>
              <w:jc w:val="center"/>
              <w:rPr>
                <w:color w:val="auto"/>
                <w:sz w:val="24"/>
                <w:highlight w:val="none"/>
              </w:rPr>
            </w:pPr>
          </w:p>
        </w:tc>
        <w:tc>
          <w:tcPr>
            <w:tcW w:w="787" w:type="dxa"/>
            <w:tcBorders>
              <w:top w:val="single" w:color="auto" w:sz="4" w:space="0"/>
              <w:left w:val="nil"/>
              <w:bottom w:val="single" w:color="auto" w:sz="4" w:space="0"/>
              <w:right w:val="single" w:color="auto" w:sz="4" w:space="0"/>
            </w:tcBorders>
            <w:vAlign w:val="center"/>
          </w:tcPr>
          <w:p>
            <w:pPr>
              <w:jc w:val="center"/>
              <w:rPr>
                <w:color w:val="auto"/>
                <w:sz w:val="24"/>
                <w:highlight w:val="none"/>
              </w:rPr>
            </w:pPr>
            <w:r>
              <w:rPr>
                <w:rFonts w:hint="eastAsia" w:ascii="宋体" w:hAnsi="宋体"/>
                <w:color w:val="auto"/>
                <w:sz w:val="24"/>
                <w:highlight w:val="none"/>
              </w:rPr>
              <w:t>传真</w:t>
            </w:r>
          </w:p>
        </w:tc>
        <w:tc>
          <w:tcPr>
            <w:tcW w:w="2885" w:type="dxa"/>
            <w:tcBorders>
              <w:top w:val="single" w:color="auto" w:sz="4" w:space="0"/>
              <w:left w:val="single" w:color="auto" w:sz="4" w:space="0"/>
              <w:bottom w:val="single" w:color="auto" w:sz="4" w:space="0"/>
              <w:right w:val="single" w:color="auto" w:sz="4" w:space="0"/>
            </w:tcBorders>
            <w:vAlign w:val="center"/>
          </w:tcPr>
          <w:p>
            <w:pPr>
              <w:jc w:val="center"/>
              <w:rPr>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42" w:type="dxa"/>
            <w:vMerge w:val="restart"/>
            <w:tcBorders>
              <w:top w:val="nil"/>
              <w:left w:val="single" w:color="auto" w:sz="4" w:space="0"/>
              <w:bottom w:val="single" w:color="auto" w:sz="4" w:space="0"/>
              <w:right w:val="single" w:color="auto" w:sz="4" w:space="0"/>
            </w:tcBorders>
            <w:vAlign w:val="center"/>
          </w:tcPr>
          <w:p>
            <w:pPr>
              <w:jc w:val="center"/>
              <w:rPr>
                <w:color w:val="auto"/>
                <w:sz w:val="24"/>
                <w:highlight w:val="none"/>
              </w:rPr>
            </w:pPr>
            <w:r>
              <w:rPr>
                <w:rFonts w:hint="eastAsia" w:ascii="宋体" w:hAnsi="宋体"/>
                <w:color w:val="auto"/>
                <w:sz w:val="24"/>
                <w:highlight w:val="none"/>
              </w:rPr>
              <w:t>对代理机构的评价</w:t>
            </w:r>
          </w:p>
        </w:tc>
        <w:tc>
          <w:tcPr>
            <w:tcW w:w="3234" w:type="dxa"/>
            <w:gridSpan w:val="3"/>
            <w:tcBorders>
              <w:top w:val="single" w:color="auto" w:sz="4" w:space="0"/>
              <w:left w:val="nil"/>
              <w:bottom w:val="single" w:color="auto" w:sz="4" w:space="0"/>
              <w:right w:val="single" w:color="auto" w:sz="4" w:space="0"/>
            </w:tcBorders>
            <w:vAlign w:val="center"/>
          </w:tcPr>
          <w:p>
            <w:pPr>
              <w:spacing w:line="500" w:lineRule="exact"/>
              <w:jc w:val="center"/>
              <w:rPr>
                <w:color w:val="auto"/>
                <w:sz w:val="24"/>
                <w:highlight w:val="none"/>
              </w:rPr>
            </w:pPr>
            <w:r>
              <w:rPr>
                <w:rFonts w:hint="eastAsia" w:ascii="宋体" w:hAnsi="宋体"/>
                <w:color w:val="auto"/>
                <w:sz w:val="24"/>
                <w:highlight w:val="none"/>
              </w:rPr>
              <w:t>项目</w:t>
            </w:r>
          </w:p>
        </w:tc>
        <w:tc>
          <w:tcPr>
            <w:tcW w:w="4704" w:type="dxa"/>
            <w:gridSpan w:val="3"/>
            <w:tcBorders>
              <w:top w:val="single" w:color="auto" w:sz="4" w:space="0"/>
              <w:left w:val="nil"/>
              <w:bottom w:val="single" w:color="auto" w:sz="4" w:space="0"/>
              <w:right w:val="single" w:color="auto" w:sz="4" w:space="0"/>
            </w:tcBorders>
            <w:vAlign w:val="center"/>
          </w:tcPr>
          <w:p>
            <w:pPr>
              <w:spacing w:line="500" w:lineRule="exact"/>
              <w:jc w:val="center"/>
              <w:rPr>
                <w:color w:val="auto"/>
                <w:sz w:val="24"/>
                <w:highlight w:val="none"/>
              </w:rPr>
            </w:pPr>
            <w:r>
              <w:rPr>
                <w:rFonts w:hint="eastAsia" w:ascii="宋体" w:hAnsi="宋体"/>
                <w:color w:val="auto"/>
                <w:sz w:val="24"/>
                <w:highlight w:val="none"/>
              </w:rPr>
              <w:t>评价（请在分值范围内进行打分）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42" w:type="dxa"/>
            <w:vMerge w:val="continue"/>
            <w:tcBorders>
              <w:top w:val="nil"/>
              <w:left w:val="single" w:color="auto" w:sz="4" w:space="0"/>
              <w:bottom w:val="single" w:color="auto" w:sz="4" w:space="0"/>
              <w:right w:val="single" w:color="auto" w:sz="4" w:space="0"/>
            </w:tcBorders>
            <w:vAlign w:val="center"/>
          </w:tcPr>
          <w:p>
            <w:pPr>
              <w:widowControl/>
              <w:jc w:val="left"/>
              <w:rPr>
                <w:color w:val="auto"/>
                <w:sz w:val="24"/>
                <w:highlight w:val="none"/>
              </w:rPr>
            </w:pPr>
          </w:p>
        </w:tc>
        <w:tc>
          <w:tcPr>
            <w:tcW w:w="3234" w:type="dxa"/>
            <w:gridSpan w:val="3"/>
            <w:tcBorders>
              <w:top w:val="single" w:color="auto" w:sz="4" w:space="0"/>
              <w:left w:val="nil"/>
              <w:bottom w:val="single" w:color="auto" w:sz="4" w:space="0"/>
              <w:right w:val="single" w:color="auto" w:sz="4" w:space="0"/>
            </w:tcBorders>
            <w:vAlign w:val="center"/>
          </w:tcPr>
          <w:p>
            <w:pPr>
              <w:rPr>
                <w:rFonts w:asciiTheme="majorEastAsia" w:hAnsiTheme="majorEastAsia" w:eastAsiaTheme="majorEastAsia"/>
                <w:color w:val="auto"/>
                <w:kern w:val="0"/>
                <w:sz w:val="24"/>
                <w:highlight w:val="none"/>
              </w:rPr>
            </w:pPr>
            <w:r>
              <w:rPr>
                <w:rFonts w:hint="eastAsia" w:asciiTheme="majorEastAsia" w:hAnsiTheme="majorEastAsia" w:eastAsiaTheme="majorEastAsia"/>
                <w:color w:val="auto"/>
                <w:sz w:val="24"/>
                <w:highlight w:val="none"/>
              </w:rPr>
              <w:t>是否严格执行政府采购纪律、法规和规章制度等（2分）。</w:t>
            </w:r>
          </w:p>
        </w:tc>
        <w:tc>
          <w:tcPr>
            <w:tcW w:w="4704" w:type="dxa"/>
            <w:gridSpan w:val="3"/>
            <w:tcBorders>
              <w:top w:val="single" w:color="auto" w:sz="4" w:space="0"/>
              <w:left w:val="nil"/>
              <w:bottom w:val="single" w:color="auto" w:sz="4" w:space="0"/>
              <w:right w:val="single" w:color="auto" w:sz="4" w:space="0"/>
            </w:tcBorders>
            <w:vAlign w:val="center"/>
          </w:tcPr>
          <w:p>
            <w:pPr>
              <w:spacing w:line="500" w:lineRule="exact"/>
              <w:jc w:val="center"/>
              <w:rPr>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42" w:type="dxa"/>
            <w:vMerge w:val="continue"/>
            <w:tcBorders>
              <w:top w:val="nil"/>
              <w:left w:val="single" w:color="auto" w:sz="4" w:space="0"/>
              <w:bottom w:val="single" w:color="auto" w:sz="4" w:space="0"/>
              <w:right w:val="single" w:color="auto" w:sz="4" w:space="0"/>
            </w:tcBorders>
            <w:vAlign w:val="center"/>
          </w:tcPr>
          <w:p>
            <w:pPr>
              <w:widowControl/>
              <w:jc w:val="left"/>
              <w:rPr>
                <w:color w:val="auto"/>
                <w:sz w:val="24"/>
                <w:highlight w:val="none"/>
              </w:rPr>
            </w:pPr>
          </w:p>
        </w:tc>
        <w:tc>
          <w:tcPr>
            <w:tcW w:w="3234" w:type="dxa"/>
            <w:gridSpan w:val="3"/>
            <w:tcBorders>
              <w:top w:val="single" w:color="auto" w:sz="4" w:space="0"/>
              <w:left w:val="nil"/>
              <w:bottom w:val="single" w:color="auto" w:sz="4" w:space="0"/>
              <w:right w:val="single" w:color="auto" w:sz="4" w:space="0"/>
            </w:tcBorders>
            <w:vAlign w:val="center"/>
          </w:tcPr>
          <w:p>
            <w:pPr>
              <w:rPr>
                <w:rFonts w:asciiTheme="majorEastAsia" w:hAnsiTheme="majorEastAsia" w:eastAsiaTheme="majorEastAsia"/>
                <w:color w:val="auto"/>
                <w:kern w:val="0"/>
                <w:sz w:val="24"/>
                <w:highlight w:val="none"/>
              </w:rPr>
            </w:pPr>
            <w:r>
              <w:rPr>
                <w:rFonts w:hint="eastAsia" w:asciiTheme="majorEastAsia" w:hAnsiTheme="majorEastAsia" w:eastAsiaTheme="majorEastAsia"/>
                <w:color w:val="auto"/>
                <w:sz w:val="24"/>
                <w:highlight w:val="none"/>
              </w:rPr>
              <w:t>操作程序是否规范，采购行为、过程、结果是否公开、公平、公正，采购组织管理是否规范严谨（2分）</w:t>
            </w:r>
            <w:r>
              <w:rPr>
                <w:rFonts w:hint="eastAsia" w:asciiTheme="majorEastAsia" w:hAnsiTheme="majorEastAsia" w:eastAsiaTheme="majorEastAsia"/>
                <w:color w:val="auto"/>
                <w:kern w:val="0"/>
                <w:sz w:val="24"/>
                <w:highlight w:val="none"/>
              </w:rPr>
              <w:t>。</w:t>
            </w:r>
          </w:p>
        </w:tc>
        <w:tc>
          <w:tcPr>
            <w:tcW w:w="4704" w:type="dxa"/>
            <w:gridSpan w:val="3"/>
            <w:tcBorders>
              <w:top w:val="single" w:color="auto" w:sz="4" w:space="0"/>
              <w:left w:val="nil"/>
              <w:bottom w:val="single" w:color="auto" w:sz="4" w:space="0"/>
              <w:right w:val="single" w:color="auto" w:sz="4" w:space="0"/>
            </w:tcBorders>
            <w:vAlign w:val="center"/>
          </w:tcPr>
          <w:p>
            <w:pPr>
              <w:spacing w:line="500" w:lineRule="exact"/>
              <w:jc w:val="center"/>
              <w:rPr>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42" w:type="dxa"/>
            <w:vMerge w:val="continue"/>
            <w:tcBorders>
              <w:top w:val="nil"/>
              <w:left w:val="single" w:color="auto" w:sz="4" w:space="0"/>
              <w:bottom w:val="single" w:color="auto" w:sz="4" w:space="0"/>
              <w:right w:val="single" w:color="auto" w:sz="4" w:space="0"/>
            </w:tcBorders>
            <w:vAlign w:val="center"/>
          </w:tcPr>
          <w:p>
            <w:pPr>
              <w:widowControl/>
              <w:jc w:val="left"/>
              <w:rPr>
                <w:color w:val="auto"/>
                <w:sz w:val="24"/>
                <w:highlight w:val="none"/>
              </w:rPr>
            </w:pPr>
          </w:p>
        </w:tc>
        <w:tc>
          <w:tcPr>
            <w:tcW w:w="3234" w:type="dxa"/>
            <w:gridSpan w:val="3"/>
            <w:tcBorders>
              <w:top w:val="single" w:color="auto" w:sz="4" w:space="0"/>
              <w:left w:val="nil"/>
              <w:bottom w:val="single" w:color="auto" w:sz="4" w:space="0"/>
              <w:right w:val="single" w:color="auto" w:sz="4" w:space="0"/>
            </w:tcBorders>
            <w:vAlign w:val="center"/>
          </w:tcPr>
          <w:p>
            <w:pPr>
              <w:rPr>
                <w:rFonts w:asciiTheme="majorEastAsia" w:hAnsiTheme="majorEastAsia" w:eastAsiaTheme="majorEastAsia"/>
                <w:color w:val="auto"/>
                <w:kern w:val="0"/>
                <w:sz w:val="24"/>
                <w:highlight w:val="none"/>
              </w:rPr>
            </w:pPr>
            <w:r>
              <w:rPr>
                <w:rFonts w:hint="eastAsia" w:asciiTheme="majorEastAsia" w:hAnsiTheme="majorEastAsia" w:eastAsiaTheme="majorEastAsia"/>
                <w:color w:val="auto"/>
                <w:sz w:val="24"/>
                <w:highlight w:val="none"/>
              </w:rPr>
              <w:t>是否及时组织采购，是否有承诺办事时间并能限时办结（2分）</w:t>
            </w:r>
            <w:r>
              <w:rPr>
                <w:rFonts w:hint="eastAsia" w:asciiTheme="majorEastAsia" w:hAnsiTheme="majorEastAsia" w:eastAsiaTheme="majorEastAsia"/>
                <w:color w:val="auto"/>
                <w:kern w:val="0"/>
                <w:sz w:val="24"/>
                <w:highlight w:val="none"/>
              </w:rPr>
              <w:t>。</w:t>
            </w:r>
          </w:p>
        </w:tc>
        <w:tc>
          <w:tcPr>
            <w:tcW w:w="4704" w:type="dxa"/>
            <w:gridSpan w:val="3"/>
            <w:tcBorders>
              <w:top w:val="single" w:color="auto" w:sz="4" w:space="0"/>
              <w:left w:val="nil"/>
              <w:bottom w:val="single" w:color="auto" w:sz="4" w:space="0"/>
              <w:right w:val="single" w:color="auto" w:sz="4" w:space="0"/>
            </w:tcBorders>
            <w:vAlign w:val="center"/>
          </w:tcPr>
          <w:p>
            <w:pPr>
              <w:spacing w:line="500" w:lineRule="exact"/>
              <w:jc w:val="center"/>
              <w:rPr>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42" w:type="dxa"/>
            <w:vMerge w:val="continue"/>
            <w:tcBorders>
              <w:top w:val="nil"/>
              <w:left w:val="single" w:color="auto" w:sz="4" w:space="0"/>
              <w:bottom w:val="single" w:color="auto" w:sz="4" w:space="0"/>
              <w:right w:val="single" w:color="auto" w:sz="4" w:space="0"/>
            </w:tcBorders>
            <w:vAlign w:val="center"/>
          </w:tcPr>
          <w:p>
            <w:pPr>
              <w:widowControl/>
              <w:jc w:val="left"/>
              <w:rPr>
                <w:color w:val="auto"/>
                <w:sz w:val="24"/>
                <w:highlight w:val="none"/>
              </w:rPr>
            </w:pPr>
          </w:p>
        </w:tc>
        <w:tc>
          <w:tcPr>
            <w:tcW w:w="3234" w:type="dxa"/>
            <w:gridSpan w:val="3"/>
            <w:tcBorders>
              <w:top w:val="single" w:color="auto" w:sz="4" w:space="0"/>
              <w:left w:val="nil"/>
              <w:bottom w:val="single" w:color="auto" w:sz="4" w:space="0"/>
              <w:right w:val="single" w:color="auto" w:sz="4" w:space="0"/>
            </w:tcBorders>
            <w:vAlign w:val="center"/>
          </w:tcPr>
          <w:p>
            <w:pPr>
              <w:rPr>
                <w:rFonts w:asciiTheme="majorEastAsia" w:hAnsiTheme="majorEastAsia" w:eastAsiaTheme="majorEastAsia"/>
                <w:color w:val="auto"/>
                <w:sz w:val="24"/>
                <w:highlight w:val="none"/>
              </w:rPr>
            </w:pPr>
            <w:r>
              <w:rPr>
                <w:rFonts w:hint="eastAsia" w:asciiTheme="majorEastAsia" w:hAnsiTheme="majorEastAsia" w:eastAsiaTheme="majorEastAsia"/>
                <w:color w:val="auto"/>
                <w:sz w:val="24"/>
                <w:highlight w:val="none"/>
              </w:rPr>
              <w:t>是否能积极</w:t>
            </w:r>
            <w:r>
              <w:rPr>
                <w:rFonts w:hint="eastAsia" w:asciiTheme="majorEastAsia" w:hAnsiTheme="majorEastAsia" w:eastAsiaTheme="majorEastAsia"/>
                <w:color w:val="auto"/>
                <w:kern w:val="0"/>
                <w:sz w:val="24"/>
                <w:highlight w:val="none"/>
              </w:rPr>
              <w:t>主动</w:t>
            </w:r>
            <w:r>
              <w:rPr>
                <w:rFonts w:hint="eastAsia" w:asciiTheme="majorEastAsia" w:hAnsiTheme="majorEastAsia" w:eastAsiaTheme="majorEastAsia"/>
                <w:color w:val="auto"/>
                <w:sz w:val="24"/>
                <w:highlight w:val="none"/>
              </w:rPr>
              <w:t>与当事人沟通</w:t>
            </w:r>
            <w:r>
              <w:rPr>
                <w:rFonts w:hint="eastAsia" w:asciiTheme="majorEastAsia" w:hAnsiTheme="majorEastAsia" w:eastAsiaTheme="majorEastAsia"/>
                <w:color w:val="auto"/>
                <w:kern w:val="0"/>
                <w:sz w:val="24"/>
                <w:highlight w:val="none"/>
              </w:rPr>
              <w:t>对接；对采购政策进行详细解读；</w:t>
            </w:r>
            <w:r>
              <w:rPr>
                <w:rFonts w:hint="eastAsia" w:asciiTheme="majorEastAsia" w:hAnsiTheme="majorEastAsia" w:eastAsiaTheme="majorEastAsia"/>
                <w:color w:val="auto"/>
                <w:sz w:val="24"/>
                <w:highlight w:val="none"/>
              </w:rPr>
              <w:t>咨询答复是否热情周到、耐心细致（2分）</w:t>
            </w:r>
            <w:r>
              <w:rPr>
                <w:rFonts w:hint="eastAsia" w:asciiTheme="majorEastAsia" w:hAnsiTheme="majorEastAsia" w:eastAsiaTheme="majorEastAsia"/>
                <w:color w:val="auto"/>
                <w:kern w:val="0"/>
                <w:sz w:val="24"/>
                <w:highlight w:val="none"/>
              </w:rPr>
              <w:t>。</w:t>
            </w:r>
          </w:p>
        </w:tc>
        <w:tc>
          <w:tcPr>
            <w:tcW w:w="4704" w:type="dxa"/>
            <w:gridSpan w:val="3"/>
            <w:tcBorders>
              <w:top w:val="single" w:color="auto" w:sz="4" w:space="0"/>
              <w:left w:val="nil"/>
              <w:bottom w:val="single" w:color="auto" w:sz="4" w:space="0"/>
              <w:right w:val="single" w:color="auto" w:sz="4" w:space="0"/>
            </w:tcBorders>
            <w:vAlign w:val="center"/>
          </w:tcPr>
          <w:p>
            <w:pPr>
              <w:spacing w:line="500" w:lineRule="exact"/>
              <w:jc w:val="center"/>
              <w:rPr>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42" w:type="dxa"/>
            <w:vMerge w:val="continue"/>
            <w:tcBorders>
              <w:top w:val="nil"/>
              <w:left w:val="single" w:color="auto" w:sz="4" w:space="0"/>
              <w:bottom w:val="single" w:color="auto" w:sz="4" w:space="0"/>
              <w:right w:val="single" w:color="auto" w:sz="4" w:space="0"/>
            </w:tcBorders>
            <w:vAlign w:val="center"/>
          </w:tcPr>
          <w:p>
            <w:pPr>
              <w:widowControl/>
              <w:jc w:val="left"/>
              <w:rPr>
                <w:color w:val="auto"/>
                <w:sz w:val="24"/>
                <w:highlight w:val="none"/>
              </w:rPr>
            </w:pPr>
          </w:p>
        </w:tc>
        <w:tc>
          <w:tcPr>
            <w:tcW w:w="3234" w:type="dxa"/>
            <w:gridSpan w:val="3"/>
            <w:tcBorders>
              <w:top w:val="single" w:color="auto" w:sz="4" w:space="0"/>
              <w:left w:val="nil"/>
              <w:bottom w:val="single" w:color="auto" w:sz="4" w:space="0"/>
              <w:right w:val="single" w:color="auto" w:sz="4" w:space="0"/>
            </w:tcBorders>
            <w:vAlign w:val="center"/>
          </w:tcPr>
          <w:p>
            <w:pPr>
              <w:rPr>
                <w:rFonts w:asciiTheme="majorEastAsia" w:hAnsiTheme="majorEastAsia" w:eastAsiaTheme="majorEastAsia"/>
                <w:color w:val="auto"/>
                <w:sz w:val="24"/>
                <w:highlight w:val="none"/>
              </w:rPr>
            </w:pPr>
            <w:r>
              <w:rPr>
                <w:rFonts w:hint="eastAsia" w:asciiTheme="majorEastAsia" w:hAnsiTheme="majorEastAsia" w:eastAsiaTheme="majorEastAsia"/>
                <w:color w:val="auto"/>
                <w:sz w:val="24"/>
                <w:highlight w:val="none"/>
              </w:rPr>
              <w:t>采购的质量、服务是否满意（2分）。</w:t>
            </w:r>
          </w:p>
        </w:tc>
        <w:tc>
          <w:tcPr>
            <w:tcW w:w="4704" w:type="dxa"/>
            <w:gridSpan w:val="3"/>
            <w:tcBorders>
              <w:top w:val="single" w:color="auto" w:sz="4" w:space="0"/>
              <w:left w:val="nil"/>
              <w:bottom w:val="single" w:color="auto" w:sz="4" w:space="0"/>
              <w:right w:val="single" w:color="auto" w:sz="4" w:space="0"/>
            </w:tcBorders>
            <w:vAlign w:val="center"/>
          </w:tcPr>
          <w:p>
            <w:pPr>
              <w:spacing w:line="500" w:lineRule="exact"/>
              <w:jc w:val="center"/>
              <w:rPr>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42" w:type="dxa"/>
            <w:vMerge w:val="continue"/>
            <w:tcBorders>
              <w:top w:val="nil"/>
              <w:left w:val="single" w:color="auto" w:sz="4" w:space="0"/>
              <w:bottom w:val="single" w:color="auto" w:sz="4" w:space="0"/>
              <w:right w:val="single" w:color="auto" w:sz="4" w:space="0"/>
            </w:tcBorders>
            <w:vAlign w:val="center"/>
          </w:tcPr>
          <w:p>
            <w:pPr>
              <w:widowControl/>
              <w:jc w:val="left"/>
              <w:rPr>
                <w:color w:val="auto"/>
                <w:sz w:val="24"/>
                <w:highlight w:val="none"/>
              </w:rPr>
            </w:pPr>
          </w:p>
        </w:tc>
        <w:tc>
          <w:tcPr>
            <w:tcW w:w="3234" w:type="dxa"/>
            <w:gridSpan w:val="3"/>
            <w:tcBorders>
              <w:top w:val="single" w:color="auto" w:sz="4" w:space="0"/>
              <w:left w:val="nil"/>
              <w:bottom w:val="single" w:color="auto" w:sz="4" w:space="0"/>
              <w:right w:val="single" w:color="auto" w:sz="4" w:space="0"/>
            </w:tcBorders>
            <w:vAlign w:val="center"/>
          </w:tcPr>
          <w:p>
            <w:pPr>
              <w:spacing w:line="500" w:lineRule="exact"/>
              <w:jc w:val="center"/>
              <w:rPr>
                <w:color w:val="auto"/>
                <w:sz w:val="24"/>
                <w:highlight w:val="none"/>
              </w:rPr>
            </w:pPr>
            <w:r>
              <w:rPr>
                <w:rFonts w:hint="eastAsia" w:ascii="宋体" w:hAnsi="宋体"/>
                <w:color w:val="auto"/>
                <w:sz w:val="24"/>
                <w:highlight w:val="none"/>
              </w:rPr>
              <w:t>合计</w:t>
            </w:r>
          </w:p>
        </w:tc>
        <w:tc>
          <w:tcPr>
            <w:tcW w:w="4704" w:type="dxa"/>
            <w:gridSpan w:val="3"/>
            <w:tcBorders>
              <w:top w:val="single" w:color="auto" w:sz="4" w:space="0"/>
              <w:left w:val="nil"/>
              <w:bottom w:val="single" w:color="auto" w:sz="4" w:space="0"/>
              <w:right w:val="single" w:color="auto" w:sz="4" w:space="0"/>
            </w:tcBorders>
            <w:vAlign w:val="center"/>
          </w:tcPr>
          <w:p>
            <w:pPr>
              <w:spacing w:line="500" w:lineRule="exact"/>
              <w:jc w:val="center"/>
              <w:rPr>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7" w:hRule="atLeast"/>
        </w:trPr>
        <w:tc>
          <w:tcPr>
            <w:tcW w:w="1242" w:type="dxa"/>
            <w:tcBorders>
              <w:top w:val="single" w:color="auto" w:sz="4" w:space="0"/>
              <w:left w:val="single" w:color="auto" w:sz="4" w:space="0"/>
              <w:bottom w:val="single" w:color="auto" w:sz="4" w:space="0"/>
              <w:right w:val="single" w:color="auto" w:sz="4" w:space="0"/>
            </w:tcBorders>
            <w:vAlign w:val="center"/>
          </w:tcPr>
          <w:p>
            <w:pPr>
              <w:jc w:val="center"/>
              <w:rPr>
                <w:color w:val="auto"/>
                <w:sz w:val="24"/>
                <w:highlight w:val="none"/>
              </w:rPr>
            </w:pPr>
            <w:r>
              <w:rPr>
                <w:rFonts w:hint="eastAsia" w:ascii="宋体" w:hAnsi="宋体"/>
                <w:color w:val="auto"/>
                <w:sz w:val="24"/>
                <w:highlight w:val="none"/>
              </w:rPr>
              <w:t>对代理机构的意见和建议</w:t>
            </w:r>
          </w:p>
        </w:tc>
        <w:tc>
          <w:tcPr>
            <w:tcW w:w="7938" w:type="dxa"/>
            <w:gridSpan w:val="6"/>
            <w:tcBorders>
              <w:top w:val="single" w:color="auto" w:sz="4" w:space="0"/>
              <w:left w:val="nil"/>
              <w:bottom w:val="single" w:color="auto" w:sz="4" w:space="0"/>
              <w:right w:val="single" w:color="auto" w:sz="4" w:space="0"/>
            </w:tcBorders>
            <w:vAlign w:val="center"/>
          </w:tcPr>
          <w:p>
            <w:pPr>
              <w:jc w:val="center"/>
              <w:rPr>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4" w:hRule="atLeast"/>
        </w:trPr>
        <w:tc>
          <w:tcPr>
            <w:tcW w:w="1242" w:type="dxa"/>
            <w:tcBorders>
              <w:top w:val="single" w:color="auto" w:sz="4" w:space="0"/>
              <w:left w:val="single" w:color="auto" w:sz="4" w:space="0"/>
              <w:bottom w:val="single" w:color="auto" w:sz="4" w:space="0"/>
              <w:right w:val="single" w:color="auto" w:sz="4" w:space="0"/>
            </w:tcBorders>
            <w:vAlign w:val="center"/>
          </w:tcPr>
          <w:p>
            <w:pPr>
              <w:jc w:val="center"/>
              <w:rPr>
                <w:color w:val="auto"/>
                <w:sz w:val="24"/>
                <w:highlight w:val="none"/>
              </w:rPr>
            </w:pPr>
            <w:r>
              <w:rPr>
                <w:rFonts w:hint="eastAsia" w:ascii="宋体" w:hAnsi="宋体"/>
                <w:color w:val="auto"/>
                <w:sz w:val="24"/>
                <w:highlight w:val="none"/>
              </w:rPr>
              <w:t>备注</w:t>
            </w:r>
          </w:p>
        </w:tc>
        <w:tc>
          <w:tcPr>
            <w:tcW w:w="7938" w:type="dxa"/>
            <w:gridSpan w:val="6"/>
            <w:tcBorders>
              <w:top w:val="single" w:color="auto" w:sz="4" w:space="0"/>
              <w:left w:val="nil"/>
              <w:bottom w:val="single" w:color="auto" w:sz="4" w:space="0"/>
              <w:right w:val="single" w:color="auto" w:sz="4" w:space="0"/>
            </w:tcBorders>
            <w:vAlign w:val="center"/>
          </w:tcPr>
          <w:p>
            <w:pPr>
              <w:jc w:val="center"/>
              <w:rPr>
                <w:color w:val="auto"/>
                <w:sz w:val="24"/>
                <w:highlight w:val="none"/>
              </w:rPr>
            </w:pPr>
          </w:p>
        </w:tc>
      </w:tr>
    </w:tbl>
    <w:p>
      <w:pPr>
        <w:spacing w:after="120"/>
        <w:ind w:right="1240"/>
        <w:rPr>
          <w:rFonts w:ascii="宋体" w:hAnsi="宋体" w:cs="宋体"/>
          <w:color w:val="auto"/>
          <w:sz w:val="24"/>
          <w:highlight w:val="none"/>
        </w:rPr>
      </w:pPr>
      <w:r>
        <w:rPr>
          <w:rFonts w:hint="eastAsia" w:ascii="宋体" w:hAnsi="宋体"/>
          <w:color w:val="auto"/>
          <w:sz w:val="24"/>
          <w:highlight w:val="none"/>
        </w:rPr>
        <w:t>填表人签字盖章：</w:t>
      </w:r>
      <w:r>
        <w:rPr>
          <w:color w:val="auto"/>
          <w:sz w:val="24"/>
          <w:highlight w:val="none"/>
        </w:rPr>
        <w:t xml:space="preserve">                    </w:t>
      </w:r>
      <w:r>
        <w:rPr>
          <w:rFonts w:hint="eastAsia" w:ascii="宋体" w:hAnsi="宋体"/>
          <w:color w:val="auto"/>
          <w:sz w:val="24"/>
          <w:highlight w:val="none"/>
        </w:rPr>
        <w:t>日期</w:t>
      </w:r>
    </w:p>
    <w:p>
      <w:pPr>
        <w:spacing w:after="120"/>
        <w:ind w:right="-154"/>
        <w:rPr>
          <w:rFonts w:ascii="宋体" w:hAnsi="宋体" w:cs="宋体"/>
          <w:color w:val="auto"/>
          <w:szCs w:val="21"/>
          <w:highlight w:val="none"/>
        </w:rPr>
      </w:pPr>
      <w:r>
        <w:rPr>
          <w:rFonts w:hint="eastAsia" w:ascii="宋体" w:hAnsi="宋体" w:cs="宋体"/>
          <w:color w:val="auto"/>
          <w:szCs w:val="21"/>
          <w:highlight w:val="none"/>
        </w:rPr>
        <w:t>注：磋商单位须加盖单位红章。</w:t>
      </w:r>
    </w:p>
    <w:p>
      <w:pPr>
        <w:pStyle w:val="19"/>
        <w:rPr>
          <w:rFonts w:ascii="宋体" w:hAnsi="宋体" w:cs="宋体"/>
          <w:color w:val="auto"/>
          <w:szCs w:val="21"/>
          <w:highlight w:val="none"/>
        </w:rPr>
      </w:pPr>
    </w:p>
    <w:p>
      <w:pPr>
        <w:pStyle w:val="6"/>
        <w:rPr>
          <w:rFonts w:ascii="宋体" w:hAnsi="宋体" w:eastAsia="宋体" w:cs="宋体"/>
          <w:b w:val="0"/>
          <w:color w:val="auto"/>
          <w:sz w:val="24"/>
          <w:szCs w:val="24"/>
          <w:highlight w:val="none"/>
        </w:rPr>
      </w:pPr>
      <w:bookmarkStart w:id="101" w:name="_Toc25988"/>
      <w:r>
        <w:rPr>
          <w:rFonts w:hint="eastAsia" w:ascii="宋体" w:hAnsi="宋体" w:eastAsia="宋体" w:cs="宋体"/>
          <w:b w:val="0"/>
          <w:color w:val="auto"/>
          <w:sz w:val="24"/>
          <w:szCs w:val="24"/>
          <w:highlight w:val="none"/>
        </w:rPr>
        <w:t>附件二十：办理保函需提供资料</w:t>
      </w:r>
      <w:bookmarkEnd w:id="101"/>
    </w:p>
    <w:p>
      <w:pPr>
        <w:spacing w:after="120"/>
        <w:ind w:right="-154"/>
        <w:rPr>
          <w:rFonts w:ascii="宋体" w:hAnsi="宋体" w:cs="宋体"/>
          <w:color w:val="auto"/>
          <w:sz w:val="24"/>
          <w:highlight w:val="none"/>
        </w:rPr>
      </w:pPr>
    </w:p>
    <w:p>
      <w:pPr>
        <w:spacing w:after="120"/>
        <w:ind w:right="-154"/>
        <w:jc w:val="center"/>
        <w:rPr>
          <w:rFonts w:ascii="宋体" w:hAnsi="宋体" w:cs="宋体"/>
          <w:b/>
          <w:color w:val="auto"/>
          <w:sz w:val="40"/>
          <w:szCs w:val="40"/>
          <w:highlight w:val="none"/>
        </w:rPr>
      </w:pPr>
      <w:r>
        <w:rPr>
          <w:rFonts w:hint="eastAsia" w:ascii="宋体" w:hAnsi="宋体" w:cs="宋体"/>
          <w:b/>
          <w:color w:val="auto"/>
          <w:sz w:val="40"/>
          <w:szCs w:val="40"/>
          <w:highlight w:val="none"/>
        </w:rPr>
        <w:t>办理保函需提供资料</w:t>
      </w:r>
    </w:p>
    <w:p>
      <w:pPr>
        <w:numPr>
          <w:ilvl w:val="0"/>
          <w:numId w:val="10"/>
        </w:numPr>
        <w:spacing w:line="800" w:lineRule="exact"/>
        <w:jc w:val="left"/>
        <w:rPr>
          <w:rFonts w:ascii="宋体" w:hAnsi="宋体" w:cs="宋体"/>
          <w:color w:val="auto"/>
          <w:sz w:val="24"/>
          <w:highlight w:val="none"/>
        </w:rPr>
      </w:pPr>
      <w:r>
        <w:rPr>
          <w:rFonts w:hint="eastAsia" w:ascii="宋体" w:hAnsi="宋体" w:cs="宋体"/>
          <w:color w:val="auto"/>
          <w:sz w:val="24"/>
          <w:highlight w:val="none"/>
        </w:rPr>
        <w:t>营业执照</w:t>
      </w:r>
    </w:p>
    <w:p>
      <w:pPr>
        <w:numPr>
          <w:ilvl w:val="0"/>
          <w:numId w:val="10"/>
        </w:numPr>
        <w:spacing w:line="800" w:lineRule="exact"/>
        <w:jc w:val="left"/>
        <w:rPr>
          <w:rFonts w:ascii="宋体" w:hAnsi="宋体" w:cs="宋体"/>
          <w:color w:val="auto"/>
          <w:sz w:val="24"/>
          <w:highlight w:val="none"/>
        </w:rPr>
      </w:pPr>
      <w:r>
        <w:rPr>
          <w:rFonts w:hint="eastAsia" w:ascii="宋体" w:hAnsi="宋体" w:cs="宋体"/>
          <w:color w:val="auto"/>
          <w:sz w:val="24"/>
          <w:highlight w:val="none"/>
        </w:rPr>
        <w:t>法人身份证</w:t>
      </w:r>
    </w:p>
    <w:p>
      <w:pPr>
        <w:numPr>
          <w:ilvl w:val="0"/>
          <w:numId w:val="10"/>
        </w:numPr>
        <w:spacing w:line="800" w:lineRule="exact"/>
        <w:jc w:val="left"/>
        <w:rPr>
          <w:rFonts w:ascii="宋体" w:hAnsi="宋体" w:cs="宋体"/>
          <w:color w:val="auto"/>
          <w:sz w:val="24"/>
          <w:highlight w:val="none"/>
        </w:rPr>
      </w:pPr>
      <w:r>
        <w:rPr>
          <w:rFonts w:hint="eastAsia" w:ascii="宋体" w:hAnsi="宋体" w:cs="宋体"/>
          <w:color w:val="auto"/>
          <w:sz w:val="24"/>
          <w:highlight w:val="none"/>
        </w:rPr>
        <w:t>近两年财务报表</w:t>
      </w:r>
    </w:p>
    <w:p>
      <w:pPr>
        <w:numPr>
          <w:ilvl w:val="0"/>
          <w:numId w:val="10"/>
        </w:numPr>
        <w:spacing w:line="800" w:lineRule="exact"/>
        <w:jc w:val="left"/>
        <w:rPr>
          <w:rFonts w:ascii="宋体" w:hAnsi="宋体" w:cs="宋体"/>
          <w:color w:val="auto"/>
          <w:sz w:val="24"/>
          <w:highlight w:val="none"/>
        </w:rPr>
      </w:pPr>
      <w:r>
        <w:rPr>
          <w:rFonts w:hint="eastAsia" w:ascii="宋体" w:hAnsi="宋体" w:cs="宋体"/>
          <w:color w:val="auto"/>
          <w:sz w:val="24"/>
          <w:highlight w:val="none"/>
        </w:rPr>
        <w:t>资质证书或安装，维修证书</w:t>
      </w:r>
    </w:p>
    <w:p>
      <w:pPr>
        <w:numPr>
          <w:ilvl w:val="0"/>
          <w:numId w:val="10"/>
        </w:numPr>
        <w:spacing w:line="800" w:lineRule="exact"/>
        <w:jc w:val="left"/>
        <w:rPr>
          <w:rFonts w:ascii="宋体" w:hAnsi="宋体" w:cs="宋体"/>
          <w:color w:val="auto"/>
          <w:sz w:val="24"/>
          <w:highlight w:val="none"/>
        </w:rPr>
      </w:pPr>
      <w:r>
        <w:rPr>
          <w:rFonts w:hint="eastAsia" w:ascii="宋体" w:hAnsi="宋体" w:cs="宋体"/>
          <w:color w:val="auto"/>
          <w:sz w:val="24"/>
          <w:highlight w:val="none"/>
        </w:rPr>
        <w:t>中标通知书</w:t>
      </w:r>
    </w:p>
    <w:p>
      <w:pPr>
        <w:numPr>
          <w:ilvl w:val="0"/>
          <w:numId w:val="10"/>
        </w:numPr>
        <w:spacing w:line="800" w:lineRule="exact"/>
        <w:jc w:val="left"/>
        <w:rPr>
          <w:rFonts w:ascii="宋体" w:hAnsi="宋体" w:cs="宋体"/>
          <w:color w:val="auto"/>
          <w:sz w:val="24"/>
          <w:highlight w:val="none"/>
        </w:rPr>
      </w:pPr>
      <w:r>
        <w:rPr>
          <w:rFonts w:hint="eastAsia" w:ascii="宋体" w:hAnsi="宋体" w:cs="宋体"/>
          <w:color w:val="auto"/>
          <w:sz w:val="24"/>
          <w:highlight w:val="none"/>
        </w:rPr>
        <w:t>磋商文件电子版</w:t>
      </w:r>
    </w:p>
    <w:p>
      <w:pPr>
        <w:numPr>
          <w:ilvl w:val="0"/>
          <w:numId w:val="10"/>
        </w:numPr>
        <w:spacing w:line="800" w:lineRule="exact"/>
        <w:jc w:val="left"/>
        <w:rPr>
          <w:rFonts w:ascii="宋体" w:hAnsi="宋体" w:cs="宋体"/>
          <w:color w:val="auto"/>
          <w:sz w:val="24"/>
          <w:highlight w:val="none"/>
        </w:rPr>
      </w:pPr>
      <w:r>
        <w:rPr>
          <w:rFonts w:hint="eastAsia" w:ascii="宋体" w:hAnsi="宋体" w:cs="宋体"/>
          <w:color w:val="auto"/>
          <w:sz w:val="24"/>
          <w:highlight w:val="none"/>
        </w:rPr>
        <w:t>信用反担保函</w:t>
      </w:r>
    </w:p>
    <w:p>
      <w:pPr>
        <w:spacing w:line="800" w:lineRule="exact"/>
        <w:jc w:val="left"/>
        <w:rPr>
          <w:rFonts w:ascii="宋体" w:hAnsi="宋体" w:cs="宋体"/>
          <w:color w:val="auto"/>
          <w:sz w:val="24"/>
          <w:highlight w:val="none"/>
        </w:rPr>
      </w:pPr>
      <w:r>
        <w:rPr>
          <w:rFonts w:hint="eastAsia" w:ascii="宋体" w:hAnsi="宋体" w:cs="宋体"/>
          <w:color w:val="auto"/>
          <w:sz w:val="24"/>
          <w:highlight w:val="none"/>
        </w:rPr>
        <w:t>注：所有资料复印件加盖公章</w:t>
      </w:r>
    </w:p>
    <w:p>
      <w:pPr>
        <w:spacing w:after="120"/>
        <w:ind w:right="-154"/>
        <w:rPr>
          <w:rFonts w:ascii="宋体" w:hAnsi="宋体" w:cs="宋体"/>
          <w:b/>
          <w:color w:val="auto"/>
          <w:sz w:val="24"/>
          <w:highlight w:val="none"/>
        </w:rPr>
      </w:pPr>
    </w:p>
    <w:p>
      <w:pPr>
        <w:spacing w:after="120"/>
        <w:ind w:right="-154"/>
        <w:rPr>
          <w:rFonts w:ascii="宋体" w:hAnsi="宋体" w:cs="宋体"/>
          <w:b/>
          <w:color w:val="auto"/>
          <w:sz w:val="24"/>
          <w:highlight w:val="none"/>
        </w:rPr>
      </w:pPr>
    </w:p>
    <w:p>
      <w:pPr>
        <w:spacing w:after="120"/>
        <w:ind w:right="-154"/>
        <w:rPr>
          <w:rFonts w:ascii="宋体" w:hAnsi="宋体" w:cs="宋体"/>
          <w:b/>
          <w:color w:val="auto"/>
          <w:sz w:val="24"/>
          <w:highlight w:val="none"/>
        </w:rPr>
      </w:pPr>
    </w:p>
    <w:p>
      <w:pPr>
        <w:spacing w:after="120"/>
        <w:ind w:right="-154"/>
        <w:rPr>
          <w:rFonts w:ascii="宋体" w:hAnsi="宋体" w:cs="宋体"/>
          <w:b/>
          <w:color w:val="auto"/>
          <w:sz w:val="24"/>
          <w:highlight w:val="none"/>
        </w:rPr>
      </w:pPr>
    </w:p>
    <w:p>
      <w:pPr>
        <w:spacing w:after="120"/>
        <w:ind w:right="-154"/>
        <w:rPr>
          <w:rFonts w:ascii="宋体" w:hAnsi="宋体" w:cs="宋体"/>
          <w:b/>
          <w:color w:val="auto"/>
          <w:sz w:val="24"/>
          <w:highlight w:val="none"/>
        </w:rPr>
      </w:pPr>
    </w:p>
    <w:p>
      <w:pPr>
        <w:spacing w:after="120"/>
        <w:ind w:right="-154"/>
        <w:rPr>
          <w:rFonts w:ascii="宋体" w:hAnsi="宋体" w:cs="宋体"/>
          <w:b/>
          <w:color w:val="auto"/>
          <w:sz w:val="24"/>
          <w:highlight w:val="none"/>
        </w:rPr>
      </w:pPr>
    </w:p>
    <w:p>
      <w:pPr>
        <w:spacing w:after="120"/>
        <w:ind w:right="-154"/>
        <w:rPr>
          <w:rFonts w:ascii="宋体" w:hAnsi="宋体" w:cs="宋体"/>
          <w:b/>
          <w:color w:val="auto"/>
          <w:sz w:val="24"/>
          <w:highlight w:val="none"/>
        </w:rPr>
      </w:pPr>
    </w:p>
    <w:p>
      <w:pPr>
        <w:spacing w:after="120"/>
        <w:ind w:right="-154"/>
        <w:rPr>
          <w:rFonts w:ascii="宋体" w:hAnsi="宋体" w:cs="宋体"/>
          <w:b/>
          <w:color w:val="auto"/>
          <w:sz w:val="24"/>
          <w:highlight w:val="none"/>
        </w:rPr>
      </w:pPr>
    </w:p>
    <w:p>
      <w:pPr>
        <w:spacing w:after="120"/>
        <w:ind w:right="-154"/>
        <w:rPr>
          <w:rFonts w:ascii="宋体" w:hAnsi="宋体" w:cs="宋体"/>
          <w:b/>
          <w:color w:val="auto"/>
          <w:sz w:val="24"/>
          <w:highlight w:val="none"/>
        </w:rPr>
      </w:pPr>
    </w:p>
    <w:p>
      <w:pPr>
        <w:spacing w:after="120"/>
        <w:ind w:right="-154"/>
        <w:rPr>
          <w:rFonts w:ascii="宋体" w:hAnsi="宋体" w:cs="宋体"/>
          <w:b/>
          <w:color w:val="auto"/>
          <w:sz w:val="24"/>
          <w:highlight w:val="none"/>
        </w:rPr>
      </w:pPr>
    </w:p>
    <w:p>
      <w:pPr>
        <w:spacing w:after="120"/>
        <w:ind w:right="-154"/>
        <w:rPr>
          <w:rFonts w:ascii="宋体" w:hAnsi="宋体" w:cs="宋体"/>
          <w:b/>
          <w:color w:val="auto"/>
          <w:sz w:val="24"/>
          <w:highlight w:val="none"/>
        </w:rPr>
      </w:pPr>
    </w:p>
    <w:p>
      <w:pPr>
        <w:spacing w:after="120"/>
        <w:ind w:right="-154"/>
        <w:rPr>
          <w:rFonts w:ascii="宋体" w:hAnsi="宋体" w:cs="宋体"/>
          <w:b/>
          <w:color w:val="auto"/>
          <w:sz w:val="24"/>
          <w:highlight w:val="none"/>
        </w:rPr>
      </w:pPr>
    </w:p>
    <w:p>
      <w:pPr>
        <w:pageBreakBefore/>
        <w:spacing w:line="360" w:lineRule="auto"/>
        <w:jc w:val="center"/>
        <w:rPr>
          <w:rFonts w:ascii="宋体" w:hAnsi="宋体" w:cs="宋体"/>
          <w:color w:val="auto"/>
          <w:sz w:val="44"/>
          <w:szCs w:val="44"/>
          <w:highlight w:val="none"/>
        </w:rPr>
      </w:pPr>
      <w:r>
        <w:rPr>
          <w:rFonts w:hint="eastAsia" w:ascii="宋体" w:hAnsi="宋体" w:cs="宋体"/>
          <w:color w:val="auto"/>
          <w:sz w:val="44"/>
          <w:szCs w:val="44"/>
          <w:highlight w:val="none"/>
        </w:rPr>
        <w:t>信用反担保保证函</w:t>
      </w:r>
    </w:p>
    <w:p>
      <w:pPr>
        <w:spacing w:line="520" w:lineRule="exact"/>
        <w:rPr>
          <w:rFonts w:ascii="宋体" w:hAnsi="宋体" w:cs="宋体"/>
          <w:color w:val="auto"/>
          <w:sz w:val="24"/>
          <w:highlight w:val="none"/>
        </w:rPr>
      </w:pPr>
      <w:r>
        <w:rPr>
          <w:rFonts w:hint="eastAsia" w:ascii="宋体" w:hAnsi="宋体" w:cs="宋体"/>
          <w:color w:val="auto"/>
          <w:sz w:val="24"/>
          <w:highlight w:val="none"/>
        </w:rPr>
        <w:t>中国人民财产保险股份有限公司</w:t>
      </w:r>
      <w:r>
        <w:rPr>
          <w:rFonts w:hint="eastAsia" w:ascii="宋体" w:hAnsi="宋体" w:cs="宋体"/>
          <w:b/>
          <w:bCs/>
          <w:color w:val="auto"/>
          <w:sz w:val="24"/>
          <w:highlight w:val="none"/>
          <w:u w:val="single"/>
        </w:rPr>
        <w:t>东阳</w:t>
      </w:r>
      <w:r>
        <w:rPr>
          <w:rFonts w:hint="eastAsia" w:ascii="宋体" w:hAnsi="宋体" w:cs="宋体"/>
          <w:color w:val="auto"/>
          <w:sz w:val="24"/>
          <w:highlight w:val="none"/>
        </w:rPr>
        <w:t>支公司：</w:t>
      </w:r>
    </w:p>
    <w:p>
      <w:pPr>
        <w:spacing w:line="520" w:lineRule="exact"/>
        <w:ind w:firstLine="480" w:firstLineChars="200"/>
        <w:rPr>
          <w:rFonts w:ascii="宋体" w:hAnsi="宋体" w:cs="宋体"/>
          <w:b/>
          <w:bCs/>
          <w:color w:val="auto"/>
          <w:sz w:val="24"/>
          <w:highlight w:val="none"/>
          <w:u w:val="single"/>
        </w:rPr>
      </w:pPr>
      <w:r>
        <w:rPr>
          <w:rFonts w:hint="eastAsia" w:ascii="宋体" w:hAnsi="宋体" w:cs="宋体"/>
          <w:color w:val="auto"/>
          <w:sz w:val="24"/>
          <w:highlight w:val="none"/>
        </w:rPr>
        <w:t>鉴于中国人民财产保险股份有限公司</w:t>
      </w:r>
      <w:r>
        <w:rPr>
          <w:rFonts w:hint="eastAsia" w:ascii="宋体" w:hAnsi="宋体" w:cs="宋体"/>
          <w:b/>
          <w:bCs/>
          <w:color w:val="auto"/>
          <w:sz w:val="24"/>
          <w:highlight w:val="none"/>
          <w:u w:val="single"/>
        </w:rPr>
        <w:t>东阳</w:t>
      </w:r>
      <w:r>
        <w:rPr>
          <w:rFonts w:hint="eastAsia" w:ascii="宋体" w:hAnsi="宋体" w:cs="宋体"/>
          <w:color w:val="auto"/>
          <w:sz w:val="24"/>
          <w:highlight w:val="none"/>
        </w:rPr>
        <w:t>支公司向</w:t>
      </w:r>
    </w:p>
    <w:p>
      <w:pPr>
        <w:spacing w:line="520" w:lineRule="exact"/>
        <w:ind w:firstLine="482" w:firstLineChars="200"/>
        <w:jc w:val="left"/>
        <w:rPr>
          <w:rFonts w:ascii="宋体" w:hAnsi="宋体" w:cs="宋体"/>
          <w:color w:val="auto"/>
          <w:sz w:val="24"/>
          <w:highlight w:val="none"/>
          <w:u w:val="single"/>
        </w:rPr>
      </w:pPr>
      <w:r>
        <w:rPr>
          <w:rFonts w:hint="eastAsia" w:ascii="宋体" w:hAnsi="宋体" w:cs="宋体"/>
          <w:b/>
          <w:bCs/>
          <w:color w:val="auto"/>
          <w:sz w:val="24"/>
          <w:highlight w:val="none"/>
          <w:u w:val="single"/>
        </w:rPr>
        <w:t xml:space="preserve">             </w:t>
      </w:r>
      <w:r>
        <w:rPr>
          <w:rFonts w:hint="eastAsia" w:ascii="宋体" w:hAnsi="宋体" w:cs="宋体"/>
          <w:color w:val="auto"/>
          <w:sz w:val="24"/>
          <w:highlight w:val="none"/>
        </w:rPr>
        <w:t>公司出具《供货履约保证保险》保单（保单编号：</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 xml:space="preserve">），并承担相应的保险责任（具体以保险合同条款为准），最高保险金额为人民币（大写） </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（小写：</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）；为促进该业务的良好开展，</w:t>
      </w:r>
      <w:r>
        <w:rPr>
          <w:rFonts w:hint="eastAsia" w:ascii="宋体" w:hAnsi="宋体" w:cs="宋体"/>
          <w:color w:val="auto"/>
          <w:sz w:val="24"/>
          <w:highlight w:val="none"/>
          <w:u w:val="single"/>
        </w:rPr>
        <w:t xml:space="preserve">                                                     </w:t>
      </w:r>
    </w:p>
    <w:p>
      <w:pPr>
        <w:spacing w:line="520" w:lineRule="exact"/>
        <w:rPr>
          <w:rFonts w:ascii="宋体" w:hAnsi="宋体" w:cs="宋体"/>
          <w:color w:val="auto"/>
          <w:sz w:val="24"/>
          <w:highlight w:val="none"/>
        </w:rPr>
      </w:pPr>
      <w:r>
        <w:rPr>
          <w:rFonts w:hint="eastAsia" w:ascii="宋体" w:hAnsi="宋体" w:cs="宋体"/>
          <w:color w:val="auto"/>
          <w:sz w:val="24"/>
          <w:highlight w:val="none"/>
        </w:rPr>
        <w:t>有限责任公司（以下称本信用反担保保证人）愿意为中国人民财产保险股份有限公司</w:t>
      </w:r>
      <w:r>
        <w:rPr>
          <w:rFonts w:hint="eastAsia" w:ascii="宋体" w:hAnsi="宋体" w:cs="宋体"/>
          <w:b/>
          <w:bCs/>
          <w:color w:val="auto"/>
          <w:sz w:val="24"/>
          <w:highlight w:val="none"/>
          <w:u w:val="single"/>
        </w:rPr>
        <w:t>东阳</w:t>
      </w:r>
      <w:r>
        <w:rPr>
          <w:rFonts w:hint="eastAsia" w:ascii="宋体" w:hAnsi="宋体" w:cs="宋体"/>
          <w:color w:val="auto"/>
          <w:sz w:val="24"/>
          <w:highlight w:val="none"/>
        </w:rPr>
        <w:t>支公司在保险合同项下的一系列保险保障提供信用反担保保证，同意履行以下保证内容：</w:t>
      </w:r>
    </w:p>
    <w:p>
      <w:pPr>
        <w:spacing w:line="520" w:lineRule="exact"/>
        <w:ind w:firstLine="600" w:firstLineChars="250"/>
        <w:rPr>
          <w:rFonts w:ascii="宋体" w:hAnsi="宋体" w:cs="宋体"/>
          <w:color w:val="auto"/>
          <w:sz w:val="24"/>
          <w:highlight w:val="none"/>
        </w:rPr>
      </w:pPr>
      <w:r>
        <w:rPr>
          <w:rFonts w:hint="eastAsia" w:ascii="宋体" w:hAnsi="宋体" w:cs="宋体"/>
          <w:color w:val="auto"/>
          <w:sz w:val="24"/>
          <w:highlight w:val="none"/>
        </w:rPr>
        <w:t>一、 本信用反担保保证人同意承担的保证范围：</w:t>
      </w:r>
    </w:p>
    <w:p>
      <w:pPr>
        <w:spacing w:line="52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（一）中国人民财产保险股份有限公司</w:t>
      </w:r>
      <w:r>
        <w:rPr>
          <w:rFonts w:hint="eastAsia" w:ascii="宋体" w:hAnsi="宋体" w:cs="宋体"/>
          <w:b/>
          <w:bCs/>
          <w:color w:val="auto"/>
          <w:sz w:val="24"/>
          <w:highlight w:val="none"/>
          <w:u w:val="single"/>
        </w:rPr>
        <w:t>东阳</w:t>
      </w:r>
      <w:r>
        <w:rPr>
          <w:rFonts w:hint="eastAsia" w:ascii="宋体" w:hAnsi="宋体" w:cs="宋体"/>
          <w:color w:val="auto"/>
          <w:sz w:val="24"/>
          <w:highlight w:val="none"/>
        </w:rPr>
        <w:t>支公司承保的保单号为：</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的供货履约保证保险合同约定的保险责任、保险金额和履行保证责任而实际发生的费用（包括但不限于诉讼费、公告费、保全费、律师费等）及损失；</w:t>
      </w:r>
    </w:p>
    <w:p>
      <w:pPr>
        <w:spacing w:line="52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（二）本信用反担保保证人承担保证责任的方式为连带保证责任。</w:t>
      </w:r>
    </w:p>
    <w:p>
      <w:pPr>
        <w:spacing w:line="52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二、本信用反担保保证人承担的保证期间为：从中国人民财产保险股份有限公司</w:t>
      </w:r>
      <w:r>
        <w:rPr>
          <w:rFonts w:hint="eastAsia" w:ascii="宋体" w:hAnsi="宋体" w:cs="宋体"/>
          <w:b/>
          <w:bCs/>
          <w:color w:val="auto"/>
          <w:sz w:val="24"/>
          <w:highlight w:val="none"/>
          <w:u w:val="single"/>
        </w:rPr>
        <w:t>东阳</w:t>
      </w:r>
      <w:r>
        <w:rPr>
          <w:rFonts w:hint="eastAsia" w:ascii="宋体" w:hAnsi="宋体" w:cs="宋体"/>
          <w:color w:val="auto"/>
          <w:sz w:val="24"/>
          <w:highlight w:val="none"/>
        </w:rPr>
        <w:t>支公司与本信用反担保保证人签订的保险合同生效之日起，至保险合同结束之日起的两年届满时止。</w:t>
      </w:r>
    </w:p>
    <w:p>
      <w:pPr>
        <w:spacing w:line="52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三、中国人民财产保险股份有限公司</w:t>
      </w:r>
      <w:r>
        <w:rPr>
          <w:rFonts w:hint="eastAsia" w:ascii="宋体" w:hAnsi="宋体" w:cs="宋体"/>
          <w:b/>
          <w:bCs/>
          <w:color w:val="auto"/>
          <w:sz w:val="24"/>
          <w:highlight w:val="none"/>
          <w:u w:val="single"/>
        </w:rPr>
        <w:t>东阳</w:t>
      </w:r>
      <w:r>
        <w:rPr>
          <w:rFonts w:hint="eastAsia" w:ascii="宋体" w:hAnsi="宋体" w:cs="宋体"/>
          <w:color w:val="auto"/>
          <w:sz w:val="24"/>
          <w:highlight w:val="none"/>
        </w:rPr>
        <w:t>支公司所承保的《供货履约保证保险》合同发生保险事故后，有权要求本信用反担保保证人优先履行偿债责任，且优先偿债比例为100%。</w:t>
      </w:r>
    </w:p>
    <w:p>
      <w:pPr>
        <w:spacing w:line="520" w:lineRule="exact"/>
        <w:ind w:left="560"/>
        <w:rPr>
          <w:rFonts w:ascii="宋体" w:hAnsi="宋体" w:cs="宋体"/>
          <w:color w:val="auto"/>
          <w:sz w:val="24"/>
          <w:highlight w:val="none"/>
        </w:rPr>
      </w:pPr>
      <w:r>
        <w:rPr>
          <w:rFonts w:hint="eastAsia" w:ascii="宋体" w:hAnsi="宋体" w:cs="宋体"/>
          <w:color w:val="auto"/>
          <w:sz w:val="24"/>
          <w:highlight w:val="none"/>
        </w:rPr>
        <w:t>四、本信用反担保保证人放弃反担保措施的优先偿债抗辩权。</w:t>
      </w:r>
    </w:p>
    <w:p>
      <w:pPr>
        <w:spacing w:line="520" w:lineRule="exact"/>
        <w:rPr>
          <w:rFonts w:ascii="宋体" w:hAnsi="宋体" w:cs="宋体"/>
          <w:color w:val="auto"/>
          <w:sz w:val="24"/>
          <w:highlight w:val="none"/>
        </w:rPr>
      </w:pPr>
    </w:p>
    <w:p>
      <w:pPr>
        <w:spacing w:line="520" w:lineRule="exact"/>
        <w:rPr>
          <w:rFonts w:ascii="宋体" w:hAnsi="宋体" w:cs="宋体"/>
          <w:color w:val="auto"/>
          <w:sz w:val="24"/>
          <w:highlight w:val="none"/>
        </w:rPr>
      </w:pPr>
      <w:r>
        <w:rPr>
          <w:rFonts w:hint="eastAsia" w:ascii="宋体" w:hAnsi="宋体" w:cs="宋体"/>
          <w:color w:val="auto"/>
          <w:sz w:val="24"/>
          <w:highlight w:val="none"/>
        </w:rPr>
        <w:t>信用反担保保证人：</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 xml:space="preserve"> </w:t>
      </w:r>
    </w:p>
    <w:p>
      <w:pPr>
        <w:spacing w:line="520" w:lineRule="exact"/>
        <w:ind w:left="4680" w:hanging="4680" w:hangingChars="1950"/>
        <w:rPr>
          <w:rFonts w:ascii="宋体" w:hAnsi="宋体" w:cs="宋体"/>
          <w:color w:val="auto"/>
          <w:sz w:val="24"/>
          <w:highlight w:val="none"/>
        </w:rPr>
      </w:pPr>
    </w:p>
    <w:p>
      <w:pPr>
        <w:spacing w:line="520" w:lineRule="exact"/>
        <w:ind w:left="5460" w:leftChars="2600" w:firstLine="360" w:firstLineChars="150"/>
        <w:rPr>
          <w:rFonts w:ascii="宋体" w:hAnsi="宋体" w:cs="宋体"/>
          <w:color w:val="auto"/>
          <w:sz w:val="24"/>
          <w:highlight w:val="none"/>
        </w:rPr>
      </w:pPr>
      <w:r>
        <w:rPr>
          <w:rFonts w:hint="eastAsia" w:ascii="宋体" w:hAnsi="宋体" w:cs="宋体"/>
          <w:color w:val="auto"/>
          <w:sz w:val="24"/>
          <w:highlight w:val="none"/>
        </w:rPr>
        <w:t>年  月   日</w:t>
      </w:r>
    </w:p>
    <w:p>
      <w:pPr>
        <w:spacing w:line="360" w:lineRule="auto"/>
        <w:rPr>
          <w:rFonts w:ascii="宋体" w:hAnsi="宋体" w:cs="宋体"/>
          <w:color w:val="auto"/>
          <w:sz w:val="24"/>
          <w:highlight w:val="none"/>
        </w:rPr>
      </w:pPr>
    </w:p>
    <w:p>
      <w:pPr>
        <w:spacing w:line="480" w:lineRule="exact"/>
        <w:ind w:left="5460" w:leftChars="2600" w:firstLine="361" w:firstLineChars="150"/>
        <w:rPr>
          <w:rFonts w:ascii="宋体" w:hAnsi="宋体" w:cs="宋体"/>
          <w:b/>
          <w:color w:val="auto"/>
          <w:sz w:val="24"/>
          <w:highlight w:val="none"/>
        </w:rPr>
      </w:pPr>
    </w:p>
    <w:p>
      <w:pPr>
        <w:spacing w:line="480" w:lineRule="exact"/>
        <w:rPr>
          <w:rFonts w:ascii="宋体" w:hAnsi="宋体" w:cs="宋体"/>
          <w:b/>
          <w:color w:val="auto"/>
          <w:sz w:val="24"/>
          <w:highlight w:val="none"/>
        </w:rPr>
      </w:pPr>
    </w:p>
    <w:p>
      <w:pPr>
        <w:pStyle w:val="6"/>
        <w:keepNext w:val="0"/>
        <w:keepLines w:val="0"/>
        <w:pageBreakBefore/>
        <w:rPr>
          <w:rFonts w:ascii="宋体" w:hAnsi="宋体" w:eastAsia="宋体" w:cs="宋体"/>
          <w:b w:val="0"/>
          <w:color w:val="auto"/>
          <w:sz w:val="24"/>
          <w:highlight w:val="none"/>
        </w:rPr>
      </w:pPr>
      <w:bookmarkStart w:id="102" w:name="_Toc2489"/>
      <w:bookmarkStart w:id="103" w:name="_Toc24160"/>
      <w:bookmarkStart w:id="104" w:name="_Toc5661"/>
      <w:r>
        <w:rPr>
          <w:rFonts w:hint="eastAsia" w:ascii="宋体" w:hAnsi="宋体" w:eastAsia="宋体" w:cs="宋体"/>
          <w:b w:val="0"/>
          <w:color w:val="auto"/>
          <w:sz w:val="24"/>
          <w:highlight w:val="none"/>
        </w:rPr>
        <w:t>附件二十</w:t>
      </w:r>
      <w:r>
        <w:rPr>
          <w:rFonts w:hint="eastAsia" w:ascii="宋体" w:hAnsi="宋体" w:eastAsia="宋体" w:cs="宋体"/>
          <w:b w:val="0"/>
          <w:color w:val="auto"/>
          <w:sz w:val="24"/>
          <w:highlight w:val="none"/>
          <w:lang w:val="en-US" w:eastAsia="zh-CN"/>
        </w:rPr>
        <w:t>一</w:t>
      </w:r>
      <w:r>
        <w:rPr>
          <w:rFonts w:hint="eastAsia" w:ascii="宋体" w:hAnsi="宋体" w:eastAsia="宋体" w:cs="宋体"/>
          <w:b w:val="0"/>
          <w:color w:val="auto"/>
          <w:sz w:val="24"/>
          <w:highlight w:val="none"/>
        </w:rPr>
        <w:t>：质疑函范本</w:t>
      </w:r>
      <w:bookmarkEnd w:id="102"/>
      <w:bookmarkEnd w:id="103"/>
      <w:bookmarkEnd w:id="104"/>
    </w:p>
    <w:p>
      <w:pPr>
        <w:jc w:val="center"/>
        <w:rPr>
          <w:rFonts w:ascii="仿宋" w:hAnsi="仿宋" w:eastAsia="仿宋" w:cs="仿宋"/>
          <w:b/>
          <w:bCs/>
          <w:color w:val="auto"/>
          <w:sz w:val="44"/>
          <w:szCs w:val="44"/>
          <w:highlight w:val="none"/>
        </w:rPr>
      </w:pPr>
      <w:r>
        <w:rPr>
          <w:rFonts w:hint="eastAsia" w:ascii="仿宋" w:hAnsi="仿宋" w:eastAsia="仿宋" w:cs="仿宋"/>
          <w:b/>
          <w:bCs/>
          <w:color w:val="auto"/>
          <w:sz w:val="44"/>
          <w:szCs w:val="44"/>
          <w:highlight w:val="none"/>
        </w:rPr>
        <w:t>质疑函范本</w:t>
      </w:r>
    </w:p>
    <w:p>
      <w:pPr>
        <w:adjustRightInd w:val="0"/>
        <w:snapToGrid w:val="0"/>
        <w:spacing w:beforeLines="100" w:line="360" w:lineRule="auto"/>
        <w:rPr>
          <w:rFonts w:asciiTheme="minorEastAsia" w:hAnsiTheme="minorEastAsia" w:eastAsiaTheme="minorEastAsia" w:cstheme="minorEastAsia"/>
          <w:bCs/>
          <w:color w:val="auto"/>
          <w:sz w:val="28"/>
          <w:szCs w:val="28"/>
          <w:highlight w:val="none"/>
        </w:rPr>
      </w:pPr>
      <w:r>
        <w:rPr>
          <w:rFonts w:hint="eastAsia" w:ascii="黑体" w:hAnsi="黑体" w:eastAsia="黑体" w:cs="仿宋"/>
          <w:bCs/>
          <w:color w:val="auto"/>
          <w:sz w:val="32"/>
          <w:szCs w:val="32"/>
          <w:highlight w:val="none"/>
        </w:rPr>
        <w:t>一</w:t>
      </w:r>
      <w:r>
        <w:rPr>
          <w:rFonts w:hint="eastAsia" w:asciiTheme="minorEastAsia" w:hAnsiTheme="minorEastAsia" w:eastAsiaTheme="minorEastAsia" w:cstheme="minorEastAsia"/>
          <w:bCs/>
          <w:color w:val="auto"/>
          <w:sz w:val="28"/>
          <w:szCs w:val="28"/>
          <w:highlight w:val="none"/>
        </w:rPr>
        <w:t>、质疑供应商基本信息</w:t>
      </w:r>
    </w:p>
    <w:p>
      <w:pPr>
        <w:adjustRightInd w:val="0"/>
        <w:snapToGrid w:val="0"/>
        <w:spacing w:line="360" w:lineRule="auto"/>
        <w:rPr>
          <w:rFonts w:asciiTheme="minorEastAsia" w:hAnsiTheme="minorEastAsia" w:eastAsiaTheme="minorEastAsia" w:cstheme="minorEastAsia"/>
          <w:color w:val="auto"/>
          <w:sz w:val="28"/>
          <w:szCs w:val="28"/>
          <w:highlight w:val="none"/>
          <w:u w:val="dotted"/>
        </w:rPr>
      </w:pPr>
      <w:r>
        <w:rPr>
          <w:rFonts w:hint="eastAsia" w:asciiTheme="minorEastAsia" w:hAnsiTheme="minorEastAsia" w:eastAsiaTheme="minorEastAsia" w:cstheme="minorEastAsia"/>
          <w:color w:val="auto"/>
          <w:sz w:val="28"/>
          <w:szCs w:val="28"/>
          <w:highlight w:val="none"/>
        </w:rPr>
        <w:t>质疑供应商：</w:t>
      </w:r>
      <w:r>
        <w:rPr>
          <w:rFonts w:hint="eastAsia" w:asciiTheme="minorEastAsia" w:hAnsiTheme="minorEastAsia" w:eastAsiaTheme="minorEastAsia" w:cstheme="minorEastAsia"/>
          <w:color w:val="auto"/>
          <w:sz w:val="28"/>
          <w:szCs w:val="28"/>
          <w:highlight w:val="none"/>
          <w:u w:val="dotted"/>
        </w:rPr>
        <w:t xml:space="preserve">                                        </w:t>
      </w:r>
    </w:p>
    <w:p>
      <w:pPr>
        <w:adjustRightInd w:val="0"/>
        <w:snapToGrid w:val="0"/>
        <w:spacing w:line="360" w:lineRule="auto"/>
        <w:rPr>
          <w:rFonts w:asciiTheme="minorEastAsia" w:hAnsiTheme="minorEastAsia" w:eastAsiaTheme="minorEastAsia" w:cstheme="minorEastAsia"/>
          <w:color w:val="auto"/>
          <w:sz w:val="28"/>
          <w:szCs w:val="28"/>
          <w:highlight w:val="none"/>
        </w:rPr>
      </w:pPr>
      <w:r>
        <w:rPr>
          <w:rFonts w:hint="eastAsia" w:asciiTheme="minorEastAsia" w:hAnsiTheme="minorEastAsia" w:eastAsiaTheme="minorEastAsia" w:cstheme="minorEastAsia"/>
          <w:color w:val="auto"/>
          <w:sz w:val="28"/>
          <w:szCs w:val="28"/>
          <w:highlight w:val="none"/>
        </w:rPr>
        <w:t>地址：</w:t>
      </w:r>
      <w:r>
        <w:rPr>
          <w:rFonts w:hint="eastAsia" w:asciiTheme="minorEastAsia" w:hAnsiTheme="minorEastAsia" w:eastAsiaTheme="minorEastAsia" w:cstheme="minorEastAsia"/>
          <w:color w:val="auto"/>
          <w:sz w:val="28"/>
          <w:szCs w:val="28"/>
          <w:highlight w:val="none"/>
          <w:u w:val="dotted"/>
        </w:rPr>
        <w:t xml:space="preserve">                          </w:t>
      </w:r>
      <w:r>
        <w:rPr>
          <w:rFonts w:hint="eastAsia" w:asciiTheme="minorEastAsia" w:hAnsiTheme="minorEastAsia" w:eastAsiaTheme="minorEastAsia" w:cstheme="minorEastAsia"/>
          <w:color w:val="auto"/>
          <w:sz w:val="28"/>
          <w:szCs w:val="28"/>
          <w:highlight w:val="none"/>
        </w:rPr>
        <w:t>邮编：</w:t>
      </w:r>
      <w:r>
        <w:rPr>
          <w:rFonts w:hint="eastAsia" w:asciiTheme="minorEastAsia" w:hAnsiTheme="minorEastAsia" w:eastAsiaTheme="minorEastAsia" w:cstheme="minorEastAsia"/>
          <w:color w:val="auto"/>
          <w:sz w:val="28"/>
          <w:szCs w:val="28"/>
          <w:highlight w:val="none"/>
          <w:u w:val="dotted"/>
        </w:rPr>
        <w:t xml:space="preserve">                                                   </w:t>
      </w:r>
    </w:p>
    <w:p>
      <w:pPr>
        <w:adjustRightInd w:val="0"/>
        <w:snapToGrid w:val="0"/>
        <w:spacing w:line="360" w:lineRule="auto"/>
        <w:rPr>
          <w:rFonts w:asciiTheme="minorEastAsia" w:hAnsiTheme="minorEastAsia" w:eastAsiaTheme="minorEastAsia" w:cstheme="minorEastAsia"/>
          <w:color w:val="auto"/>
          <w:sz w:val="28"/>
          <w:szCs w:val="28"/>
          <w:highlight w:val="none"/>
        </w:rPr>
      </w:pPr>
      <w:r>
        <w:rPr>
          <w:rFonts w:hint="eastAsia" w:asciiTheme="minorEastAsia" w:hAnsiTheme="minorEastAsia" w:eastAsiaTheme="minorEastAsia" w:cstheme="minorEastAsia"/>
          <w:color w:val="auto"/>
          <w:sz w:val="28"/>
          <w:szCs w:val="28"/>
          <w:highlight w:val="none"/>
        </w:rPr>
        <w:t>联系人：</w:t>
      </w:r>
      <w:r>
        <w:rPr>
          <w:rFonts w:hint="eastAsia" w:asciiTheme="minorEastAsia" w:hAnsiTheme="minorEastAsia" w:eastAsiaTheme="minorEastAsia" w:cstheme="minorEastAsia"/>
          <w:color w:val="auto"/>
          <w:sz w:val="28"/>
          <w:szCs w:val="28"/>
          <w:highlight w:val="none"/>
          <w:u w:val="dotted"/>
        </w:rPr>
        <w:t xml:space="preserve">                      </w:t>
      </w:r>
      <w:r>
        <w:rPr>
          <w:rFonts w:hint="eastAsia" w:asciiTheme="minorEastAsia" w:hAnsiTheme="minorEastAsia" w:eastAsiaTheme="minorEastAsia" w:cstheme="minorEastAsia"/>
          <w:color w:val="auto"/>
          <w:sz w:val="28"/>
          <w:szCs w:val="28"/>
          <w:highlight w:val="none"/>
        </w:rPr>
        <w:t>联系电话：</w:t>
      </w:r>
      <w:r>
        <w:rPr>
          <w:rFonts w:hint="eastAsia" w:asciiTheme="minorEastAsia" w:hAnsiTheme="minorEastAsia" w:eastAsiaTheme="minorEastAsia" w:cstheme="minorEastAsia"/>
          <w:color w:val="auto"/>
          <w:sz w:val="28"/>
          <w:szCs w:val="28"/>
          <w:highlight w:val="none"/>
          <w:u w:val="dotted"/>
        </w:rPr>
        <w:t xml:space="preserve">                              </w:t>
      </w:r>
    </w:p>
    <w:p>
      <w:pPr>
        <w:adjustRightInd w:val="0"/>
        <w:snapToGrid w:val="0"/>
        <w:spacing w:line="360" w:lineRule="auto"/>
        <w:rPr>
          <w:rFonts w:asciiTheme="minorEastAsia" w:hAnsiTheme="minorEastAsia" w:eastAsiaTheme="minorEastAsia" w:cstheme="minorEastAsia"/>
          <w:color w:val="auto"/>
          <w:sz w:val="28"/>
          <w:szCs w:val="28"/>
          <w:highlight w:val="none"/>
          <w:u w:val="dotted"/>
        </w:rPr>
      </w:pPr>
      <w:r>
        <w:rPr>
          <w:rFonts w:hint="eastAsia" w:asciiTheme="minorEastAsia" w:hAnsiTheme="minorEastAsia" w:eastAsiaTheme="minorEastAsia" w:cstheme="minorEastAsia"/>
          <w:color w:val="auto"/>
          <w:sz w:val="28"/>
          <w:szCs w:val="28"/>
          <w:highlight w:val="none"/>
        </w:rPr>
        <w:t>授权代表：</w:t>
      </w:r>
      <w:r>
        <w:rPr>
          <w:rFonts w:hint="eastAsia" w:asciiTheme="minorEastAsia" w:hAnsiTheme="minorEastAsia" w:eastAsiaTheme="minorEastAsia" w:cstheme="minorEastAsia"/>
          <w:color w:val="auto"/>
          <w:sz w:val="28"/>
          <w:szCs w:val="28"/>
          <w:highlight w:val="none"/>
          <w:u w:val="dotted"/>
        </w:rPr>
        <w:t xml:space="preserve">                                          </w:t>
      </w:r>
    </w:p>
    <w:p>
      <w:pPr>
        <w:adjustRightInd w:val="0"/>
        <w:snapToGrid w:val="0"/>
        <w:spacing w:line="360" w:lineRule="auto"/>
        <w:rPr>
          <w:rFonts w:asciiTheme="minorEastAsia" w:hAnsiTheme="minorEastAsia" w:eastAsiaTheme="minorEastAsia" w:cstheme="minorEastAsia"/>
          <w:color w:val="auto"/>
          <w:sz w:val="28"/>
          <w:szCs w:val="28"/>
          <w:highlight w:val="none"/>
        </w:rPr>
      </w:pPr>
      <w:r>
        <w:rPr>
          <w:rFonts w:hint="eastAsia" w:asciiTheme="minorEastAsia" w:hAnsiTheme="minorEastAsia" w:eastAsiaTheme="minorEastAsia" w:cstheme="minorEastAsia"/>
          <w:color w:val="auto"/>
          <w:sz w:val="28"/>
          <w:szCs w:val="28"/>
          <w:highlight w:val="none"/>
        </w:rPr>
        <w:t>联系电话：</w:t>
      </w:r>
      <w:r>
        <w:rPr>
          <w:rFonts w:hint="eastAsia" w:asciiTheme="minorEastAsia" w:hAnsiTheme="minorEastAsia" w:eastAsiaTheme="minorEastAsia" w:cstheme="minorEastAsia"/>
          <w:color w:val="auto"/>
          <w:sz w:val="28"/>
          <w:szCs w:val="28"/>
          <w:highlight w:val="none"/>
          <w:u w:val="dotted"/>
        </w:rPr>
        <w:t xml:space="preserve">                                           </w:t>
      </w:r>
      <w:r>
        <w:rPr>
          <w:rFonts w:hint="eastAsia" w:asciiTheme="minorEastAsia" w:hAnsiTheme="minorEastAsia" w:eastAsiaTheme="minorEastAsia" w:cstheme="minorEastAsia"/>
          <w:color w:val="auto"/>
          <w:sz w:val="28"/>
          <w:szCs w:val="28"/>
          <w:highlight w:val="none"/>
        </w:rPr>
        <w:t xml:space="preserve"> </w:t>
      </w:r>
    </w:p>
    <w:p>
      <w:pPr>
        <w:adjustRightInd w:val="0"/>
        <w:snapToGrid w:val="0"/>
        <w:spacing w:line="360" w:lineRule="auto"/>
        <w:rPr>
          <w:rFonts w:asciiTheme="minorEastAsia" w:hAnsiTheme="minorEastAsia" w:eastAsiaTheme="minorEastAsia" w:cstheme="minorEastAsia"/>
          <w:color w:val="auto"/>
          <w:sz w:val="28"/>
          <w:szCs w:val="28"/>
          <w:highlight w:val="none"/>
        </w:rPr>
      </w:pPr>
      <w:r>
        <w:rPr>
          <w:rFonts w:hint="eastAsia" w:asciiTheme="minorEastAsia" w:hAnsiTheme="minorEastAsia" w:eastAsiaTheme="minorEastAsia" w:cstheme="minorEastAsia"/>
          <w:color w:val="auto"/>
          <w:sz w:val="28"/>
          <w:szCs w:val="28"/>
          <w:highlight w:val="none"/>
        </w:rPr>
        <w:t xml:space="preserve">地址： </w:t>
      </w:r>
      <w:r>
        <w:rPr>
          <w:rFonts w:hint="eastAsia" w:asciiTheme="minorEastAsia" w:hAnsiTheme="minorEastAsia" w:eastAsiaTheme="minorEastAsia" w:cstheme="minorEastAsia"/>
          <w:color w:val="auto"/>
          <w:sz w:val="28"/>
          <w:szCs w:val="28"/>
          <w:highlight w:val="none"/>
          <w:u w:val="dotted"/>
        </w:rPr>
        <w:t xml:space="preserve">                        </w:t>
      </w:r>
      <w:r>
        <w:rPr>
          <w:rFonts w:hint="eastAsia" w:asciiTheme="minorEastAsia" w:hAnsiTheme="minorEastAsia" w:eastAsiaTheme="minorEastAsia" w:cstheme="minorEastAsia"/>
          <w:color w:val="auto"/>
          <w:sz w:val="28"/>
          <w:szCs w:val="28"/>
          <w:highlight w:val="none"/>
        </w:rPr>
        <w:t>邮编：</w:t>
      </w:r>
      <w:r>
        <w:rPr>
          <w:rFonts w:hint="eastAsia" w:asciiTheme="minorEastAsia" w:hAnsiTheme="minorEastAsia" w:eastAsiaTheme="minorEastAsia" w:cstheme="minorEastAsia"/>
          <w:color w:val="auto"/>
          <w:sz w:val="28"/>
          <w:szCs w:val="28"/>
          <w:highlight w:val="none"/>
          <w:u w:val="dotted"/>
        </w:rPr>
        <w:t xml:space="preserve">                                                </w:t>
      </w:r>
    </w:p>
    <w:p>
      <w:pPr>
        <w:adjustRightInd w:val="0"/>
        <w:snapToGrid w:val="0"/>
        <w:spacing w:line="360" w:lineRule="auto"/>
        <w:rPr>
          <w:rFonts w:asciiTheme="minorEastAsia" w:hAnsiTheme="minorEastAsia" w:eastAsiaTheme="minorEastAsia" w:cstheme="minorEastAsia"/>
          <w:bCs/>
          <w:color w:val="auto"/>
          <w:sz w:val="28"/>
          <w:szCs w:val="28"/>
          <w:highlight w:val="none"/>
        </w:rPr>
      </w:pPr>
      <w:r>
        <w:rPr>
          <w:rFonts w:hint="eastAsia" w:asciiTheme="minorEastAsia" w:hAnsiTheme="minorEastAsia" w:eastAsiaTheme="minorEastAsia" w:cstheme="minorEastAsia"/>
          <w:bCs/>
          <w:color w:val="auto"/>
          <w:sz w:val="28"/>
          <w:szCs w:val="28"/>
          <w:highlight w:val="none"/>
        </w:rPr>
        <w:t>二、质疑项目基本情况</w:t>
      </w:r>
    </w:p>
    <w:p>
      <w:pPr>
        <w:adjustRightInd w:val="0"/>
        <w:snapToGrid w:val="0"/>
        <w:spacing w:line="360" w:lineRule="auto"/>
        <w:rPr>
          <w:rFonts w:asciiTheme="minorEastAsia" w:hAnsiTheme="minorEastAsia" w:eastAsiaTheme="minorEastAsia" w:cstheme="minorEastAsia"/>
          <w:color w:val="auto"/>
          <w:sz w:val="28"/>
          <w:szCs w:val="28"/>
          <w:highlight w:val="none"/>
        </w:rPr>
      </w:pPr>
      <w:r>
        <w:rPr>
          <w:rFonts w:hint="eastAsia" w:asciiTheme="minorEastAsia" w:hAnsiTheme="minorEastAsia" w:eastAsiaTheme="minorEastAsia" w:cstheme="minorEastAsia"/>
          <w:color w:val="auto"/>
          <w:sz w:val="28"/>
          <w:szCs w:val="28"/>
          <w:highlight w:val="none"/>
        </w:rPr>
        <w:t>质疑项目的名称：</w:t>
      </w:r>
      <w:r>
        <w:rPr>
          <w:rFonts w:hint="eastAsia" w:asciiTheme="minorEastAsia" w:hAnsiTheme="minorEastAsia" w:eastAsiaTheme="minorEastAsia" w:cstheme="minorEastAsia"/>
          <w:color w:val="auto"/>
          <w:sz w:val="28"/>
          <w:szCs w:val="28"/>
          <w:highlight w:val="none"/>
          <w:u w:val="dotted"/>
        </w:rPr>
        <w:t xml:space="preserve">                                      </w:t>
      </w:r>
    </w:p>
    <w:p>
      <w:pPr>
        <w:adjustRightInd w:val="0"/>
        <w:snapToGrid w:val="0"/>
        <w:spacing w:line="360" w:lineRule="auto"/>
        <w:rPr>
          <w:rFonts w:asciiTheme="minorEastAsia" w:hAnsiTheme="minorEastAsia" w:eastAsiaTheme="minorEastAsia" w:cstheme="minorEastAsia"/>
          <w:color w:val="auto"/>
          <w:sz w:val="28"/>
          <w:szCs w:val="28"/>
          <w:highlight w:val="none"/>
        </w:rPr>
      </w:pPr>
      <w:r>
        <w:rPr>
          <w:rFonts w:hint="eastAsia" w:asciiTheme="minorEastAsia" w:hAnsiTheme="minorEastAsia" w:eastAsiaTheme="minorEastAsia" w:cstheme="minorEastAsia"/>
          <w:color w:val="auto"/>
          <w:sz w:val="28"/>
          <w:szCs w:val="28"/>
          <w:highlight w:val="none"/>
        </w:rPr>
        <w:t>质疑项目的编号：</w:t>
      </w:r>
      <w:r>
        <w:rPr>
          <w:rFonts w:hint="eastAsia" w:asciiTheme="minorEastAsia" w:hAnsiTheme="minorEastAsia" w:eastAsiaTheme="minorEastAsia" w:cstheme="minorEastAsia"/>
          <w:color w:val="auto"/>
          <w:sz w:val="28"/>
          <w:szCs w:val="28"/>
          <w:highlight w:val="none"/>
          <w:u w:val="dotted"/>
        </w:rPr>
        <w:t xml:space="preserve">               </w:t>
      </w:r>
      <w:r>
        <w:rPr>
          <w:rFonts w:hint="eastAsia" w:asciiTheme="minorEastAsia" w:hAnsiTheme="minorEastAsia" w:eastAsiaTheme="minorEastAsia" w:cstheme="minorEastAsia"/>
          <w:color w:val="auto"/>
          <w:sz w:val="28"/>
          <w:szCs w:val="28"/>
          <w:highlight w:val="none"/>
        </w:rPr>
        <w:t>包号：</w:t>
      </w:r>
      <w:r>
        <w:rPr>
          <w:rFonts w:hint="eastAsia" w:asciiTheme="minorEastAsia" w:hAnsiTheme="minorEastAsia" w:eastAsiaTheme="minorEastAsia" w:cstheme="minorEastAsia"/>
          <w:color w:val="auto"/>
          <w:sz w:val="28"/>
          <w:szCs w:val="28"/>
          <w:highlight w:val="none"/>
          <w:u w:val="dotted"/>
        </w:rPr>
        <w:t xml:space="preserve">                 </w:t>
      </w:r>
    </w:p>
    <w:p>
      <w:pPr>
        <w:adjustRightInd w:val="0"/>
        <w:snapToGrid w:val="0"/>
        <w:spacing w:line="360" w:lineRule="auto"/>
        <w:rPr>
          <w:rFonts w:asciiTheme="minorEastAsia" w:hAnsiTheme="minorEastAsia" w:eastAsiaTheme="minorEastAsia" w:cstheme="minorEastAsia"/>
          <w:color w:val="auto"/>
          <w:sz w:val="28"/>
          <w:szCs w:val="28"/>
          <w:highlight w:val="none"/>
          <w:u w:val="dotted"/>
        </w:rPr>
      </w:pPr>
      <w:r>
        <w:rPr>
          <w:rFonts w:hint="eastAsia" w:asciiTheme="minorEastAsia" w:hAnsiTheme="minorEastAsia" w:eastAsiaTheme="minorEastAsia" w:cstheme="minorEastAsia"/>
          <w:color w:val="auto"/>
          <w:sz w:val="28"/>
          <w:szCs w:val="28"/>
          <w:highlight w:val="none"/>
        </w:rPr>
        <w:t>采购人名称：</w:t>
      </w:r>
      <w:r>
        <w:rPr>
          <w:rFonts w:hint="eastAsia" w:asciiTheme="minorEastAsia" w:hAnsiTheme="minorEastAsia" w:eastAsiaTheme="minorEastAsia" w:cstheme="minorEastAsia"/>
          <w:color w:val="auto"/>
          <w:sz w:val="28"/>
          <w:szCs w:val="28"/>
          <w:highlight w:val="none"/>
          <w:u w:val="dotted"/>
        </w:rPr>
        <w:t xml:space="preserve">                                         </w:t>
      </w:r>
    </w:p>
    <w:p>
      <w:pPr>
        <w:adjustRightInd w:val="0"/>
        <w:snapToGrid w:val="0"/>
        <w:spacing w:line="360" w:lineRule="auto"/>
        <w:rPr>
          <w:rFonts w:asciiTheme="minorEastAsia" w:hAnsiTheme="minorEastAsia" w:eastAsiaTheme="minorEastAsia" w:cstheme="minorEastAsia"/>
          <w:color w:val="auto"/>
          <w:sz w:val="28"/>
          <w:szCs w:val="28"/>
          <w:highlight w:val="none"/>
        </w:rPr>
      </w:pPr>
      <w:r>
        <w:rPr>
          <w:rFonts w:hint="eastAsia" w:asciiTheme="minorEastAsia" w:hAnsiTheme="minorEastAsia" w:eastAsiaTheme="minorEastAsia" w:cstheme="minorEastAsia"/>
          <w:color w:val="auto"/>
          <w:sz w:val="28"/>
          <w:szCs w:val="28"/>
          <w:highlight w:val="none"/>
        </w:rPr>
        <w:t>采购文件获取日期：</w:t>
      </w:r>
      <w:r>
        <w:rPr>
          <w:rFonts w:hint="eastAsia" w:asciiTheme="minorEastAsia" w:hAnsiTheme="minorEastAsia" w:eastAsiaTheme="minorEastAsia" w:cstheme="minorEastAsia"/>
          <w:color w:val="auto"/>
          <w:sz w:val="28"/>
          <w:szCs w:val="28"/>
          <w:highlight w:val="none"/>
          <w:u w:val="dotted"/>
        </w:rPr>
        <w:t xml:space="preserve">                                           </w:t>
      </w:r>
    </w:p>
    <w:p>
      <w:pPr>
        <w:adjustRightInd w:val="0"/>
        <w:snapToGrid w:val="0"/>
        <w:spacing w:line="360" w:lineRule="auto"/>
        <w:rPr>
          <w:rFonts w:asciiTheme="minorEastAsia" w:hAnsiTheme="minorEastAsia" w:eastAsiaTheme="minorEastAsia" w:cstheme="minorEastAsia"/>
          <w:bCs/>
          <w:color w:val="auto"/>
          <w:sz w:val="28"/>
          <w:szCs w:val="28"/>
          <w:highlight w:val="none"/>
        </w:rPr>
      </w:pPr>
      <w:r>
        <w:rPr>
          <w:rFonts w:hint="eastAsia" w:asciiTheme="minorEastAsia" w:hAnsiTheme="minorEastAsia" w:eastAsiaTheme="minorEastAsia" w:cstheme="minorEastAsia"/>
          <w:bCs/>
          <w:color w:val="auto"/>
          <w:sz w:val="28"/>
          <w:szCs w:val="28"/>
          <w:highlight w:val="none"/>
        </w:rPr>
        <w:t>三、质疑事项具体内容</w:t>
      </w:r>
    </w:p>
    <w:p>
      <w:pPr>
        <w:adjustRightInd w:val="0"/>
        <w:snapToGrid w:val="0"/>
        <w:spacing w:line="360" w:lineRule="auto"/>
        <w:rPr>
          <w:rFonts w:asciiTheme="minorEastAsia" w:hAnsiTheme="minorEastAsia" w:eastAsiaTheme="minorEastAsia" w:cstheme="minorEastAsia"/>
          <w:color w:val="auto"/>
          <w:sz w:val="28"/>
          <w:szCs w:val="28"/>
          <w:highlight w:val="none"/>
          <w:u w:val="dotted"/>
        </w:rPr>
      </w:pPr>
      <w:r>
        <w:rPr>
          <w:rFonts w:hint="eastAsia" w:asciiTheme="minorEastAsia" w:hAnsiTheme="minorEastAsia" w:eastAsiaTheme="minorEastAsia" w:cstheme="minorEastAsia"/>
          <w:color w:val="auto"/>
          <w:sz w:val="28"/>
          <w:szCs w:val="28"/>
          <w:highlight w:val="none"/>
        </w:rPr>
        <w:t>质疑事项1：</w:t>
      </w:r>
      <w:r>
        <w:rPr>
          <w:rFonts w:hint="eastAsia" w:asciiTheme="minorEastAsia" w:hAnsiTheme="minorEastAsia" w:eastAsiaTheme="minorEastAsia" w:cstheme="minorEastAsia"/>
          <w:color w:val="auto"/>
          <w:sz w:val="28"/>
          <w:szCs w:val="28"/>
          <w:highlight w:val="none"/>
          <w:u w:val="dotted"/>
        </w:rPr>
        <w:t xml:space="preserve">                                         </w:t>
      </w:r>
    </w:p>
    <w:p>
      <w:pPr>
        <w:adjustRightInd w:val="0"/>
        <w:snapToGrid w:val="0"/>
        <w:spacing w:line="360" w:lineRule="auto"/>
        <w:rPr>
          <w:rFonts w:asciiTheme="minorEastAsia" w:hAnsiTheme="minorEastAsia" w:eastAsiaTheme="minorEastAsia" w:cstheme="minorEastAsia"/>
          <w:color w:val="auto"/>
          <w:sz w:val="28"/>
          <w:szCs w:val="28"/>
          <w:highlight w:val="none"/>
          <w:u w:val="dotted"/>
        </w:rPr>
      </w:pPr>
      <w:r>
        <w:rPr>
          <w:rFonts w:hint="eastAsia" w:asciiTheme="minorEastAsia" w:hAnsiTheme="minorEastAsia" w:eastAsiaTheme="minorEastAsia" w:cstheme="minorEastAsia"/>
          <w:color w:val="auto"/>
          <w:sz w:val="28"/>
          <w:szCs w:val="28"/>
          <w:highlight w:val="none"/>
        </w:rPr>
        <w:t>事实依据：</w:t>
      </w:r>
      <w:r>
        <w:rPr>
          <w:rFonts w:hint="eastAsia" w:asciiTheme="minorEastAsia" w:hAnsiTheme="minorEastAsia" w:eastAsiaTheme="minorEastAsia" w:cstheme="minorEastAsia"/>
          <w:color w:val="auto"/>
          <w:sz w:val="28"/>
          <w:szCs w:val="28"/>
          <w:highlight w:val="none"/>
          <w:u w:val="dotted"/>
        </w:rPr>
        <w:t xml:space="preserve">                                          </w:t>
      </w:r>
    </w:p>
    <w:p>
      <w:pPr>
        <w:adjustRightInd w:val="0"/>
        <w:snapToGrid w:val="0"/>
        <w:spacing w:line="360" w:lineRule="auto"/>
        <w:rPr>
          <w:rFonts w:asciiTheme="minorEastAsia" w:hAnsiTheme="minorEastAsia" w:eastAsiaTheme="minorEastAsia" w:cstheme="minorEastAsia"/>
          <w:color w:val="auto"/>
          <w:sz w:val="28"/>
          <w:szCs w:val="28"/>
          <w:highlight w:val="none"/>
        </w:rPr>
      </w:pPr>
      <w:r>
        <w:rPr>
          <w:rFonts w:hint="eastAsia" w:asciiTheme="minorEastAsia" w:hAnsiTheme="minorEastAsia" w:eastAsiaTheme="minorEastAsia" w:cstheme="minorEastAsia"/>
          <w:color w:val="auto"/>
          <w:sz w:val="28"/>
          <w:szCs w:val="28"/>
          <w:highlight w:val="none"/>
          <w:u w:val="dotted"/>
        </w:rPr>
        <w:t xml:space="preserve">                                                       </w:t>
      </w:r>
    </w:p>
    <w:p>
      <w:pPr>
        <w:adjustRightInd w:val="0"/>
        <w:snapToGrid w:val="0"/>
        <w:spacing w:line="360" w:lineRule="auto"/>
        <w:rPr>
          <w:rFonts w:asciiTheme="minorEastAsia" w:hAnsiTheme="minorEastAsia" w:eastAsiaTheme="minorEastAsia" w:cstheme="minorEastAsia"/>
          <w:color w:val="auto"/>
          <w:sz w:val="28"/>
          <w:szCs w:val="28"/>
          <w:highlight w:val="none"/>
          <w:u w:val="dotted"/>
        </w:rPr>
      </w:pPr>
      <w:r>
        <w:rPr>
          <w:rFonts w:hint="eastAsia" w:asciiTheme="minorEastAsia" w:hAnsiTheme="minorEastAsia" w:eastAsiaTheme="minorEastAsia" w:cstheme="minorEastAsia"/>
          <w:color w:val="auto"/>
          <w:sz w:val="28"/>
          <w:szCs w:val="28"/>
          <w:highlight w:val="none"/>
        </w:rPr>
        <w:t>法律依据：</w:t>
      </w:r>
      <w:r>
        <w:rPr>
          <w:rFonts w:hint="eastAsia" w:asciiTheme="minorEastAsia" w:hAnsiTheme="minorEastAsia" w:eastAsiaTheme="minorEastAsia" w:cstheme="minorEastAsia"/>
          <w:color w:val="auto"/>
          <w:sz w:val="28"/>
          <w:szCs w:val="28"/>
          <w:highlight w:val="none"/>
          <w:u w:val="dotted"/>
        </w:rPr>
        <w:t xml:space="preserve">                                          </w:t>
      </w:r>
    </w:p>
    <w:p>
      <w:pPr>
        <w:adjustRightInd w:val="0"/>
        <w:snapToGrid w:val="0"/>
        <w:spacing w:line="360" w:lineRule="auto"/>
        <w:rPr>
          <w:rFonts w:asciiTheme="minorEastAsia" w:hAnsiTheme="minorEastAsia" w:eastAsiaTheme="minorEastAsia" w:cstheme="minorEastAsia"/>
          <w:color w:val="auto"/>
          <w:sz w:val="28"/>
          <w:szCs w:val="28"/>
          <w:highlight w:val="none"/>
          <w:u w:val="dotted"/>
        </w:rPr>
      </w:pPr>
      <w:r>
        <w:rPr>
          <w:rFonts w:hint="eastAsia" w:asciiTheme="minorEastAsia" w:hAnsiTheme="minorEastAsia" w:eastAsiaTheme="minorEastAsia" w:cstheme="minorEastAsia"/>
          <w:color w:val="auto"/>
          <w:sz w:val="28"/>
          <w:szCs w:val="28"/>
          <w:highlight w:val="none"/>
          <w:u w:val="dotted"/>
        </w:rPr>
        <w:t xml:space="preserve">                                                     </w:t>
      </w:r>
    </w:p>
    <w:p>
      <w:pPr>
        <w:adjustRightInd w:val="0"/>
        <w:snapToGrid w:val="0"/>
        <w:spacing w:line="360" w:lineRule="auto"/>
        <w:rPr>
          <w:rFonts w:asciiTheme="minorEastAsia" w:hAnsiTheme="minorEastAsia" w:eastAsiaTheme="minorEastAsia" w:cstheme="minorEastAsia"/>
          <w:color w:val="auto"/>
          <w:sz w:val="28"/>
          <w:szCs w:val="28"/>
          <w:highlight w:val="none"/>
          <w:u w:val="dotted"/>
        </w:rPr>
      </w:pPr>
      <w:r>
        <w:rPr>
          <w:rFonts w:hint="eastAsia" w:asciiTheme="minorEastAsia" w:hAnsiTheme="minorEastAsia" w:eastAsiaTheme="minorEastAsia" w:cstheme="minorEastAsia"/>
          <w:color w:val="auto"/>
          <w:sz w:val="28"/>
          <w:szCs w:val="28"/>
          <w:highlight w:val="none"/>
        </w:rPr>
        <w:t>质疑事项2</w:t>
      </w:r>
    </w:p>
    <w:p>
      <w:pPr>
        <w:adjustRightInd w:val="0"/>
        <w:snapToGrid w:val="0"/>
        <w:spacing w:line="360" w:lineRule="auto"/>
        <w:rPr>
          <w:rFonts w:asciiTheme="minorEastAsia" w:hAnsiTheme="minorEastAsia" w:eastAsiaTheme="minorEastAsia" w:cstheme="minorEastAsia"/>
          <w:color w:val="auto"/>
          <w:sz w:val="28"/>
          <w:szCs w:val="28"/>
          <w:highlight w:val="none"/>
        </w:rPr>
      </w:pPr>
      <w:r>
        <w:rPr>
          <w:rFonts w:hint="eastAsia" w:asciiTheme="minorEastAsia" w:hAnsiTheme="minorEastAsia" w:eastAsiaTheme="minorEastAsia" w:cstheme="minorEastAsia"/>
          <w:color w:val="auto"/>
          <w:sz w:val="28"/>
          <w:szCs w:val="28"/>
          <w:highlight w:val="none"/>
        </w:rPr>
        <w:t>……</w:t>
      </w:r>
    </w:p>
    <w:p>
      <w:pPr>
        <w:adjustRightInd w:val="0"/>
        <w:snapToGrid w:val="0"/>
        <w:spacing w:line="360" w:lineRule="auto"/>
        <w:rPr>
          <w:rFonts w:asciiTheme="minorEastAsia" w:hAnsiTheme="minorEastAsia" w:eastAsiaTheme="minorEastAsia" w:cstheme="minorEastAsia"/>
          <w:bCs/>
          <w:color w:val="auto"/>
          <w:sz w:val="28"/>
          <w:szCs w:val="28"/>
          <w:highlight w:val="none"/>
        </w:rPr>
      </w:pPr>
      <w:r>
        <w:rPr>
          <w:rFonts w:hint="eastAsia" w:asciiTheme="minorEastAsia" w:hAnsiTheme="minorEastAsia" w:eastAsiaTheme="minorEastAsia" w:cstheme="minorEastAsia"/>
          <w:bCs/>
          <w:color w:val="auto"/>
          <w:sz w:val="28"/>
          <w:szCs w:val="28"/>
          <w:highlight w:val="none"/>
        </w:rPr>
        <w:t>四、与质疑事项相关的质疑请求</w:t>
      </w:r>
    </w:p>
    <w:p>
      <w:pPr>
        <w:adjustRightInd w:val="0"/>
        <w:snapToGrid w:val="0"/>
        <w:spacing w:line="360" w:lineRule="auto"/>
        <w:rPr>
          <w:rFonts w:asciiTheme="minorEastAsia" w:hAnsiTheme="minorEastAsia" w:eastAsiaTheme="minorEastAsia" w:cstheme="minorEastAsia"/>
          <w:color w:val="auto"/>
          <w:sz w:val="28"/>
          <w:szCs w:val="28"/>
          <w:highlight w:val="none"/>
          <w:u w:val="dotted"/>
        </w:rPr>
      </w:pPr>
      <w:r>
        <w:rPr>
          <w:rFonts w:hint="eastAsia" w:asciiTheme="minorEastAsia" w:hAnsiTheme="minorEastAsia" w:eastAsiaTheme="minorEastAsia" w:cstheme="minorEastAsia"/>
          <w:color w:val="auto"/>
          <w:sz w:val="28"/>
          <w:szCs w:val="28"/>
          <w:highlight w:val="none"/>
        </w:rPr>
        <w:t>请求：</w:t>
      </w:r>
      <w:r>
        <w:rPr>
          <w:rFonts w:hint="eastAsia" w:asciiTheme="minorEastAsia" w:hAnsiTheme="minorEastAsia" w:eastAsiaTheme="minorEastAsia" w:cstheme="minorEastAsia"/>
          <w:color w:val="auto"/>
          <w:sz w:val="28"/>
          <w:szCs w:val="28"/>
          <w:highlight w:val="none"/>
          <w:u w:val="dotted"/>
        </w:rPr>
        <w:t xml:space="preserve">                                               </w:t>
      </w:r>
    </w:p>
    <w:p>
      <w:pPr>
        <w:rPr>
          <w:rFonts w:asciiTheme="minorEastAsia" w:hAnsiTheme="minorEastAsia" w:eastAsiaTheme="minorEastAsia" w:cstheme="minorEastAsia"/>
          <w:color w:val="auto"/>
          <w:sz w:val="28"/>
          <w:szCs w:val="28"/>
          <w:highlight w:val="none"/>
        </w:rPr>
      </w:pPr>
      <w:r>
        <w:rPr>
          <w:rFonts w:hint="eastAsia" w:asciiTheme="minorEastAsia" w:hAnsiTheme="minorEastAsia" w:eastAsiaTheme="minorEastAsia" w:cstheme="minorEastAsia"/>
          <w:color w:val="auto"/>
          <w:sz w:val="28"/>
          <w:szCs w:val="28"/>
          <w:highlight w:val="none"/>
        </w:rPr>
        <w:t xml:space="preserve">签字(签章)：                   公章：                      </w:t>
      </w:r>
    </w:p>
    <w:p>
      <w:pPr>
        <w:rPr>
          <w:rFonts w:asciiTheme="minorEastAsia" w:hAnsiTheme="minorEastAsia" w:eastAsiaTheme="minorEastAsia" w:cstheme="minorEastAsia"/>
          <w:color w:val="auto"/>
          <w:sz w:val="28"/>
          <w:szCs w:val="28"/>
          <w:highlight w:val="none"/>
        </w:rPr>
      </w:pPr>
      <w:r>
        <w:rPr>
          <w:rFonts w:hint="eastAsia" w:asciiTheme="minorEastAsia" w:hAnsiTheme="minorEastAsia" w:eastAsiaTheme="minorEastAsia" w:cstheme="minorEastAsia"/>
          <w:color w:val="auto"/>
          <w:sz w:val="28"/>
          <w:szCs w:val="28"/>
          <w:highlight w:val="none"/>
        </w:rPr>
        <w:t xml:space="preserve">日期：    </w:t>
      </w:r>
    </w:p>
    <w:p>
      <w:pPr>
        <w:adjustRightInd w:val="0"/>
        <w:snapToGrid w:val="0"/>
        <w:spacing w:line="360" w:lineRule="auto"/>
        <w:rPr>
          <w:rFonts w:asciiTheme="minorEastAsia" w:hAnsiTheme="minorEastAsia" w:eastAsiaTheme="minorEastAsia" w:cstheme="minorEastAsia"/>
          <w:color w:val="auto"/>
          <w:sz w:val="28"/>
          <w:szCs w:val="28"/>
          <w:highlight w:val="none"/>
        </w:rPr>
      </w:pPr>
    </w:p>
    <w:p>
      <w:pPr>
        <w:adjustRightInd w:val="0"/>
        <w:snapToGrid w:val="0"/>
        <w:spacing w:line="360" w:lineRule="auto"/>
        <w:rPr>
          <w:rFonts w:asciiTheme="minorEastAsia" w:hAnsiTheme="minorEastAsia" w:eastAsiaTheme="minorEastAsia" w:cstheme="minorEastAsia"/>
          <w:color w:val="auto"/>
          <w:sz w:val="28"/>
          <w:szCs w:val="28"/>
          <w:highlight w:val="none"/>
        </w:rPr>
      </w:pPr>
    </w:p>
    <w:p>
      <w:pPr>
        <w:rPr>
          <w:rFonts w:asciiTheme="minorEastAsia" w:hAnsiTheme="minorEastAsia" w:eastAsiaTheme="minorEastAsia" w:cstheme="minorEastAsia"/>
          <w:b/>
          <w:color w:val="auto"/>
          <w:sz w:val="28"/>
          <w:szCs w:val="28"/>
          <w:highlight w:val="none"/>
        </w:rPr>
      </w:pPr>
    </w:p>
    <w:p>
      <w:pPr>
        <w:rPr>
          <w:rFonts w:asciiTheme="minorEastAsia" w:hAnsiTheme="minorEastAsia" w:eastAsiaTheme="minorEastAsia" w:cstheme="minorEastAsia"/>
          <w:b/>
          <w:color w:val="auto"/>
          <w:sz w:val="28"/>
          <w:szCs w:val="28"/>
          <w:highlight w:val="none"/>
        </w:rPr>
      </w:pPr>
    </w:p>
    <w:p>
      <w:pPr>
        <w:rPr>
          <w:rFonts w:asciiTheme="minorEastAsia" w:hAnsiTheme="minorEastAsia" w:eastAsiaTheme="minorEastAsia" w:cstheme="minorEastAsia"/>
          <w:b/>
          <w:color w:val="auto"/>
          <w:sz w:val="28"/>
          <w:szCs w:val="28"/>
          <w:highlight w:val="none"/>
        </w:rPr>
      </w:pPr>
    </w:p>
    <w:p>
      <w:pPr>
        <w:rPr>
          <w:rFonts w:asciiTheme="minorEastAsia" w:hAnsiTheme="minorEastAsia" w:eastAsiaTheme="minorEastAsia" w:cstheme="minorEastAsia"/>
          <w:b/>
          <w:color w:val="auto"/>
          <w:sz w:val="28"/>
          <w:szCs w:val="28"/>
          <w:highlight w:val="none"/>
        </w:rPr>
      </w:pPr>
    </w:p>
    <w:p>
      <w:pPr>
        <w:rPr>
          <w:rFonts w:asciiTheme="minorEastAsia" w:hAnsiTheme="minorEastAsia" w:eastAsiaTheme="minorEastAsia" w:cstheme="minorEastAsia"/>
          <w:b/>
          <w:color w:val="auto"/>
          <w:sz w:val="28"/>
          <w:szCs w:val="28"/>
          <w:highlight w:val="none"/>
        </w:rPr>
      </w:pPr>
    </w:p>
    <w:p>
      <w:pPr>
        <w:rPr>
          <w:rFonts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质疑函制作说明：</w:t>
      </w:r>
    </w:p>
    <w:p>
      <w:pPr>
        <w:widowControl/>
        <w:ind w:firstLine="480" w:firstLineChars="200"/>
        <w:jc w:val="left"/>
        <w:rPr>
          <w:rFonts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1.供应商提出质疑时，应提交质疑函和必要的证明材料。</w:t>
      </w:r>
    </w:p>
    <w:p>
      <w:pPr>
        <w:widowControl/>
        <w:ind w:firstLine="480" w:firstLineChars="200"/>
        <w:jc w:val="left"/>
        <w:rPr>
          <w:rFonts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2.质疑供应商若委托代理人进行质疑的，质疑函应按要求列明“授权代表”的有关内容，并在附件中提交由质疑</w:t>
      </w:r>
      <w:r>
        <w:rPr>
          <w:rFonts w:hint="eastAsia" w:asciiTheme="minorEastAsia" w:hAnsiTheme="minorEastAsia" w:eastAsiaTheme="minorEastAsia" w:cstheme="minorEastAsia"/>
          <w:color w:val="auto"/>
          <w:kern w:val="0"/>
          <w:sz w:val="24"/>
          <w:highlight w:val="none"/>
        </w:rPr>
        <w:t>供应商签署的授权委托书。授权委托书应载明代理人的姓名或者名称、代理事项、具体权限、期限和相关事项。</w:t>
      </w:r>
    </w:p>
    <w:p>
      <w:pPr>
        <w:widowControl/>
        <w:ind w:firstLine="480" w:firstLineChars="200"/>
        <w:jc w:val="left"/>
        <w:rPr>
          <w:rFonts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3.质疑供应商若对项目的某一分包进行质疑，质疑函中应列明具体分包号。</w:t>
      </w:r>
    </w:p>
    <w:p>
      <w:pPr>
        <w:widowControl/>
        <w:ind w:firstLine="480" w:firstLineChars="200"/>
        <w:jc w:val="left"/>
        <w:rPr>
          <w:rFonts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4.质疑函的质疑事项应具体、明确，并有必要的事实依据和法律依据。</w:t>
      </w:r>
    </w:p>
    <w:p>
      <w:pPr>
        <w:widowControl/>
        <w:ind w:firstLine="480" w:firstLineChars="200"/>
        <w:jc w:val="left"/>
        <w:rPr>
          <w:rFonts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5.质疑函的质疑请求应与质疑事项相关。</w:t>
      </w:r>
    </w:p>
    <w:p>
      <w:pPr>
        <w:widowControl/>
        <w:ind w:firstLine="480" w:firstLineChars="200"/>
        <w:jc w:val="left"/>
        <w:rPr>
          <w:rFonts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6.质疑供应商为自然人的，质疑函应由本人签字；质疑供应商为法人或者其他组织的，质疑函应由法定代表人、主要负责人，或者其授权代表签字或者盖章，并加盖公章。</w:t>
      </w:r>
    </w:p>
    <w:p>
      <w:pPr>
        <w:widowControl/>
        <w:ind w:firstLine="480" w:firstLineChars="200"/>
        <w:jc w:val="left"/>
        <w:rPr>
          <w:rFonts w:asciiTheme="minorEastAsia" w:hAnsiTheme="minorEastAsia" w:eastAsiaTheme="minorEastAsia" w:cstheme="minorEastAsia"/>
          <w:color w:val="auto"/>
          <w:sz w:val="24"/>
          <w:highlight w:val="none"/>
        </w:rPr>
      </w:pPr>
    </w:p>
    <w:p>
      <w:pPr>
        <w:outlineLvl w:val="9"/>
        <w:rPr>
          <w:rFonts w:asciiTheme="minorEastAsia" w:hAnsiTheme="minorEastAsia" w:eastAsiaTheme="minorEastAsia" w:cstheme="minorEastAsia"/>
          <w:color w:val="auto"/>
          <w:sz w:val="20"/>
          <w:szCs w:val="22"/>
          <w:highlight w:val="none"/>
        </w:rPr>
      </w:pPr>
    </w:p>
    <w:p>
      <w:pPr>
        <w:outlineLvl w:val="9"/>
        <w:rPr>
          <w:rFonts w:asciiTheme="minorEastAsia" w:hAnsiTheme="minorEastAsia" w:eastAsiaTheme="minorEastAsia" w:cstheme="minorEastAsia"/>
          <w:color w:val="auto"/>
          <w:sz w:val="28"/>
          <w:szCs w:val="28"/>
          <w:highlight w:val="none"/>
        </w:rPr>
      </w:pPr>
    </w:p>
    <w:p>
      <w:pPr>
        <w:outlineLvl w:val="9"/>
        <w:rPr>
          <w:rFonts w:asciiTheme="minorEastAsia" w:hAnsiTheme="minorEastAsia" w:eastAsiaTheme="minorEastAsia" w:cstheme="minorEastAsia"/>
          <w:color w:val="auto"/>
          <w:sz w:val="20"/>
          <w:szCs w:val="22"/>
          <w:highlight w:val="none"/>
        </w:rPr>
      </w:pPr>
    </w:p>
    <w:p>
      <w:pPr>
        <w:outlineLvl w:val="9"/>
        <w:rPr>
          <w:rFonts w:asciiTheme="minorEastAsia" w:hAnsiTheme="minorEastAsia" w:eastAsiaTheme="minorEastAsia" w:cstheme="minorEastAsia"/>
          <w:color w:val="auto"/>
          <w:sz w:val="28"/>
          <w:szCs w:val="28"/>
          <w:highlight w:val="none"/>
        </w:rPr>
      </w:pPr>
    </w:p>
    <w:p>
      <w:pPr>
        <w:outlineLvl w:val="9"/>
        <w:rPr>
          <w:rFonts w:asciiTheme="minorEastAsia" w:hAnsiTheme="minorEastAsia" w:eastAsiaTheme="minorEastAsia" w:cstheme="minorEastAsia"/>
          <w:color w:val="auto"/>
          <w:sz w:val="20"/>
          <w:szCs w:val="22"/>
          <w:highlight w:val="none"/>
        </w:rPr>
      </w:pPr>
    </w:p>
    <w:p>
      <w:pPr>
        <w:pStyle w:val="38"/>
        <w:ind w:firstLine="560"/>
        <w:outlineLvl w:val="9"/>
        <w:rPr>
          <w:rFonts w:asciiTheme="minorEastAsia" w:hAnsiTheme="minorEastAsia" w:eastAsiaTheme="minorEastAsia" w:cstheme="minorEastAsia"/>
          <w:color w:val="auto"/>
          <w:sz w:val="28"/>
          <w:szCs w:val="22"/>
          <w:highlight w:val="none"/>
        </w:rPr>
      </w:pPr>
    </w:p>
    <w:p>
      <w:pPr>
        <w:pStyle w:val="32"/>
        <w:outlineLvl w:val="9"/>
        <w:rPr>
          <w:rFonts w:asciiTheme="minorEastAsia" w:hAnsiTheme="minorEastAsia" w:eastAsiaTheme="minorEastAsia" w:cstheme="minorEastAsia"/>
          <w:color w:val="auto"/>
          <w:sz w:val="20"/>
          <w:szCs w:val="22"/>
          <w:highlight w:val="none"/>
        </w:rPr>
      </w:pPr>
    </w:p>
    <w:p>
      <w:pPr>
        <w:outlineLvl w:val="9"/>
        <w:rPr>
          <w:rFonts w:asciiTheme="minorEastAsia" w:hAnsiTheme="minorEastAsia" w:eastAsiaTheme="minorEastAsia" w:cstheme="minorEastAsia"/>
          <w:color w:val="auto"/>
          <w:sz w:val="20"/>
          <w:szCs w:val="22"/>
          <w:highlight w:val="none"/>
        </w:rPr>
      </w:pPr>
    </w:p>
    <w:p>
      <w:pPr>
        <w:pStyle w:val="6"/>
        <w:keepNext w:val="0"/>
        <w:keepLines w:val="0"/>
        <w:pageBreakBefore/>
        <w:rPr>
          <w:rFonts w:asciiTheme="minorEastAsia" w:hAnsiTheme="minorEastAsia" w:eastAsiaTheme="minorEastAsia" w:cstheme="minorEastAsia"/>
          <w:b w:val="0"/>
          <w:color w:val="auto"/>
          <w:sz w:val="24"/>
          <w:highlight w:val="none"/>
        </w:rPr>
      </w:pPr>
      <w:bookmarkStart w:id="105" w:name="_Toc28792"/>
      <w:bookmarkStart w:id="106" w:name="_Toc13701"/>
      <w:bookmarkStart w:id="107" w:name="_Toc32533"/>
      <w:r>
        <w:rPr>
          <w:rFonts w:hint="eastAsia" w:asciiTheme="minorEastAsia" w:hAnsiTheme="minorEastAsia" w:eastAsiaTheme="minorEastAsia" w:cstheme="minorEastAsia"/>
          <w:b w:val="0"/>
          <w:color w:val="auto"/>
          <w:sz w:val="24"/>
          <w:highlight w:val="none"/>
        </w:rPr>
        <w:t>附件二十</w:t>
      </w:r>
      <w:r>
        <w:rPr>
          <w:rFonts w:hint="eastAsia" w:asciiTheme="minorEastAsia" w:hAnsiTheme="minorEastAsia" w:eastAsiaTheme="minorEastAsia" w:cstheme="minorEastAsia"/>
          <w:b w:val="0"/>
          <w:color w:val="auto"/>
          <w:sz w:val="24"/>
          <w:highlight w:val="none"/>
          <w:lang w:val="en-US" w:eastAsia="zh-CN"/>
        </w:rPr>
        <w:t>二</w:t>
      </w:r>
      <w:r>
        <w:rPr>
          <w:rFonts w:hint="eastAsia" w:asciiTheme="minorEastAsia" w:hAnsiTheme="minorEastAsia" w:eastAsiaTheme="minorEastAsia" w:cstheme="minorEastAsia"/>
          <w:b w:val="0"/>
          <w:color w:val="auto"/>
          <w:sz w:val="24"/>
          <w:highlight w:val="none"/>
        </w:rPr>
        <w:t>：投诉书范本</w:t>
      </w:r>
      <w:bookmarkEnd w:id="105"/>
      <w:bookmarkEnd w:id="106"/>
      <w:bookmarkEnd w:id="107"/>
    </w:p>
    <w:p>
      <w:pPr>
        <w:jc w:val="center"/>
        <w:rPr>
          <w:rFonts w:asciiTheme="minorEastAsia" w:hAnsiTheme="minorEastAsia" w:eastAsiaTheme="minorEastAsia" w:cstheme="minorEastAsia"/>
          <w:b/>
          <w:color w:val="auto"/>
          <w:sz w:val="40"/>
          <w:szCs w:val="40"/>
          <w:highlight w:val="none"/>
        </w:rPr>
      </w:pPr>
      <w:r>
        <w:rPr>
          <w:rFonts w:hint="eastAsia" w:asciiTheme="minorEastAsia" w:hAnsiTheme="minorEastAsia" w:eastAsiaTheme="minorEastAsia" w:cstheme="minorEastAsia"/>
          <w:b/>
          <w:color w:val="auto"/>
          <w:sz w:val="40"/>
          <w:szCs w:val="40"/>
          <w:highlight w:val="none"/>
        </w:rPr>
        <w:t>投诉书范本</w:t>
      </w:r>
    </w:p>
    <w:p>
      <w:pPr>
        <w:rPr>
          <w:rFonts w:asciiTheme="minorEastAsia" w:hAnsiTheme="minorEastAsia" w:eastAsiaTheme="minorEastAsia" w:cstheme="minorEastAsia"/>
          <w:color w:val="auto"/>
          <w:sz w:val="28"/>
          <w:szCs w:val="28"/>
          <w:highlight w:val="none"/>
        </w:rPr>
      </w:pPr>
      <w:r>
        <w:rPr>
          <w:rFonts w:hint="eastAsia" w:asciiTheme="minorEastAsia" w:hAnsiTheme="minorEastAsia" w:eastAsiaTheme="minorEastAsia" w:cstheme="minorEastAsia"/>
          <w:color w:val="auto"/>
          <w:sz w:val="28"/>
          <w:szCs w:val="28"/>
          <w:highlight w:val="none"/>
        </w:rPr>
        <w:t>一、投诉相关主体基本情况</w:t>
      </w:r>
    </w:p>
    <w:p>
      <w:pPr>
        <w:rPr>
          <w:rFonts w:asciiTheme="minorEastAsia" w:hAnsiTheme="minorEastAsia" w:eastAsiaTheme="minorEastAsia" w:cstheme="minorEastAsia"/>
          <w:color w:val="auto"/>
          <w:sz w:val="28"/>
          <w:szCs w:val="28"/>
          <w:highlight w:val="none"/>
          <w:u w:val="dotted"/>
        </w:rPr>
      </w:pPr>
      <w:r>
        <w:rPr>
          <w:rFonts w:hint="eastAsia" w:asciiTheme="minorEastAsia" w:hAnsiTheme="minorEastAsia" w:eastAsiaTheme="minorEastAsia" w:cstheme="minorEastAsia"/>
          <w:color w:val="auto"/>
          <w:sz w:val="28"/>
          <w:szCs w:val="28"/>
          <w:highlight w:val="none"/>
        </w:rPr>
        <w:t>投诉人：</w:t>
      </w:r>
      <w:r>
        <w:rPr>
          <w:rFonts w:hint="eastAsia" w:asciiTheme="minorEastAsia" w:hAnsiTheme="minorEastAsia" w:eastAsiaTheme="minorEastAsia" w:cstheme="minorEastAsia"/>
          <w:color w:val="auto"/>
          <w:sz w:val="28"/>
          <w:szCs w:val="28"/>
          <w:highlight w:val="none"/>
          <w:u w:val="dotted"/>
        </w:rPr>
        <w:t xml:space="preserve">                                               </w:t>
      </w:r>
    </w:p>
    <w:p>
      <w:pPr>
        <w:rPr>
          <w:rFonts w:asciiTheme="minorEastAsia" w:hAnsiTheme="minorEastAsia" w:eastAsiaTheme="minorEastAsia" w:cstheme="minorEastAsia"/>
          <w:color w:val="auto"/>
          <w:sz w:val="28"/>
          <w:szCs w:val="28"/>
          <w:highlight w:val="none"/>
          <w:u w:val="single"/>
        </w:rPr>
      </w:pPr>
      <w:r>
        <w:rPr>
          <w:rFonts w:hint="eastAsia" w:asciiTheme="minorEastAsia" w:hAnsiTheme="minorEastAsia" w:eastAsiaTheme="minorEastAsia" w:cstheme="minorEastAsia"/>
          <w:color w:val="auto"/>
          <w:sz w:val="28"/>
          <w:szCs w:val="28"/>
          <w:highlight w:val="none"/>
        </w:rPr>
        <w:t>地     址：</w:t>
      </w:r>
      <w:r>
        <w:rPr>
          <w:rFonts w:hint="eastAsia" w:asciiTheme="minorEastAsia" w:hAnsiTheme="minorEastAsia" w:eastAsiaTheme="minorEastAsia" w:cstheme="minorEastAsia"/>
          <w:color w:val="auto"/>
          <w:sz w:val="28"/>
          <w:szCs w:val="28"/>
          <w:highlight w:val="none"/>
          <w:u w:val="dotted"/>
        </w:rPr>
        <w:t xml:space="preserve">                             </w:t>
      </w:r>
      <w:r>
        <w:rPr>
          <w:rFonts w:hint="eastAsia" w:asciiTheme="minorEastAsia" w:hAnsiTheme="minorEastAsia" w:eastAsiaTheme="minorEastAsia" w:cstheme="minorEastAsia"/>
          <w:color w:val="auto"/>
          <w:sz w:val="28"/>
          <w:szCs w:val="28"/>
          <w:highlight w:val="none"/>
        </w:rPr>
        <w:t>邮编：</w:t>
      </w:r>
      <w:r>
        <w:rPr>
          <w:rFonts w:hint="eastAsia" w:asciiTheme="minorEastAsia" w:hAnsiTheme="minorEastAsia" w:eastAsiaTheme="minorEastAsia" w:cstheme="minorEastAsia"/>
          <w:color w:val="auto"/>
          <w:sz w:val="28"/>
          <w:szCs w:val="28"/>
          <w:highlight w:val="none"/>
          <w:u w:val="dotted"/>
        </w:rPr>
        <w:t xml:space="preserve">         </w:t>
      </w:r>
      <w:r>
        <w:rPr>
          <w:rFonts w:hint="eastAsia" w:asciiTheme="minorEastAsia" w:hAnsiTheme="minorEastAsia" w:eastAsiaTheme="minorEastAsia" w:cstheme="minorEastAsia"/>
          <w:color w:val="auto"/>
          <w:sz w:val="28"/>
          <w:szCs w:val="28"/>
          <w:highlight w:val="none"/>
          <w:u w:val="single"/>
        </w:rPr>
        <w:t xml:space="preserve">   </w:t>
      </w:r>
    </w:p>
    <w:p>
      <w:pPr>
        <w:tabs>
          <w:tab w:val="left" w:pos="6510"/>
        </w:tabs>
        <w:jc w:val="left"/>
        <w:rPr>
          <w:rFonts w:asciiTheme="minorEastAsia" w:hAnsiTheme="minorEastAsia" w:eastAsiaTheme="minorEastAsia" w:cstheme="minorEastAsia"/>
          <w:color w:val="auto"/>
          <w:sz w:val="28"/>
          <w:szCs w:val="28"/>
          <w:highlight w:val="none"/>
        </w:rPr>
      </w:pPr>
      <w:r>
        <w:rPr>
          <w:rFonts w:hint="eastAsia" w:asciiTheme="minorEastAsia" w:hAnsiTheme="minorEastAsia" w:eastAsiaTheme="minorEastAsia" w:cstheme="minorEastAsia"/>
          <w:color w:val="auto"/>
          <w:sz w:val="28"/>
          <w:szCs w:val="28"/>
          <w:highlight w:val="none"/>
        </w:rPr>
        <w:t>法定代表人/主要负责人：</w:t>
      </w:r>
      <w:r>
        <w:rPr>
          <w:rFonts w:hint="eastAsia" w:asciiTheme="minorEastAsia" w:hAnsiTheme="minorEastAsia" w:eastAsiaTheme="minorEastAsia" w:cstheme="minorEastAsia"/>
          <w:color w:val="auto"/>
          <w:sz w:val="28"/>
          <w:szCs w:val="28"/>
          <w:highlight w:val="none"/>
          <w:u w:val="dotted"/>
        </w:rPr>
        <w:t xml:space="preserve">                                   </w:t>
      </w:r>
      <w:r>
        <w:rPr>
          <w:rFonts w:hint="eastAsia" w:asciiTheme="minorEastAsia" w:hAnsiTheme="minorEastAsia" w:eastAsiaTheme="minorEastAsia" w:cstheme="minorEastAsia"/>
          <w:color w:val="auto"/>
          <w:sz w:val="28"/>
          <w:szCs w:val="28"/>
          <w:highlight w:val="none"/>
        </w:rPr>
        <w:t xml:space="preserve">  </w:t>
      </w:r>
    </w:p>
    <w:p>
      <w:pPr>
        <w:tabs>
          <w:tab w:val="left" w:pos="6510"/>
        </w:tabs>
        <w:rPr>
          <w:rFonts w:asciiTheme="minorEastAsia" w:hAnsiTheme="minorEastAsia" w:eastAsiaTheme="minorEastAsia" w:cstheme="minorEastAsia"/>
          <w:color w:val="auto"/>
          <w:sz w:val="28"/>
          <w:szCs w:val="28"/>
          <w:highlight w:val="none"/>
          <w:u w:val="dotted"/>
        </w:rPr>
      </w:pPr>
      <w:r>
        <w:rPr>
          <w:rFonts w:hint="eastAsia" w:asciiTheme="minorEastAsia" w:hAnsiTheme="minorEastAsia" w:eastAsiaTheme="minorEastAsia" w:cstheme="minorEastAsia"/>
          <w:color w:val="auto"/>
          <w:sz w:val="28"/>
          <w:szCs w:val="28"/>
          <w:highlight w:val="none"/>
        </w:rPr>
        <w:t>联系电话：</w:t>
      </w:r>
      <w:r>
        <w:rPr>
          <w:rFonts w:hint="eastAsia" w:asciiTheme="minorEastAsia" w:hAnsiTheme="minorEastAsia" w:eastAsiaTheme="minorEastAsia" w:cstheme="minorEastAsia"/>
          <w:color w:val="auto"/>
          <w:sz w:val="28"/>
          <w:szCs w:val="28"/>
          <w:highlight w:val="none"/>
          <w:u w:val="dotted"/>
        </w:rPr>
        <w:t xml:space="preserve">                                             </w:t>
      </w:r>
    </w:p>
    <w:p>
      <w:pPr>
        <w:rPr>
          <w:rFonts w:asciiTheme="minorEastAsia" w:hAnsiTheme="minorEastAsia" w:eastAsiaTheme="minorEastAsia" w:cstheme="minorEastAsia"/>
          <w:color w:val="auto"/>
          <w:sz w:val="28"/>
          <w:szCs w:val="28"/>
          <w:highlight w:val="none"/>
          <w:u w:val="dotted"/>
        </w:rPr>
      </w:pPr>
      <w:r>
        <w:rPr>
          <w:rFonts w:hint="eastAsia" w:asciiTheme="minorEastAsia" w:hAnsiTheme="minorEastAsia" w:eastAsiaTheme="minorEastAsia" w:cstheme="minorEastAsia"/>
          <w:color w:val="auto"/>
          <w:sz w:val="28"/>
          <w:szCs w:val="28"/>
          <w:highlight w:val="none"/>
        </w:rPr>
        <w:t>授权代表：</w:t>
      </w:r>
      <w:r>
        <w:rPr>
          <w:rFonts w:hint="eastAsia" w:asciiTheme="minorEastAsia" w:hAnsiTheme="minorEastAsia" w:eastAsiaTheme="minorEastAsia" w:cstheme="minorEastAsia"/>
          <w:color w:val="auto"/>
          <w:sz w:val="28"/>
          <w:szCs w:val="28"/>
          <w:highlight w:val="none"/>
          <w:u w:val="dotted"/>
        </w:rPr>
        <w:t xml:space="preserve">             </w:t>
      </w:r>
      <w:r>
        <w:rPr>
          <w:rFonts w:hint="eastAsia" w:asciiTheme="minorEastAsia" w:hAnsiTheme="minorEastAsia" w:eastAsiaTheme="minorEastAsia" w:cstheme="minorEastAsia"/>
          <w:color w:val="auto"/>
          <w:sz w:val="28"/>
          <w:szCs w:val="28"/>
          <w:highlight w:val="none"/>
        </w:rPr>
        <w:t>联系电话</w:t>
      </w:r>
      <w:r>
        <w:rPr>
          <w:rFonts w:hint="eastAsia" w:asciiTheme="minorEastAsia" w:hAnsiTheme="minorEastAsia" w:eastAsiaTheme="minorEastAsia" w:cstheme="minorEastAsia"/>
          <w:color w:val="auto"/>
          <w:sz w:val="28"/>
          <w:szCs w:val="28"/>
          <w:highlight w:val="none"/>
          <w:u w:val="dotted"/>
        </w:rPr>
        <w:t xml:space="preserve">：                  </w:t>
      </w:r>
    </w:p>
    <w:p>
      <w:pPr>
        <w:rPr>
          <w:rFonts w:asciiTheme="minorEastAsia" w:hAnsiTheme="minorEastAsia" w:eastAsiaTheme="minorEastAsia" w:cstheme="minorEastAsia"/>
          <w:color w:val="auto"/>
          <w:sz w:val="28"/>
          <w:szCs w:val="28"/>
          <w:highlight w:val="none"/>
          <w:u w:val="dotted"/>
        </w:rPr>
      </w:pPr>
      <w:r>
        <w:rPr>
          <w:rFonts w:hint="eastAsia" w:asciiTheme="minorEastAsia" w:hAnsiTheme="minorEastAsia" w:eastAsiaTheme="minorEastAsia" w:cstheme="minorEastAsia"/>
          <w:color w:val="auto"/>
          <w:sz w:val="28"/>
          <w:szCs w:val="28"/>
          <w:highlight w:val="none"/>
        </w:rPr>
        <w:t>地     址：</w:t>
      </w:r>
      <w:r>
        <w:rPr>
          <w:rFonts w:hint="eastAsia" w:asciiTheme="minorEastAsia" w:hAnsiTheme="minorEastAsia" w:eastAsiaTheme="minorEastAsia" w:cstheme="minorEastAsia"/>
          <w:color w:val="auto"/>
          <w:sz w:val="28"/>
          <w:szCs w:val="28"/>
          <w:highlight w:val="none"/>
          <w:u w:val="dotted"/>
        </w:rPr>
        <w:t xml:space="preserve">                             </w:t>
      </w:r>
      <w:r>
        <w:rPr>
          <w:rFonts w:hint="eastAsia" w:asciiTheme="minorEastAsia" w:hAnsiTheme="minorEastAsia" w:eastAsiaTheme="minorEastAsia" w:cstheme="minorEastAsia"/>
          <w:color w:val="auto"/>
          <w:sz w:val="28"/>
          <w:szCs w:val="28"/>
          <w:highlight w:val="none"/>
        </w:rPr>
        <w:t>邮编：</w:t>
      </w:r>
      <w:r>
        <w:rPr>
          <w:rFonts w:hint="eastAsia" w:asciiTheme="minorEastAsia" w:hAnsiTheme="minorEastAsia" w:eastAsiaTheme="minorEastAsia" w:cstheme="minorEastAsia"/>
          <w:color w:val="auto"/>
          <w:sz w:val="28"/>
          <w:szCs w:val="28"/>
          <w:highlight w:val="none"/>
          <w:u w:val="dotted"/>
        </w:rPr>
        <w:t xml:space="preserve">         </w:t>
      </w:r>
      <w:r>
        <w:rPr>
          <w:rFonts w:hint="eastAsia" w:asciiTheme="minorEastAsia" w:hAnsiTheme="minorEastAsia" w:eastAsiaTheme="minorEastAsia" w:cstheme="minorEastAsia"/>
          <w:color w:val="auto"/>
          <w:sz w:val="28"/>
          <w:szCs w:val="28"/>
          <w:highlight w:val="none"/>
          <w:u w:val="single"/>
        </w:rPr>
        <w:t xml:space="preserve"> </w:t>
      </w:r>
      <w:r>
        <w:rPr>
          <w:rFonts w:hint="eastAsia" w:asciiTheme="minorEastAsia" w:hAnsiTheme="minorEastAsia" w:eastAsiaTheme="minorEastAsia" w:cstheme="minorEastAsia"/>
          <w:color w:val="auto"/>
          <w:sz w:val="28"/>
          <w:szCs w:val="28"/>
          <w:highlight w:val="none"/>
          <w:u w:val="dotted"/>
        </w:rPr>
        <w:t xml:space="preserve">                   </w:t>
      </w:r>
    </w:p>
    <w:p>
      <w:pPr>
        <w:rPr>
          <w:rFonts w:asciiTheme="minorEastAsia" w:hAnsiTheme="minorEastAsia" w:eastAsiaTheme="minorEastAsia" w:cstheme="minorEastAsia"/>
          <w:color w:val="auto"/>
          <w:sz w:val="28"/>
          <w:szCs w:val="28"/>
          <w:highlight w:val="none"/>
          <w:u w:val="single"/>
        </w:rPr>
      </w:pPr>
      <w:r>
        <w:rPr>
          <w:rFonts w:hint="eastAsia" w:asciiTheme="minorEastAsia" w:hAnsiTheme="minorEastAsia" w:eastAsiaTheme="minorEastAsia" w:cstheme="minorEastAsia"/>
          <w:color w:val="auto"/>
          <w:sz w:val="28"/>
          <w:szCs w:val="28"/>
          <w:highlight w:val="none"/>
        </w:rPr>
        <w:t>被投诉人1：</w:t>
      </w:r>
      <w:r>
        <w:rPr>
          <w:rFonts w:hint="eastAsia" w:asciiTheme="minorEastAsia" w:hAnsiTheme="minorEastAsia" w:eastAsiaTheme="minorEastAsia" w:cstheme="minorEastAsia"/>
          <w:color w:val="auto"/>
          <w:sz w:val="28"/>
          <w:szCs w:val="28"/>
          <w:highlight w:val="none"/>
          <w:u w:val="dotted"/>
        </w:rPr>
        <w:t xml:space="preserve">                                           </w:t>
      </w:r>
      <w:r>
        <w:rPr>
          <w:rFonts w:hint="eastAsia" w:asciiTheme="minorEastAsia" w:hAnsiTheme="minorEastAsia" w:eastAsiaTheme="minorEastAsia" w:cstheme="minorEastAsia"/>
          <w:color w:val="auto"/>
          <w:sz w:val="28"/>
          <w:szCs w:val="28"/>
          <w:highlight w:val="none"/>
          <w:u w:val="single"/>
        </w:rPr>
        <w:t xml:space="preserve">  </w:t>
      </w:r>
    </w:p>
    <w:p>
      <w:pPr>
        <w:rPr>
          <w:rFonts w:asciiTheme="minorEastAsia" w:hAnsiTheme="minorEastAsia" w:eastAsiaTheme="minorEastAsia" w:cstheme="minorEastAsia"/>
          <w:color w:val="auto"/>
          <w:sz w:val="28"/>
          <w:szCs w:val="28"/>
          <w:highlight w:val="none"/>
          <w:u w:val="single"/>
        </w:rPr>
      </w:pPr>
      <w:r>
        <w:rPr>
          <w:rFonts w:hint="eastAsia" w:asciiTheme="minorEastAsia" w:hAnsiTheme="minorEastAsia" w:eastAsiaTheme="minorEastAsia" w:cstheme="minorEastAsia"/>
          <w:color w:val="auto"/>
          <w:sz w:val="28"/>
          <w:szCs w:val="28"/>
          <w:highlight w:val="none"/>
        </w:rPr>
        <w:t>地     址：</w:t>
      </w:r>
      <w:r>
        <w:rPr>
          <w:rFonts w:hint="eastAsia" w:asciiTheme="minorEastAsia" w:hAnsiTheme="minorEastAsia" w:eastAsiaTheme="minorEastAsia" w:cstheme="minorEastAsia"/>
          <w:color w:val="auto"/>
          <w:sz w:val="28"/>
          <w:szCs w:val="28"/>
          <w:highlight w:val="none"/>
          <w:u w:val="dotted"/>
        </w:rPr>
        <w:t xml:space="preserve">                             </w:t>
      </w:r>
      <w:r>
        <w:rPr>
          <w:rFonts w:hint="eastAsia" w:asciiTheme="minorEastAsia" w:hAnsiTheme="minorEastAsia" w:eastAsiaTheme="minorEastAsia" w:cstheme="minorEastAsia"/>
          <w:color w:val="auto"/>
          <w:sz w:val="28"/>
          <w:szCs w:val="28"/>
          <w:highlight w:val="none"/>
        </w:rPr>
        <w:t>邮编：</w:t>
      </w:r>
      <w:r>
        <w:rPr>
          <w:rFonts w:hint="eastAsia" w:asciiTheme="minorEastAsia" w:hAnsiTheme="minorEastAsia" w:eastAsiaTheme="minorEastAsia" w:cstheme="minorEastAsia"/>
          <w:color w:val="auto"/>
          <w:sz w:val="28"/>
          <w:szCs w:val="28"/>
          <w:highlight w:val="none"/>
          <w:u w:val="dotted"/>
        </w:rPr>
        <w:t xml:space="preserve">          </w:t>
      </w:r>
      <w:r>
        <w:rPr>
          <w:rFonts w:hint="eastAsia" w:asciiTheme="minorEastAsia" w:hAnsiTheme="minorEastAsia" w:eastAsiaTheme="minorEastAsia" w:cstheme="minorEastAsia"/>
          <w:color w:val="auto"/>
          <w:sz w:val="28"/>
          <w:szCs w:val="28"/>
          <w:highlight w:val="none"/>
          <w:u w:val="single"/>
        </w:rPr>
        <w:t xml:space="preserve"> </w:t>
      </w:r>
    </w:p>
    <w:p>
      <w:pPr>
        <w:rPr>
          <w:rFonts w:asciiTheme="minorEastAsia" w:hAnsiTheme="minorEastAsia" w:eastAsiaTheme="minorEastAsia" w:cstheme="minorEastAsia"/>
          <w:color w:val="auto"/>
          <w:sz w:val="28"/>
          <w:szCs w:val="28"/>
          <w:highlight w:val="none"/>
          <w:u w:val="single"/>
        </w:rPr>
      </w:pPr>
      <w:r>
        <w:rPr>
          <w:rFonts w:hint="eastAsia" w:asciiTheme="minorEastAsia" w:hAnsiTheme="minorEastAsia" w:eastAsiaTheme="minorEastAsia" w:cstheme="minorEastAsia"/>
          <w:color w:val="auto"/>
          <w:sz w:val="28"/>
          <w:szCs w:val="28"/>
          <w:highlight w:val="none"/>
        </w:rPr>
        <w:t>联系人：</w:t>
      </w:r>
      <w:r>
        <w:rPr>
          <w:rFonts w:hint="eastAsia" w:asciiTheme="minorEastAsia" w:hAnsiTheme="minorEastAsia" w:eastAsiaTheme="minorEastAsia" w:cstheme="minorEastAsia"/>
          <w:color w:val="auto"/>
          <w:sz w:val="28"/>
          <w:szCs w:val="28"/>
          <w:highlight w:val="none"/>
          <w:u w:val="dotted"/>
        </w:rPr>
        <w:t xml:space="preserve">               </w:t>
      </w:r>
      <w:r>
        <w:rPr>
          <w:rFonts w:hint="eastAsia" w:asciiTheme="minorEastAsia" w:hAnsiTheme="minorEastAsia" w:eastAsiaTheme="minorEastAsia" w:cstheme="minorEastAsia"/>
          <w:color w:val="auto"/>
          <w:sz w:val="28"/>
          <w:szCs w:val="28"/>
          <w:highlight w:val="none"/>
        </w:rPr>
        <w:t>联系电话：</w:t>
      </w:r>
      <w:r>
        <w:rPr>
          <w:rFonts w:hint="eastAsia" w:asciiTheme="minorEastAsia" w:hAnsiTheme="minorEastAsia" w:eastAsiaTheme="minorEastAsia" w:cstheme="minorEastAsia"/>
          <w:color w:val="auto"/>
          <w:sz w:val="28"/>
          <w:szCs w:val="28"/>
          <w:highlight w:val="none"/>
          <w:u w:val="dotted"/>
        </w:rPr>
        <w:t xml:space="preserve">                      </w:t>
      </w:r>
      <w:r>
        <w:rPr>
          <w:rFonts w:hint="eastAsia" w:asciiTheme="minorEastAsia" w:hAnsiTheme="minorEastAsia" w:eastAsiaTheme="minorEastAsia" w:cstheme="minorEastAsia"/>
          <w:color w:val="auto"/>
          <w:sz w:val="28"/>
          <w:szCs w:val="28"/>
          <w:highlight w:val="none"/>
          <w:u w:val="single"/>
        </w:rPr>
        <w:t xml:space="preserve"> </w:t>
      </w:r>
    </w:p>
    <w:p>
      <w:pPr>
        <w:rPr>
          <w:rFonts w:asciiTheme="minorEastAsia" w:hAnsiTheme="minorEastAsia" w:eastAsiaTheme="minorEastAsia" w:cstheme="minorEastAsia"/>
          <w:color w:val="auto"/>
          <w:sz w:val="28"/>
          <w:szCs w:val="28"/>
          <w:highlight w:val="none"/>
        </w:rPr>
      </w:pPr>
      <w:r>
        <w:rPr>
          <w:rFonts w:hint="eastAsia" w:asciiTheme="minorEastAsia" w:hAnsiTheme="minorEastAsia" w:eastAsiaTheme="minorEastAsia" w:cstheme="minorEastAsia"/>
          <w:color w:val="auto"/>
          <w:sz w:val="28"/>
          <w:szCs w:val="28"/>
          <w:highlight w:val="none"/>
        </w:rPr>
        <w:t>被投诉人2</w:t>
      </w:r>
    </w:p>
    <w:p>
      <w:pPr>
        <w:rPr>
          <w:rFonts w:asciiTheme="minorEastAsia" w:hAnsiTheme="minorEastAsia" w:eastAsiaTheme="minorEastAsia" w:cstheme="minorEastAsia"/>
          <w:color w:val="auto"/>
          <w:sz w:val="28"/>
          <w:szCs w:val="28"/>
          <w:highlight w:val="none"/>
          <w:u w:val="dotted"/>
        </w:rPr>
      </w:pPr>
      <w:r>
        <w:rPr>
          <w:rFonts w:hint="eastAsia" w:asciiTheme="minorEastAsia" w:hAnsiTheme="minorEastAsia" w:eastAsiaTheme="minorEastAsia" w:cstheme="minorEastAsia"/>
          <w:color w:val="auto"/>
          <w:sz w:val="28"/>
          <w:szCs w:val="28"/>
          <w:highlight w:val="none"/>
        </w:rPr>
        <w:t>……</w:t>
      </w:r>
    </w:p>
    <w:p>
      <w:pPr>
        <w:rPr>
          <w:rFonts w:asciiTheme="minorEastAsia" w:hAnsiTheme="minorEastAsia" w:eastAsiaTheme="minorEastAsia" w:cstheme="minorEastAsia"/>
          <w:color w:val="auto"/>
          <w:sz w:val="28"/>
          <w:szCs w:val="28"/>
          <w:highlight w:val="none"/>
          <w:u w:val="single"/>
        </w:rPr>
      </w:pPr>
      <w:r>
        <w:rPr>
          <w:rFonts w:hint="eastAsia" w:asciiTheme="minorEastAsia" w:hAnsiTheme="minorEastAsia" w:eastAsiaTheme="minorEastAsia" w:cstheme="minorEastAsia"/>
          <w:color w:val="auto"/>
          <w:sz w:val="28"/>
          <w:szCs w:val="28"/>
          <w:highlight w:val="none"/>
        </w:rPr>
        <w:t>相关供应商：</w:t>
      </w:r>
      <w:r>
        <w:rPr>
          <w:rFonts w:hint="eastAsia" w:asciiTheme="minorEastAsia" w:hAnsiTheme="minorEastAsia" w:eastAsiaTheme="minorEastAsia" w:cstheme="minorEastAsia"/>
          <w:color w:val="auto"/>
          <w:sz w:val="28"/>
          <w:szCs w:val="28"/>
          <w:highlight w:val="none"/>
          <w:u w:val="dotted"/>
        </w:rPr>
        <w:t xml:space="preserve">                                           </w:t>
      </w:r>
      <w:r>
        <w:rPr>
          <w:rFonts w:hint="eastAsia" w:asciiTheme="minorEastAsia" w:hAnsiTheme="minorEastAsia" w:eastAsiaTheme="minorEastAsia" w:cstheme="minorEastAsia"/>
          <w:color w:val="auto"/>
          <w:sz w:val="28"/>
          <w:szCs w:val="28"/>
          <w:highlight w:val="none"/>
          <w:u w:val="single"/>
        </w:rPr>
        <w:t xml:space="preserve">    </w:t>
      </w:r>
    </w:p>
    <w:p>
      <w:pPr>
        <w:rPr>
          <w:rFonts w:asciiTheme="minorEastAsia" w:hAnsiTheme="minorEastAsia" w:eastAsiaTheme="minorEastAsia" w:cstheme="minorEastAsia"/>
          <w:color w:val="auto"/>
          <w:sz w:val="28"/>
          <w:szCs w:val="28"/>
          <w:highlight w:val="none"/>
          <w:u w:val="single"/>
        </w:rPr>
      </w:pPr>
      <w:r>
        <w:rPr>
          <w:rFonts w:hint="eastAsia" w:asciiTheme="minorEastAsia" w:hAnsiTheme="minorEastAsia" w:eastAsiaTheme="minorEastAsia" w:cstheme="minorEastAsia"/>
          <w:color w:val="auto"/>
          <w:sz w:val="28"/>
          <w:szCs w:val="28"/>
          <w:highlight w:val="none"/>
        </w:rPr>
        <w:t>地     址：</w:t>
      </w:r>
      <w:r>
        <w:rPr>
          <w:rFonts w:hint="eastAsia" w:asciiTheme="minorEastAsia" w:hAnsiTheme="minorEastAsia" w:eastAsiaTheme="minorEastAsia" w:cstheme="minorEastAsia"/>
          <w:color w:val="auto"/>
          <w:sz w:val="28"/>
          <w:szCs w:val="28"/>
          <w:highlight w:val="none"/>
          <w:u w:val="dotted"/>
        </w:rPr>
        <w:t xml:space="preserve">                             </w:t>
      </w:r>
      <w:r>
        <w:rPr>
          <w:rFonts w:hint="eastAsia" w:asciiTheme="minorEastAsia" w:hAnsiTheme="minorEastAsia" w:eastAsiaTheme="minorEastAsia" w:cstheme="minorEastAsia"/>
          <w:color w:val="auto"/>
          <w:sz w:val="28"/>
          <w:szCs w:val="28"/>
          <w:highlight w:val="none"/>
        </w:rPr>
        <w:t>邮编：</w:t>
      </w:r>
      <w:r>
        <w:rPr>
          <w:rFonts w:hint="eastAsia" w:asciiTheme="minorEastAsia" w:hAnsiTheme="minorEastAsia" w:eastAsiaTheme="minorEastAsia" w:cstheme="minorEastAsia"/>
          <w:color w:val="auto"/>
          <w:sz w:val="28"/>
          <w:szCs w:val="28"/>
          <w:highlight w:val="none"/>
          <w:u w:val="dotted"/>
        </w:rPr>
        <w:t xml:space="preserve">          </w:t>
      </w:r>
      <w:r>
        <w:rPr>
          <w:rFonts w:hint="eastAsia" w:asciiTheme="minorEastAsia" w:hAnsiTheme="minorEastAsia" w:eastAsiaTheme="minorEastAsia" w:cstheme="minorEastAsia"/>
          <w:color w:val="auto"/>
          <w:sz w:val="28"/>
          <w:szCs w:val="28"/>
          <w:highlight w:val="none"/>
          <w:u w:val="single"/>
        </w:rPr>
        <w:t xml:space="preserve"> </w:t>
      </w:r>
    </w:p>
    <w:p>
      <w:pPr>
        <w:rPr>
          <w:rFonts w:asciiTheme="minorEastAsia" w:hAnsiTheme="minorEastAsia" w:eastAsiaTheme="minorEastAsia" w:cstheme="minorEastAsia"/>
          <w:color w:val="auto"/>
          <w:sz w:val="28"/>
          <w:szCs w:val="28"/>
          <w:highlight w:val="none"/>
          <w:u w:val="single"/>
        </w:rPr>
      </w:pPr>
      <w:r>
        <w:rPr>
          <w:rFonts w:hint="eastAsia" w:asciiTheme="minorEastAsia" w:hAnsiTheme="minorEastAsia" w:eastAsiaTheme="minorEastAsia" w:cstheme="minorEastAsia"/>
          <w:color w:val="auto"/>
          <w:sz w:val="28"/>
          <w:szCs w:val="28"/>
          <w:highlight w:val="none"/>
        </w:rPr>
        <w:t>联系人：</w:t>
      </w:r>
      <w:r>
        <w:rPr>
          <w:rFonts w:hint="eastAsia" w:asciiTheme="minorEastAsia" w:hAnsiTheme="minorEastAsia" w:eastAsiaTheme="minorEastAsia" w:cstheme="minorEastAsia"/>
          <w:color w:val="auto"/>
          <w:sz w:val="28"/>
          <w:szCs w:val="28"/>
          <w:highlight w:val="none"/>
          <w:u w:val="dotted"/>
        </w:rPr>
        <w:t xml:space="preserve">               </w:t>
      </w:r>
      <w:r>
        <w:rPr>
          <w:rFonts w:hint="eastAsia" w:asciiTheme="minorEastAsia" w:hAnsiTheme="minorEastAsia" w:eastAsiaTheme="minorEastAsia" w:cstheme="minorEastAsia"/>
          <w:color w:val="auto"/>
          <w:sz w:val="28"/>
          <w:szCs w:val="28"/>
          <w:highlight w:val="none"/>
        </w:rPr>
        <w:t>联系电话：</w:t>
      </w:r>
      <w:r>
        <w:rPr>
          <w:rFonts w:hint="eastAsia" w:asciiTheme="minorEastAsia" w:hAnsiTheme="minorEastAsia" w:eastAsiaTheme="minorEastAsia" w:cstheme="minorEastAsia"/>
          <w:color w:val="auto"/>
          <w:sz w:val="28"/>
          <w:szCs w:val="28"/>
          <w:highlight w:val="none"/>
          <w:u w:val="dotted"/>
        </w:rPr>
        <w:t xml:space="preserve">                      </w:t>
      </w:r>
      <w:r>
        <w:rPr>
          <w:rFonts w:hint="eastAsia" w:asciiTheme="minorEastAsia" w:hAnsiTheme="minorEastAsia" w:eastAsiaTheme="minorEastAsia" w:cstheme="minorEastAsia"/>
          <w:color w:val="auto"/>
          <w:sz w:val="28"/>
          <w:szCs w:val="28"/>
          <w:highlight w:val="none"/>
          <w:u w:val="single"/>
        </w:rPr>
        <w:t xml:space="preserve">      </w:t>
      </w:r>
    </w:p>
    <w:p>
      <w:pPr>
        <w:rPr>
          <w:rFonts w:asciiTheme="minorEastAsia" w:hAnsiTheme="minorEastAsia" w:eastAsiaTheme="minorEastAsia" w:cstheme="minorEastAsia"/>
          <w:color w:val="auto"/>
          <w:sz w:val="28"/>
          <w:szCs w:val="28"/>
          <w:highlight w:val="none"/>
        </w:rPr>
      </w:pPr>
      <w:r>
        <w:rPr>
          <w:rFonts w:hint="eastAsia" w:asciiTheme="minorEastAsia" w:hAnsiTheme="minorEastAsia" w:eastAsiaTheme="minorEastAsia" w:cstheme="minorEastAsia"/>
          <w:color w:val="auto"/>
          <w:sz w:val="28"/>
          <w:szCs w:val="28"/>
          <w:highlight w:val="none"/>
        </w:rPr>
        <w:t>二、投诉项目基本情况</w:t>
      </w:r>
    </w:p>
    <w:p>
      <w:pPr>
        <w:rPr>
          <w:rFonts w:asciiTheme="minorEastAsia" w:hAnsiTheme="minorEastAsia" w:eastAsiaTheme="minorEastAsia" w:cstheme="minorEastAsia"/>
          <w:color w:val="auto"/>
          <w:sz w:val="28"/>
          <w:szCs w:val="28"/>
          <w:highlight w:val="none"/>
          <w:u w:val="dotted"/>
        </w:rPr>
      </w:pPr>
      <w:r>
        <w:rPr>
          <w:rFonts w:hint="eastAsia" w:asciiTheme="minorEastAsia" w:hAnsiTheme="minorEastAsia" w:eastAsiaTheme="minorEastAsia" w:cstheme="minorEastAsia"/>
          <w:color w:val="auto"/>
          <w:sz w:val="28"/>
          <w:szCs w:val="28"/>
          <w:highlight w:val="none"/>
        </w:rPr>
        <w:t>采购项目名称：</w:t>
      </w:r>
      <w:r>
        <w:rPr>
          <w:rFonts w:hint="eastAsia" w:asciiTheme="minorEastAsia" w:hAnsiTheme="minorEastAsia" w:eastAsiaTheme="minorEastAsia" w:cstheme="minorEastAsia"/>
          <w:color w:val="auto"/>
          <w:sz w:val="28"/>
          <w:szCs w:val="28"/>
          <w:highlight w:val="none"/>
          <w:u w:val="dotted"/>
        </w:rPr>
        <w:t xml:space="preserve">                                        </w:t>
      </w:r>
    </w:p>
    <w:p>
      <w:pPr>
        <w:rPr>
          <w:rFonts w:asciiTheme="minorEastAsia" w:hAnsiTheme="minorEastAsia" w:eastAsiaTheme="minorEastAsia" w:cstheme="minorEastAsia"/>
          <w:color w:val="auto"/>
          <w:sz w:val="28"/>
          <w:szCs w:val="28"/>
          <w:highlight w:val="none"/>
          <w:u w:val="single"/>
        </w:rPr>
      </w:pPr>
      <w:r>
        <w:rPr>
          <w:rFonts w:hint="eastAsia" w:asciiTheme="minorEastAsia" w:hAnsiTheme="minorEastAsia" w:eastAsiaTheme="minorEastAsia" w:cstheme="minorEastAsia"/>
          <w:color w:val="auto"/>
          <w:sz w:val="28"/>
          <w:szCs w:val="28"/>
          <w:highlight w:val="none"/>
        </w:rPr>
        <w:t>采购项目编号：</w:t>
      </w:r>
      <w:r>
        <w:rPr>
          <w:rFonts w:hint="eastAsia" w:asciiTheme="minorEastAsia" w:hAnsiTheme="minorEastAsia" w:eastAsiaTheme="minorEastAsia" w:cstheme="minorEastAsia"/>
          <w:color w:val="auto"/>
          <w:sz w:val="28"/>
          <w:szCs w:val="28"/>
          <w:highlight w:val="none"/>
          <w:u w:val="dotted"/>
        </w:rPr>
        <w:t xml:space="preserve">                 </w:t>
      </w:r>
      <w:r>
        <w:rPr>
          <w:rFonts w:hint="eastAsia" w:asciiTheme="minorEastAsia" w:hAnsiTheme="minorEastAsia" w:eastAsiaTheme="minorEastAsia" w:cstheme="minorEastAsia"/>
          <w:color w:val="auto"/>
          <w:sz w:val="28"/>
          <w:szCs w:val="28"/>
          <w:highlight w:val="none"/>
        </w:rPr>
        <w:t>包号：</w:t>
      </w:r>
      <w:r>
        <w:rPr>
          <w:rFonts w:hint="eastAsia" w:asciiTheme="minorEastAsia" w:hAnsiTheme="minorEastAsia" w:eastAsiaTheme="minorEastAsia" w:cstheme="minorEastAsia"/>
          <w:color w:val="auto"/>
          <w:sz w:val="28"/>
          <w:szCs w:val="28"/>
          <w:highlight w:val="none"/>
          <w:u w:val="dotted"/>
        </w:rPr>
        <w:t xml:space="preserve">              </w:t>
      </w:r>
    </w:p>
    <w:p>
      <w:pPr>
        <w:rPr>
          <w:rFonts w:asciiTheme="minorEastAsia" w:hAnsiTheme="minorEastAsia" w:eastAsiaTheme="minorEastAsia" w:cstheme="minorEastAsia"/>
          <w:color w:val="auto"/>
          <w:sz w:val="28"/>
          <w:szCs w:val="28"/>
          <w:highlight w:val="none"/>
        </w:rPr>
      </w:pPr>
      <w:r>
        <w:rPr>
          <w:rFonts w:hint="eastAsia" w:asciiTheme="minorEastAsia" w:hAnsiTheme="minorEastAsia" w:eastAsiaTheme="minorEastAsia" w:cstheme="minorEastAsia"/>
          <w:color w:val="auto"/>
          <w:sz w:val="28"/>
          <w:szCs w:val="28"/>
          <w:highlight w:val="none"/>
        </w:rPr>
        <w:t>采购人名称：</w:t>
      </w:r>
      <w:r>
        <w:rPr>
          <w:rFonts w:hint="eastAsia" w:asciiTheme="minorEastAsia" w:hAnsiTheme="minorEastAsia" w:eastAsiaTheme="minorEastAsia" w:cstheme="minorEastAsia"/>
          <w:color w:val="auto"/>
          <w:sz w:val="28"/>
          <w:szCs w:val="28"/>
          <w:highlight w:val="none"/>
          <w:u w:val="dotted"/>
        </w:rPr>
        <w:t xml:space="preserve">                                           </w:t>
      </w:r>
      <w:r>
        <w:rPr>
          <w:rFonts w:hint="eastAsia" w:asciiTheme="minorEastAsia" w:hAnsiTheme="minorEastAsia" w:eastAsiaTheme="minorEastAsia" w:cstheme="minorEastAsia"/>
          <w:color w:val="auto"/>
          <w:sz w:val="28"/>
          <w:szCs w:val="28"/>
          <w:highlight w:val="none"/>
          <w:u w:val="single"/>
        </w:rPr>
        <w:t xml:space="preserve">  </w:t>
      </w:r>
    </w:p>
    <w:p>
      <w:pPr>
        <w:rPr>
          <w:rFonts w:asciiTheme="minorEastAsia" w:hAnsiTheme="minorEastAsia" w:eastAsiaTheme="minorEastAsia" w:cstheme="minorEastAsia"/>
          <w:color w:val="auto"/>
          <w:sz w:val="28"/>
          <w:szCs w:val="28"/>
          <w:highlight w:val="none"/>
          <w:u w:val="single"/>
        </w:rPr>
      </w:pPr>
      <w:r>
        <w:rPr>
          <w:rFonts w:hint="eastAsia" w:asciiTheme="minorEastAsia" w:hAnsiTheme="minorEastAsia" w:eastAsiaTheme="minorEastAsia" w:cstheme="minorEastAsia"/>
          <w:color w:val="auto"/>
          <w:sz w:val="28"/>
          <w:szCs w:val="28"/>
          <w:highlight w:val="none"/>
        </w:rPr>
        <w:t>代理机构名称：</w:t>
      </w:r>
      <w:r>
        <w:rPr>
          <w:rFonts w:hint="eastAsia" w:asciiTheme="minorEastAsia" w:hAnsiTheme="minorEastAsia" w:eastAsiaTheme="minorEastAsia" w:cstheme="minorEastAsia"/>
          <w:color w:val="auto"/>
          <w:sz w:val="28"/>
          <w:szCs w:val="28"/>
          <w:highlight w:val="none"/>
          <w:u w:val="dotted"/>
        </w:rPr>
        <w:t xml:space="preserve">                                         </w:t>
      </w:r>
    </w:p>
    <w:p>
      <w:pPr>
        <w:rPr>
          <w:rFonts w:asciiTheme="minorEastAsia" w:hAnsiTheme="minorEastAsia" w:eastAsiaTheme="minorEastAsia" w:cstheme="minorEastAsia"/>
          <w:color w:val="auto"/>
          <w:sz w:val="28"/>
          <w:szCs w:val="28"/>
          <w:highlight w:val="none"/>
          <w:u w:val="dotted"/>
        </w:rPr>
      </w:pPr>
      <w:r>
        <w:rPr>
          <w:rFonts w:hint="eastAsia" w:asciiTheme="minorEastAsia" w:hAnsiTheme="minorEastAsia" w:eastAsiaTheme="minorEastAsia" w:cstheme="minorEastAsia"/>
          <w:color w:val="auto"/>
          <w:sz w:val="28"/>
          <w:szCs w:val="28"/>
          <w:highlight w:val="none"/>
        </w:rPr>
        <w:t>采购文件公告:</w:t>
      </w:r>
      <w:r>
        <w:rPr>
          <w:rFonts w:hint="eastAsia" w:asciiTheme="minorEastAsia" w:hAnsiTheme="minorEastAsia" w:eastAsiaTheme="minorEastAsia" w:cstheme="minorEastAsia"/>
          <w:color w:val="auto"/>
          <w:sz w:val="28"/>
          <w:szCs w:val="28"/>
          <w:highlight w:val="none"/>
          <w:u w:val="dotted"/>
        </w:rPr>
        <w:t xml:space="preserve">是/否 </w:t>
      </w:r>
      <w:r>
        <w:rPr>
          <w:rFonts w:hint="eastAsia" w:asciiTheme="minorEastAsia" w:hAnsiTheme="minorEastAsia" w:eastAsiaTheme="minorEastAsia" w:cstheme="minorEastAsia"/>
          <w:color w:val="auto"/>
          <w:sz w:val="28"/>
          <w:szCs w:val="28"/>
          <w:highlight w:val="none"/>
        </w:rPr>
        <w:t>公告期限：</w:t>
      </w:r>
      <w:r>
        <w:rPr>
          <w:rFonts w:hint="eastAsia" w:asciiTheme="minorEastAsia" w:hAnsiTheme="minorEastAsia" w:eastAsiaTheme="minorEastAsia" w:cstheme="minorEastAsia"/>
          <w:color w:val="auto"/>
          <w:sz w:val="28"/>
          <w:szCs w:val="28"/>
          <w:highlight w:val="none"/>
          <w:u w:val="dotted"/>
        </w:rPr>
        <w:t xml:space="preserve">                                 </w:t>
      </w:r>
    </w:p>
    <w:p>
      <w:pPr>
        <w:rPr>
          <w:rFonts w:asciiTheme="minorEastAsia" w:hAnsiTheme="minorEastAsia" w:eastAsiaTheme="minorEastAsia" w:cstheme="minorEastAsia"/>
          <w:color w:val="auto"/>
          <w:sz w:val="28"/>
          <w:szCs w:val="28"/>
          <w:highlight w:val="none"/>
          <w:u w:val="single"/>
        </w:rPr>
      </w:pPr>
      <w:r>
        <w:rPr>
          <w:rFonts w:hint="eastAsia" w:asciiTheme="minorEastAsia" w:hAnsiTheme="minorEastAsia" w:eastAsiaTheme="minorEastAsia" w:cstheme="minorEastAsia"/>
          <w:color w:val="auto"/>
          <w:sz w:val="28"/>
          <w:szCs w:val="28"/>
          <w:highlight w:val="none"/>
        </w:rPr>
        <w:t>采购结果公告:</w:t>
      </w:r>
      <w:r>
        <w:rPr>
          <w:rFonts w:hint="eastAsia" w:asciiTheme="minorEastAsia" w:hAnsiTheme="minorEastAsia" w:eastAsiaTheme="minorEastAsia" w:cstheme="minorEastAsia"/>
          <w:color w:val="auto"/>
          <w:sz w:val="28"/>
          <w:szCs w:val="28"/>
          <w:highlight w:val="none"/>
          <w:u w:val="dotted"/>
        </w:rPr>
        <w:t xml:space="preserve">是/否 </w:t>
      </w:r>
      <w:r>
        <w:rPr>
          <w:rFonts w:hint="eastAsia" w:asciiTheme="minorEastAsia" w:hAnsiTheme="minorEastAsia" w:eastAsiaTheme="minorEastAsia" w:cstheme="minorEastAsia"/>
          <w:color w:val="auto"/>
          <w:sz w:val="28"/>
          <w:szCs w:val="28"/>
          <w:highlight w:val="none"/>
        </w:rPr>
        <w:t>公告期限：</w:t>
      </w:r>
      <w:r>
        <w:rPr>
          <w:rFonts w:hint="eastAsia" w:asciiTheme="minorEastAsia" w:hAnsiTheme="minorEastAsia" w:eastAsiaTheme="minorEastAsia" w:cstheme="minorEastAsia"/>
          <w:color w:val="auto"/>
          <w:sz w:val="28"/>
          <w:szCs w:val="28"/>
          <w:highlight w:val="none"/>
          <w:u w:val="dotted"/>
        </w:rPr>
        <w:t xml:space="preserve">                        </w:t>
      </w:r>
    </w:p>
    <w:p>
      <w:pPr>
        <w:rPr>
          <w:rFonts w:asciiTheme="minorEastAsia" w:hAnsiTheme="minorEastAsia" w:eastAsiaTheme="minorEastAsia" w:cstheme="minorEastAsia"/>
          <w:color w:val="auto"/>
          <w:sz w:val="28"/>
          <w:szCs w:val="28"/>
          <w:highlight w:val="none"/>
        </w:rPr>
      </w:pPr>
      <w:r>
        <w:rPr>
          <w:rFonts w:hint="eastAsia" w:asciiTheme="minorEastAsia" w:hAnsiTheme="minorEastAsia" w:eastAsiaTheme="minorEastAsia" w:cstheme="minorEastAsia"/>
          <w:color w:val="auto"/>
          <w:sz w:val="28"/>
          <w:szCs w:val="28"/>
          <w:highlight w:val="none"/>
        </w:rPr>
        <w:t>三、质疑基本情况</w:t>
      </w:r>
    </w:p>
    <w:p>
      <w:pPr>
        <w:ind w:firstLine="560" w:firstLineChars="200"/>
        <w:rPr>
          <w:rFonts w:asciiTheme="minorEastAsia" w:hAnsiTheme="minorEastAsia" w:eastAsiaTheme="minorEastAsia" w:cstheme="minorEastAsia"/>
          <w:color w:val="auto"/>
          <w:sz w:val="28"/>
          <w:szCs w:val="28"/>
          <w:highlight w:val="none"/>
          <w:u w:val="dotted"/>
        </w:rPr>
      </w:pPr>
      <w:r>
        <w:rPr>
          <w:rFonts w:hint="eastAsia" w:asciiTheme="minorEastAsia" w:hAnsiTheme="minorEastAsia" w:eastAsiaTheme="minorEastAsia" w:cstheme="minorEastAsia"/>
          <w:color w:val="auto"/>
          <w:sz w:val="28"/>
          <w:szCs w:val="28"/>
          <w:highlight w:val="none"/>
        </w:rPr>
        <w:t>投诉人于</w:t>
      </w:r>
      <w:r>
        <w:rPr>
          <w:rFonts w:hint="eastAsia" w:asciiTheme="minorEastAsia" w:hAnsiTheme="minorEastAsia" w:eastAsiaTheme="minorEastAsia" w:cstheme="minorEastAsia"/>
          <w:color w:val="auto"/>
          <w:sz w:val="28"/>
          <w:szCs w:val="28"/>
          <w:highlight w:val="none"/>
          <w:u w:val="dotted"/>
        </w:rPr>
        <w:t xml:space="preserve">   </w:t>
      </w:r>
      <w:r>
        <w:rPr>
          <w:rFonts w:hint="eastAsia" w:asciiTheme="minorEastAsia" w:hAnsiTheme="minorEastAsia" w:eastAsiaTheme="minorEastAsia" w:cstheme="minorEastAsia"/>
          <w:color w:val="auto"/>
          <w:sz w:val="28"/>
          <w:szCs w:val="28"/>
          <w:highlight w:val="none"/>
        </w:rPr>
        <w:t>年</w:t>
      </w:r>
      <w:r>
        <w:rPr>
          <w:rFonts w:hint="eastAsia" w:asciiTheme="minorEastAsia" w:hAnsiTheme="minorEastAsia" w:eastAsiaTheme="minorEastAsia" w:cstheme="minorEastAsia"/>
          <w:color w:val="auto"/>
          <w:sz w:val="28"/>
          <w:szCs w:val="28"/>
          <w:highlight w:val="none"/>
          <w:u w:val="dotted"/>
        </w:rPr>
        <w:t xml:space="preserve">   </w:t>
      </w:r>
      <w:r>
        <w:rPr>
          <w:rFonts w:hint="eastAsia" w:asciiTheme="minorEastAsia" w:hAnsiTheme="minorEastAsia" w:eastAsiaTheme="minorEastAsia" w:cstheme="minorEastAsia"/>
          <w:color w:val="auto"/>
          <w:sz w:val="28"/>
          <w:szCs w:val="28"/>
          <w:highlight w:val="none"/>
        </w:rPr>
        <w:t>月</w:t>
      </w:r>
      <w:r>
        <w:rPr>
          <w:rFonts w:hint="eastAsia" w:asciiTheme="minorEastAsia" w:hAnsiTheme="minorEastAsia" w:eastAsiaTheme="minorEastAsia" w:cstheme="minorEastAsia"/>
          <w:color w:val="auto"/>
          <w:sz w:val="28"/>
          <w:szCs w:val="28"/>
          <w:highlight w:val="none"/>
          <w:u w:val="dotted"/>
        </w:rPr>
        <w:t xml:space="preserve">  </w:t>
      </w:r>
      <w:r>
        <w:rPr>
          <w:rFonts w:hint="eastAsia" w:asciiTheme="minorEastAsia" w:hAnsiTheme="minorEastAsia" w:eastAsiaTheme="minorEastAsia" w:cstheme="minorEastAsia"/>
          <w:color w:val="auto"/>
          <w:sz w:val="28"/>
          <w:szCs w:val="28"/>
          <w:highlight w:val="none"/>
        </w:rPr>
        <w:t>日,向</w:t>
      </w:r>
      <w:r>
        <w:rPr>
          <w:rFonts w:hint="eastAsia" w:asciiTheme="minorEastAsia" w:hAnsiTheme="minorEastAsia" w:eastAsiaTheme="minorEastAsia" w:cstheme="minorEastAsia"/>
          <w:color w:val="auto"/>
          <w:sz w:val="28"/>
          <w:szCs w:val="28"/>
          <w:highlight w:val="none"/>
          <w:u w:val="dotted"/>
        </w:rPr>
        <w:t xml:space="preserve">                   </w:t>
      </w:r>
      <w:r>
        <w:rPr>
          <w:rFonts w:hint="eastAsia" w:asciiTheme="minorEastAsia" w:hAnsiTheme="minorEastAsia" w:eastAsiaTheme="minorEastAsia" w:cstheme="minorEastAsia"/>
          <w:color w:val="auto"/>
          <w:sz w:val="28"/>
          <w:szCs w:val="28"/>
          <w:highlight w:val="none"/>
        </w:rPr>
        <w:t>提出质疑，质疑事项为：</w:t>
      </w:r>
      <w:r>
        <w:rPr>
          <w:rFonts w:hint="eastAsia" w:asciiTheme="minorEastAsia" w:hAnsiTheme="minorEastAsia" w:eastAsiaTheme="minorEastAsia" w:cstheme="minorEastAsia"/>
          <w:color w:val="auto"/>
          <w:sz w:val="28"/>
          <w:szCs w:val="28"/>
          <w:highlight w:val="none"/>
          <w:u w:val="dotted"/>
        </w:rPr>
        <w:t xml:space="preserve">                                </w:t>
      </w:r>
    </w:p>
    <w:p>
      <w:pPr>
        <w:rPr>
          <w:rFonts w:asciiTheme="minorEastAsia" w:hAnsiTheme="minorEastAsia" w:eastAsiaTheme="minorEastAsia" w:cstheme="minorEastAsia"/>
          <w:color w:val="auto"/>
          <w:sz w:val="28"/>
          <w:szCs w:val="28"/>
          <w:highlight w:val="none"/>
          <w:u w:val="dotted"/>
        </w:rPr>
      </w:pPr>
      <w:r>
        <w:rPr>
          <w:rFonts w:hint="eastAsia" w:asciiTheme="minorEastAsia" w:hAnsiTheme="minorEastAsia" w:eastAsiaTheme="minorEastAsia" w:cstheme="minorEastAsia"/>
          <w:color w:val="auto"/>
          <w:sz w:val="28"/>
          <w:szCs w:val="28"/>
          <w:highlight w:val="none"/>
          <w:u w:val="dotted"/>
        </w:rPr>
        <w:t xml:space="preserve">                                                     </w:t>
      </w:r>
      <w:r>
        <w:rPr>
          <w:rFonts w:hint="eastAsia" w:asciiTheme="minorEastAsia" w:hAnsiTheme="minorEastAsia" w:eastAsiaTheme="minorEastAsia" w:cstheme="minorEastAsia"/>
          <w:color w:val="auto"/>
          <w:sz w:val="28"/>
          <w:szCs w:val="28"/>
          <w:highlight w:val="none"/>
        </w:rPr>
        <w:t xml:space="preserve">  </w:t>
      </w:r>
    </w:p>
    <w:p>
      <w:pPr>
        <w:ind w:firstLine="420" w:firstLineChars="150"/>
        <w:rPr>
          <w:rFonts w:asciiTheme="minorEastAsia" w:hAnsiTheme="minorEastAsia" w:eastAsiaTheme="minorEastAsia" w:cstheme="minorEastAsia"/>
          <w:color w:val="auto"/>
          <w:sz w:val="28"/>
          <w:szCs w:val="28"/>
          <w:highlight w:val="none"/>
        </w:rPr>
      </w:pPr>
      <w:r>
        <w:rPr>
          <w:rFonts w:hint="eastAsia" w:asciiTheme="minorEastAsia" w:hAnsiTheme="minorEastAsia" w:eastAsiaTheme="minorEastAsia" w:cstheme="minorEastAsia"/>
          <w:color w:val="auto"/>
          <w:sz w:val="28"/>
          <w:szCs w:val="28"/>
          <w:highlight w:val="none"/>
          <w:u w:val="dotted"/>
        </w:rPr>
        <w:t>采购人/代理机构</w:t>
      </w:r>
      <w:r>
        <w:rPr>
          <w:rFonts w:hint="eastAsia" w:asciiTheme="minorEastAsia" w:hAnsiTheme="minorEastAsia" w:eastAsiaTheme="minorEastAsia" w:cstheme="minorEastAsia"/>
          <w:color w:val="auto"/>
          <w:sz w:val="28"/>
          <w:szCs w:val="28"/>
          <w:highlight w:val="none"/>
        </w:rPr>
        <w:t>于</w:t>
      </w:r>
      <w:r>
        <w:rPr>
          <w:rFonts w:hint="eastAsia" w:asciiTheme="minorEastAsia" w:hAnsiTheme="minorEastAsia" w:eastAsiaTheme="minorEastAsia" w:cstheme="minorEastAsia"/>
          <w:color w:val="auto"/>
          <w:sz w:val="28"/>
          <w:szCs w:val="28"/>
          <w:highlight w:val="none"/>
          <w:u w:val="dotted"/>
        </w:rPr>
        <w:t xml:space="preserve">   </w:t>
      </w:r>
      <w:r>
        <w:rPr>
          <w:rFonts w:hint="eastAsia" w:asciiTheme="minorEastAsia" w:hAnsiTheme="minorEastAsia" w:eastAsiaTheme="minorEastAsia" w:cstheme="minorEastAsia"/>
          <w:color w:val="auto"/>
          <w:sz w:val="28"/>
          <w:szCs w:val="28"/>
          <w:highlight w:val="none"/>
        </w:rPr>
        <w:t>年</w:t>
      </w:r>
      <w:r>
        <w:rPr>
          <w:rFonts w:hint="eastAsia" w:asciiTheme="minorEastAsia" w:hAnsiTheme="minorEastAsia" w:eastAsiaTheme="minorEastAsia" w:cstheme="minorEastAsia"/>
          <w:color w:val="auto"/>
          <w:sz w:val="28"/>
          <w:szCs w:val="28"/>
          <w:highlight w:val="none"/>
          <w:u w:val="dotted"/>
        </w:rPr>
        <w:t xml:space="preserve">   </w:t>
      </w:r>
      <w:r>
        <w:rPr>
          <w:rFonts w:hint="eastAsia" w:asciiTheme="minorEastAsia" w:hAnsiTheme="minorEastAsia" w:eastAsiaTheme="minorEastAsia" w:cstheme="minorEastAsia"/>
          <w:color w:val="auto"/>
          <w:sz w:val="28"/>
          <w:szCs w:val="28"/>
          <w:highlight w:val="none"/>
        </w:rPr>
        <w:t>月</w:t>
      </w:r>
      <w:r>
        <w:rPr>
          <w:rFonts w:hint="eastAsia" w:asciiTheme="minorEastAsia" w:hAnsiTheme="minorEastAsia" w:eastAsiaTheme="minorEastAsia" w:cstheme="minorEastAsia"/>
          <w:color w:val="auto"/>
          <w:sz w:val="28"/>
          <w:szCs w:val="28"/>
          <w:highlight w:val="none"/>
          <w:u w:val="dotted"/>
        </w:rPr>
        <w:t xml:space="preserve">   </w:t>
      </w:r>
      <w:r>
        <w:rPr>
          <w:rFonts w:hint="eastAsia" w:asciiTheme="minorEastAsia" w:hAnsiTheme="minorEastAsia" w:eastAsiaTheme="minorEastAsia" w:cstheme="minorEastAsia"/>
          <w:color w:val="auto"/>
          <w:sz w:val="28"/>
          <w:szCs w:val="28"/>
          <w:highlight w:val="none"/>
        </w:rPr>
        <w:t>日,就质疑事项作出了答复/没有在法定期限内作出答复。</w:t>
      </w:r>
    </w:p>
    <w:p>
      <w:pPr>
        <w:rPr>
          <w:rFonts w:asciiTheme="minorEastAsia" w:hAnsiTheme="minorEastAsia" w:eastAsiaTheme="minorEastAsia" w:cstheme="minorEastAsia"/>
          <w:color w:val="auto"/>
          <w:sz w:val="28"/>
          <w:szCs w:val="28"/>
          <w:highlight w:val="none"/>
        </w:rPr>
      </w:pPr>
      <w:r>
        <w:rPr>
          <w:rFonts w:hint="eastAsia" w:asciiTheme="minorEastAsia" w:hAnsiTheme="minorEastAsia" w:eastAsiaTheme="minorEastAsia" w:cstheme="minorEastAsia"/>
          <w:color w:val="auto"/>
          <w:sz w:val="28"/>
          <w:szCs w:val="28"/>
          <w:highlight w:val="none"/>
        </w:rPr>
        <w:t>四、投诉事项具体内容</w:t>
      </w:r>
    </w:p>
    <w:p>
      <w:pPr>
        <w:rPr>
          <w:rFonts w:asciiTheme="minorEastAsia" w:hAnsiTheme="minorEastAsia" w:eastAsiaTheme="minorEastAsia" w:cstheme="minorEastAsia"/>
          <w:color w:val="auto"/>
          <w:sz w:val="28"/>
          <w:szCs w:val="28"/>
          <w:highlight w:val="none"/>
          <w:u w:val="single"/>
        </w:rPr>
      </w:pPr>
      <w:r>
        <w:rPr>
          <w:rFonts w:hint="eastAsia" w:asciiTheme="minorEastAsia" w:hAnsiTheme="minorEastAsia" w:eastAsiaTheme="minorEastAsia" w:cstheme="minorEastAsia"/>
          <w:color w:val="auto"/>
          <w:sz w:val="28"/>
          <w:szCs w:val="28"/>
          <w:highlight w:val="none"/>
        </w:rPr>
        <w:t>投诉事项 1：</w:t>
      </w:r>
      <w:r>
        <w:rPr>
          <w:rFonts w:hint="eastAsia" w:asciiTheme="minorEastAsia" w:hAnsiTheme="minorEastAsia" w:eastAsiaTheme="minorEastAsia" w:cstheme="minorEastAsia"/>
          <w:color w:val="auto"/>
          <w:sz w:val="28"/>
          <w:szCs w:val="28"/>
          <w:highlight w:val="none"/>
          <w:u w:val="dotted"/>
        </w:rPr>
        <w:t xml:space="preserve">                                       </w:t>
      </w:r>
    </w:p>
    <w:p>
      <w:pPr>
        <w:rPr>
          <w:rFonts w:asciiTheme="minorEastAsia" w:hAnsiTheme="minorEastAsia" w:eastAsiaTheme="minorEastAsia" w:cstheme="minorEastAsia"/>
          <w:color w:val="auto"/>
          <w:sz w:val="28"/>
          <w:szCs w:val="28"/>
          <w:highlight w:val="none"/>
        </w:rPr>
      </w:pPr>
      <w:r>
        <w:rPr>
          <w:rFonts w:hint="eastAsia" w:asciiTheme="minorEastAsia" w:hAnsiTheme="minorEastAsia" w:eastAsiaTheme="minorEastAsia" w:cstheme="minorEastAsia"/>
          <w:color w:val="auto"/>
          <w:sz w:val="28"/>
          <w:szCs w:val="28"/>
          <w:highlight w:val="none"/>
        </w:rPr>
        <w:t>事实依据：</w:t>
      </w:r>
      <w:r>
        <w:rPr>
          <w:rFonts w:hint="eastAsia" w:asciiTheme="minorEastAsia" w:hAnsiTheme="minorEastAsia" w:eastAsiaTheme="minorEastAsia" w:cstheme="minorEastAsia"/>
          <w:color w:val="auto"/>
          <w:sz w:val="28"/>
          <w:szCs w:val="28"/>
          <w:highlight w:val="none"/>
          <w:u w:val="dotted"/>
        </w:rPr>
        <w:t xml:space="preserve">                                         </w:t>
      </w:r>
    </w:p>
    <w:p>
      <w:pPr>
        <w:rPr>
          <w:rFonts w:asciiTheme="minorEastAsia" w:hAnsiTheme="minorEastAsia" w:eastAsiaTheme="minorEastAsia" w:cstheme="minorEastAsia"/>
          <w:color w:val="auto"/>
          <w:sz w:val="28"/>
          <w:szCs w:val="28"/>
          <w:highlight w:val="none"/>
          <w:u w:val="dotted"/>
        </w:rPr>
      </w:pPr>
      <w:r>
        <w:rPr>
          <w:rFonts w:hint="eastAsia" w:asciiTheme="minorEastAsia" w:hAnsiTheme="minorEastAsia" w:eastAsiaTheme="minorEastAsia" w:cstheme="minorEastAsia"/>
          <w:color w:val="auto"/>
          <w:sz w:val="28"/>
          <w:szCs w:val="28"/>
          <w:highlight w:val="none"/>
          <w:u w:val="dotted"/>
        </w:rPr>
        <w:t xml:space="preserve">                                                      </w:t>
      </w:r>
    </w:p>
    <w:p>
      <w:pPr>
        <w:rPr>
          <w:rFonts w:asciiTheme="minorEastAsia" w:hAnsiTheme="minorEastAsia" w:eastAsiaTheme="minorEastAsia" w:cstheme="minorEastAsia"/>
          <w:color w:val="auto"/>
          <w:sz w:val="28"/>
          <w:szCs w:val="28"/>
          <w:highlight w:val="none"/>
          <w:u w:val="single"/>
        </w:rPr>
      </w:pPr>
      <w:r>
        <w:rPr>
          <w:rFonts w:hint="eastAsia" w:asciiTheme="minorEastAsia" w:hAnsiTheme="minorEastAsia" w:eastAsiaTheme="minorEastAsia" w:cstheme="minorEastAsia"/>
          <w:color w:val="auto"/>
          <w:sz w:val="28"/>
          <w:szCs w:val="28"/>
          <w:highlight w:val="none"/>
        </w:rPr>
        <w:t>法律依据：</w:t>
      </w:r>
      <w:r>
        <w:rPr>
          <w:rFonts w:hint="eastAsia" w:asciiTheme="minorEastAsia" w:hAnsiTheme="minorEastAsia" w:eastAsiaTheme="minorEastAsia" w:cstheme="minorEastAsia"/>
          <w:color w:val="auto"/>
          <w:sz w:val="28"/>
          <w:szCs w:val="28"/>
          <w:highlight w:val="none"/>
          <w:u w:val="dotted"/>
        </w:rPr>
        <w:t xml:space="preserve">                                          </w:t>
      </w:r>
    </w:p>
    <w:p>
      <w:pPr>
        <w:rPr>
          <w:rFonts w:asciiTheme="minorEastAsia" w:hAnsiTheme="minorEastAsia" w:eastAsiaTheme="minorEastAsia" w:cstheme="minorEastAsia"/>
          <w:color w:val="auto"/>
          <w:sz w:val="28"/>
          <w:szCs w:val="28"/>
          <w:highlight w:val="none"/>
          <w:u w:val="dotted"/>
        </w:rPr>
      </w:pPr>
      <w:r>
        <w:rPr>
          <w:rFonts w:hint="eastAsia" w:asciiTheme="minorEastAsia" w:hAnsiTheme="minorEastAsia" w:eastAsiaTheme="minorEastAsia" w:cstheme="minorEastAsia"/>
          <w:color w:val="auto"/>
          <w:sz w:val="28"/>
          <w:szCs w:val="28"/>
          <w:highlight w:val="none"/>
          <w:u w:val="dotted"/>
        </w:rPr>
        <w:t xml:space="preserve">                                                      </w:t>
      </w:r>
    </w:p>
    <w:p>
      <w:pPr>
        <w:rPr>
          <w:rFonts w:asciiTheme="minorEastAsia" w:hAnsiTheme="minorEastAsia" w:eastAsiaTheme="minorEastAsia" w:cstheme="minorEastAsia"/>
          <w:color w:val="auto"/>
          <w:sz w:val="28"/>
          <w:szCs w:val="28"/>
          <w:highlight w:val="none"/>
        </w:rPr>
      </w:pPr>
      <w:r>
        <w:rPr>
          <w:rFonts w:hint="eastAsia" w:asciiTheme="minorEastAsia" w:hAnsiTheme="minorEastAsia" w:eastAsiaTheme="minorEastAsia" w:cstheme="minorEastAsia"/>
          <w:color w:val="auto"/>
          <w:sz w:val="28"/>
          <w:szCs w:val="28"/>
          <w:highlight w:val="none"/>
        </w:rPr>
        <w:t>投诉事项2</w:t>
      </w:r>
    </w:p>
    <w:p>
      <w:pPr>
        <w:rPr>
          <w:rFonts w:asciiTheme="minorEastAsia" w:hAnsiTheme="minorEastAsia" w:eastAsiaTheme="minorEastAsia" w:cstheme="minorEastAsia"/>
          <w:color w:val="auto"/>
          <w:sz w:val="28"/>
          <w:szCs w:val="28"/>
          <w:highlight w:val="none"/>
          <w:u w:val="dotted"/>
        </w:rPr>
      </w:pPr>
      <w:r>
        <w:rPr>
          <w:rFonts w:hint="eastAsia" w:asciiTheme="minorEastAsia" w:hAnsiTheme="minorEastAsia" w:eastAsiaTheme="minorEastAsia" w:cstheme="minorEastAsia"/>
          <w:color w:val="auto"/>
          <w:sz w:val="28"/>
          <w:szCs w:val="28"/>
          <w:highlight w:val="none"/>
        </w:rPr>
        <w:t>……</w:t>
      </w:r>
    </w:p>
    <w:p>
      <w:pPr>
        <w:rPr>
          <w:rFonts w:asciiTheme="minorEastAsia" w:hAnsiTheme="minorEastAsia" w:eastAsiaTheme="minorEastAsia" w:cstheme="minorEastAsia"/>
          <w:color w:val="auto"/>
          <w:sz w:val="28"/>
          <w:szCs w:val="28"/>
          <w:highlight w:val="none"/>
        </w:rPr>
      </w:pPr>
      <w:r>
        <w:rPr>
          <w:rFonts w:hint="eastAsia" w:asciiTheme="minorEastAsia" w:hAnsiTheme="minorEastAsia" w:eastAsiaTheme="minorEastAsia" w:cstheme="minorEastAsia"/>
          <w:color w:val="auto"/>
          <w:sz w:val="28"/>
          <w:szCs w:val="28"/>
          <w:highlight w:val="none"/>
        </w:rPr>
        <w:t>五、与投诉事项相关的投诉请求</w:t>
      </w:r>
    </w:p>
    <w:p>
      <w:pPr>
        <w:rPr>
          <w:rFonts w:asciiTheme="minorEastAsia" w:hAnsiTheme="minorEastAsia" w:eastAsiaTheme="minorEastAsia" w:cstheme="minorEastAsia"/>
          <w:color w:val="auto"/>
          <w:sz w:val="28"/>
          <w:szCs w:val="28"/>
          <w:highlight w:val="none"/>
        </w:rPr>
      </w:pPr>
      <w:r>
        <w:rPr>
          <w:rFonts w:hint="eastAsia" w:asciiTheme="minorEastAsia" w:hAnsiTheme="minorEastAsia" w:eastAsiaTheme="minorEastAsia" w:cstheme="minorEastAsia"/>
          <w:color w:val="auto"/>
          <w:sz w:val="28"/>
          <w:szCs w:val="28"/>
          <w:highlight w:val="none"/>
        </w:rPr>
        <w:t>请求：</w:t>
      </w:r>
      <w:r>
        <w:rPr>
          <w:rFonts w:hint="eastAsia" w:asciiTheme="minorEastAsia" w:hAnsiTheme="minorEastAsia" w:eastAsiaTheme="minorEastAsia" w:cstheme="minorEastAsia"/>
          <w:color w:val="auto"/>
          <w:sz w:val="28"/>
          <w:szCs w:val="28"/>
          <w:highlight w:val="none"/>
          <w:u w:val="dotted"/>
        </w:rPr>
        <w:t xml:space="preserve">                                              </w:t>
      </w:r>
      <w:r>
        <w:rPr>
          <w:rFonts w:hint="eastAsia" w:asciiTheme="minorEastAsia" w:hAnsiTheme="minorEastAsia" w:eastAsiaTheme="minorEastAsia" w:cstheme="minorEastAsia"/>
          <w:color w:val="auto"/>
          <w:sz w:val="28"/>
          <w:szCs w:val="28"/>
          <w:highlight w:val="none"/>
        </w:rPr>
        <w:t xml:space="preserve"> </w:t>
      </w:r>
    </w:p>
    <w:p>
      <w:pPr>
        <w:rPr>
          <w:rFonts w:asciiTheme="minorEastAsia" w:hAnsiTheme="minorEastAsia" w:eastAsiaTheme="minorEastAsia" w:cstheme="minorEastAsia"/>
          <w:color w:val="auto"/>
          <w:sz w:val="28"/>
          <w:szCs w:val="28"/>
          <w:highlight w:val="none"/>
          <w:u w:val="single"/>
        </w:rPr>
      </w:pPr>
      <w:r>
        <w:rPr>
          <w:rFonts w:hint="eastAsia" w:asciiTheme="minorEastAsia" w:hAnsiTheme="minorEastAsia" w:eastAsiaTheme="minorEastAsia" w:cstheme="minorEastAsia"/>
          <w:color w:val="auto"/>
          <w:sz w:val="28"/>
          <w:szCs w:val="28"/>
          <w:highlight w:val="none"/>
        </w:rPr>
        <w:t xml:space="preserve">                                                                                                    </w:t>
      </w:r>
    </w:p>
    <w:p>
      <w:pPr>
        <w:rPr>
          <w:rFonts w:asciiTheme="minorEastAsia" w:hAnsiTheme="minorEastAsia" w:eastAsiaTheme="minorEastAsia" w:cstheme="minorEastAsia"/>
          <w:color w:val="auto"/>
          <w:sz w:val="28"/>
          <w:szCs w:val="28"/>
          <w:highlight w:val="none"/>
        </w:rPr>
      </w:pPr>
      <w:r>
        <w:rPr>
          <w:rFonts w:hint="eastAsia" w:asciiTheme="minorEastAsia" w:hAnsiTheme="minorEastAsia" w:eastAsiaTheme="minorEastAsia" w:cstheme="minorEastAsia"/>
          <w:color w:val="auto"/>
          <w:sz w:val="28"/>
          <w:szCs w:val="28"/>
          <w:highlight w:val="none"/>
        </w:rPr>
        <w:t xml:space="preserve">签字(签章)：                   公章：                      </w:t>
      </w:r>
    </w:p>
    <w:p>
      <w:pPr>
        <w:rPr>
          <w:rFonts w:asciiTheme="minorEastAsia" w:hAnsiTheme="minorEastAsia" w:eastAsiaTheme="minorEastAsia" w:cstheme="minorEastAsia"/>
          <w:color w:val="auto"/>
          <w:sz w:val="28"/>
          <w:szCs w:val="28"/>
          <w:highlight w:val="none"/>
        </w:rPr>
      </w:pPr>
      <w:r>
        <w:rPr>
          <w:rFonts w:hint="eastAsia" w:asciiTheme="minorEastAsia" w:hAnsiTheme="minorEastAsia" w:eastAsiaTheme="minorEastAsia" w:cstheme="minorEastAsia"/>
          <w:color w:val="auto"/>
          <w:sz w:val="28"/>
          <w:szCs w:val="28"/>
          <w:highlight w:val="none"/>
        </w:rPr>
        <w:t xml:space="preserve">日期：    </w:t>
      </w:r>
    </w:p>
    <w:p>
      <w:pPr>
        <w:rPr>
          <w:rFonts w:asciiTheme="minorEastAsia" w:hAnsiTheme="minorEastAsia" w:eastAsiaTheme="minorEastAsia" w:cstheme="minorEastAsia"/>
          <w:b/>
          <w:color w:val="auto"/>
          <w:sz w:val="28"/>
          <w:szCs w:val="28"/>
          <w:highlight w:val="none"/>
        </w:rPr>
      </w:pPr>
    </w:p>
    <w:p>
      <w:pPr>
        <w:rPr>
          <w:rFonts w:asciiTheme="minorEastAsia" w:hAnsiTheme="minorEastAsia" w:eastAsiaTheme="minorEastAsia" w:cstheme="minorEastAsia"/>
          <w:b/>
          <w:color w:val="auto"/>
          <w:sz w:val="28"/>
          <w:szCs w:val="28"/>
          <w:highlight w:val="none"/>
        </w:rPr>
      </w:pPr>
    </w:p>
    <w:p>
      <w:pPr>
        <w:rPr>
          <w:rFonts w:asciiTheme="minorEastAsia" w:hAnsiTheme="minorEastAsia" w:eastAsiaTheme="minorEastAsia" w:cstheme="minorEastAsia"/>
          <w:b/>
          <w:color w:val="auto"/>
          <w:sz w:val="28"/>
          <w:szCs w:val="28"/>
          <w:highlight w:val="none"/>
        </w:rPr>
      </w:pPr>
    </w:p>
    <w:p>
      <w:pPr>
        <w:rPr>
          <w:rFonts w:asciiTheme="minorEastAsia" w:hAnsiTheme="minorEastAsia" w:eastAsiaTheme="minorEastAsia" w:cstheme="minorEastAsia"/>
          <w:b/>
          <w:color w:val="auto"/>
          <w:sz w:val="28"/>
          <w:szCs w:val="28"/>
          <w:highlight w:val="none"/>
        </w:rPr>
      </w:pPr>
    </w:p>
    <w:p>
      <w:pPr>
        <w:rPr>
          <w:rFonts w:asciiTheme="minorEastAsia" w:hAnsiTheme="minorEastAsia" w:eastAsiaTheme="minorEastAsia" w:cstheme="minorEastAsia"/>
          <w:b/>
          <w:color w:val="auto"/>
          <w:sz w:val="28"/>
          <w:szCs w:val="28"/>
          <w:highlight w:val="none"/>
        </w:rPr>
      </w:pPr>
    </w:p>
    <w:p>
      <w:pPr>
        <w:rPr>
          <w:rFonts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投诉书制作说明：</w:t>
      </w:r>
    </w:p>
    <w:p>
      <w:pPr>
        <w:widowControl/>
        <w:ind w:firstLine="480" w:firstLineChars="200"/>
        <w:rPr>
          <w:rFonts w:asciiTheme="minorEastAsia" w:hAnsiTheme="minorEastAsia" w:eastAsiaTheme="minorEastAsia" w:cstheme="minorEastAsia"/>
          <w:color w:val="auto"/>
          <w:kern w:val="0"/>
          <w:sz w:val="24"/>
          <w:highlight w:val="none"/>
        </w:rPr>
      </w:pPr>
      <w:r>
        <w:rPr>
          <w:rFonts w:hint="eastAsia" w:asciiTheme="minorEastAsia" w:hAnsiTheme="minorEastAsia" w:eastAsiaTheme="minorEastAsia" w:cstheme="minorEastAsia"/>
          <w:color w:val="auto"/>
          <w:sz w:val="24"/>
          <w:highlight w:val="none"/>
        </w:rPr>
        <w:t>1.投诉人提起投诉时，应当提交投诉书和必要的证明材料，并按照被投诉人和与投诉事项有关的供应商数量提供投诉书副本。</w:t>
      </w:r>
    </w:p>
    <w:p>
      <w:pPr>
        <w:widowControl/>
        <w:ind w:firstLine="480" w:firstLineChars="200"/>
        <w:jc w:val="left"/>
        <w:rPr>
          <w:rFonts w:asciiTheme="minorEastAsia" w:hAnsiTheme="minorEastAsia" w:eastAsiaTheme="minorEastAsia" w:cstheme="minorEastAsia"/>
          <w:color w:val="auto"/>
          <w:kern w:val="0"/>
          <w:sz w:val="24"/>
          <w:highlight w:val="none"/>
        </w:rPr>
      </w:pPr>
      <w:r>
        <w:rPr>
          <w:rFonts w:hint="eastAsia" w:asciiTheme="minorEastAsia" w:hAnsiTheme="minorEastAsia" w:eastAsiaTheme="minorEastAsia" w:cstheme="minorEastAsia"/>
          <w:color w:val="auto"/>
          <w:sz w:val="24"/>
          <w:highlight w:val="none"/>
        </w:rPr>
        <w:t>2.投诉人若委托代理人进行投诉的，投诉书应按照要求列明“授权代表”的有关内容，并在附件中提交由</w:t>
      </w:r>
      <w:r>
        <w:rPr>
          <w:rFonts w:hint="eastAsia" w:asciiTheme="minorEastAsia" w:hAnsiTheme="minorEastAsia" w:eastAsiaTheme="minorEastAsia" w:cstheme="minorEastAsia"/>
          <w:color w:val="auto"/>
          <w:kern w:val="0"/>
          <w:sz w:val="24"/>
          <w:highlight w:val="none"/>
        </w:rPr>
        <w:t>投诉人签署的授权委托书。授权委托书应当载明代理人的姓名或者名称、代理事项、具体权限、期限和相关事项。</w:t>
      </w:r>
    </w:p>
    <w:p>
      <w:pPr>
        <w:widowControl/>
        <w:ind w:firstLine="480" w:firstLineChars="200"/>
        <w:jc w:val="left"/>
        <w:rPr>
          <w:rFonts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3.投诉人若对项目的某一分包进行投诉，投诉书应列明具体分包号。</w:t>
      </w:r>
    </w:p>
    <w:p>
      <w:pPr>
        <w:widowControl/>
        <w:ind w:firstLine="480" w:firstLineChars="200"/>
        <w:jc w:val="left"/>
        <w:rPr>
          <w:rFonts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4.投诉书应简要列明质疑事项，质疑函、质疑答复等作为附件材料提供。</w:t>
      </w:r>
    </w:p>
    <w:p>
      <w:pPr>
        <w:widowControl/>
        <w:ind w:firstLine="480" w:firstLineChars="200"/>
        <w:jc w:val="left"/>
        <w:rPr>
          <w:rFonts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5.投诉书的投诉事项应具体、明确，并有必要的事实依据和法律依据。</w:t>
      </w:r>
    </w:p>
    <w:p>
      <w:pPr>
        <w:widowControl/>
        <w:ind w:firstLine="480" w:firstLineChars="200"/>
        <w:jc w:val="left"/>
        <w:rPr>
          <w:rFonts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6.投诉书的投诉请求应与投诉事项相关。</w:t>
      </w:r>
    </w:p>
    <w:p>
      <w:pPr>
        <w:widowControl/>
        <w:ind w:firstLine="480" w:firstLineChars="200"/>
        <w:jc w:val="left"/>
        <w:rPr>
          <w:rFonts w:asciiTheme="minorEastAsia" w:hAnsiTheme="minorEastAsia" w:eastAsiaTheme="minorEastAsia" w:cstheme="minorEastAsia"/>
          <w:color w:val="auto"/>
          <w:kern w:val="0"/>
          <w:sz w:val="24"/>
          <w:highlight w:val="none"/>
        </w:rPr>
      </w:pPr>
      <w:r>
        <w:rPr>
          <w:rFonts w:hint="eastAsia" w:asciiTheme="minorEastAsia" w:hAnsiTheme="minorEastAsia" w:eastAsiaTheme="minorEastAsia" w:cstheme="minorEastAsia"/>
          <w:color w:val="auto"/>
          <w:sz w:val="24"/>
          <w:highlight w:val="none"/>
        </w:rPr>
        <w:t>7.投诉人为自然人的，投诉书应当由本人签字；投诉人为法人或者其他组织的，投诉书应当由法定代表人、主要负责人，或者其授权代表签字或者盖章，并加盖公章。</w:t>
      </w:r>
    </w:p>
    <w:p>
      <w:pPr>
        <w:jc w:val="left"/>
        <w:rPr>
          <w:rFonts w:asciiTheme="minorEastAsia" w:hAnsiTheme="minorEastAsia" w:eastAsiaTheme="minorEastAsia" w:cstheme="minorEastAsia"/>
          <w:b/>
          <w:color w:val="auto"/>
          <w:sz w:val="28"/>
          <w:szCs w:val="28"/>
          <w:highlight w:val="none"/>
        </w:rPr>
      </w:pPr>
      <w:r>
        <w:rPr>
          <w:rFonts w:hint="eastAsia" w:asciiTheme="minorEastAsia" w:hAnsiTheme="minorEastAsia" w:eastAsiaTheme="minorEastAsia" w:cstheme="minorEastAsia"/>
          <w:color w:val="auto"/>
          <w:sz w:val="28"/>
          <w:szCs w:val="28"/>
          <w:highlight w:val="none"/>
        </w:rPr>
        <w:t xml:space="preserve">         </w:t>
      </w:r>
      <w:r>
        <w:rPr>
          <w:rFonts w:hint="eastAsia" w:asciiTheme="minorEastAsia" w:hAnsiTheme="minorEastAsia" w:eastAsiaTheme="minorEastAsia" w:cstheme="minorEastAsia"/>
          <w:b/>
          <w:color w:val="auto"/>
          <w:sz w:val="28"/>
          <w:szCs w:val="28"/>
          <w:highlight w:val="none"/>
        </w:rPr>
        <w:t xml:space="preserve"> </w:t>
      </w:r>
    </w:p>
    <w:p>
      <w:pPr>
        <w:jc w:val="left"/>
        <w:rPr>
          <w:rFonts w:asciiTheme="minorEastAsia" w:hAnsiTheme="minorEastAsia" w:eastAsiaTheme="minorEastAsia" w:cstheme="minorEastAsia"/>
          <w:b/>
          <w:color w:val="auto"/>
          <w:sz w:val="28"/>
          <w:szCs w:val="28"/>
          <w:highlight w:val="none"/>
        </w:rPr>
      </w:pPr>
    </w:p>
    <w:p>
      <w:pPr>
        <w:pStyle w:val="5"/>
        <w:rPr>
          <w:rFonts w:asciiTheme="minorEastAsia" w:hAnsiTheme="minorEastAsia" w:eastAsiaTheme="minorEastAsia" w:cstheme="minorEastAsia"/>
          <w:b/>
          <w:color w:val="auto"/>
          <w:sz w:val="28"/>
          <w:szCs w:val="28"/>
          <w:highlight w:val="none"/>
        </w:rPr>
      </w:pPr>
    </w:p>
    <w:p>
      <w:pPr>
        <w:rPr>
          <w:rFonts w:asciiTheme="minorEastAsia" w:hAnsiTheme="minorEastAsia" w:eastAsiaTheme="minorEastAsia" w:cstheme="minorEastAsia"/>
          <w:b/>
          <w:color w:val="auto"/>
          <w:sz w:val="28"/>
          <w:szCs w:val="28"/>
          <w:highlight w:val="none"/>
        </w:rPr>
      </w:pPr>
    </w:p>
    <w:p>
      <w:pPr>
        <w:pStyle w:val="5"/>
        <w:rPr>
          <w:rFonts w:asciiTheme="minorEastAsia" w:hAnsiTheme="minorEastAsia" w:eastAsiaTheme="minorEastAsia" w:cstheme="minorEastAsia"/>
          <w:b/>
          <w:color w:val="auto"/>
          <w:sz w:val="28"/>
          <w:szCs w:val="28"/>
          <w:highlight w:val="none"/>
        </w:rPr>
      </w:pPr>
    </w:p>
    <w:p>
      <w:pPr>
        <w:rPr>
          <w:rFonts w:asciiTheme="minorEastAsia" w:hAnsiTheme="minorEastAsia" w:eastAsiaTheme="minorEastAsia" w:cstheme="minorEastAsia"/>
          <w:b/>
          <w:color w:val="auto"/>
          <w:sz w:val="28"/>
          <w:szCs w:val="28"/>
          <w:highlight w:val="none"/>
        </w:rPr>
      </w:pPr>
    </w:p>
    <w:p>
      <w:pPr>
        <w:pStyle w:val="5"/>
        <w:rPr>
          <w:rFonts w:asciiTheme="minorEastAsia" w:hAnsiTheme="minorEastAsia" w:eastAsiaTheme="minorEastAsia" w:cstheme="minorEastAsia"/>
          <w:b/>
          <w:color w:val="auto"/>
          <w:sz w:val="28"/>
          <w:szCs w:val="28"/>
          <w:highlight w:val="none"/>
        </w:rPr>
      </w:pPr>
    </w:p>
    <w:p>
      <w:pPr>
        <w:rPr>
          <w:rFonts w:asciiTheme="minorEastAsia" w:hAnsiTheme="minorEastAsia" w:eastAsiaTheme="minorEastAsia" w:cstheme="minorEastAsia"/>
          <w:b/>
          <w:color w:val="auto"/>
          <w:sz w:val="28"/>
          <w:szCs w:val="28"/>
          <w:highlight w:val="none"/>
        </w:rPr>
      </w:pPr>
    </w:p>
    <w:p>
      <w:pPr>
        <w:rPr>
          <w:rFonts w:asciiTheme="minorEastAsia" w:hAnsiTheme="minorEastAsia" w:eastAsiaTheme="minorEastAsia" w:cstheme="minorEastAsia"/>
          <w:b/>
          <w:color w:val="auto"/>
          <w:sz w:val="28"/>
          <w:szCs w:val="28"/>
          <w:highlight w:val="none"/>
        </w:rPr>
      </w:pPr>
    </w:p>
    <w:p>
      <w:pPr>
        <w:pStyle w:val="14"/>
        <w:ind w:left="0" w:leftChars="0" w:firstLine="0" w:firstLineChars="0"/>
        <w:rPr>
          <w:color w:val="auto"/>
          <w:highlight w:val="none"/>
        </w:rPr>
      </w:pPr>
    </w:p>
    <w:p>
      <w:pPr>
        <w:pStyle w:val="6"/>
        <w:keepNext w:val="0"/>
        <w:keepLines w:val="0"/>
        <w:pageBreakBefore/>
        <w:rPr>
          <w:rFonts w:hint="eastAsia" w:asciiTheme="minorEastAsia" w:hAnsiTheme="minorEastAsia" w:eastAsiaTheme="minorEastAsia" w:cstheme="minorEastAsia"/>
          <w:b w:val="0"/>
          <w:color w:val="auto"/>
          <w:sz w:val="24"/>
          <w:highlight w:val="none"/>
          <w:lang w:val="en-US" w:eastAsia="zh-CN"/>
        </w:rPr>
      </w:pPr>
      <w:bookmarkStart w:id="108" w:name="_Toc15017"/>
      <w:r>
        <w:rPr>
          <w:rFonts w:hint="eastAsia" w:asciiTheme="minorEastAsia" w:hAnsiTheme="minorEastAsia" w:eastAsiaTheme="minorEastAsia" w:cstheme="minorEastAsia"/>
          <w:b w:val="0"/>
          <w:color w:val="auto"/>
          <w:sz w:val="24"/>
          <w:highlight w:val="none"/>
        </w:rPr>
        <w:t>附件二十</w:t>
      </w:r>
      <w:r>
        <w:rPr>
          <w:rFonts w:hint="eastAsia" w:asciiTheme="minorEastAsia" w:hAnsiTheme="minorEastAsia" w:eastAsiaTheme="minorEastAsia" w:cstheme="minorEastAsia"/>
          <w:b w:val="0"/>
          <w:color w:val="auto"/>
          <w:sz w:val="24"/>
          <w:highlight w:val="none"/>
          <w:lang w:val="en-US" w:eastAsia="zh-CN"/>
        </w:rPr>
        <w:t>三</w:t>
      </w:r>
      <w:r>
        <w:rPr>
          <w:rFonts w:hint="eastAsia" w:asciiTheme="minorEastAsia" w:hAnsiTheme="minorEastAsia" w:eastAsiaTheme="minorEastAsia" w:cstheme="minorEastAsia"/>
          <w:b w:val="0"/>
          <w:color w:val="auto"/>
          <w:sz w:val="24"/>
          <w:highlight w:val="none"/>
        </w:rPr>
        <w:t>：</w:t>
      </w:r>
      <w:r>
        <w:rPr>
          <w:rFonts w:hint="eastAsia" w:asciiTheme="minorEastAsia" w:hAnsiTheme="minorEastAsia" w:eastAsiaTheme="minorEastAsia" w:cstheme="minorEastAsia"/>
          <w:b w:val="0"/>
          <w:color w:val="auto"/>
          <w:sz w:val="24"/>
          <w:highlight w:val="none"/>
          <w:lang w:val="en-US" w:eastAsia="zh-CN"/>
        </w:rPr>
        <w:t>图纸</w:t>
      </w:r>
      <w:bookmarkEnd w:id="108"/>
    </w:p>
    <w:p>
      <w:pPr>
        <w:rPr>
          <w:rFonts w:hint="eastAsia"/>
          <w:color w:val="auto"/>
          <w:highlight w:val="none"/>
          <w:lang w:eastAsia="zh-CN"/>
        </w:rPr>
      </w:pPr>
      <w:r>
        <w:rPr>
          <w:rFonts w:hint="eastAsia"/>
          <w:color w:val="auto"/>
          <w:highlight w:val="none"/>
          <w:lang w:eastAsia="zh-CN"/>
        </w:rPr>
        <w:drawing>
          <wp:inline distT="0" distB="0" distL="114300" distR="114300">
            <wp:extent cx="5955665" cy="4211955"/>
            <wp:effectExtent l="0" t="0" r="6985" b="17145"/>
            <wp:docPr id="175" name="图片 175" descr="三单装修图纸(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三单装修图纸(1)_00"/>
                    <pic:cNvPicPr>
                      <a:picLocks noChangeAspect="1"/>
                    </pic:cNvPicPr>
                  </pic:nvPicPr>
                  <pic:blipFill>
                    <a:blip r:embed="rId12"/>
                    <a:stretch>
                      <a:fillRect/>
                    </a:stretch>
                  </pic:blipFill>
                  <pic:spPr>
                    <a:xfrm>
                      <a:off x="0" y="0"/>
                      <a:ext cx="5955665" cy="4211955"/>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74" name="图片 174" descr="三单装修图纸(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三单装修图纸(1)_01"/>
                    <pic:cNvPicPr>
                      <a:picLocks noChangeAspect="1"/>
                    </pic:cNvPicPr>
                  </pic:nvPicPr>
                  <pic:blipFill>
                    <a:blip r:embed="rId13"/>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73" name="图片 173" descr="三单装修图纸(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三单装修图纸(1)_02"/>
                    <pic:cNvPicPr>
                      <a:picLocks noChangeAspect="1"/>
                    </pic:cNvPicPr>
                  </pic:nvPicPr>
                  <pic:blipFill>
                    <a:blip r:embed="rId14"/>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72" name="图片 172" descr="三单装修图纸(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三单装修图纸(1)_03"/>
                    <pic:cNvPicPr>
                      <a:picLocks noChangeAspect="1"/>
                    </pic:cNvPicPr>
                  </pic:nvPicPr>
                  <pic:blipFill>
                    <a:blip r:embed="rId15"/>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71" name="图片 171" descr="三单装修图纸(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三单装修图纸(1)_04"/>
                    <pic:cNvPicPr>
                      <a:picLocks noChangeAspect="1"/>
                    </pic:cNvPicPr>
                  </pic:nvPicPr>
                  <pic:blipFill>
                    <a:blip r:embed="rId16"/>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70" name="图片 170" descr="三单装修图纸(1)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三单装修图纸(1)_05"/>
                    <pic:cNvPicPr>
                      <a:picLocks noChangeAspect="1"/>
                    </pic:cNvPicPr>
                  </pic:nvPicPr>
                  <pic:blipFill>
                    <a:blip r:embed="rId17"/>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69" name="图片 169" descr="三单装修图纸(1)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三单装修图纸(1)_06"/>
                    <pic:cNvPicPr>
                      <a:picLocks noChangeAspect="1"/>
                    </pic:cNvPicPr>
                  </pic:nvPicPr>
                  <pic:blipFill>
                    <a:blip r:embed="rId18"/>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68" name="图片 168" descr="三单装修图纸(1)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三单装修图纸(1)_07"/>
                    <pic:cNvPicPr>
                      <a:picLocks noChangeAspect="1"/>
                    </pic:cNvPicPr>
                  </pic:nvPicPr>
                  <pic:blipFill>
                    <a:blip r:embed="rId19"/>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67" name="图片 167" descr="三单装修图纸(1)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三单装修图纸(1)_08"/>
                    <pic:cNvPicPr>
                      <a:picLocks noChangeAspect="1"/>
                    </pic:cNvPicPr>
                  </pic:nvPicPr>
                  <pic:blipFill>
                    <a:blip r:embed="rId20"/>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66" name="图片 166" descr="三单装修图纸(1)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三单装修图纸(1)_09"/>
                    <pic:cNvPicPr>
                      <a:picLocks noChangeAspect="1"/>
                    </pic:cNvPicPr>
                  </pic:nvPicPr>
                  <pic:blipFill>
                    <a:blip r:embed="rId21"/>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65" name="图片 165" descr="三单装修图纸(1)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三单装修图纸(1)_10"/>
                    <pic:cNvPicPr>
                      <a:picLocks noChangeAspect="1"/>
                    </pic:cNvPicPr>
                  </pic:nvPicPr>
                  <pic:blipFill>
                    <a:blip r:embed="rId22"/>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64" name="图片 164" descr="三单装修图纸(1)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三单装修图纸(1)_11"/>
                    <pic:cNvPicPr>
                      <a:picLocks noChangeAspect="1"/>
                    </pic:cNvPicPr>
                  </pic:nvPicPr>
                  <pic:blipFill>
                    <a:blip r:embed="rId23"/>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63" name="图片 163" descr="三单装修图纸(1)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三单装修图纸(1)_12"/>
                    <pic:cNvPicPr>
                      <a:picLocks noChangeAspect="1"/>
                    </pic:cNvPicPr>
                  </pic:nvPicPr>
                  <pic:blipFill>
                    <a:blip r:embed="rId24"/>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62" name="图片 162" descr="三单装修图纸(1)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三单装修图纸(1)_13"/>
                    <pic:cNvPicPr>
                      <a:picLocks noChangeAspect="1"/>
                    </pic:cNvPicPr>
                  </pic:nvPicPr>
                  <pic:blipFill>
                    <a:blip r:embed="rId25"/>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61" name="图片 161" descr="三单装修图纸(1)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三单装修图纸(1)_14"/>
                    <pic:cNvPicPr>
                      <a:picLocks noChangeAspect="1"/>
                    </pic:cNvPicPr>
                  </pic:nvPicPr>
                  <pic:blipFill>
                    <a:blip r:embed="rId26"/>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60" name="图片 160" descr="三单装修图纸(1)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三单装修图纸(1)_15"/>
                    <pic:cNvPicPr>
                      <a:picLocks noChangeAspect="1"/>
                    </pic:cNvPicPr>
                  </pic:nvPicPr>
                  <pic:blipFill>
                    <a:blip r:embed="rId27"/>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59" name="图片 159" descr="三单装修图纸(1)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三单装修图纸(1)_16"/>
                    <pic:cNvPicPr>
                      <a:picLocks noChangeAspect="1"/>
                    </pic:cNvPicPr>
                  </pic:nvPicPr>
                  <pic:blipFill>
                    <a:blip r:embed="rId28"/>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58" name="图片 158" descr="三单装修图纸(1)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三单装修图纸(1)_17"/>
                    <pic:cNvPicPr>
                      <a:picLocks noChangeAspect="1"/>
                    </pic:cNvPicPr>
                  </pic:nvPicPr>
                  <pic:blipFill>
                    <a:blip r:embed="rId29"/>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57" name="图片 157" descr="三单装修图纸(1)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三单装修图纸(1)_18"/>
                    <pic:cNvPicPr>
                      <a:picLocks noChangeAspect="1"/>
                    </pic:cNvPicPr>
                  </pic:nvPicPr>
                  <pic:blipFill>
                    <a:blip r:embed="rId30"/>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56" name="图片 156" descr="三单装修图纸(1)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三单装修图纸(1)_19"/>
                    <pic:cNvPicPr>
                      <a:picLocks noChangeAspect="1"/>
                    </pic:cNvPicPr>
                  </pic:nvPicPr>
                  <pic:blipFill>
                    <a:blip r:embed="rId31"/>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55" name="图片 155" descr="三单装修图纸(1)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三单装修图纸(1)_20"/>
                    <pic:cNvPicPr>
                      <a:picLocks noChangeAspect="1"/>
                    </pic:cNvPicPr>
                  </pic:nvPicPr>
                  <pic:blipFill>
                    <a:blip r:embed="rId32"/>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54" name="图片 154" descr="三单装修图纸(1)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三单装修图纸(1)_21"/>
                    <pic:cNvPicPr>
                      <a:picLocks noChangeAspect="1"/>
                    </pic:cNvPicPr>
                  </pic:nvPicPr>
                  <pic:blipFill>
                    <a:blip r:embed="rId33"/>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53" name="图片 153" descr="三单装修图纸(1)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三单装修图纸(1)_22"/>
                    <pic:cNvPicPr>
                      <a:picLocks noChangeAspect="1"/>
                    </pic:cNvPicPr>
                  </pic:nvPicPr>
                  <pic:blipFill>
                    <a:blip r:embed="rId34"/>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52" name="图片 152" descr="三单装修图纸(1)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三单装修图纸(1)_23"/>
                    <pic:cNvPicPr>
                      <a:picLocks noChangeAspect="1"/>
                    </pic:cNvPicPr>
                  </pic:nvPicPr>
                  <pic:blipFill>
                    <a:blip r:embed="rId35"/>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51" name="图片 151" descr="三单装修图纸(1)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三单装修图纸(1)_24"/>
                    <pic:cNvPicPr>
                      <a:picLocks noChangeAspect="1"/>
                    </pic:cNvPicPr>
                  </pic:nvPicPr>
                  <pic:blipFill>
                    <a:blip r:embed="rId36"/>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50" name="图片 150" descr="三单装修图纸(1)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三单装修图纸(1)_25"/>
                    <pic:cNvPicPr>
                      <a:picLocks noChangeAspect="1"/>
                    </pic:cNvPicPr>
                  </pic:nvPicPr>
                  <pic:blipFill>
                    <a:blip r:embed="rId37"/>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49" name="图片 149" descr="三单装修图纸(1)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三单装修图纸(1)_26"/>
                    <pic:cNvPicPr>
                      <a:picLocks noChangeAspect="1"/>
                    </pic:cNvPicPr>
                  </pic:nvPicPr>
                  <pic:blipFill>
                    <a:blip r:embed="rId38"/>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48" name="图片 148" descr="三单装修图纸(1)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三单装修图纸(1)_27"/>
                    <pic:cNvPicPr>
                      <a:picLocks noChangeAspect="1"/>
                    </pic:cNvPicPr>
                  </pic:nvPicPr>
                  <pic:blipFill>
                    <a:blip r:embed="rId39"/>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47" name="图片 147" descr="三单装修图纸(1)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三单装修图纸(1)_28"/>
                    <pic:cNvPicPr>
                      <a:picLocks noChangeAspect="1"/>
                    </pic:cNvPicPr>
                  </pic:nvPicPr>
                  <pic:blipFill>
                    <a:blip r:embed="rId40"/>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46" name="图片 146" descr="三单装修图纸(1)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三单装修图纸(1)_29"/>
                    <pic:cNvPicPr>
                      <a:picLocks noChangeAspect="1"/>
                    </pic:cNvPicPr>
                  </pic:nvPicPr>
                  <pic:blipFill>
                    <a:blip r:embed="rId41"/>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45" name="图片 145" descr="三单装修图纸(1)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三单装修图纸(1)_30"/>
                    <pic:cNvPicPr>
                      <a:picLocks noChangeAspect="1"/>
                    </pic:cNvPicPr>
                  </pic:nvPicPr>
                  <pic:blipFill>
                    <a:blip r:embed="rId42"/>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44" name="图片 144" descr="三单装修图纸(1)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三单装修图纸(1)_31"/>
                    <pic:cNvPicPr>
                      <a:picLocks noChangeAspect="1"/>
                    </pic:cNvPicPr>
                  </pic:nvPicPr>
                  <pic:blipFill>
                    <a:blip r:embed="rId43"/>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55665" cy="4211955"/>
            <wp:effectExtent l="0" t="0" r="6985" b="17145"/>
            <wp:docPr id="143" name="图片 143" descr="三单装修图纸(1)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三单装修图纸(1)_32"/>
                    <pic:cNvPicPr>
                      <a:picLocks noChangeAspect="1"/>
                    </pic:cNvPicPr>
                  </pic:nvPicPr>
                  <pic:blipFill>
                    <a:blip r:embed="rId44"/>
                    <a:stretch>
                      <a:fillRect/>
                    </a:stretch>
                  </pic:blipFill>
                  <pic:spPr>
                    <a:xfrm>
                      <a:off x="0" y="0"/>
                      <a:ext cx="5955665" cy="4211955"/>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42" name="图片 142" descr="三单装修图纸(1)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三单装修图纸(1)_33"/>
                    <pic:cNvPicPr>
                      <a:picLocks noChangeAspect="1"/>
                    </pic:cNvPicPr>
                  </pic:nvPicPr>
                  <pic:blipFill>
                    <a:blip r:embed="rId45"/>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41" name="图片 141" descr="三单装修图纸(1)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三单装修图纸(1)_34"/>
                    <pic:cNvPicPr>
                      <a:picLocks noChangeAspect="1"/>
                    </pic:cNvPicPr>
                  </pic:nvPicPr>
                  <pic:blipFill>
                    <a:blip r:embed="rId46"/>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40" name="图片 140" descr="三单装修图纸(1)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三单装修图纸(1)_35"/>
                    <pic:cNvPicPr>
                      <a:picLocks noChangeAspect="1"/>
                    </pic:cNvPicPr>
                  </pic:nvPicPr>
                  <pic:blipFill>
                    <a:blip r:embed="rId47"/>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39" name="图片 139" descr="三单装修图纸(1)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三单装修图纸(1)_36"/>
                    <pic:cNvPicPr>
                      <a:picLocks noChangeAspect="1"/>
                    </pic:cNvPicPr>
                  </pic:nvPicPr>
                  <pic:blipFill>
                    <a:blip r:embed="rId48"/>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38" name="图片 138" descr="三单装修图纸(1)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三单装修图纸(1)_37"/>
                    <pic:cNvPicPr>
                      <a:picLocks noChangeAspect="1"/>
                    </pic:cNvPicPr>
                  </pic:nvPicPr>
                  <pic:blipFill>
                    <a:blip r:embed="rId49"/>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37" name="图片 137" descr="三单装修图纸(1)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三单装修图纸(1)_38"/>
                    <pic:cNvPicPr>
                      <a:picLocks noChangeAspect="1"/>
                    </pic:cNvPicPr>
                  </pic:nvPicPr>
                  <pic:blipFill>
                    <a:blip r:embed="rId50"/>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36" name="图片 136" descr="三单装修图纸(1)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三单装修图纸(1)_39"/>
                    <pic:cNvPicPr>
                      <a:picLocks noChangeAspect="1"/>
                    </pic:cNvPicPr>
                  </pic:nvPicPr>
                  <pic:blipFill>
                    <a:blip r:embed="rId51"/>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35" name="图片 135" descr="三单装修图纸(1)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三单装修图纸(1)_40"/>
                    <pic:cNvPicPr>
                      <a:picLocks noChangeAspect="1"/>
                    </pic:cNvPicPr>
                  </pic:nvPicPr>
                  <pic:blipFill>
                    <a:blip r:embed="rId52"/>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34" name="图片 134" descr="三单装修图纸(1)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三单装修图纸(1)_41"/>
                    <pic:cNvPicPr>
                      <a:picLocks noChangeAspect="1"/>
                    </pic:cNvPicPr>
                  </pic:nvPicPr>
                  <pic:blipFill>
                    <a:blip r:embed="rId53"/>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55665" cy="4211955"/>
            <wp:effectExtent l="0" t="0" r="6985" b="17145"/>
            <wp:docPr id="133" name="图片 133" descr="三单装修图纸(1)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三单装修图纸(1)_42"/>
                    <pic:cNvPicPr>
                      <a:picLocks noChangeAspect="1"/>
                    </pic:cNvPicPr>
                  </pic:nvPicPr>
                  <pic:blipFill>
                    <a:blip r:embed="rId54"/>
                    <a:stretch>
                      <a:fillRect/>
                    </a:stretch>
                  </pic:blipFill>
                  <pic:spPr>
                    <a:xfrm>
                      <a:off x="0" y="0"/>
                      <a:ext cx="5955665" cy="4211955"/>
                    </a:xfrm>
                    <a:prstGeom prst="rect">
                      <a:avLst/>
                    </a:prstGeom>
                  </pic:spPr>
                </pic:pic>
              </a:graphicData>
            </a:graphic>
          </wp:inline>
        </w:drawing>
      </w:r>
      <w:r>
        <w:rPr>
          <w:rFonts w:hint="eastAsia"/>
          <w:color w:val="auto"/>
          <w:highlight w:val="none"/>
          <w:lang w:eastAsia="zh-CN"/>
        </w:rPr>
        <w:drawing>
          <wp:inline distT="0" distB="0" distL="114300" distR="114300">
            <wp:extent cx="5955665" cy="4211955"/>
            <wp:effectExtent l="0" t="0" r="6985" b="17145"/>
            <wp:docPr id="132" name="图片 132" descr="三单装修图纸(1)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三单装修图纸(1)_43"/>
                    <pic:cNvPicPr>
                      <a:picLocks noChangeAspect="1"/>
                    </pic:cNvPicPr>
                  </pic:nvPicPr>
                  <pic:blipFill>
                    <a:blip r:embed="rId55"/>
                    <a:stretch>
                      <a:fillRect/>
                    </a:stretch>
                  </pic:blipFill>
                  <pic:spPr>
                    <a:xfrm>
                      <a:off x="0" y="0"/>
                      <a:ext cx="5955665" cy="4211955"/>
                    </a:xfrm>
                    <a:prstGeom prst="rect">
                      <a:avLst/>
                    </a:prstGeom>
                  </pic:spPr>
                </pic:pic>
              </a:graphicData>
            </a:graphic>
          </wp:inline>
        </w:drawing>
      </w:r>
      <w:r>
        <w:rPr>
          <w:rFonts w:hint="eastAsia"/>
          <w:color w:val="auto"/>
          <w:highlight w:val="none"/>
          <w:lang w:eastAsia="zh-CN"/>
        </w:rPr>
        <w:drawing>
          <wp:inline distT="0" distB="0" distL="114300" distR="114300">
            <wp:extent cx="5955665" cy="4211955"/>
            <wp:effectExtent l="0" t="0" r="6985" b="17145"/>
            <wp:docPr id="131" name="图片 131" descr="三单装修图纸(1)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三单装修图纸(1)_44"/>
                    <pic:cNvPicPr>
                      <a:picLocks noChangeAspect="1"/>
                    </pic:cNvPicPr>
                  </pic:nvPicPr>
                  <pic:blipFill>
                    <a:blip r:embed="rId56"/>
                    <a:stretch>
                      <a:fillRect/>
                    </a:stretch>
                  </pic:blipFill>
                  <pic:spPr>
                    <a:xfrm>
                      <a:off x="0" y="0"/>
                      <a:ext cx="5955665" cy="4211955"/>
                    </a:xfrm>
                    <a:prstGeom prst="rect">
                      <a:avLst/>
                    </a:prstGeom>
                  </pic:spPr>
                </pic:pic>
              </a:graphicData>
            </a:graphic>
          </wp:inline>
        </w:drawing>
      </w:r>
      <w:r>
        <w:rPr>
          <w:rFonts w:hint="eastAsia"/>
          <w:color w:val="auto"/>
          <w:highlight w:val="none"/>
          <w:lang w:eastAsia="zh-CN"/>
        </w:rPr>
        <w:drawing>
          <wp:inline distT="0" distB="0" distL="114300" distR="114300">
            <wp:extent cx="5955665" cy="4211955"/>
            <wp:effectExtent l="0" t="0" r="6985" b="17145"/>
            <wp:docPr id="130" name="图片 130" descr="三单装修图纸(1)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三单装修图纸(1)_45"/>
                    <pic:cNvPicPr>
                      <a:picLocks noChangeAspect="1"/>
                    </pic:cNvPicPr>
                  </pic:nvPicPr>
                  <pic:blipFill>
                    <a:blip r:embed="rId57"/>
                    <a:stretch>
                      <a:fillRect/>
                    </a:stretch>
                  </pic:blipFill>
                  <pic:spPr>
                    <a:xfrm>
                      <a:off x="0" y="0"/>
                      <a:ext cx="5955665" cy="4211955"/>
                    </a:xfrm>
                    <a:prstGeom prst="rect">
                      <a:avLst/>
                    </a:prstGeom>
                  </pic:spPr>
                </pic:pic>
              </a:graphicData>
            </a:graphic>
          </wp:inline>
        </w:drawing>
      </w:r>
      <w:r>
        <w:rPr>
          <w:rFonts w:hint="eastAsia"/>
          <w:color w:val="auto"/>
          <w:highlight w:val="none"/>
          <w:lang w:eastAsia="zh-CN"/>
        </w:rPr>
        <w:drawing>
          <wp:inline distT="0" distB="0" distL="114300" distR="114300">
            <wp:extent cx="5955665" cy="4211955"/>
            <wp:effectExtent l="0" t="0" r="6985" b="17145"/>
            <wp:docPr id="129" name="图片 129" descr="三单装修图纸(1)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三单装修图纸(1)_46"/>
                    <pic:cNvPicPr>
                      <a:picLocks noChangeAspect="1"/>
                    </pic:cNvPicPr>
                  </pic:nvPicPr>
                  <pic:blipFill>
                    <a:blip r:embed="rId58"/>
                    <a:stretch>
                      <a:fillRect/>
                    </a:stretch>
                  </pic:blipFill>
                  <pic:spPr>
                    <a:xfrm>
                      <a:off x="0" y="0"/>
                      <a:ext cx="5955665" cy="4211955"/>
                    </a:xfrm>
                    <a:prstGeom prst="rect">
                      <a:avLst/>
                    </a:prstGeom>
                  </pic:spPr>
                </pic:pic>
              </a:graphicData>
            </a:graphic>
          </wp:inline>
        </w:drawing>
      </w:r>
      <w:r>
        <w:rPr>
          <w:rFonts w:hint="eastAsia"/>
          <w:color w:val="auto"/>
          <w:highlight w:val="none"/>
          <w:lang w:eastAsia="zh-CN"/>
        </w:rPr>
        <w:drawing>
          <wp:inline distT="0" distB="0" distL="114300" distR="114300">
            <wp:extent cx="5955665" cy="4211955"/>
            <wp:effectExtent l="0" t="0" r="6985" b="17145"/>
            <wp:docPr id="128" name="图片 128" descr="三单装修图纸(1)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三单装修图纸(1)_47"/>
                    <pic:cNvPicPr>
                      <a:picLocks noChangeAspect="1"/>
                    </pic:cNvPicPr>
                  </pic:nvPicPr>
                  <pic:blipFill>
                    <a:blip r:embed="rId59"/>
                    <a:stretch>
                      <a:fillRect/>
                    </a:stretch>
                  </pic:blipFill>
                  <pic:spPr>
                    <a:xfrm>
                      <a:off x="0" y="0"/>
                      <a:ext cx="5955665" cy="4211955"/>
                    </a:xfrm>
                    <a:prstGeom prst="rect">
                      <a:avLst/>
                    </a:prstGeom>
                  </pic:spPr>
                </pic:pic>
              </a:graphicData>
            </a:graphic>
          </wp:inline>
        </w:drawing>
      </w:r>
      <w:r>
        <w:rPr>
          <w:rFonts w:hint="eastAsia"/>
          <w:color w:val="auto"/>
          <w:highlight w:val="none"/>
          <w:lang w:eastAsia="zh-CN"/>
        </w:rPr>
        <w:drawing>
          <wp:inline distT="0" distB="0" distL="114300" distR="114300">
            <wp:extent cx="5955665" cy="4211955"/>
            <wp:effectExtent l="0" t="0" r="6985" b="17145"/>
            <wp:docPr id="127" name="图片 127" descr="三单装修图纸(1)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三单装修图纸(1)_48"/>
                    <pic:cNvPicPr>
                      <a:picLocks noChangeAspect="1"/>
                    </pic:cNvPicPr>
                  </pic:nvPicPr>
                  <pic:blipFill>
                    <a:blip r:embed="rId60"/>
                    <a:stretch>
                      <a:fillRect/>
                    </a:stretch>
                  </pic:blipFill>
                  <pic:spPr>
                    <a:xfrm>
                      <a:off x="0" y="0"/>
                      <a:ext cx="5955665" cy="4211955"/>
                    </a:xfrm>
                    <a:prstGeom prst="rect">
                      <a:avLst/>
                    </a:prstGeom>
                  </pic:spPr>
                </pic:pic>
              </a:graphicData>
            </a:graphic>
          </wp:inline>
        </w:drawing>
      </w:r>
      <w:r>
        <w:rPr>
          <w:rFonts w:hint="eastAsia"/>
          <w:color w:val="auto"/>
          <w:highlight w:val="none"/>
          <w:lang w:eastAsia="zh-CN"/>
        </w:rPr>
        <w:drawing>
          <wp:inline distT="0" distB="0" distL="114300" distR="114300">
            <wp:extent cx="5955665" cy="4211955"/>
            <wp:effectExtent l="0" t="0" r="6985" b="17145"/>
            <wp:docPr id="126" name="图片 126" descr="三单装修图纸(1)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三单装修图纸(1)_49"/>
                    <pic:cNvPicPr>
                      <a:picLocks noChangeAspect="1"/>
                    </pic:cNvPicPr>
                  </pic:nvPicPr>
                  <pic:blipFill>
                    <a:blip r:embed="rId61"/>
                    <a:stretch>
                      <a:fillRect/>
                    </a:stretch>
                  </pic:blipFill>
                  <pic:spPr>
                    <a:xfrm>
                      <a:off x="0" y="0"/>
                      <a:ext cx="5955665" cy="4211955"/>
                    </a:xfrm>
                    <a:prstGeom prst="rect">
                      <a:avLst/>
                    </a:prstGeom>
                  </pic:spPr>
                </pic:pic>
              </a:graphicData>
            </a:graphic>
          </wp:inline>
        </w:drawing>
      </w:r>
      <w:r>
        <w:rPr>
          <w:rFonts w:hint="eastAsia"/>
          <w:color w:val="auto"/>
          <w:highlight w:val="none"/>
          <w:lang w:eastAsia="zh-CN"/>
        </w:rPr>
        <w:drawing>
          <wp:inline distT="0" distB="0" distL="114300" distR="114300">
            <wp:extent cx="5955665" cy="4211955"/>
            <wp:effectExtent l="0" t="0" r="6985" b="17145"/>
            <wp:docPr id="125" name="图片 125" descr="三单装修图纸(1)_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三单装修图纸(1)_50"/>
                    <pic:cNvPicPr>
                      <a:picLocks noChangeAspect="1"/>
                    </pic:cNvPicPr>
                  </pic:nvPicPr>
                  <pic:blipFill>
                    <a:blip r:embed="rId62"/>
                    <a:stretch>
                      <a:fillRect/>
                    </a:stretch>
                  </pic:blipFill>
                  <pic:spPr>
                    <a:xfrm>
                      <a:off x="0" y="0"/>
                      <a:ext cx="5955665" cy="4211955"/>
                    </a:xfrm>
                    <a:prstGeom prst="rect">
                      <a:avLst/>
                    </a:prstGeom>
                  </pic:spPr>
                </pic:pic>
              </a:graphicData>
            </a:graphic>
          </wp:inline>
        </w:drawing>
      </w:r>
      <w:r>
        <w:rPr>
          <w:rFonts w:hint="eastAsia"/>
          <w:color w:val="auto"/>
          <w:highlight w:val="none"/>
          <w:lang w:eastAsia="zh-CN"/>
        </w:rPr>
        <w:drawing>
          <wp:inline distT="0" distB="0" distL="114300" distR="114300">
            <wp:extent cx="5955665" cy="4211955"/>
            <wp:effectExtent l="0" t="0" r="6985" b="17145"/>
            <wp:docPr id="124" name="图片 124" descr="三单装修图纸(1)_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三单装修图纸(1)_51"/>
                    <pic:cNvPicPr>
                      <a:picLocks noChangeAspect="1"/>
                    </pic:cNvPicPr>
                  </pic:nvPicPr>
                  <pic:blipFill>
                    <a:blip r:embed="rId63"/>
                    <a:stretch>
                      <a:fillRect/>
                    </a:stretch>
                  </pic:blipFill>
                  <pic:spPr>
                    <a:xfrm>
                      <a:off x="0" y="0"/>
                      <a:ext cx="5955665" cy="4211955"/>
                    </a:xfrm>
                    <a:prstGeom prst="rect">
                      <a:avLst/>
                    </a:prstGeom>
                  </pic:spPr>
                </pic:pic>
              </a:graphicData>
            </a:graphic>
          </wp:inline>
        </w:drawing>
      </w:r>
      <w:r>
        <w:rPr>
          <w:rFonts w:hint="eastAsia"/>
          <w:color w:val="auto"/>
          <w:highlight w:val="none"/>
          <w:lang w:eastAsia="zh-CN"/>
        </w:rPr>
        <w:drawing>
          <wp:inline distT="0" distB="0" distL="114300" distR="114300">
            <wp:extent cx="5955665" cy="4211955"/>
            <wp:effectExtent l="0" t="0" r="6985" b="17145"/>
            <wp:docPr id="123" name="图片 123" descr="三单装修图纸(1)_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三单装修图纸(1)_52"/>
                    <pic:cNvPicPr>
                      <a:picLocks noChangeAspect="1"/>
                    </pic:cNvPicPr>
                  </pic:nvPicPr>
                  <pic:blipFill>
                    <a:blip r:embed="rId64"/>
                    <a:stretch>
                      <a:fillRect/>
                    </a:stretch>
                  </pic:blipFill>
                  <pic:spPr>
                    <a:xfrm>
                      <a:off x="0" y="0"/>
                      <a:ext cx="5955665" cy="4211955"/>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22" name="图片 122" descr="三单装修图纸(1)_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三单装修图纸(1)_53"/>
                    <pic:cNvPicPr>
                      <a:picLocks noChangeAspect="1"/>
                    </pic:cNvPicPr>
                  </pic:nvPicPr>
                  <pic:blipFill>
                    <a:blip r:embed="rId65"/>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21" name="图片 121" descr="三单装修图纸(1)_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三单装修图纸(1)_54"/>
                    <pic:cNvPicPr>
                      <a:picLocks noChangeAspect="1"/>
                    </pic:cNvPicPr>
                  </pic:nvPicPr>
                  <pic:blipFill>
                    <a:blip r:embed="rId66"/>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20" name="图片 120" descr="三单装修图纸(1)_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三单装修图纸(1)_55"/>
                    <pic:cNvPicPr>
                      <a:picLocks noChangeAspect="1"/>
                    </pic:cNvPicPr>
                  </pic:nvPicPr>
                  <pic:blipFill>
                    <a:blip r:embed="rId67"/>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19" name="图片 119" descr="三单装修图纸(1)_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三单装修图纸(1)_56"/>
                    <pic:cNvPicPr>
                      <a:picLocks noChangeAspect="1"/>
                    </pic:cNvPicPr>
                  </pic:nvPicPr>
                  <pic:blipFill>
                    <a:blip r:embed="rId68"/>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18" name="图片 118" descr="三单装修图纸(1)_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三单装修图纸(1)_57"/>
                    <pic:cNvPicPr>
                      <a:picLocks noChangeAspect="1"/>
                    </pic:cNvPicPr>
                  </pic:nvPicPr>
                  <pic:blipFill>
                    <a:blip r:embed="rId69"/>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17" name="图片 117" descr="三单装修图纸(1)_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三单装修图纸(1)_58"/>
                    <pic:cNvPicPr>
                      <a:picLocks noChangeAspect="1"/>
                    </pic:cNvPicPr>
                  </pic:nvPicPr>
                  <pic:blipFill>
                    <a:blip r:embed="rId70"/>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16" name="图片 116" descr="三单装修图纸(1)_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三单装修图纸(1)_59"/>
                    <pic:cNvPicPr>
                      <a:picLocks noChangeAspect="1"/>
                    </pic:cNvPicPr>
                  </pic:nvPicPr>
                  <pic:blipFill>
                    <a:blip r:embed="rId71"/>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15" name="图片 115" descr="三单装修图纸(1)_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三单装修图纸(1)_60"/>
                    <pic:cNvPicPr>
                      <a:picLocks noChangeAspect="1"/>
                    </pic:cNvPicPr>
                  </pic:nvPicPr>
                  <pic:blipFill>
                    <a:blip r:embed="rId72"/>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14" name="图片 114" descr="三单装修图纸(1)_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三单装修图纸(1)_61"/>
                    <pic:cNvPicPr>
                      <a:picLocks noChangeAspect="1"/>
                    </pic:cNvPicPr>
                  </pic:nvPicPr>
                  <pic:blipFill>
                    <a:blip r:embed="rId73"/>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13" name="图片 113" descr="三单装修图纸(1)_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三单装修图纸(1)_62"/>
                    <pic:cNvPicPr>
                      <a:picLocks noChangeAspect="1"/>
                    </pic:cNvPicPr>
                  </pic:nvPicPr>
                  <pic:blipFill>
                    <a:blip r:embed="rId74"/>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12" name="图片 112" descr="三单装修图纸(1)_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三单装修图纸(1)_63"/>
                    <pic:cNvPicPr>
                      <a:picLocks noChangeAspect="1"/>
                    </pic:cNvPicPr>
                  </pic:nvPicPr>
                  <pic:blipFill>
                    <a:blip r:embed="rId75"/>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11" name="图片 111" descr="三单装修图纸(1)_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三单装修图纸(1)_64"/>
                    <pic:cNvPicPr>
                      <a:picLocks noChangeAspect="1"/>
                    </pic:cNvPicPr>
                  </pic:nvPicPr>
                  <pic:blipFill>
                    <a:blip r:embed="rId76"/>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10" name="图片 110" descr="三单装修图纸(1)_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三单装修图纸(1)_65"/>
                    <pic:cNvPicPr>
                      <a:picLocks noChangeAspect="1"/>
                    </pic:cNvPicPr>
                  </pic:nvPicPr>
                  <pic:blipFill>
                    <a:blip r:embed="rId77"/>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09" name="图片 109" descr="三单装修图纸(1)_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三单装修图纸(1)_66"/>
                    <pic:cNvPicPr>
                      <a:picLocks noChangeAspect="1"/>
                    </pic:cNvPicPr>
                  </pic:nvPicPr>
                  <pic:blipFill>
                    <a:blip r:embed="rId78"/>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08" name="图片 108" descr="三单装修图纸(1)_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三单装修图纸(1)_67"/>
                    <pic:cNvPicPr>
                      <a:picLocks noChangeAspect="1"/>
                    </pic:cNvPicPr>
                  </pic:nvPicPr>
                  <pic:blipFill>
                    <a:blip r:embed="rId79"/>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07" name="图片 107" descr="三单装修图纸(1)_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三单装修图纸(1)_68"/>
                    <pic:cNvPicPr>
                      <a:picLocks noChangeAspect="1"/>
                    </pic:cNvPicPr>
                  </pic:nvPicPr>
                  <pic:blipFill>
                    <a:blip r:embed="rId80"/>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06" name="图片 106" descr="三单装修图纸(1)_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三单装修图纸(1)_69"/>
                    <pic:cNvPicPr>
                      <a:picLocks noChangeAspect="1"/>
                    </pic:cNvPicPr>
                  </pic:nvPicPr>
                  <pic:blipFill>
                    <a:blip r:embed="rId81"/>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05" name="图片 105" descr="三单装修图纸(1)_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三单装修图纸(1)_70"/>
                    <pic:cNvPicPr>
                      <a:picLocks noChangeAspect="1"/>
                    </pic:cNvPicPr>
                  </pic:nvPicPr>
                  <pic:blipFill>
                    <a:blip r:embed="rId82"/>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04" name="图片 104" descr="三单装修图纸(1)_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三单装修图纸(1)_71"/>
                    <pic:cNvPicPr>
                      <a:picLocks noChangeAspect="1"/>
                    </pic:cNvPicPr>
                  </pic:nvPicPr>
                  <pic:blipFill>
                    <a:blip r:embed="rId83"/>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03" name="图片 103" descr="三单装修图纸(1)_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三单装修图纸(1)_72"/>
                    <pic:cNvPicPr>
                      <a:picLocks noChangeAspect="1"/>
                    </pic:cNvPicPr>
                  </pic:nvPicPr>
                  <pic:blipFill>
                    <a:blip r:embed="rId84"/>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02" name="图片 102" descr="三单装修图纸(1)_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三单装修图纸(1)_73"/>
                    <pic:cNvPicPr>
                      <a:picLocks noChangeAspect="1"/>
                    </pic:cNvPicPr>
                  </pic:nvPicPr>
                  <pic:blipFill>
                    <a:blip r:embed="rId85"/>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55665" cy="4211955"/>
            <wp:effectExtent l="0" t="0" r="6985" b="17145"/>
            <wp:docPr id="101" name="图片 101" descr="三单装修图纸(1)_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三单装修图纸(1)_74"/>
                    <pic:cNvPicPr>
                      <a:picLocks noChangeAspect="1"/>
                    </pic:cNvPicPr>
                  </pic:nvPicPr>
                  <pic:blipFill>
                    <a:blip r:embed="rId86"/>
                    <a:stretch>
                      <a:fillRect/>
                    </a:stretch>
                  </pic:blipFill>
                  <pic:spPr>
                    <a:xfrm>
                      <a:off x="0" y="0"/>
                      <a:ext cx="5955665" cy="4211955"/>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100" name="图片 100" descr="三单装修图纸(1)_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三单装修图纸(1)_75"/>
                    <pic:cNvPicPr>
                      <a:picLocks noChangeAspect="1"/>
                    </pic:cNvPicPr>
                  </pic:nvPicPr>
                  <pic:blipFill>
                    <a:blip r:embed="rId87"/>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55665" cy="4211955"/>
            <wp:effectExtent l="0" t="0" r="6985" b="17145"/>
            <wp:docPr id="99" name="图片 99" descr="三单装修图纸(1)_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三单装修图纸(1)_76"/>
                    <pic:cNvPicPr>
                      <a:picLocks noChangeAspect="1"/>
                    </pic:cNvPicPr>
                  </pic:nvPicPr>
                  <pic:blipFill>
                    <a:blip r:embed="rId88"/>
                    <a:stretch>
                      <a:fillRect/>
                    </a:stretch>
                  </pic:blipFill>
                  <pic:spPr>
                    <a:xfrm>
                      <a:off x="0" y="0"/>
                      <a:ext cx="5955665" cy="4211955"/>
                    </a:xfrm>
                    <a:prstGeom prst="rect">
                      <a:avLst/>
                    </a:prstGeom>
                  </pic:spPr>
                </pic:pic>
              </a:graphicData>
            </a:graphic>
          </wp:inline>
        </w:drawing>
      </w:r>
      <w:r>
        <w:rPr>
          <w:rFonts w:hint="eastAsia"/>
          <w:color w:val="auto"/>
          <w:highlight w:val="none"/>
          <w:lang w:eastAsia="zh-CN"/>
        </w:rPr>
        <w:drawing>
          <wp:inline distT="0" distB="0" distL="114300" distR="114300">
            <wp:extent cx="5955665" cy="4211955"/>
            <wp:effectExtent l="0" t="0" r="6985" b="17145"/>
            <wp:docPr id="98" name="图片 98" descr="三单装修图纸(1)_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三单装修图纸(1)_77"/>
                    <pic:cNvPicPr>
                      <a:picLocks noChangeAspect="1"/>
                    </pic:cNvPicPr>
                  </pic:nvPicPr>
                  <pic:blipFill>
                    <a:blip r:embed="rId89"/>
                    <a:stretch>
                      <a:fillRect/>
                    </a:stretch>
                  </pic:blipFill>
                  <pic:spPr>
                    <a:xfrm>
                      <a:off x="0" y="0"/>
                      <a:ext cx="5955665" cy="4211955"/>
                    </a:xfrm>
                    <a:prstGeom prst="rect">
                      <a:avLst/>
                    </a:prstGeom>
                  </pic:spPr>
                </pic:pic>
              </a:graphicData>
            </a:graphic>
          </wp:inline>
        </w:drawing>
      </w:r>
      <w:r>
        <w:rPr>
          <w:rFonts w:hint="eastAsia"/>
          <w:color w:val="auto"/>
          <w:highlight w:val="none"/>
          <w:lang w:eastAsia="zh-CN"/>
        </w:rPr>
        <w:drawing>
          <wp:inline distT="0" distB="0" distL="114300" distR="114300">
            <wp:extent cx="5955665" cy="4211955"/>
            <wp:effectExtent l="0" t="0" r="6985" b="17145"/>
            <wp:docPr id="97" name="图片 97" descr="三单装修图纸(1)_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三单装修图纸(1)_78"/>
                    <pic:cNvPicPr>
                      <a:picLocks noChangeAspect="1"/>
                    </pic:cNvPicPr>
                  </pic:nvPicPr>
                  <pic:blipFill>
                    <a:blip r:embed="rId90"/>
                    <a:stretch>
                      <a:fillRect/>
                    </a:stretch>
                  </pic:blipFill>
                  <pic:spPr>
                    <a:xfrm>
                      <a:off x="0" y="0"/>
                      <a:ext cx="5955665" cy="4211955"/>
                    </a:xfrm>
                    <a:prstGeom prst="rect">
                      <a:avLst/>
                    </a:prstGeom>
                  </pic:spPr>
                </pic:pic>
              </a:graphicData>
            </a:graphic>
          </wp:inline>
        </w:drawing>
      </w:r>
      <w:r>
        <w:rPr>
          <w:rFonts w:hint="eastAsia"/>
          <w:color w:val="auto"/>
          <w:highlight w:val="none"/>
          <w:lang w:eastAsia="zh-CN"/>
        </w:rPr>
        <w:drawing>
          <wp:inline distT="0" distB="0" distL="114300" distR="114300">
            <wp:extent cx="5955665" cy="4211955"/>
            <wp:effectExtent l="0" t="0" r="6985" b="17145"/>
            <wp:docPr id="96" name="图片 96" descr="三单装修图纸(1)_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三单装修图纸(1)_79"/>
                    <pic:cNvPicPr>
                      <a:picLocks noChangeAspect="1"/>
                    </pic:cNvPicPr>
                  </pic:nvPicPr>
                  <pic:blipFill>
                    <a:blip r:embed="rId91"/>
                    <a:stretch>
                      <a:fillRect/>
                    </a:stretch>
                  </pic:blipFill>
                  <pic:spPr>
                    <a:xfrm>
                      <a:off x="0" y="0"/>
                      <a:ext cx="5955665" cy="4211955"/>
                    </a:xfrm>
                    <a:prstGeom prst="rect">
                      <a:avLst/>
                    </a:prstGeom>
                  </pic:spPr>
                </pic:pic>
              </a:graphicData>
            </a:graphic>
          </wp:inline>
        </w:drawing>
      </w:r>
      <w:r>
        <w:rPr>
          <w:rFonts w:hint="eastAsia"/>
          <w:color w:val="auto"/>
          <w:highlight w:val="none"/>
          <w:lang w:eastAsia="zh-CN"/>
        </w:rPr>
        <w:drawing>
          <wp:inline distT="0" distB="0" distL="114300" distR="114300">
            <wp:extent cx="5955665" cy="4211955"/>
            <wp:effectExtent l="0" t="0" r="6985" b="17145"/>
            <wp:docPr id="95" name="图片 95" descr="三单装修图纸(1)_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三单装修图纸(1)_80"/>
                    <pic:cNvPicPr>
                      <a:picLocks noChangeAspect="1"/>
                    </pic:cNvPicPr>
                  </pic:nvPicPr>
                  <pic:blipFill>
                    <a:blip r:embed="rId92"/>
                    <a:stretch>
                      <a:fillRect/>
                    </a:stretch>
                  </pic:blipFill>
                  <pic:spPr>
                    <a:xfrm>
                      <a:off x="0" y="0"/>
                      <a:ext cx="5955665" cy="4211955"/>
                    </a:xfrm>
                    <a:prstGeom prst="rect">
                      <a:avLst/>
                    </a:prstGeom>
                  </pic:spPr>
                </pic:pic>
              </a:graphicData>
            </a:graphic>
          </wp:inline>
        </w:drawing>
      </w:r>
      <w:r>
        <w:rPr>
          <w:rFonts w:hint="eastAsia"/>
          <w:color w:val="auto"/>
          <w:highlight w:val="none"/>
          <w:lang w:eastAsia="zh-CN"/>
        </w:rPr>
        <w:drawing>
          <wp:inline distT="0" distB="0" distL="114300" distR="114300">
            <wp:extent cx="5955665" cy="4211955"/>
            <wp:effectExtent l="0" t="0" r="6985" b="17145"/>
            <wp:docPr id="94" name="图片 94" descr="三单装修图纸(1)_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三单装修图纸(1)_81"/>
                    <pic:cNvPicPr>
                      <a:picLocks noChangeAspect="1"/>
                    </pic:cNvPicPr>
                  </pic:nvPicPr>
                  <pic:blipFill>
                    <a:blip r:embed="rId93"/>
                    <a:stretch>
                      <a:fillRect/>
                    </a:stretch>
                  </pic:blipFill>
                  <pic:spPr>
                    <a:xfrm>
                      <a:off x="0" y="0"/>
                      <a:ext cx="5955665" cy="4211955"/>
                    </a:xfrm>
                    <a:prstGeom prst="rect">
                      <a:avLst/>
                    </a:prstGeom>
                  </pic:spPr>
                </pic:pic>
              </a:graphicData>
            </a:graphic>
          </wp:inline>
        </w:drawing>
      </w:r>
      <w:r>
        <w:rPr>
          <w:rFonts w:hint="eastAsia"/>
          <w:color w:val="auto"/>
          <w:highlight w:val="none"/>
          <w:lang w:eastAsia="zh-CN"/>
        </w:rPr>
        <w:drawing>
          <wp:inline distT="0" distB="0" distL="114300" distR="114300">
            <wp:extent cx="5955665" cy="4211955"/>
            <wp:effectExtent l="0" t="0" r="6985" b="17145"/>
            <wp:docPr id="93" name="图片 93" descr="三单装修图纸(1)_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三单装修图纸(1)_82"/>
                    <pic:cNvPicPr>
                      <a:picLocks noChangeAspect="1"/>
                    </pic:cNvPicPr>
                  </pic:nvPicPr>
                  <pic:blipFill>
                    <a:blip r:embed="rId94"/>
                    <a:stretch>
                      <a:fillRect/>
                    </a:stretch>
                  </pic:blipFill>
                  <pic:spPr>
                    <a:xfrm>
                      <a:off x="0" y="0"/>
                      <a:ext cx="5955665" cy="4211955"/>
                    </a:xfrm>
                    <a:prstGeom prst="rect">
                      <a:avLst/>
                    </a:prstGeom>
                  </pic:spPr>
                </pic:pic>
              </a:graphicData>
            </a:graphic>
          </wp:inline>
        </w:drawing>
      </w:r>
      <w:r>
        <w:rPr>
          <w:rFonts w:hint="eastAsia"/>
          <w:color w:val="auto"/>
          <w:highlight w:val="none"/>
          <w:lang w:eastAsia="zh-CN"/>
        </w:rPr>
        <w:drawing>
          <wp:inline distT="0" distB="0" distL="114300" distR="114300">
            <wp:extent cx="5955665" cy="4211955"/>
            <wp:effectExtent l="0" t="0" r="6985" b="17145"/>
            <wp:docPr id="92" name="图片 92" descr="三单装修图纸(1)_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三单装修图纸(1)_83"/>
                    <pic:cNvPicPr>
                      <a:picLocks noChangeAspect="1"/>
                    </pic:cNvPicPr>
                  </pic:nvPicPr>
                  <pic:blipFill>
                    <a:blip r:embed="rId95"/>
                    <a:stretch>
                      <a:fillRect/>
                    </a:stretch>
                  </pic:blipFill>
                  <pic:spPr>
                    <a:xfrm>
                      <a:off x="0" y="0"/>
                      <a:ext cx="5955665" cy="4211955"/>
                    </a:xfrm>
                    <a:prstGeom prst="rect">
                      <a:avLst/>
                    </a:prstGeom>
                  </pic:spPr>
                </pic:pic>
              </a:graphicData>
            </a:graphic>
          </wp:inline>
        </w:drawing>
      </w:r>
      <w:r>
        <w:rPr>
          <w:rFonts w:hint="eastAsia"/>
          <w:color w:val="auto"/>
          <w:highlight w:val="none"/>
          <w:lang w:eastAsia="zh-CN"/>
        </w:rPr>
        <w:drawing>
          <wp:inline distT="0" distB="0" distL="114300" distR="114300">
            <wp:extent cx="5955665" cy="4211955"/>
            <wp:effectExtent l="0" t="0" r="6985" b="17145"/>
            <wp:docPr id="91" name="图片 91" descr="三单装修图纸(1)_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三单装修图纸(1)_84"/>
                    <pic:cNvPicPr>
                      <a:picLocks noChangeAspect="1"/>
                    </pic:cNvPicPr>
                  </pic:nvPicPr>
                  <pic:blipFill>
                    <a:blip r:embed="rId96"/>
                    <a:stretch>
                      <a:fillRect/>
                    </a:stretch>
                  </pic:blipFill>
                  <pic:spPr>
                    <a:xfrm>
                      <a:off x="0" y="0"/>
                      <a:ext cx="5955665" cy="4211955"/>
                    </a:xfrm>
                    <a:prstGeom prst="rect">
                      <a:avLst/>
                    </a:prstGeom>
                  </pic:spPr>
                </pic:pic>
              </a:graphicData>
            </a:graphic>
          </wp:inline>
        </w:drawing>
      </w:r>
      <w:r>
        <w:rPr>
          <w:rFonts w:hint="eastAsia"/>
          <w:color w:val="auto"/>
          <w:highlight w:val="none"/>
          <w:lang w:eastAsia="zh-CN"/>
        </w:rPr>
        <w:drawing>
          <wp:inline distT="0" distB="0" distL="114300" distR="114300">
            <wp:extent cx="5955665" cy="4211955"/>
            <wp:effectExtent l="0" t="0" r="6985" b="17145"/>
            <wp:docPr id="90" name="图片 90" descr="三单装修图纸(1)_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三单装修图纸(1)_85"/>
                    <pic:cNvPicPr>
                      <a:picLocks noChangeAspect="1"/>
                    </pic:cNvPicPr>
                  </pic:nvPicPr>
                  <pic:blipFill>
                    <a:blip r:embed="rId97"/>
                    <a:stretch>
                      <a:fillRect/>
                    </a:stretch>
                  </pic:blipFill>
                  <pic:spPr>
                    <a:xfrm>
                      <a:off x="0" y="0"/>
                      <a:ext cx="5955665" cy="4211955"/>
                    </a:xfrm>
                    <a:prstGeom prst="rect">
                      <a:avLst/>
                    </a:prstGeom>
                  </pic:spPr>
                </pic:pic>
              </a:graphicData>
            </a:graphic>
          </wp:inline>
        </w:drawing>
      </w:r>
      <w:r>
        <w:rPr>
          <w:rFonts w:hint="eastAsia"/>
          <w:color w:val="auto"/>
          <w:highlight w:val="none"/>
          <w:lang w:eastAsia="zh-CN"/>
        </w:rPr>
        <w:drawing>
          <wp:inline distT="0" distB="0" distL="114300" distR="114300">
            <wp:extent cx="5955665" cy="4211955"/>
            <wp:effectExtent l="0" t="0" r="6985" b="17145"/>
            <wp:docPr id="89" name="图片 89" descr="三单装修图纸(1)_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三单装修图纸(1)_86"/>
                    <pic:cNvPicPr>
                      <a:picLocks noChangeAspect="1"/>
                    </pic:cNvPicPr>
                  </pic:nvPicPr>
                  <pic:blipFill>
                    <a:blip r:embed="rId98"/>
                    <a:stretch>
                      <a:fillRect/>
                    </a:stretch>
                  </pic:blipFill>
                  <pic:spPr>
                    <a:xfrm>
                      <a:off x="0" y="0"/>
                      <a:ext cx="5955665" cy="4211955"/>
                    </a:xfrm>
                    <a:prstGeom prst="rect">
                      <a:avLst/>
                    </a:prstGeom>
                  </pic:spPr>
                </pic:pic>
              </a:graphicData>
            </a:graphic>
          </wp:inline>
        </w:drawing>
      </w:r>
      <w:r>
        <w:rPr>
          <w:rFonts w:hint="eastAsia"/>
          <w:color w:val="auto"/>
          <w:highlight w:val="none"/>
          <w:lang w:eastAsia="zh-CN"/>
        </w:rPr>
        <w:drawing>
          <wp:inline distT="0" distB="0" distL="114300" distR="114300">
            <wp:extent cx="5955665" cy="4211955"/>
            <wp:effectExtent l="0" t="0" r="6985" b="17145"/>
            <wp:docPr id="88" name="图片 88" descr="三单装修图纸(1)_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三单装修图纸(1)_87"/>
                    <pic:cNvPicPr>
                      <a:picLocks noChangeAspect="1"/>
                    </pic:cNvPicPr>
                  </pic:nvPicPr>
                  <pic:blipFill>
                    <a:blip r:embed="rId99"/>
                    <a:stretch>
                      <a:fillRect/>
                    </a:stretch>
                  </pic:blipFill>
                  <pic:spPr>
                    <a:xfrm>
                      <a:off x="0" y="0"/>
                      <a:ext cx="5955665" cy="4211955"/>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87" name="图片 87" descr="三单装修图纸(1)_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三单装修图纸(1)_88"/>
                    <pic:cNvPicPr>
                      <a:picLocks noChangeAspect="1"/>
                    </pic:cNvPicPr>
                  </pic:nvPicPr>
                  <pic:blipFill>
                    <a:blip r:embed="rId100"/>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86" name="图片 86" descr="三单装修图纸(1)_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三单装修图纸(1)_89"/>
                    <pic:cNvPicPr>
                      <a:picLocks noChangeAspect="1"/>
                    </pic:cNvPicPr>
                  </pic:nvPicPr>
                  <pic:blipFill>
                    <a:blip r:embed="rId101"/>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85" name="图片 85" descr="三单装修图纸(1)_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三单装修图纸(1)_90"/>
                    <pic:cNvPicPr>
                      <a:picLocks noChangeAspect="1"/>
                    </pic:cNvPicPr>
                  </pic:nvPicPr>
                  <pic:blipFill>
                    <a:blip r:embed="rId102"/>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84" name="图片 84" descr="三单装修图纸(1)_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三单装修图纸(1)_91"/>
                    <pic:cNvPicPr>
                      <a:picLocks noChangeAspect="1"/>
                    </pic:cNvPicPr>
                  </pic:nvPicPr>
                  <pic:blipFill>
                    <a:blip r:embed="rId103"/>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83" name="图片 83" descr="三单装修图纸(1)_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三单装修图纸(1)_92"/>
                    <pic:cNvPicPr>
                      <a:picLocks noChangeAspect="1"/>
                    </pic:cNvPicPr>
                  </pic:nvPicPr>
                  <pic:blipFill>
                    <a:blip r:embed="rId104"/>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82" name="图片 82" descr="三单装修图纸(1)_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三单装修图纸(1)_93"/>
                    <pic:cNvPicPr>
                      <a:picLocks noChangeAspect="1"/>
                    </pic:cNvPicPr>
                  </pic:nvPicPr>
                  <pic:blipFill>
                    <a:blip r:embed="rId105"/>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81" name="图片 81" descr="三单装修图纸(1)_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三单装修图纸(1)_94"/>
                    <pic:cNvPicPr>
                      <a:picLocks noChangeAspect="1"/>
                    </pic:cNvPicPr>
                  </pic:nvPicPr>
                  <pic:blipFill>
                    <a:blip r:embed="rId106"/>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80" name="图片 80" descr="三单装修图纸(1)_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三单装修图纸(1)_95"/>
                    <pic:cNvPicPr>
                      <a:picLocks noChangeAspect="1"/>
                    </pic:cNvPicPr>
                  </pic:nvPicPr>
                  <pic:blipFill>
                    <a:blip r:embed="rId107"/>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79" name="图片 79" descr="三单装修图纸(1)_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三单装修图纸(1)_96"/>
                    <pic:cNvPicPr>
                      <a:picLocks noChangeAspect="1"/>
                    </pic:cNvPicPr>
                  </pic:nvPicPr>
                  <pic:blipFill>
                    <a:blip r:embed="rId108"/>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78" name="图片 78" descr="三单装修图纸(1)_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三单装修图纸(1)_97"/>
                    <pic:cNvPicPr>
                      <a:picLocks noChangeAspect="1"/>
                    </pic:cNvPicPr>
                  </pic:nvPicPr>
                  <pic:blipFill>
                    <a:blip r:embed="rId109"/>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77" name="图片 77" descr="三单装修图纸(1)_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三单装修图纸(1)_98"/>
                    <pic:cNvPicPr>
                      <a:picLocks noChangeAspect="1"/>
                    </pic:cNvPicPr>
                  </pic:nvPicPr>
                  <pic:blipFill>
                    <a:blip r:embed="rId110"/>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76" name="图片 76" descr="三单装修图纸(1)_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三单装修图纸(1)_99"/>
                    <pic:cNvPicPr>
                      <a:picLocks noChangeAspect="1"/>
                    </pic:cNvPicPr>
                  </pic:nvPicPr>
                  <pic:blipFill>
                    <a:blip r:embed="rId111"/>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75" name="图片 75" descr="三单装修图纸(1)_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三单装修图纸(1)_100"/>
                    <pic:cNvPicPr>
                      <a:picLocks noChangeAspect="1"/>
                    </pic:cNvPicPr>
                  </pic:nvPicPr>
                  <pic:blipFill>
                    <a:blip r:embed="rId112"/>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74" name="图片 74" descr="三单装修图纸(1)_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三单装修图纸(1)_101"/>
                    <pic:cNvPicPr>
                      <a:picLocks noChangeAspect="1"/>
                    </pic:cNvPicPr>
                  </pic:nvPicPr>
                  <pic:blipFill>
                    <a:blip r:embed="rId113"/>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73" name="图片 73" descr="三单装修图纸(1)_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三单装修图纸(1)_102"/>
                    <pic:cNvPicPr>
                      <a:picLocks noChangeAspect="1"/>
                    </pic:cNvPicPr>
                  </pic:nvPicPr>
                  <pic:blipFill>
                    <a:blip r:embed="rId114"/>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72" name="图片 72" descr="三单装修图纸(1)_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三单装修图纸(1)_103"/>
                    <pic:cNvPicPr>
                      <a:picLocks noChangeAspect="1"/>
                    </pic:cNvPicPr>
                  </pic:nvPicPr>
                  <pic:blipFill>
                    <a:blip r:embed="rId115"/>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71" name="图片 71" descr="三单装修图纸(1)_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三单装修图纸(1)_104"/>
                    <pic:cNvPicPr>
                      <a:picLocks noChangeAspect="1"/>
                    </pic:cNvPicPr>
                  </pic:nvPicPr>
                  <pic:blipFill>
                    <a:blip r:embed="rId116"/>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70" name="图片 70" descr="三单装修图纸(1)_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三单装修图纸(1)_105"/>
                    <pic:cNvPicPr>
                      <a:picLocks noChangeAspect="1"/>
                    </pic:cNvPicPr>
                  </pic:nvPicPr>
                  <pic:blipFill>
                    <a:blip r:embed="rId117"/>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69" name="图片 69" descr="三单装修图纸(1)_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三单装修图纸(1)_106"/>
                    <pic:cNvPicPr>
                      <a:picLocks noChangeAspect="1"/>
                    </pic:cNvPicPr>
                  </pic:nvPicPr>
                  <pic:blipFill>
                    <a:blip r:embed="rId118"/>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68" name="图片 68" descr="三单装修图纸(1)_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三单装修图纸(1)_107"/>
                    <pic:cNvPicPr>
                      <a:picLocks noChangeAspect="1"/>
                    </pic:cNvPicPr>
                  </pic:nvPicPr>
                  <pic:blipFill>
                    <a:blip r:embed="rId119"/>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67" name="图片 67" descr="三单装修图纸(1)_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三单装修图纸(1)_108"/>
                    <pic:cNvPicPr>
                      <a:picLocks noChangeAspect="1"/>
                    </pic:cNvPicPr>
                  </pic:nvPicPr>
                  <pic:blipFill>
                    <a:blip r:embed="rId120"/>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66" name="图片 66" descr="三单装修图纸(1)_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三单装修图纸(1)_109"/>
                    <pic:cNvPicPr>
                      <a:picLocks noChangeAspect="1"/>
                    </pic:cNvPicPr>
                  </pic:nvPicPr>
                  <pic:blipFill>
                    <a:blip r:embed="rId121"/>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65" name="图片 65" descr="三单装修图纸(1)_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三单装修图纸(1)_110"/>
                    <pic:cNvPicPr>
                      <a:picLocks noChangeAspect="1"/>
                    </pic:cNvPicPr>
                  </pic:nvPicPr>
                  <pic:blipFill>
                    <a:blip r:embed="rId122"/>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64" name="图片 64" descr="三单装修图纸(1)_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三单装修图纸(1)_111"/>
                    <pic:cNvPicPr>
                      <a:picLocks noChangeAspect="1"/>
                    </pic:cNvPicPr>
                  </pic:nvPicPr>
                  <pic:blipFill>
                    <a:blip r:embed="rId123"/>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63" name="图片 63" descr="三单装修图纸(1)_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三单装修图纸(1)_112"/>
                    <pic:cNvPicPr>
                      <a:picLocks noChangeAspect="1"/>
                    </pic:cNvPicPr>
                  </pic:nvPicPr>
                  <pic:blipFill>
                    <a:blip r:embed="rId124"/>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62" name="图片 62" descr="三单装修图纸(1)_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三单装修图纸(1)_113"/>
                    <pic:cNvPicPr>
                      <a:picLocks noChangeAspect="1"/>
                    </pic:cNvPicPr>
                  </pic:nvPicPr>
                  <pic:blipFill>
                    <a:blip r:embed="rId125"/>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61" name="图片 61" descr="三单装修图纸(1)_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三单装修图纸(1)_114"/>
                    <pic:cNvPicPr>
                      <a:picLocks noChangeAspect="1"/>
                    </pic:cNvPicPr>
                  </pic:nvPicPr>
                  <pic:blipFill>
                    <a:blip r:embed="rId126"/>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60" name="图片 60" descr="三单装修图纸(1)_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三单装修图纸(1)_115"/>
                    <pic:cNvPicPr>
                      <a:picLocks noChangeAspect="1"/>
                    </pic:cNvPicPr>
                  </pic:nvPicPr>
                  <pic:blipFill>
                    <a:blip r:embed="rId127"/>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59" name="图片 59" descr="三单装修图纸(1)_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三单装修图纸(1)_116"/>
                    <pic:cNvPicPr>
                      <a:picLocks noChangeAspect="1"/>
                    </pic:cNvPicPr>
                  </pic:nvPicPr>
                  <pic:blipFill>
                    <a:blip r:embed="rId128"/>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58" name="图片 58" descr="三单装修图纸(1)_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三单装修图纸(1)_117"/>
                    <pic:cNvPicPr>
                      <a:picLocks noChangeAspect="1"/>
                    </pic:cNvPicPr>
                  </pic:nvPicPr>
                  <pic:blipFill>
                    <a:blip r:embed="rId129"/>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57" name="图片 57" descr="三单装修图纸(1)_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三单装修图纸(1)_118"/>
                    <pic:cNvPicPr>
                      <a:picLocks noChangeAspect="1"/>
                    </pic:cNvPicPr>
                  </pic:nvPicPr>
                  <pic:blipFill>
                    <a:blip r:embed="rId130"/>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56" name="图片 56" descr="三单装修图纸(1)_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三单装修图纸(1)_119"/>
                    <pic:cNvPicPr>
                      <a:picLocks noChangeAspect="1"/>
                    </pic:cNvPicPr>
                  </pic:nvPicPr>
                  <pic:blipFill>
                    <a:blip r:embed="rId131"/>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55" name="图片 55" descr="三单装修图纸(1)_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三单装修图纸(1)_120"/>
                    <pic:cNvPicPr>
                      <a:picLocks noChangeAspect="1"/>
                    </pic:cNvPicPr>
                  </pic:nvPicPr>
                  <pic:blipFill>
                    <a:blip r:embed="rId132"/>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54" name="图片 54" descr="三单装修图纸(1)_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三单装修图纸(1)_121"/>
                    <pic:cNvPicPr>
                      <a:picLocks noChangeAspect="1"/>
                    </pic:cNvPicPr>
                  </pic:nvPicPr>
                  <pic:blipFill>
                    <a:blip r:embed="rId133"/>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53" name="图片 53" descr="三单装修图纸(1)_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三单装修图纸(1)_122"/>
                    <pic:cNvPicPr>
                      <a:picLocks noChangeAspect="1"/>
                    </pic:cNvPicPr>
                  </pic:nvPicPr>
                  <pic:blipFill>
                    <a:blip r:embed="rId134"/>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52" name="图片 52" descr="三单装修图纸(1)_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三单装修图纸(1)_123"/>
                    <pic:cNvPicPr>
                      <a:picLocks noChangeAspect="1"/>
                    </pic:cNvPicPr>
                  </pic:nvPicPr>
                  <pic:blipFill>
                    <a:blip r:embed="rId135"/>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51" name="图片 51" descr="三单装修图纸(1)_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三单装修图纸(1)_124"/>
                    <pic:cNvPicPr>
                      <a:picLocks noChangeAspect="1"/>
                    </pic:cNvPicPr>
                  </pic:nvPicPr>
                  <pic:blipFill>
                    <a:blip r:embed="rId136"/>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50" name="图片 50" descr="三单装修图纸(1)_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三单装修图纸(1)_125"/>
                    <pic:cNvPicPr>
                      <a:picLocks noChangeAspect="1"/>
                    </pic:cNvPicPr>
                  </pic:nvPicPr>
                  <pic:blipFill>
                    <a:blip r:embed="rId137"/>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49" name="图片 49" descr="三单装修图纸(1)_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三单装修图纸(1)_126"/>
                    <pic:cNvPicPr>
                      <a:picLocks noChangeAspect="1"/>
                    </pic:cNvPicPr>
                  </pic:nvPicPr>
                  <pic:blipFill>
                    <a:blip r:embed="rId138"/>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48" name="图片 48" descr="三单装修图纸(1)_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三单装修图纸(1)_127"/>
                    <pic:cNvPicPr>
                      <a:picLocks noChangeAspect="1"/>
                    </pic:cNvPicPr>
                  </pic:nvPicPr>
                  <pic:blipFill>
                    <a:blip r:embed="rId139"/>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47" name="图片 47" descr="三单装修图纸(1)_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三单装修图纸(1)_128"/>
                    <pic:cNvPicPr>
                      <a:picLocks noChangeAspect="1"/>
                    </pic:cNvPicPr>
                  </pic:nvPicPr>
                  <pic:blipFill>
                    <a:blip r:embed="rId140"/>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46" name="图片 46" descr="三单装修图纸(1)_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三单装修图纸(1)_129"/>
                    <pic:cNvPicPr>
                      <a:picLocks noChangeAspect="1"/>
                    </pic:cNvPicPr>
                  </pic:nvPicPr>
                  <pic:blipFill>
                    <a:blip r:embed="rId141"/>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45" name="图片 45" descr="三单装修图纸(1)_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三单装修图纸(1)_130"/>
                    <pic:cNvPicPr>
                      <a:picLocks noChangeAspect="1"/>
                    </pic:cNvPicPr>
                  </pic:nvPicPr>
                  <pic:blipFill>
                    <a:blip r:embed="rId142"/>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44" name="图片 44" descr="三单装修图纸(1)_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三单装修图纸(1)_131"/>
                    <pic:cNvPicPr>
                      <a:picLocks noChangeAspect="1"/>
                    </pic:cNvPicPr>
                  </pic:nvPicPr>
                  <pic:blipFill>
                    <a:blip r:embed="rId143"/>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9635" cy="4227830"/>
            <wp:effectExtent l="0" t="0" r="12065" b="1270"/>
            <wp:docPr id="43" name="图片 43" descr="三单装修图纸(1)_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三单装修图纸(1)_132"/>
                    <pic:cNvPicPr>
                      <a:picLocks noChangeAspect="1"/>
                    </pic:cNvPicPr>
                  </pic:nvPicPr>
                  <pic:blipFill>
                    <a:blip r:embed="rId144"/>
                    <a:stretch>
                      <a:fillRect/>
                    </a:stretch>
                  </pic:blipFill>
                  <pic:spPr>
                    <a:xfrm>
                      <a:off x="0" y="0"/>
                      <a:ext cx="5969635" cy="4227830"/>
                    </a:xfrm>
                    <a:prstGeom prst="rect">
                      <a:avLst/>
                    </a:prstGeom>
                  </pic:spPr>
                </pic:pic>
              </a:graphicData>
            </a:graphic>
          </wp:inline>
        </w:drawing>
      </w:r>
      <w:r>
        <w:rPr>
          <w:rFonts w:hint="eastAsia"/>
          <w:color w:val="auto"/>
          <w:highlight w:val="none"/>
          <w:lang w:eastAsia="zh-CN"/>
        </w:rPr>
        <w:drawing>
          <wp:inline distT="0" distB="0" distL="114300" distR="114300">
            <wp:extent cx="5967095" cy="4219575"/>
            <wp:effectExtent l="0" t="0" r="14605" b="9525"/>
            <wp:docPr id="42" name="图片 42" descr="三单装修图纸(1)_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三单装修图纸(1)_133"/>
                    <pic:cNvPicPr>
                      <a:picLocks noChangeAspect="1"/>
                    </pic:cNvPicPr>
                  </pic:nvPicPr>
                  <pic:blipFill>
                    <a:blip r:embed="rId145"/>
                    <a:stretch>
                      <a:fillRect/>
                    </a:stretch>
                  </pic:blipFill>
                  <pic:spPr>
                    <a:xfrm>
                      <a:off x="0" y="0"/>
                      <a:ext cx="5967095" cy="4219575"/>
                    </a:xfrm>
                    <a:prstGeom prst="rect">
                      <a:avLst/>
                    </a:prstGeom>
                  </pic:spPr>
                </pic:pic>
              </a:graphicData>
            </a:graphic>
          </wp:inline>
        </w:drawing>
      </w:r>
      <w:r>
        <w:rPr>
          <w:rFonts w:hint="eastAsia"/>
          <w:color w:val="auto"/>
          <w:highlight w:val="none"/>
          <w:lang w:eastAsia="zh-CN"/>
        </w:rPr>
        <w:drawing>
          <wp:inline distT="0" distB="0" distL="114300" distR="114300">
            <wp:extent cx="5967095" cy="4219575"/>
            <wp:effectExtent l="0" t="0" r="14605" b="9525"/>
            <wp:docPr id="41" name="图片 41" descr="三单装修图纸(1)_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三单装修图纸(1)_134"/>
                    <pic:cNvPicPr>
                      <a:picLocks noChangeAspect="1"/>
                    </pic:cNvPicPr>
                  </pic:nvPicPr>
                  <pic:blipFill>
                    <a:blip r:embed="rId146"/>
                    <a:stretch>
                      <a:fillRect/>
                    </a:stretch>
                  </pic:blipFill>
                  <pic:spPr>
                    <a:xfrm>
                      <a:off x="0" y="0"/>
                      <a:ext cx="5967095" cy="4219575"/>
                    </a:xfrm>
                    <a:prstGeom prst="rect">
                      <a:avLst/>
                    </a:prstGeom>
                  </pic:spPr>
                </pic:pic>
              </a:graphicData>
            </a:graphic>
          </wp:inline>
        </w:drawing>
      </w:r>
      <w:r>
        <w:rPr>
          <w:rFonts w:hint="eastAsia"/>
          <w:color w:val="auto"/>
          <w:highlight w:val="none"/>
          <w:lang w:eastAsia="zh-CN"/>
        </w:rPr>
        <w:drawing>
          <wp:inline distT="0" distB="0" distL="114300" distR="114300">
            <wp:extent cx="5967095" cy="4219575"/>
            <wp:effectExtent l="0" t="0" r="14605" b="9525"/>
            <wp:docPr id="40" name="图片 40" descr="三单装修图纸(1)_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三单装修图纸(1)_135"/>
                    <pic:cNvPicPr>
                      <a:picLocks noChangeAspect="1"/>
                    </pic:cNvPicPr>
                  </pic:nvPicPr>
                  <pic:blipFill>
                    <a:blip r:embed="rId147"/>
                    <a:stretch>
                      <a:fillRect/>
                    </a:stretch>
                  </pic:blipFill>
                  <pic:spPr>
                    <a:xfrm>
                      <a:off x="0" y="0"/>
                      <a:ext cx="5967095" cy="4219575"/>
                    </a:xfrm>
                    <a:prstGeom prst="rect">
                      <a:avLst/>
                    </a:prstGeom>
                  </pic:spPr>
                </pic:pic>
              </a:graphicData>
            </a:graphic>
          </wp:inline>
        </w:drawing>
      </w:r>
      <w:r>
        <w:rPr>
          <w:rFonts w:hint="eastAsia"/>
          <w:color w:val="auto"/>
          <w:highlight w:val="none"/>
          <w:lang w:eastAsia="zh-CN"/>
        </w:rPr>
        <w:drawing>
          <wp:inline distT="0" distB="0" distL="114300" distR="114300">
            <wp:extent cx="5967095" cy="4219575"/>
            <wp:effectExtent l="0" t="0" r="14605" b="9525"/>
            <wp:docPr id="39" name="图片 39" descr="三单装修图纸(1)_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三单装修图纸(1)_136"/>
                    <pic:cNvPicPr>
                      <a:picLocks noChangeAspect="1"/>
                    </pic:cNvPicPr>
                  </pic:nvPicPr>
                  <pic:blipFill>
                    <a:blip r:embed="rId148"/>
                    <a:stretch>
                      <a:fillRect/>
                    </a:stretch>
                  </pic:blipFill>
                  <pic:spPr>
                    <a:xfrm>
                      <a:off x="0" y="0"/>
                      <a:ext cx="5967095" cy="4219575"/>
                    </a:xfrm>
                    <a:prstGeom prst="rect">
                      <a:avLst/>
                    </a:prstGeom>
                  </pic:spPr>
                </pic:pic>
              </a:graphicData>
            </a:graphic>
          </wp:inline>
        </w:drawing>
      </w:r>
      <w:r>
        <w:rPr>
          <w:rFonts w:hint="eastAsia"/>
          <w:color w:val="auto"/>
          <w:highlight w:val="none"/>
          <w:lang w:eastAsia="zh-CN"/>
        </w:rPr>
        <w:drawing>
          <wp:inline distT="0" distB="0" distL="114300" distR="114300">
            <wp:extent cx="5967095" cy="4219575"/>
            <wp:effectExtent l="0" t="0" r="14605" b="9525"/>
            <wp:docPr id="38" name="图片 38" descr="三单装修图纸(1)_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三单装修图纸(1)_137"/>
                    <pic:cNvPicPr>
                      <a:picLocks noChangeAspect="1"/>
                    </pic:cNvPicPr>
                  </pic:nvPicPr>
                  <pic:blipFill>
                    <a:blip r:embed="rId149"/>
                    <a:stretch>
                      <a:fillRect/>
                    </a:stretch>
                  </pic:blipFill>
                  <pic:spPr>
                    <a:xfrm>
                      <a:off x="0" y="0"/>
                      <a:ext cx="5967095" cy="4219575"/>
                    </a:xfrm>
                    <a:prstGeom prst="rect">
                      <a:avLst/>
                    </a:prstGeom>
                  </pic:spPr>
                </pic:pic>
              </a:graphicData>
            </a:graphic>
          </wp:inline>
        </w:drawing>
      </w:r>
      <w:r>
        <w:rPr>
          <w:rFonts w:hint="eastAsia"/>
          <w:color w:val="auto"/>
          <w:highlight w:val="none"/>
          <w:lang w:eastAsia="zh-CN"/>
        </w:rPr>
        <w:drawing>
          <wp:inline distT="0" distB="0" distL="114300" distR="114300">
            <wp:extent cx="5967095" cy="4219575"/>
            <wp:effectExtent l="0" t="0" r="14605" b="9525"/>
            <wp:docPr id="37" name="图片 37" descr="三单装修图纸(1)_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三单装修图纸(1)_138"/>
                    <pic:cNvPicPr>
                      <a:picLocks noChangeAspect="1"/>
                    </pic:cNvPicPr>
                  </pic:nvPicPr>
                  <pic:blipFill>
                    <a:blip r:embed="rId150"/>
                    <a:stretch>
                      <a:fillRect/>
                    </a:stretch>
                  </pic:blipFill>
                  <pic:spPr>
                    <a:xfrm>
                      <a:off x="0" y="0"/>
                      <a:ext cx="5967095" cy="4219575"/>
                    </a:xfrm>
                    <a:prstGeom prst="rect">
                      <a:avLst/>
                    </a:prstGeom>
                  </pic:spPr>
                </pic:pic>
              </a:graphicData>
            </a:graphic>
          </wp:inline>
        </w:drawing>
      </w:r>
      <w:r>
        <w:rPr>
          <w:rFonts w:hint="eastAsia"/>
          <w:color w:val="auto"/>
          <w:highlight w:val="none"/>
          <w:lang w:eastAsia="zh-CN"/>
        </w:rPr>
        <w:drawing>
          <wp:inline distT="0" distB="0" distL="114300" distR="114300">
            <wp:extent cx="5967095" cy="4219575"/>
            <wp:effectExtent l="0" t="0" r="14605" b="9525"/>
            <wp:docPr id="36" name="图片 36" descr="三单装修图纸(1)_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三单装修图纸(1)_139"/>
                    <pic:cNvPicPr>
                      <a:picLocks noChangeAspect="1"/>
                    </pic:cNvPicPr>
                  </pic:nvPicPr>
                  <pic:blipFill>
                    <a:blip r:embed="rId151"/>
                    <a:stretch>
                      <a:fillRect/>
                    </a:stretch>
                  </pic:blipFill>
                  <pic:spPr>
                    <a:xfrm>
                      <a:off x="0" y="0"/>
                      <a:ext cx="5967095" cy="4219575"/>
                    </a:xfrm>
                    <a:prstGeom prst="rect">
                      <a:avLst/>
                    </a:prstGeom>
                  </pic:spPr>
                </pic:pic>
              </a:graphicData>
            </a:graphic>
          </wp:inline>
        </w:drawing>
      </w:r>
      <w:r>
        <w:rPr>
          <w:rFonts w:hint="eastAsia"/>
          <w:color w:val="auto"/>
          <w:highlight w:val="none"/>
          <w:lang w:eastAsia="zh-CN"/>
        </w:rPr>
        <w:drawing>
          <wp:inline distT="0" distB="0" distL="114300" distR="114300">
            <wp:extent cx="5967095" cy="4219575"/>
            <wp:effectExtent l="0" t="0" r="14605" b="9525"/>
            <wp:docPr id="35" name="图片 35" descr="三单装修图纸(1)_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三单装修图纸(1)_140"/>
                    <pic:cNvPicPr>
                      <a:picLocks noChangeAspect="1"/>
                    </pic:cNvPicPr>
                  </pic:nvPicPr>
                  <pic:blipFill>
                    <a:blip r:embed="rId152"/>
                    <a:stretch>
                      <a:fillRect/>
                    </a:stretch>
                  </pic:blipFill>
                  <pic:spPr>
                    <a:xfrm>
                      <a:off x="0" y="0"/>
                      <a:ext cx="5967095" cy="4219575"/>
                    </a:xfrm>
                    <a:prstGeom prst="rect">
                      <a:avLst/>
                    </a:prstGeom>
                  </pic:spPr>
                </pic:pic>
              </a:graphicData>
            </a:graphic>
          </wp:inline>
        </w:drawing>
      </w:r>
      <w:r>
        <w:rPr>
          <w:rFonts w:hint="eastAsia"/>
          <w:color w:val="auto"/>
          <w:highlight w:val="none"/>
          <w:lang w:eastAsia="zh-CN"/>
        </w:rPr>
        <w:drawing>
          <wp:inline distT="0" distB="0" distL="114300" distR="114300">
            <wp:extent cx="5967095" cy="4219575"/>
            <wp:effectExtent l="0" t="0" r="14605" b="9525"/>
            <wp:docPr id="34" name="图片 34" descr="三单装修图纸(1)_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三单装修图纸(1)_141"/>
                    <pic:cNvPicPr>
                      <a:picLocks noChangeAspect="1"/>
                    </pic:cNvPicPr>
                  </pic:nvPicPr>
                  <pic:blipFill>
                    <a:blip r:embed="rId153"/>
                    <a:stretch>
                      <a:fillRect/>
                    </a:stretch>
                  </pic:blipFill>
                  <pic:spPr>
                    <a:xfrm>
                      <a:off x="0" y="0"/>
                      <a:ext cx="5967095" cy="4219575"/>
                    </a:xfrm>
                    <a:prstGeom prst="rect">
                      <a:avLst/>
                    </a:prstGeom>
                  </pic:spPr>
                </pic:pic>
              </a:graphicData>
            </a:graphic>
          </wp:inline>
        </w:drawing>
      </w:r>
      <w:r>
        <w:rPr>
          <w:rFonts w:hint="eastAsia"/>
          <w:color w:val="auto"/>
          <w:highlight w:val="none"/>
          <w:lang w:eastAsia="zh-CN"/>
        </w:rPr>
        <w:drawing>
          <wp:inline distT="0" distB="0" distL="114300" distR="114300">
            <wp:extent cx="5967095" cy="4219575"/>
            <wp:effectExtent l="0" t="0" r="14605" b="9525"/>
            <wp:docPr id="33" name="图片 33" descr="三单装修图纸(1)_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三单装修图纸(1)_142"/>
                    <pic:cNvPicPr>
                      <a:picLocks noChangeAspect="1"/>
                    </pic:cNvPicPr>
                  </pic:nvPicPr>
                  <pic:blipFill>
                    <a:blip r:embed="rId154"/>
                    <a:stretch>
                      <a:fillRect/>
                    </a:stretch>
                  </pic:blipFill>
                  <pic:spPr>
                    <a:xfrm>
                      <a:off x="0" y="0"/>
                      <a:ext cx="5967095" cy="4219575"/>
                    </a:xfrm>
                    <a:prstGeom prst="rect">
                      <a:avLst/>
                    </a:prstGeom>
                  </pic:spPr>
                </pic:pic>
              </a:graphicData>
            </a:graphic>
          </wp:inline>
        </w:drawing>
      </w:r>
      <w:r>
        <w:rPr>
          <w:rFonts w:hint="eastAsia"/>
          <w:color w:val="auto"/>
          <w:highlight w:val="none"/>
          <w:lang w:eastAsia="zh-CN"/>
        </w:rPr>
        <w:drawing>
          <wp:inline distT="0" distB="0" distL="114300" distR="114300">
            <wp:extent cx="5967095" cy="4219575"/>
            <wp:effectExtent l="0" t="0" r="14605" b="9525"/>
            <wp:docPr id="32" name="图片 32" descr="三单装修图纸(1)_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三单装修图纸(1)_143"/>
                    <pic:cNvPicPr>
                      <a:picLocks noChangeAspect="1"/>
                    </pic:cNvPicPr>
                  </pic:nvPicPr>
                  <pic:blipFill>
                    <a:blip r:embed="rId155"/>
                    <a:stretch>
                      <a:fillRect/>
                    </a:stretch>
                  </pic:blipFill>
                  <pic:spPr>
                    <a:xfrm>
                      <a:off x="0" y="0"/>
                      <a:ext cx="5967095" cy="4219575"/>
                    </a:xfrm>
                    <a:prstGeom prst="rect">
                      <a:avLst/>
                    </a:prstGeom>
                  </pic:spPr>
                </pic:pic>
              </a:graphicData>
            </a:graphic>
          </wp:inline>
        </w:drawing>
      </w:r>
      <w:r>
        <w:rPr>
          <w:rFonts w:hint="eastAsia"/>
          <w:color w:val="auto"/>
          <w:highlight w:val="none"/>
          <w:lang w:eastAsia="zh-CN"/>
        </w:rPr>
        <w:drawing>
          <wp:inline distT="0" distB="0" distL="114300" distR="114300">
            <wp:extent cx="5967095" cy="4219575"/>
            <wp:effectExtent l="0" t="0" r="14605" b="9525"/>
            <wp:docPr id="31" name="图片 31" descr="三单装修图纸(1)_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三单装修图纸(1)_144"/>
                    <pic:cNvPicPr>
                      <a:picLocks noChangeAspect="1"/>
                    </pic:cNvPicPr>
                  </pic:nvPicPr>
                  <pic:blipFill>
                    <a:blip r:embed="rId156"/>
                    <a:stretch>
                      <a:fillRect/>
                    </a:stretch>
                  </pic:blipFill>
                  <pic:spPr>
                    <a:xfrm>
                      <a:off x="0" y="0"/>
                      <a:ext cx="5967095" cy="4219575"/>
                    </a:xfrm>
                    <a:prstGeom prst="rect">
                      <a:avLst/>
                    </a:prstGeom>
                  </pic:spPr>
                </pic:pic>
              </a:graphicData>
            </a:graphic>
          </wp:inline>
        </w:drawing>
      </w:r>
      <w:r>
        <w:rPr>
          <w:rFonts w:hint="eastAsia"/>
          <w:color w:val="auto"/>
          <w:highlight w:val="none"/>
          <w:lang w:eastAsia="zh-CN"/>
        </w:rPr>
        <w:drawing>
          <wp:inline distT="0" distB="0" distL="114300" distR="114300">
            <wp:extent cx="5967095" cy="4219575"/>
            <wp:effectExtent l="0" t="0" r="14605" b="9525"/>
            <wp:docPr id="30" name="图片 30" descr="三单装修图纸(1)_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三单装修图纸(1)_145"/>
                    <pic:cNvPicPr>
                      <a:picLocks noChangeAspect="1"/>
                    </pic:cNvPicPr>
                  </pic:nvPicPr>
                  <pic:blipFill>
                    <a:blip r:embed="rId157"/>
                    <a:stretch>
                      <a:fillRect/>
                    </a:stretch>
                  </pic:blipFill>
                  <pic:spPr>
                    <a:xfrm>
                      <a:off x="0" y="0"/>
                      <a:ext cx="5967095" cy="4219575"/>
                    </a:xfrm>
                    <a:prstGeom prst="rect">
                      <a:avLst/>
                    </a:prstGeom>
                  </pic:spPr>
                </pic:pic>
              </a:graphicData>
            </a:graphic>
          </wp:inline>
        </w:drawing>
      </w:r>
      <w:r>
        <w:rPr>
          <w:rFonts w:hint="eastAsia"/>
          <w:color w:val="auto"/>
          <w:highlight w:val="none"/>
          <w:lang w:eastAsia="zh-CN"/>
        </w:rPr>
        <w:drawing>
          <wp:inline distT="0" distB="0" distL="114300" distR="114300">
            <wp:extent cx="5967095" cy="4219575"/>
            <wp:effectExtent l="0" t="0" r="14605" b="9525"/>
            <wp:docPr id="29" name="图片 29" descr="三单装修图纸(1)_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三单装修图纸(1)_146"/>
                    <pic:cNvPicPr>
                      <a:picLocks noChangeAspect="1"/>
                    </pic:cNvPicPr>
                  </pic:nvPicPr>
                  <pic:blipFill>
                    <a:blip r:embed="rId158"/>
                    <a:stretch>
                      <a:fillRect/>
                    </a:stretch>
                  </pic:blipFill>
                  <pic:spPr>
                    <a:xfrm>
                      <a:off x="0" y="0"/>
                      <a:ext cx="5967095" cy="4219575"/>
                    </a:xfrm>
                    <a:prstGeom prst="rect">
                      <a:avLst/>
                    </a:prstGeom>
                  </pic:spPr>
                </pic:pic>
              </a:graphicData>
            </a:graphic>
          </wp:inline>
        </w:drawing>
      </w:r>
    </w:p>
    <w:p>
      <w:pPr>
        <w:pStyle w:val="38"/>
        <w:ind w:left="0" w:leftChars="0" w:firstLine="0" w:firstLineChars="0"/>
        <w:rPr>
          <w:rFonts w:hint="default" w:eastAsia="仿宋_GB2312"/>
          <w:color w:val="auto"/>
          <w:highlight w:val="none"/>
          <w:lang w:val="en-US" w:eastAsia="zh-CN"/>
        </w:rPr>
      </w:pPr>
    </w:p>
    <w:p>
      <w:pPr>
        <w:jc w:val="both"/>
        <w:rPr>
          <w:color w:val="auto"/>
          <w:highlight w:val="none"/>
        </w:rPr>
      </w:pPr>
    </w:p>
    <w:p>
      <w:pPr>
        <w:rPr>
          <w:color w:val="auto"/>
          <w:highlight w:val="none"/>
        </w:rPr>
      </w:pPr>
    </w:p>
    <w:p>
      <w:pPr>
        <w:rPr>
          <w:color w:val="auto"/>
          <w:highlight w:val="none"/>
        </w:rPr>
      </w:pPr>
    </w:p>
    <w:p>
      <w:pPr>
        <w:ind w:firstLine="720" w:firstLineChars="300"/>
        <w:outlineLvl w:val="9"/>
        <w:rPr>
          <w:rFonts w:hint="default" w:ascii="宋体" w:hAnsi="宋体" w:eastAsia="宋体" w:cs="宋体"/>
          <w:color w:val="auto"/>
          <w:sz w:val="24"/>
          <w:szCs w:val="24"/>
          <w:highlight w:val="none"/>
          <w:lang w:val="en-US" w:eastAsia="zh-CN"/>
        </w:rPr>
      </w:pPr>
    </w:p>
    <w:p>
      <w:pPr>
        <w:pStyle w:val="2"/>
        <w:rPr>
          <w:rFonts w:hint="default" w:ascii="宋体" w:hAnsi="宋体" w:eastAsia="宋体" w:cs="宋体"/>
          <w:color w:val="auto"/>
          <w:sz w:val="24"/>
          <w:szCs w:val="24"/>
          <w:highlight w:val="none"/>
          <w:lang w:val="en-US" w:eastAsia="zh-CN"/>
        </w:rPr>
      </w:pPr>
    </w:p>
    <w:p>
      <w:pPr>
        <w:rPr>
          <w:rFonts w:hint="default" w:ascii="宋体" w:hAnsi="宋体" w:eastAsia="宋体" w:cs="宋体"/>
          <w:color w:val="auto"/>
          <w:sz w:val="24"/>
          <w:szCs w:val="24"/>
          <w:highlight w:val="none"/>
          <w:lang w:val="en-US" w:eastAsia="zh-CN"/>
        </w:rPr>
      </w:pPr>
    </w:p>
    <w:p>
      <w:pPr>
        <w:pStyle w:val="2"/>
        <w:rPr>
          <w:rFonts w:hint="default" w:ascii="宋体" w:hAnsi="宋体" w:eastAsia="宋体" w:cs="宋体"/>
          <w:color w:val="auto"/>
          <w:sz w:val="24"/>
          <w:szCs w:val="24"/>
          <w:highlight w:val="none"/>
          <w:lang w:val="en-US" w:eastAsia="zh-CN"/>
        </w:rPr>
      </w:pPr>
    </w:p>
    <w:p>
      <w:pPr>
        <w:rPr>
          <w:rFonts w:hint="default" w:ascii="宋体" w:hAnsi="宋体" w:eastAsia="宋体" w:cs="宋体"/>
          <w:color w:val="auto"/>
          <w:sz w:val="24"/>
          <w:szCs w:val="24"/>
          <w:highlight w:val="none"/>
          <w:lang w:val="en-US" w:eastAsia="zh-CN"/>
        </w:rPr>
      </w:pPr>
    </w:p>
    <w:p>
      <w:pPr>
        <w:pStyle w:val="2"/>
        <w:rPr>
          <w:rFonts w:hint="default" w:ascii="宋体" w:hAnsi="宋体" w:eastAsia="宋体" w:cs="宋体"/>
          <w:color w:val="auto"/>
          <w:sz w:val="24"/>
          <w:szCs w:val="24"/>
          <w:highlight w:val="none"/>
          <w:lang w:val="en-US" w:eastAsia="zh-CN"/>
        </w:rPr>
      </w:pPr>
    </w:p>
    <w:p>
      <w:pPr>
        <w:rPr>
          <w:rFonts w:hint="default" w:ascii="宋体" w:hAnsi="宋体" w:eastAsia="宋体" w:cs="宋体"/>
          <w:color w:val="auto"/>
          <w:sz w:val="24"/>
          <w:szCs w:val="24"/>
          <w:highlight w:val="none"/>
          <w:lang w:val="en-US" w:eastAsia="zh-CN"/>
        </w:rPr>
      </w:pPr>
    </w:p>
    <w:p>
      <w:pPr>
        <w:pStyle w:val="2"/>
        <w:rPr>
          <w:rFonts w:hint="default" w:ascii="宋体" w:hAnsi="宋体" w:eastAsia="宋体" w:cs="宋体"/>
          <w:color w:val="auto"/>
          <w:sz w:val="24"/>
          <w:szCs w:val="24"/>
          <w:highlight w:val="none"/>
          <w:lang w:val="en-US" w:eastAsia="zh-CN"/>
        </w:rPr>
      </w:pPr>
    </w:p>
    <w:p>
      <w:pPr>
        <w:rPr>
          <w:rFonts w:hint="default" w:ascii="宋体" w:hAnsi="宋体" w:eastAsia="宋体" w:cs="宋体"/>
          <w:color w:val="auto"/>
          <w:sz w:val="24"/>
          <w:szCs w:val="24"/>
          <w:highlight w:val="none"/>
          <w:lang w:val="en-US" w:eastAsia="zh-CN"/>
        </w:rPr>
      </w:pPr>
    </w:p>
    <w:p>
      <w:pPr>
        <w:pStyle w:val="2"/>
        <w:rPr>
          <w:rFonts w:hint="default" w:ascii="宋体" w:hAnsi="宋体" w:eastAsia="宋体" w:cs="宋体"/>
          <w:color w:val="auto"/>
          <w:sz w:val="24"/>
          <w:szCs w:val="24"/>
          <w:highlight w:val="none"/>
          <w:lang w:val="en-US" w:eastAsia="zh-CN"/>
        </w:rPr>
      </w:pPr>
    </w:p>
    <w:p>
      <w:pPr>
        <w:rPr>
          <w:rFonts w:hint="default" w:ascii="宋体" w:hAnsi="宋体" w:eastAsia="宋体" w:cs="宋体"/>
          <w:color w:val="auto"/>
          <w:sz w:val="24"/>
          <w:szCs w:val="24"/>
          <w:highlight w:val="none"/>
          <w:lang w:val="en-US" w:eastAsia="zh-CN"/>
        </w:rPr>
      </w:pPr>
    </w:p>
    <w:p>
      <w:pPr>
        <w:pStyle w:val="2"/>
        <w:rPr>
          <w:rFonts w:hint="default" w:ascii="宋体" w:hAnsi="宋体" w:eastAsia="宋体" w:cs="宋体"/>
          <w:color w:val="auto"/>
          <w:sz w:val="24"/>
          <w:szCs w:val="24"/>
          <w:highlight w:val="none"/>
          <w:lang w:val="en-US" w:eastAsia="zh-CN"/>
        </w:rPr>
      </w:pPr>
    </w:p>
    <w:p>
      <w:pPr>
        <w:rPr>
          <w:rFonts w:hint="default" w:ascii="宋体" w:hAnsi="宋体" w:eastAsia="宋体" w:cs="宋体"/>
          <w:color w:val="auto"/>
          <w:sz w:val="24"/>
          <w:szCs w:val="24"/>
          <w:highlight w:val="none"/>
          <w:lang w:val="en-US" w:eastAsia="zh-CN"/>
        </w:rPr>
      </w:pPr>
    </w:p>
    <w:p>
      <w:pPr>
        <w:pStyle w:val="2"/>
        <w:rPr>
          <w:rFonts w:hint="default" w:ascii="宋体" w:hAnsi="宋体" w:eastAsia="宋体" w:cs="宋体"/>
          <w:color w:val="auto"/>
          <w:sz w:val="24"/>
          <w:szCs w:val="24"/>
          <w:highlight w:val="none"/>
          <w:lang w:val="en-US" w:eastAsia="zh-CN"/>
        </w:rPr>
      </w:pPr>
    </w:p>
    <w:p>
      <w:pPr>
        <w:rPr>
          <w:rFonts w:hint="default" w:ascii="宋体" w:hAnsi="宋体" w:eastAsia="宋体" w:cs="宋体"/>
          <w:color w:val="auto"/>
          <w:sz w:val="24"/>
          <w:szCs w:val="24"/>
          <w:highlight w:val="none"/>
          <w:lang w:val="en-US" w:eastAsia="zh-CN"/>
        </w:rPr>
      </w:pPr>
    </w:p>
    <w:p>
      <w:pPr>
        <w:pStyle w:val="2"/>
        <w:rPr>
          <w:rFonts w:hint="default" w:ascii="宋体" w:hAnsi="宋体" w:eastAsia="宋体" w:cs="宋体"/>
          <w:color w:val="auto"/>
          <w:sz w:val="24"/>
          <w:szCs w:val="24"/>
          <w:highlight w:val="none"/>
          <w:lang w:val="en-US" w:eastAsia="zh-CN"/>
        </w:rPr>
      </w:pPr>
    </w:p>
    <w:p>
      <w:pPr>
        <w:rPr>
          <w:rFonts w:hint="default" w:ascii="宋体" w:hAnsi="宋体" w:eastAsia="宋体" w:cs="宋体"/>
          <w:color w:val="auto"/>
          <w:sz w:val="24"/>
          <w:szCs w:val="24"/>
          <w:highlight w:val="none"/>
          <w:lang w:val="en-US" w:eastAsia="zh-CN"/>
        </w:rPr>
      </w:pPr>
    </w:p>
    <w:p>
      <w:pPr>
        <w:pStyle w:val="2"/>
        <w:rPr>
          <w:rFonts w:hint="default" w:ascii="宋体" w:hAnsi="宋体" w:eastAsia="宋体" w:cs="宋体"/>
          <w:color w:val="auto"/>
          <w:sz w:val="24"/>
          <w:szCs w:val="24"/>
          <w:highlight w:val="none"/>
          <w:lang w:val="en-US" w:eastAsia="zh-CN"/>
        </w:rPr>
      </w:pPr>
    </w:p>
    <w:p>
      <w:pPr>
        <w:rPr>
          <w:rFonts w:hint="default" w:ascii="宋体" w:hAnsi="宋体" w:eastAsia="宋体" w:cs="宋体"/>
          <w:color w:val="auto"/>
          <w:sz w:val="24"/>
          <w:szCs w:val="24"/>
          <w:highlight w:val="none"/>
          <w:lang w:val="en-US" w:eastAsia="zh-CN"/>
        </w:rPr>
      </w:pPr>
    </w:p>
    <w:p>
      <w:pPr>
        <w:pStyle w:val="2"/>
        <w:rPr>
          <w:rFonts w:hint="default" w:ascii="宋体" w:hAnsi="宋体" w:eastAsia="宋体" w:cs="宋体"/>
          <w:color w:val="auto"/>
          <w:sz w:val="24"/>
          <w:szCs w:val="24"/>
          <w:highlight w:val="none"/>
          <w:lang w:val="en-US" w:eastAsia="zh-CN"/>
        </w:rPr>
        <w:sectPr>
          <w:headerReference r:id="rId8" w:type="first"/>
          <w:footerReference r:id="rId10" w:type="first"/>
          <w:headerReference r:id="rId7" w:type="default"/>
          <w:footerReference r:id="rId9" w:type="default"/>
          <w:pgSz w:w="11906" w:h="16838"/>
          <w:pgMar w:top="851" w:right="1247" w:bottom="1021" w:left="1247" w:header="851" w:footer="907" w:gutter="0"/>
          <w:pgNumType w:fmt="decimal"/>
          <w:cols w:space="720" w:num="1"/>
          <w:titlePg/>
          <w:docGrid w:linePitch="312" w:charSpace="0"/>
        </w:sectPr>
      </w:pPr>
    </w:p>
    <w:p>
      <w:pPr>
        <w:pageBreakBefore/>
        <w:spacing w:before="260" w:after="260" w:line="415" w:lineRule="auto"/>
        <w:outlineLvl w:val="1"/>
        <w:rPr>
          <w:rFonts w:hint="eastAsia" w:ascii="宋体" w:hAnsi="宋体" w:cs="宋体"/>
          <w:bCs/>
          <w:color w:val="auto"/>
          <w:sz w:val="24"/>
          <w:highlight w:val="none"/>
        </w:rPr>
      </w:pPr>
      <w:bookmarkStart w:id="109" w:name="_Toc23637"/>
      <w:r>
        <w:rPr>
          <w:rFonts w:hint="eastAsia" w:ascii="宋体" w:hAnsi="宋体" w:cs="宋体"/>
          <w:bCs/>
          <w:color w:val="auto"/>
          <w:sz w:val="24"/>
          <w:highlight w:val="none"/>
          <w:lang w:val="en-US" w:eastAsia="zh-CN"/>
        </w:rPr>
        <w:t>附件二十四：采购清单</w:t>
      </w:r>
      <w:bookmarkEnd w:id="109"/>
    </w:p>
    <w:tbl>
      <w:tblPr>
        <w:tblStyle w:val="40"/>
        <w:tblpPr w:leftFromText="180" w:rightFromText="180" w:vertAnchor="text" w:horzAnchor="page" w:tblpX="1245" w:tblpY="223"/>
        <w:tblOverlap w:val="never"/>
        <w:tblW w:w="149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858"/>
        <w:gridCol w:w="1373"/>
        <w:gridCol w:w="1868"/>
        <w:gridCol w:w="1729"/>
        <w:gridCol w:w="4046"/>
        <w:gridCol w:w="1118"/>
        <w:gridCol w:w="1005"/>
        <w:gridCol w:w="1350"/>
        <w:gridCol w:w="15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788"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22"/>
                <w:szCs w:val="22"/>
                <w:highlight w:val="none"/>
                <w:u w:val="none"/>
              </w:rPr>
            </w:pPr>
            <w:r>
              <w:rPr>
                <w:rFonts w:hint="eastAsia" w:ascii="宋体" w:hAnsi="宋体" w:eastAsia="宋体" w:cs="宋体"/>
                <w:b/>
                <w:bCs/>
                <w:i w:val="0"/>
                <w:iCs w:val="0"/>
                <w:color w:val="auto"/>
                <w:kern w:val="0"/>
                <w:sz w:val="22"/>
                <w:szCs w:val="22"/>
                <w:highlight w:val="none"/>
                <w:u w:val="none"/>
                <w:lang w:val="en-US" w:eastAsia="zh-CN" w:bidi="ar"/>
              </w:rPr>
              <w:t>序号</w:t>
            </w:r>
          </w:p>
        </w:tc>
        <w:tc>
          <w:tcPr>
            <w:tcW w:w="1373" w:type="dxa"/>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22"/>
                <w:szCs w:val="22"/>
                <w:highlight w:val="none"/>
                <w:u w:val="none"/>
              </w:rPr>
            </w:pPr>
            <w:r>
              <w:rPr>
                <w:rFonts w:hint="eastAsia" w:ascii="宋体" w:hAnsi="宋体" w:eastAsia="宋体" w:cs="宋体"/>
                <w:b/>
                <w:bCs/>
                <w:i w:val="0"/>
                <w:iCs w:val="0"/>
                <w:color w:val="auto"/>
                <w:kern w:val="0"/>
                <w:sz w:val="22"/>
                <w:szCs w:val="22"/>
                <w:highlight w:val="none"/>
                <w:u w:val="none"/>
                <w:lang w:val="en-US" w:eastAsia="zh-CN" w:bidi="ar"/>
              </w:rPr>
              <w:t>项目名称</w:t>
            </w:r>
          </w:p>
        </w:tc>
        <w:tc>
          <w:tcPr>
            <w:tcW w:w="1868" w:type="dxa"/>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22"/>
                <w:szCs w:val="22"/>
                <w:highlight w:val="none"/>
                <w:u w:val="none"/>
              </w:rPr>
            </w:pPr>
            <w:r>
              <w:rPr>
                <w:rFonts w:hint="eastAsia" w:ascii="宋体" w:hAnsi="宋体" w:eastAsia="宋体" w:cs="宋体"/>
                <w:b/>
                <w:bCs/>
                <w:i w:val="0"/>
                <w:iCs w:val="0"/>
                <w:color w:val="auto"/>
                <w:kern w:val="0"/>
                <w:sz w:val="22"/>
                <w:szCs w:val="22"/>
                <w:highlight w:val="none"/>
                <w:u w:val="none"/>
                <w:lang w:val="en-US" w:eastAsia="zh-CN" w:bidi="ar"/>
              </w:rPr>
              <w:t>项目特征</w:t>
            </w:r>
          </w:p>
        </w:tc>
        <w:tc>
          <w:tcPr>
            <w:tcW w:w="1729" w:type="dxa"/>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22"/>
                <w:szCs w:val="22"/>
                <w:highlight w:val="none"/>
                <w:u w:val="none"/>
              </w:rPr>
            </w:pPr>
            <w:r>
              <w:rPr>
                <w:rFonts w:hint="eastAsia" w:ascii="宋体" w:hAnsi="宋体" w:eastAsia="宋体" w:cs="宋体"/>
                <w:b/>
                <w:bCs/>
                <w:i w:val="0"/>
                <w:iCs w:val="0"/>
                <w:color w:val="auto"/>
                <w:kern w:val="0"/>
                <w:sz w:val="22"/>
                <w:szCs w:val="22"/>
                <w:highlight w:val="none"/>
                <w:u w:val="none"/>
                <w:lang w:val="en-US" w:eastAsia="zh-CN" w:bidi="ar"/>
              </w:rPr>
              <w:t>效果图</w:t>
            </w:r>
          </w:p>
        </w:tc>
        <w:tc>
          <w:tcPr>
            <w:tcW w:w="4046" w:type="dxa"/>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22"/>
                <w:szCs w:val="22"/>
                <w:highlight w:val="none"/>
                <w:u w:val="none"/>
              </w:rPr>
            </w:pPr>
            <w:r>
              <w:rPr>
                <w:rFonts w:hint="eastAsia" w:ascii="宋体" w:hAnsi="宋体" w:eastAsia="宋体" w:cs="宋体"/>
                <w:b/>
                <w:bCs/>
                <w:i w:val="0"/>
                <w:iCs w:val="0"/>
                <w:color w:val="auto"/>
                <w:kern w:val="0"/>
                <w:sz w:val="22"/>
                <w:szCs w:val="22"/>
                <w:highlight w:val="none"/>
                <w:u w:val="none"/>
                <w:lang w:val="en-US" w:eastAsia="zh-CN" w:bidi="ar"/>
              </w:rPr>
              <w:t>参数</w:t>
            </w:r>
          </w:p>
        </w:tc>
        <w:tc>
          <w:tcPr>
            <w:tcW w:w="1118" w:type="dxa"/>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22"/>
                <w:szCs w:val="22"/>
                <w:highlight w:val="none"/>
                <w:u w:val="none"/>
              </w:rPr>
            </w:pPr>
            <w:r>
              <w:rPr>
                <w:rFonts w:hint="eastAsia" w:ascii="宋体" w:hAnsi="宋体" w:eastAsia="宋体" w:cs="宋体"/>
                <w:b/>
                <w:bCs/>
                <w:i w:val="0"/>
                <w:iCs w:val="0"/>
                <w:color w:val="auto"/>
                <w:kern w:val="0"/>
                <w:sz w:val="22"/>
                <w:szCs w:val="22"/>
                <w:highlight w:val="none"/>
                <w:u w:val="none"/>
                <w:lang w:val="en-US" w:eastAsia="zh-CN" w:bidi="ar"/>
              </w:rPr>
              <w:t>计量单位</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22"/>
                <w:szCs w:val="22"/>
                <w:highlight w:val="none"/>
                <w:u w:val="none"/>
              </w:rPr>
            </w:pPr>
            <w:r>
              <w:rPr>
                <w:rFonts w:hint="eastAsia" w:ascii="宋体" w:hAnsi="宋体" w:eastAsia="宋体" w:cs="宋体"/>
                <w:b/>
                <w:bCs/>
                <w:i w:val="0"/>
                <w:iCs w:val="0"/>
                <w:color w:val="auto"/>
                <w:kern w:val="0"/>
                <w:sz w:val="22"/>
                <w:szCs w:val="22"/>
                <w:highlight w:val="none"/>
                <w:u w:val="none"/>
                <w:lang w:val="en-US" w:eastAsia="zh-CN" w:bidi="ar"/>
              </w:rPr>
              <w:t>数量</w:t>
            </w:r>
          </w:p>
        </w:tc>
        <w:tc>
          <w:tcPr>
            <w:tcW w:w="1350" w:type="dxa"/>
            <w:shd w:val="clear" w:color="auto" w:fill="auto"/>
            <w:vAlign w:val="center"/>
          </w:tcPr>
          <w:p>
            <w:pPr>
              <w:keepNext w:val="0"/>
              <w:keepLines w:val="0"/>
              <w:widowControl/>
              <w:suppressLineNumbers w:val="0"/>
              <w:jc w:val="center"/>
              <w:textAlignment w:val="center"/>
              <w:rPr>
                <w:rFonts w:hint="default" w:ascii="宋体" w:hAnsi="宋体" w:eastAsia="宋体" w:cs="宋体"/>
                <w:b/>
                <w:bCs/>
                <w:i w:val="0"/>
                <w:iCs w:val="0"/>
                <w:color w:val="auto"/>
                <w:sz w:val="22"/>
                <w:szCs w:val="22"/>
                <w:highlight w:val="none"/>
                <w:u w:val="none"/>
                <w:lang w:val="en-US"/>
              </w:rPr>
            </w:pPr>
            <w:r>
              <w:rPr>
                <w:rFonts w:hint="eastAsia" w:ascii="宋体" w:hAnsi="宋体" w:cs="宋体"/>
                <w:b/>
                <w:bCs/>
                <w:i w:val="0"/>
                <w:iCs w:val="0"/>
                <w:color w:val="auto"/>
                <w:kern w:val="0"/>
                <w:sz w:val="22"/>
                <w:szCs w:val="22"/>
                <w:highlight w:val="none"/>
                <w:u w:val="none"/>
                <w:lang w:val="en-US" w:eastAsia="zh-CN" w:bidi="ar"/>
              </w:rPr>
              <w:t>最高</w:t>
            </w:r>
            <w:r>
              <w:rPr>
                <w:rFonts w:hint="eastAsia" w:ascii="宋体" w:hAnsi="宋体" w:eastAsia="宋体" w:cs="宋体"/>
                <w:b/>
                <w:bCs/>
                <w:i w:val="0"/>
                <w:iCs w:val="0"/>
                <w:color w:val="auto"/>
                <w:kern w:val="0"/>
                <w:sz w:val="22"/>
                <w:szCs w:val="22"/>
                <w:highlight w:val="none"/>
                <w:u w:val="none"/>
                <w:lang w:val="en-US" w:eastAsia="zh-CN" w:bidi="ar"/>
              </w:rPr>
              <w:t>单价</w:t>
            </w:r>
            <w:r>
              <w:rPr>
                <w:rFonts w:hint="eastAsia" w:ascii="宋体" w:hAnsi="宋体" w:cs="宋体"/>
                <w:b/>
                <w:bCs/>
                <w:i w:val="0"/>
                <w:iCs w:val="0"/>
                <w:color w:val="auto"/>
                <w:kern w:val="0"/>
                <w:sz w:val="22"/>
                <w:szCs w:val="22"/>
                <w:highlight w:val="none"/>
                <w:u w:val="none"/>
                <w:lang w:val="en-US" w:eastAsia="zh-CN" w:bidi="ar"/>
              </w:rPr>
              <w:t>限价（元）</w:t>
            </w:r>
          </w:p>
        </w:tc>
        <w:tc>
          <w:tcPr>
            <w:tcW w:w="1598" w:type="dxa"/>
            <w:shd w:val="clear" w:color="auto" w:fill="auto"/>
            <w:vAlign w:val="center"/>
          </w:tcPr>
          <w:p>
            <w:pPr>
              <w:keepNext w:val="0"/>
              <w:keepLines w:val="0"/>
              <w:widowControl/>
              <w:suppressLineNumbers w:val="0"/>
              <w:jc w:val="center"/>
              <w:textAlignment w:val="center"/>
              <w:rPr>
                <w:rFonts w:hint="default" w:ascii="宋体" w:hAnsi="宋体" w:cs="宋体"/>
                <w:b/>
                <w:bCs/>
                <w:i w:val="0"/>
                <w:iCs w:val="0"/>
                <w:color w:val="auto"/>
                <w:kern w:val="0"/>
                <w:sz w:val="22"/>
                <w:szCs w:val="22"/>
                <w:highlight w:val="none"/>
                <w:u w:val="none"/>
                <w:lang w:val="en-US" w:eastAsia="zh-CN" w:bidi="ar"/>
              </w:rPr>
            </w:pPr>
            <w:r>
              <w:rPr>
                <w:rFonts w:hint="eastAsia" w:ascii="宋体" w:hAnsi="宋体" w:cs="宋体"/>
                <w:b/>
                <w:bCs/>
                <w:i w:val="0"/>
                <w:iCs w:val="0"/>
                <w:color w:val="auto"/>
                <w:kern w:val="0"/>
                <w:sz w:val="22"/>
                <w:szCs w:val="22"/>
                <w:highlight w:val="none"/>
                <w:u w:val="none"/>
                <w:lang w:val="en-US" w:eastAsia="zh-CN" w:bidi="ar"/>
              </w:rPr>
              <w:t>合计（元）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50"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373"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床及床头柜</w:t>
            </w:r>
          </w:p>
        </w:tc>
        <w:tc>
          <w:tcPr>
            <w:tcW w:w="1868"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1500*2000双人床(一张床1个床头柜 )</w:t>
            </w:r>
          </w:p>
        </w:tc>
        <w:tc>
          <w:tcPr>
            <w:tcW w:w="1729" w:type="dxa"/>
            <w:shd w:val="clear" w:color="auto" w:fill="FFFFFF"/>
            <w:vAlign w:val="center"/>
          </w:tcPr>
          <w:p>
            <w:pPr>
              <w:jc w:val="left"/>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 xml:space="preserve">品名：原木大板床及实木床头柜                  风格：诧寂风榻榻米地台床                      材质：旧硬木（柚木、橡木）       </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 xml:space="preserve"> 家具结构：框架结构                      环保等级：E0级            </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 尺寸:1500*2000双人床，1.侧板采用18mm厚板2.床头、床尾板均为50mm厚板3.所有板材环保等级为E0级4.床铺板要求厚度18mm以上（含18mm）</w:t>
            </w:r>
          </w:p>
        </w:tc>
        <w:tc>
          <w:tcPr>
            <w:tcW w:w="111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2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6278.4</w:t>
            </w:r>
          </w:p>
        </w:tc>
        <w:tc>
          <w:tcPr>
            <w:tcW w:w="1598" w:type="dxa"/>
            <w:shd w:val="clear" w:color="auto" w:fill="auto"/>
            <w:noWrap/>
            <w:vAlign w:val="center"/>
          </w:tcPr>
          <w:p>
            <w:pPr>
              <w:keepNext w:val="0"/>
              <w:keepLines w:val="0"/>
              <w:widowControl/>
              <w:suppressLineNumbers w:val="0"/>
              <w:jc w:val="right"/>
              <w:textAlignment w:val="center"/>
              <w:rPr>
                <w:rFonts w:hint="default"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12556.8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771"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w:t>
            </w:r>
          </w:p>
        </w:tc>
        <w:tc>
          <w:tcPr>
            <w:tcW w:w="1373"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床及床头柜</w:t>
            </w:r>
          </w:p>
        </w:tc>
        <w:tc>
          <w:tcPr>
            <w:tcW w:w="1868"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1800*2000双人床(一张床2个床头柜 )</w:t>
            </w:r>
          </w:p>
        </w:tc>
        <w:tc>
          <w:tcPr>
            <w:tcW w:w="1729" w:type="dxa"/>
            <w:shd w:val="clear" w:color="auto" w:fill="FFFFFF"/>
            <w:vAlign w:val="center"/>
          </w:tcPr>
          <w:p>
            <w:pPr>
              <w:jc w:val="left"/>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品名：原木大板床及实木床头柜                  风格：诧寂风榻榻米地台床                      材质：旧硬木（柚木、橡木）        家具结构：框架结构                      环保等级：E0级                      尺寸:1800*2000双人床，1.侧板采用18mm厚板2.床头、床尾板均为50mm厚板3.环保等级为E0级4.床铺板要求厚度18mm以上（含18mm）  </w:t>
            </w:r>
          </w:p>
        </w:tc>
        <w:tc>
          <w:tcPr>
            <w:tcW w:w="111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16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7848</w:t>
            </w:r>
          </w:p>
        </w:tc>
        <w:tc>
          <w:tcPr>
            <w:tcW w:w="1598" w:type="dxa"/>
            <w:shd w:val="clear" w:color="auto" w:fill="auto"/>
            <w:noWrap/>
            <w:vAlign w:val="center"/>
          </w:tcPr>
          <w:p>
            <w:pPr>
              <w:keepNext w:val="0"/>
              <w:keepLines w:val="0"/>
              <w:widowControl/>
              <w:suppressLineNumbers w:val="0"/>
              <w:jc w:val="right"/>
              <w:textAlignment w:val="center"/>
              <w:rPr>
                <w:rFonts w:hint="default"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125568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575"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w:t>
            </w:r>
          </w:p>
        </w:tc>
        <w:tc>
          <w:tcPr>
            <w:tcW w:w="1373"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床垫1500*2000</w:t>
            </w:r>
          </w:p>
        </w:tc>
        <w:tc>
          <w:tcPr>
            <w:tcW w:w="1868"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Style w:val="120"/>
                <w:rFonts w:hint="eastAsia" w:ascii="宋体" w:hAnsi="宋体" w:eastAsia="宋体" w:cs="宋体"/>
                <w:b w:val="0"/>
                <w:bCs w:val="0"/>
                <w:color w:val="auto"/>
                <w:highlight w:val="none"/>
                <w:lang w:val="en-US" w:eastAsia="zh-CN" w:bidi="ar"/>
              </w:rPr>
              <w:t>床垫1500*2000(</w:t>
            </w:r>
            <w:r>
              <w:rPr>
                <w:rStyle w:val="127"/>
                <w:rFonts w:hint="eastAsia" w:ascii="宋体" w:hAnsi="宋体" w:eastAsia="宋体" w:cs="宋体"/>
                <w:b w:val="0"/>
                <w:bCs w:val="0"/>
                <w:color w:val="auto"/>
                <w:highlight w:val="none"/>
                <w:lang w:val="en-US" w:eastAsia="zh-CN" w:bidi="ar"/>
              </w:rPr>
              <w:t>全乳胶垫+床垫 护垫)</w:t>
            </w:r>
          </w:p>
        </w:tc>
        <w:tc>
          <w:tcPr>
            <w:tcW w:w="1729" w:type="dxa"/>
            <w:shd w:val="clear" w:color="auto" w:fill="auto"/>
            <w:vAlign w:val="center"/>
          </w:tcPr>
          <w:p>
            <w:pPr>
              <w:jc w:val="center"/>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Style w:val="120"/>
                <w:rFonts w:hint="eastAsia" w:ascii="宋体" w:hAnsi="宋体" w:eastAsia="宋体" w:cs="宋体"/>
                <w:b w:val="0"/>
                <w:bCs w:val="0"/>
                <w:color w:val="auto"/>
                <w:highlight w:val="none"/>
                <w:lang w:val="en-US" w:eastAsia="zh-CN" w:bidi="ar"/>
              </w:rPr>
            </w:pPr>
            <w:r>
              <w:rPr>
                <w:rStyle w:val="120"/>
                <w:rFonts w:hint="eastAsia" w:ascii="宋体" w:hAnsi="宋体" w:eastAsia="宋体" w:cs="宋体"/>
                <w:b w:val="0"/>
                <w:bCs w:val="0"/>
                <w:color w:val="auto"/>
                <w:highlight w:val="none"/>
                <w:lang w:val="en-US" w:eastAsia="zh-CN" w:bidi="ar"/>
              </w:rPr>
              <w:t xml:space="preserve">品名：乳胶床垫           </w:t>
            </w:r>
          </w:p>
          <w:p>
            <w:pPr>
              <w:keepNext w:val="0"/>
              <w:keepLines w:val="0"/>
              <w:widowControl/>
              <w:suppressLineNumbers w:val="0"/>
              <w:jc w:val="left"/>
              <w:textAlignment w:val="center"/>
              <w:rPr>
                <w:rStyle w:val="120"/>
                <w:rFonts w:hint="eastAsia" w:ascii="宋体" w:hAnsi="宋体" w:eastAsia="宋体" w:cs="宋体"/>
                <w:b w:val="0"/>
                <w:bCs w:val="0"/>
                <w:color w:val="auto"/>
                <w:highlight w:val="none"/>
                <w:lang w:val="en-US" w:eastAsia="zh-CN" w:bidi="ar"/>
              </w:rPr>
            </w:pPr>
            <w:r>
              <w:rPr>
                <w:rStyle w:val="120"/>
                <w:rFonts w:hint="eastAsia" w:ascii="宋体" w:hAnsi="宋体" w:eastAsia="宋体" w:cs="宋体"/>
                <w:b w:val="0"/>
                <w:bCs w:val="0"/>
                <w:color w:val="auto"/>
                <w:highlight w:val="none"/>
                <w:lang w:val="en-US" w:eastAsia="zh-CN" w:bidi="ar"/>
              </w:rPr>
              <w:t>材质</w:t>
            </w:r>
            <w:r>
              <w:rPr>
                <w:rStyle w:val="127"/>
                <w:rFonts w:hint="eastAsia" w:ascii="宋体" w:hAnsi="宋体" w:eastAsia="宋体" w:cs="宋体"/>
                <w:b w:val="0"/>
                <w:bCs w:val="0"/>
                <w:color w:val="auto"/>
                <w:highlight w:val="none"/>
                <w:lang w:val="en-US" w:eastAsia="zh-CN" w:bidi="ar"/>
              </w:rPr>
              <w:t xml:space="preserve">：乳胶  </w:t>
            </w:r>
            <w:r>
              <w:rPr>
                <w:rStyle w:val="120"/>
                <w:rFonts w:hint="eastAsia" w:ascii="宋体" w:hAnsi="宋体" w:eastAsia="宋体" w:cs="宋体"/>
                <w:b w:val="0"/>
                <w:bCs w:val="0"/>
                <w:color w:val="auto"/>
                <w:highlight w:val="none"/>
                <w:lang w:val="en-US" w:eastAsia="zh-CN" w:bidi="ar"/>
              </w:rPr>
              <w:t xml:space="preserve">             </w:t>
            </w:r>
            <w:r>
              <w:rPr>
                <w:rStyle w:val="130"/>
                <w:rFonts w:hint="eastAsia" w:ascii="宋体" w:hAnsi="宋体" w:eastAsia="宋体" w:cs="宋体"/>
                <w:b w:val="0"/>
                <w:bCs w:val="0"/>
                <w:color w:val="auto"/>
                <w:highlight w:val="none"/>
                <w:lang w:val="en-US" w:eastAsia="zh-CN" w:bidi="ar"/>
              </w:rPr>
              <w:t xml:space="preserve"> </w:t>
            </w:r>
            <w:r>
              <w:rPr>
                <w:rStyle w:val="120"/>
                <w:rFonts w:hint="eastAsia" w:ascii="宋体" w:hAnsi="宋体" w:eastAsia="宋体" w:cs="宋体"/>
                <w:b w:val="0"/>
                <w:bCs w:val="0"/>
                <w:color w:val="auto"/>
                <w:highlight w:val="none"/>
                <w:lang w:val="en-US" w:eastAsia="zh-CN" w:bidi="ar"/>
              </w:rPr>
              <w:t xml:space="preserve">                     外包面料材质：针织面料   </w:t>
            </w:r>
          </w:p>
          <w:p>
            <w:pPr>
              <w:keepNext w:val="0"/>
              <w:keepLines w:val="0"/>
              <w:widowControl/>
              <w:suppressLineNumbers w:val="0"/>
              <w:jc w:val="left"/>
              <w:textAlignment w:val="center"/>
              <w:rPr>
                <w:rStyle w:val="120"/>
                <w:rFonts w:hint="eastAsia" w:ascii="宋体" w:hAnsi="宋体" w:eastAsia="宋体" w:cs="宋体"/>
                <w:b w:val="0"/>
                <w:bCs w:val="0"/>
                <w:color w:val="auto"/>
                <w:highlight w:val="none"/>
                <w:lang w:val="en-US" w:eastAsia="zh-CN" w:bidi="ar"/>
              </w:rPr>
            </w:pPr>
            <w:r>
              <w:rPr>
                <w:rStyle w:val="120"/>
                <w:rFonts w:hint="eastAsia" w:ascii="宋体" w:hAnsi="宋体" w:eastAsia="宋体" w:cs="宋体"/>
                <w:b w:val="0"/>
                <w:bCs w:val="0"/>
                <w:color w:val="auto"/>
                <w:highlight w:val="none"/>
                <w:lang w:val="en-US" w:eastAsia="zh-CN" w:bidi="ar"/>
              </w:rPr>
              <w:t xml:space="preserve">面料功能：抑菌、防螨    </w:t>
            </w:r>
          </w:p>
          <w:p>
            <w:pPr>
              <w:keepNext w:val="0"/>
              <w:keepLines w:val="0"/>
              <w:widowControl/>
              <w:suppressLineNumbers w:val="0"/>
              <w:jc w:val="left"/>
              <w:textAlignment w:val="center"/>
              <w:rPr>
                <w:rStyle w:val="120"/>
                <w:rFonts w:hint="eastAsia" w:ascii="宋体" w:hAnsi="宋体" w:eastAsia="宋体" w:cs="宋体"/>
                <w:b w:val="0"/>
                <w:bCs w:val="0"/>
                <w:color w:val="auto"/>
                <w:highlight w:val="none"/>
                <w:lang w:val="en-US" w:eastAsia="zh-CN" w:bidi="ar"/>
              </w:rPr>
            </w:pPr>
            <w:r>
              <w:rPr>
                <w:rStyle w:val="120"/>
                <w:rFonts w:hint="eastAsia" w:ascii="宋体" w:hAnsi="宋体" w:eastAsia="宋体" w:cs="宋体"/>
                <w:b w:val="0"/>
                <w:bCs w:val="0"/>
                <w:color w:val="auto"/>
                <w:highlight w:val="none"/>
                <w:lang w:val="en-US" w:eastAsia="zh-CN" w:bidi="ar"/>
              </w:rPr>
              <w:t xml:space="preserve">尺寸：1500*2000，床垫厚度220及以上                      环保等级：E0级                  </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Style w:val="120"/>
                <w:rFonts w:hint="eastAsia" w:ascii="宋体" w:hAnsi="宋体" w:eastAsia="宋体" w:cs="宋体"/>
                <w:b w:val="0"/>
                <w:bCs w:val="0"/>
                <w:color w:val="auto"/>
                <w:highlight w:val="none"/>
                <w:lang w:val="en-US" w:eastAsia="zh-CN" w:bidi="ar"/>
              </w:rPr>
              <w:t>软硬度：软硬适中</w:t>
            </w:r>
          </w:p>
        </w:tc>
        <w:tc>
          <w:tcPr>
            <w:tcW w:w="111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张</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4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3767.04</w:t>
            </w:r>
          </w:p>
        </w:tc>
        <w:tc>
          <w:tcPr>
            <w:tcW w:w="1598" w:type="dxa"/>
            <w:shd w:val="clear" w:color="auto" w:fill="auto"/>
            <w:noWrap/>
            <w:vAlign w:val="center"/>
          </w:tcPr>
          <w:p>
            <w:pPr>
              <w:keepNext w:val="0"/>
              <w:keepLines w:val="0"/>
              <w:widowControl/>
              <w:suppressLineNumbers w:val="0"/>
              <w:jc w:val="right"/>
              <w:textAlignment w:val="center"/>
              <w:rPr>
                <w:rFonts w:hint="default"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15068.16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575"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w:t>
            </w:r>
          </w:p>
        </w:tc>
        <w:tc>
          <w:tcPr>
            <w:tcW w:w="1373"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床垫1800*2000</w:t>
            </w:r>
          </w:p>
        </w:tc>
        <w:tc>
          <w:tcPr>
            <w:tcW w:w="1868"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床垫1800*2000(全乳胶垫+床垫 护垫)</w:t>
            </w:r>
          </w:p>
        </w:tc>
        <w:tc>
          <w:tcPr>
            <w:tcW w:w="1729" w:type="dxa"/>
            <w:shd w:val="clear" w:color="auto" w:fill="auto"/>
            <w:vAlign w:val="center"/>
          </w:tcPr>
          <w:p>
            <w:pPr>
              <w:jc w:val="center"/>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Style w:val="120"/>
                <w:rFonts w:hint="eastAsia" w:ascii="宋体" w:hAnsi="宋体" w:eastAsia="宋体" w:cs="宋体"/>
                <w:b w:val="0"/>
                <w:bCs w:val="0"/>
                <w:color w:val="auto"/>
                <w:highlight w:val="none"/>
                <w:lang w:val="en-US" w:eastAsia="zh-CN" w:bidi="ar"/>
              </w:rPr>
            </w:pPr>
            <w:r>
              <w:rPr>
                <w:rStyle w:val="120"/>
                <w:rFonts w:hint="eastAsia" w:ascii="宋体" w:hAnsi="宋体" w:eastAsia="宋体" w:cs="宋体"/>
                <w:b w:val="0"/>
                <w:bCs w:val="0"/>
                <w:color w:val="auto"/>
                <w:highlight w:val="none"/>
                <w:lang w:val="en-US" w:eastAsia="zh-CN" w:bidi="ar"/>
              </w:rPr>
              <w:t xml:space="preserve">品名：乳胶床垫            </w:t>
            </w:r>
          </w:p>
          <w:p>
            <w:pPr>
              <w:keepNext w:val="0"/>
              <w:keepLines w:val="0"/>
              <w:widowControl/>
              <w:suppressLineNumbers w:val="0"/>
              <w:jc w:val="left"/>
              <w:textAlignment w:val="center"/>
              <w:rPr>
                <w:rStyle w:val="120"/>
                <w:rFonts w:hint="eastAsia" w:ascii="宋体" w:hAnsi="宋体" w:eastAsia="宋体" w:cs="宋体"/>
                <w:b w:val="0"/>
                <w:bCs w:val="0"/>
                <w:color w:val="auto"/>
                <w:highlight w:val="none"/>
                <w:lang w:val="en-US" w:eastAsia="zh-CN" w:bidi="ar"/>
              </w:rPr>
            </w:pPr>
            <w:r>
              <w:rPr>
                <w:rStyle w:val="120"/>
                <w:rFonts w:hint="eastAsia" w:ascii="宋体" w:hAnsi="宋体" w:eastAsia="宋体" w:cs="宋体"/>
                <w:b w:val="0"/>
                <w:bCs w:val="0"/>
                <w:color w:val="auto"/>
                <w:highlight w:val="none"/>
                <w:lang w:val="en-US" w:eastAsia="zh-CN" w:bidi="ar"/>
              </w:rPr>
              <w:t xml:space="preserve">  材</w:t>
            </w:r>
            <w:r>
              <w:rPr>
                <w:rStyle w:val="127"/>
                <w:rFonts w:hint="eastAsia" w:ascii="宋体" w:hAnsi="宋体" w:eastAsia="宋体" w:cs="宋体"/>
                <w:b w:val="0"/>
                <w:bCs w:val="0"/>
                <w:color w:val="auto"/>
                <w:highlight w:val="none"/>
                <w:lang w:val="en-US" w:eastAsia="zh-CN" w:bidi="ar"/>
              </w:rPr>
              <w:t xml:space="preserve">质：乳胶    </w:t>
            </w:r>
            <w:r>
              <w:rPr>
                <w:rStyle w:val="120"/>
                <w:rFonts w:hint="eastAsia" w:ascii="宋体" w:hAnsi="宋体" w:eastAsia="宋体" w:cs="宋体"/>
                <w:b w:val="0"/>
                <w:bCs w:val="0"/>
                <w:color w:val="auto"/>
                <w:highlight w:val="none"/>
                <w:lang w:val="en-US" w:eastAsia="zh-CN" w:bidi="ar"/>
              </w:rPr>
              <w:t xml:space="preserve">                                 外包面料材质：针织面料     </w:t>
            </w:r>
          </w:p>
          <w:p>
            <w:pPr>
              <w:keepNext w:val="0"/>
              <w:keepLines w:val="0"/>
              <w:widowControl/>
              <w:suppressLineNumbers w:val="0"/>
              <w:jc w:val="left"/>
              <w:textAlignment w:val="center"/>
              <w:rPr>
                <w:rStyle w:val="120"/>
                <w:rFonts w:hint="eastAsia" w:ascii="宋体" w:hAnsi="宋体" w:eastAsia="宋体" w:cs="宋体"/>
                <w:b w:val="0"/>
                <w:bCs w:val="0"/>
                <w:color w:val="auto"/>
                <w:highlight w:val="none"/>
                <w:lang w:val="en-US" w:eastAsia="zh-CN" w:bidi="ar"/>
              </w:rPr>
            </w:pPr>
            <w:r>
              <w:rPr>
                <w:rStyle w:val="120"/>
                <w:rFonts w:hint="eastAsia" w:ascii="宋体" w:hAnsi="宋体" w:eastAsia="宋体" w:cs="宋体"/>
                <w:b w:val="0"/>
                <w:bCs w:val="0"/>
                <w:color w:val="auto"/>
                <w:highlight w:val="none"/>
                <w:lang w:val="en-US" w:eastAsia="zh-CN" w:bidi="ar"/>
              </w:rPr>
              <w:t xml:space="preserve"> 面料功能：抑菌、防螨        </w:t>
            </w:r>
          </w:p>
          <w:p>
            <w:pPr>
              <w:keepNext w:val="0"/>
              <w:keepLines w:val="0"/>
              <w:widowControl/>
              <w:suppressLineNumbers w:val="0"/>
              <w:jc w:val="left"/>
              <w:textAlignment w:val="center"/>
              <w:rPr>
                <w:rStyle w:val="120"/>
                <w:rFonts w:hint="eastAsia" w:ascii="宋体" w:hAnsi="宋体" w:eastAsia="宋体" w:cs="宋体"/>
                <w:b w:val="0"/>
                <w:bCs w:val="0"/>
                <w:color w:val="auto"/>
                <w:highlight w:val="none"/>
                <w:lang w:val="en-US" w:eastAsia="zh-CN" w:bidi="ar"/>
              </w:rPr>
            </w:pPr>
            <w:r>
              <w:rPr>
                <w:rStyle w:val="120"/>
                <w:rFonts w:hint="eastAsia" w:ascii="宋体" w:hAnsi="宋体" w:eastAsia="宋体" w:cs="宋体"/>
                <w:b w:val="0"/>
                <w:bCs w:val="0"/>
                <w:color w:val="auto"/>
                <w:highlight w:val="none"/>
                <w:lang w:val="en-US" w:eastAsia="zh-CN" w:bidi="ar"/>
              </w:rPr>
              <w:t xml:space="preserve">尺寸：1800*2000，床垫厚度220及以上                      环保等级：E0级               </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Style w:val="120"/>
                <w:rFonts w:hint="eastAsia" w:ascii="宋体" w:hAnsi="宋体" w:eastAsia="宋体" w:cs="宋体"/>
                <w:b w:val="0"/>
                <w:bCs w:val="0"/>
                <w:color w:val="auto"/>
                <w:highlight w:val="none"/>
                <w:lang w:val="en-US" w:eastAsia="zh-CN" w:bidi="ar"/>
              </w:rPr>
              <w:t>软硬度：软硬适中</w:t>
            </w:r>
          </w:p>
        </w:tc>
        <w:tc>
          <w:tcPr>
            <w:tcW w:w="111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张</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17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4551.84</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77381.28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380"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w:t>
            </w:r>
          </w:p>
        </w:tc>
        <w:tc>
          <w:tcPr>
            <w:tcW w:w="1373"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床尾凳</w:t>
            </w:r>
          </w:p>
        </w:tc>
        <w:tc>
          <w:tcPr>
            <w:tcW w:w="1868" w:type="dxa"/>
            <w:shd w:val="clear" w:color="auto" w:fill="auto"/>
            <w:vAlign w:val="center"/>
          </w:tcPr>
          <w:p>
            <w:pPr>
              <w:jc w:val="left"/>
              <w:rPr>
                <w:rFonts w:hint="eastAsia" w:ascii="宋体" w:hAnsi="宋体" w:eastAsia="宋体" w:cs="宋体"/>
                <w:b w:val="0"/>
                <w:bCs w:val="0"/>
                <w:i w:val="0"/>
                <w:iCs w:val="0"/>
                <w:color w:val="auto"/>
                <w:sz w:val="22"/>
                <w:szCs w:val="22"/>
                <w:highlight w:val="none"/>
                <w:u w:val="none"/>
              </w:rPr>
            </w:pPr>
          </w:p>
        </w:tc>
        <w:tc>
          <w:tcPr>
            <w:tcW w:w="1729" w:type="dxa"/>
            <w:shd w:val="clear" w:color="auto" w:fill="auto"/>
            <w:vAlign w:val="center"/>
          </w:tcPr>
          <w:p>
            <w:pPr>
              <w:jc w:val="center"/>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 xml:space="preserve">品名：布艺床尾凳                  风格：诧寂风                      外包材质：100%亚麻            </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 xml:space="preserve">填充材质：高密度回弹海绵             尺寸：180*45*55         </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 xml:space="preserve">环保等级：E0级            </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软硬度：软硬适中                                          </w:t>
            </w:r>
          </w:p>
        </w:tc>
        <w:tc>
          <w:tcPr>
            <w:tcW w:w="111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张</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18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2354.4</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42379.2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7"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双人床</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1）1500*2000双人床(配套床头柜、床尾凳)；</w:t>
            </w:r>
          </w:p>
        </w:tc>
        <w:tc>
          <w:tcPr>
            <w:tcW w:w="1729" w:type="dxa"/>
            <w:shd w:val="clear" w:color="auto" w:fill="auto"/>
            <w:vAlign w:val="center"/>
          </w:tcPr>
          <w:p>
            <w:pPr>
              <w:jc w:val="center"/>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 xml:space="preserve">品名：原木大板床及实木床头柜                  风格：诧寂风榻榻米地台床                      材质：旧硬木（柚木、橡木）      </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家具结构：框架结构                      环保等级：E0级                      尺寸:1500*2000双人床，1.侧板采用18mm厚板2.床头、床尾板均为50mm厚板3.所有板材环保等级为E0级4.床铺板要求厚度18mm以上（含18mm）</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2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8632.8</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17265.6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161"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7</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双人床</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1）1800*2000双人床(配套床头柜、床尾凳)；</w:t>
            </w:r>
          </w:p>
        </w:tc>
        <w:tc>
          <w:tcPr>
            <w:tcW w:w="1729" w:type="dxa"/>
            <w:shd w:val="clear" w:color="auto" w:fill="auto"/>
            <w:vAlign w:val="center"/>
          </w:tcPr>
          <w:p>
            <w:pPr>
              <w:jc w:val="center"/>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品名：原木大板床及实木床头柜                  风格：诧寂风榻榻米地台床                      材质：旧硬木（柚木、橡木）        家具结构：框架结构                      环保等级：E0级                      尺寸:1800*2000双人床，1.侧板采用18mm厚板2.床头、床尾板均为50mm厚板3.环保等级为E0级4.床铺板要求厚度18mm以上（含18mm）  </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1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10202.4</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10202.4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57"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实木定制衣柜</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1）600*2100*2400实木定制衣柜；</w:t>
            </w:r>
          </w:p>
        </w:tc>
        <w:tc>
          <w:tcPr>
            <w:tcW w:w="1729"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438150" cy="552450"/>
                  <wp:effectExtent l="0" t="0" r="0" b="0"/>
                  <wp:docPr id="212" name="图片 2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2" descr="IMG_256"/>
                          <pic:cNvPicPr>
                            <a:picLocks noChangeAspect="1"/>
                          </pic:cNvPicPr>
                        </pic:nvPicPr>
                        <pic:blipFill>
                          <a:blip r:embed="rId159"/>
                          <a:stretch>
                            <a:fillRect/>
                          </a:stretch>
                        </pic:blipFill>
                        <pic:spPr>
                          <a:xfrm>
                            <a:off x="0" y="0"/>
                            <a:ext cx="438150" cy="552450"/>
                          </a:xfrm>
                          <a:prstGeom prst="rect">
                            <a:avLst/>
                          </a:prstGeom>
                          <a:noFill/>
                          <a:ln w="9525">
                            <a:noFill/>
                          </a:ln>
                        </pic:spPr>
                      </pic:pic>
                    </a:graphicData>
                  </a:graphic>
                </wp:inline>
              </w:drawing>
            </w: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品名：实木定制衣柜                  风格：诧寂风                      材质：风化纹老旧硬木（柚木、橡木）                      开合方式：平开门式              附加功能：储藏               2根挂衣杆：椭圆形铝合金材质 ，铝合金直径：30*15*1       抽屉导轨三节轨，钢材质，长380mm                       环保等级：E0级                      尺寸:600*2100*2400</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8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3041.1</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24328.8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57"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9</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定制衣柜</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1）定制衣柜；</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2）尺寸：0.55*2.4*2.4m；</w:t>
            </w:r>
          </w:p>
        </w:tc>
        <w:tc>
          <w:tcPr>
            <w:tcW w:w="1729"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409575" cy="647700"/>
                  <wp:effectExtent l="0" t="0" r="0" b="0"/>
                  <wp:docPr id="217" name="图片 23"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3" descr="IMG_257"/>
                          <pic:cNvPicPr>
                            <a:picLocks noChangeAspect="1"/>
                          </pic:cNvPicPr>
                        </pic:nvPicPr>
                        <pic:blipFill>
                          <a:blip r:embed="rId160"/>
                          <a:stretch>
                            <a:fillRect/>
                          </a:stretch>
                        </pic:blipFill>
                        <pic:spPr>
                          <a:xfrm>
                            <a:off x="0" y="0"/>
                            <a:ext cx="409575" cy="647700"/>
                          </a:xfrm>
                          <a:prstGeom prst="rect">
                            <a:avLst/>
                          </a:prstGeom>
                          <a:noFill/>
                          <a:ln w="9525">
                            <a:noFill/>
                          </a:ln>
                        </pic:spPr>
                      </pic:pic>
                    </a:graphicData>
                  </a:graphic>
                </wp:inline>
              </w:drawing>
            </w: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品名：实木定制衣柜                  风格：诧寂风                      材质：风化纹老旧硬木（柚木、橡木）                      开合方式：平开门式              附加功能：储藏               2根挂衣杆：椭圆形铝合金材质 ，铝合金直径：30*15*1       抽屉导轨三节轨，钢材质，长380mm                       环保等级：E0级                       尺寸:0.55*2.4*2.4m</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m2</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6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937.4</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5624.4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57"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10</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成品衣柜</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1）成品衣柜；</w:t>
            </w:r>
          </w:p>
        </w:tc>
        <w:tc>
          <w:tcPr>
            <w:tcW w:w="1729" w:type="dxa"/>
            <w:shd w:val="clear" w:color="auto" w:fill="auto"/>
            <w:vAlign w:val="center"/>
          </w:tcPr>
          <w:p>
            <w:pPr>
              <w:jc w:val="center"/>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品名：实木成品衣柜                  风格：诧寂风                      材质：风化纹老旧硬木（柚木、橡木）                      开合方式：平开门式              附加功能：储藏               2根挂衣杆：椭圆形铝合金材质 ，铝合金直径：30*15*1       抽屉导轨三节轨，钢材质，长380mm                       环保等级：E0级                      尺寸:600*2400*2800</w:t>
            </w:r>
          </w:p>
        </w:tc>
        <w:tc>
          <w:tcPr>
            <w:tcW w:w="1118" w:type="dxa"/>
            <w:shd w:val="clear" w:color="auto" w:fill="FFFFFF"/>
            <w:vAlign w:val="center"/>
          </w:tcPr>
          <w:p>
            <w:pPr>
              <w:keepNext w:val="0"/>
              <w:keepLines w:val="0"/>
              <w:widowControl/>
              <w:suppressLineNumbers w:val="0"/>
              <w:jc w:val="center"/>
              <w:textAlignment w:val="center"/>
              <w:rPr>
                <w:rFonts w:hint="default" w:ascii="宋体" w:hAnsi="宋体" w:eastAsia="宋体" w:cs="宋体"/>
                <w:b w:val="0"/>
                <w:bCs w:val="0"/>
                <w:i w:val="0"/>
                <w:iCs w:val="0"/>
                <w:color w:val="auto"/>
                <w:sz w:val="22"/>
                <w:szCs w:val="22"/>
                <w:highlight w:val="none"/>
                <w:u w:val="none"/>
                <w:lang w:val="en-US" w:eastAsia="zh-CN"/>
              </w:rPr>
            </w:pPr>
            <w:r>
              <w:rPr>
                <w:rFonts w:hint="eastAsia" w:ascii="宋体" w:hAnsi="宋体" w:cs="宋体"/>
                <w:b w:val="0"/>
                <w:bCs w:val="0"/>
                <w:i w:val="0"/>
                <w:iCs w:val="0"/>
                <w:color w:val="auto"/>
                <w:sz w:val="22"/>
                <w:szCs w:val="22"/>
                <w:highlight w:val="none"/>
                <w:u w:val="none"/>
                <w:lang w:val="en-US" w:eastAsia="zh-CN"/>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2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10202.4</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20404.8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771"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11</w:t>
            </w:r>
          </w:p>
        </w:tc>
        <w:tc>
          <w:tcPr>
            <w:tcW w:w="1373"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单人沙发</w:t>
            </w:r>
          </w:p>
        </w:tc>
        <w:tc>
          <w:tcPr>
            <w:tcW w:w="1868"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10*95*65CM100%亚麻布套</w:t>
            </w:r>
          </w:p>
        </w:tc>
        <w:tc>
          <w:tcPr>
            <w:tcW w:w="1729" w:type="dxa"/>
            <w:shd w:val="clear" w:color="auto" w:fill="auto"/>
            <w:vAlign w:val="center"/>
          </w:tcPr>
          <w:p>
            <w:pPr>
              <w:jc w:val="center"/>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品名：单人沙发                    风格：诧寂风                      材质：纯手工制作100%亚麻布套（靠枕、抱枕均为纯手工蓝印花布）                        填充材质：高密度回弹海绵                       环保等级：E0级                      尺寸: 1000*700*H650，      100%亚麻布套：10*95*65CM</w:t>
            </w:r>
          </w:p>
        </w:tc>
        <w:tc>
          <w:tcPr>
            <w:tcW w:w="111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张</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44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3117.4</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137165.6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966"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12</w:t>
            </w:r>
          </w:p>
        </w:tc>
        <w:tc>
          <w:tcPr>
            <w:tcW w:w="1373"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双人沙发</w:t>
            </w:r>
          </w:p>
        </w:tc>
        <w:tc>
          <w:tcPr>
            <w:tcW w:w="1868"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190*90*65CM100%亚麻布套</w:t>
            </w:r>
          </w:p>
        </w:tc>
        <w:tc>
          <w:tcPr>
            <w:tcW w:w="1729" w:type="dxa"/>
            <w:shd w:val="clear" w:color="auto" w:fill="auto"/>
            <w:vAlign w:val="center"/>
          </w:tcPr>
          <w:p>
            <w:pPr>
              <w:jc w:val="right"/>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品名：双人沙发                    风格：诧寂风                      材质：纯手工制作100%亚麻布套（靠枕、抱枕均为纯手工蓝印花布）                        填充材质：高密度回弹海绵                       环保等级：E0级                        尺寸:1600*1200*H650，    100%亚麻布套：190*90*65CM </w:t>
            </w:r>
          </w:p>
        </w:tc>
        <w:tc>
          <w:tcPr>
            <w:tcW w:w="111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张</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12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5450</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65400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0"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13</w:t>
            </w:r>
          </w:p>
        </w:tc>
        <w:tc>
          <w:tcPr>
            <w:tcW w:w="1373"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三人沙发</w:t>
            </w:r>
          </w:p>
        </w:tc>
        <w:tc>
          <w:tcPr>
            <w:tcW w:w="1868" w:type="dxa"/>
            <w:shd w:val="clear" w:color="auto" w:fill="auto"/>
            <w:vAlign w:val="center"/>
          </w:tcPr>
          <w:p>
            <w:pPr>
              <w:jc w:val="left"/>
              <w:rPr>
                <w:rFonts w:hint="eastAsia" w:ascii="宋体" w:hAnsi="宋体" w:eastAsia="宋体" w:cs="宋体"/>
                <w:b w:val="0"/>
                <w:bCs w:val="0"/>
                <w:i w:val="0"/>
                <w:iCs w:val="0"/>
                <w:color w:val="auto"/>
                <w:sz w:val="22"/>
                <w:szCs w:val="22"/>
                <w:highlight w:val="none"/>
                <w:u w:val="none"/>
              </w:rPr>
            </w:pPr>
          </w:p>
        </w:tc>
        <w:tc>
          <w:tcPr>
            <w:tcW w:w="1729" w:type="dxa"/>
            <w:shd w:val="clear" w:color="auto" w:fill="auto"/>
            <w:vAlign w:val="center"/>
          </w:tcPr>
          <w:p>
            <w:pPr>
              <w:jc w:val="right"/>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品名：三人沙发                     风格：诧寂风                      材质：纯手工制作100%亚麻布套（靠枕、抱枕均为纯手工蓝印花布）                        填充材质：高密度回弹海绵                       环保等级：E0级                           尺寸:2200*1000*H700，100%亚麻布套：250*90*65 </w:t>
            </w:r>
          </w:p>
        </w:tc>
        <w:tc>
          <w:tcPr>
            <w:tcW w:w="111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张</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8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7041.4</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56331.2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552"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14</w:t>
            </w:r>
          </w:p>
        </w:tc>
        <w:tc>
          <w:tcPr>
            <w:tcW w:w="1373" w:type="dxa"/>
            <w:tcBorders>
              <w:tr2bl w:val="single" w:color="FFFFFF" w:sz="8" w:space="0"/>
            </w:tcBorders>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实木书桌</w:t>
            </w:r>
          </w:p>
        </w:tc>
        <w:tc>
          <w:tcPr>
            <w:tcW w:w="1868" w:type="dxa"/>
            <w:tcBorders>
              <w:tr2bl w:val="single" w:color="FFFFFF" w:sz="8" w:space="0"/>
            </w:tcBorders>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1）实木书桌；</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vAlign w:val="center"/>
          </w:tcPr>
          <w:p>
            <w:pPr>
              <w:jc w:val="right"/>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风格：诧寂风                      材质：风化纹老旧硬木（柚木、橡木）                      结构：卯榫结构              环保等级：E0级                          尺寸：1000*750*500          1.面板1000mm*500mm*25mm</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2.桌脚规格：725mm*60mm*25mm</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3.双侧原木挂钩，桌面挡板，开放式储物架</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4.整体表面采用木蜡油处理，表面光滑                                         </w:t>
            </w:r>
          </w:p>
        </w:tc>
        <w:tc>
          <w:tcPr>
            <w:tcW w:w="1118" w:type="dxa"/>
            <w:tcBorders>
              <w:tr2bl w:val="single" w:color="FFFFFF" w:sz="8"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3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1962</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5886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47"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15</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单人休闲椅</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1）单人休闲桌椅；</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vAlign w:val="center"/>
          </w:tcPr>
          <w:p>
            <w:pPr>
              <w:jc w:val="right"/>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 xml:space="preserve">风格：诧寂风                </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材质：老旧硬木（柚木、橡木） ＋纯手工蓝印花布沙发套                   填充物：实木、45D高回弹＋高密度海绵、丝绵、7CM蛇形拉簧结构：卯榫结构                尺寸：95*61*681.靠背弧形靠背，符合人体工程学</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2.凳脚为350mm圆柱形</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3.坐垫板尺寸为480mm*430mm*20mm，加1.1mm纯手工蓝印花布包30mm高密度30mm海绵</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21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632.2</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13276.2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575"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16</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地柜</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1）地柜；</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vAlign w:val="center"/>
          </w:tcPr>
          <w:p>
            <w:pPr>
              <w:jc w:val="right"/>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风格：诧寂风                      材质：老旧硬木（柚木、橡木、船木、红木）                                      尺寸：8.2*0.35*2.7，隔板厚度：25mm，柜腿180mm         拉手：材质为304不锈钢                          铰链：304不锈抽屉导轨三节轨，钢材质，长380mm</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4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2496.1</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9984.4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5"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17</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置物柜</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1）4.2*0.35*2.7置物柜；</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vAlign w:val="center"/>
          </w:tcPr>
          <w:p>
            <w:pPr>
              <w:jc w:val="right"/>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风格：诧寂风                      材质：老旧硬木（柚木、橡木、船木、红木）</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 xml:space="preserve">尺寸：4.2*0.35*2.7，隔板厚度：25mm，柜腿180mm，       </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拉手：材质为304不锈钢                         铰链：304不锈抽屉导轨三节轨，钢材质，长380mm</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1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3215.5</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3215.5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185"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18</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老木头书柜</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1）350*900*2700mm老木头书柜；</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vAlign w:val="center"/>
          </w:tcPr>
          <w:p>
            <w:pPr>
              <w:jc w:val="right"/>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风格：诧寂风                      材质：老旧硬木（柚木、橡木、船木、红木）</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尺寸：350*900*2700mm，隔板实木厚度：50mm，隔板10层间距220mm，柜腿180mm</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14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2507</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35098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5"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19</w:t>
            </w:r>
          </w:p>
        </w:tc>
        <w:tc>
          <w:tcPr>
            <w:tcW w:w="1373" w:type="dxa"/>
            <w:tcBorders>
              <w:tr2bl w:val="single" w:color="FFFFFF" w:sz="8" w:space="0"/>
            </w:tcBorders>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餐边柜</w:t>
            </w:r>
          </w:p>
        </w:tc>
        <w:tc>
          <w:tcPr>
            <w:tcW w:w="1868" w:type="dxa"/>
            <w:tcBorders>
              <w:tr2bl w:val="single" w:color="FFFFFF" w:sz="8" w:space="0"/>
            </w:tcBorders>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1）餐边柜 0.5*1.8*0.85m；</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vAlign w:val="center"/>
          </w:tcPr>
          <w:p>
            <w:pPr>
              <w:jc w:val="right"/>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风格：诧寂风                      材质：老旧硬木（柚木、橡木、船木、红木）</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尺寸：600*600*H600          拉手：材质为304不锈钢                         铰链：304不锈抽屉导轨三节轨，钢材质，长380mm</w:t>
            </w:r>
          </w:p>
        </w:tc>
        <w:tc>
          <w:tcPr>
            <w:tcW w:w="1118" w:type="dxa"/>
            <w:tcBorders>
              <w:tr2bl w:val="single" w:color="FFFFFF" w:sz="8"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8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4687</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37496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380"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20</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圆几</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1）圆几；</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vAlign w:val="center"/>
          </w:tcPr>
          <w:p>
            <w:pPr>
              <w:jc w:val="right"/>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风格：诧寂风                       材质： 老旧硬木（柚木、橡木、船木、红木）或铁艺          结构：支架结构                           尺寸：800*800*H400，圆形桌面，原木桌腿，桌板厚度50mm</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15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2343.5</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35152.5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185"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21</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成品边几</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1）成品边几；</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vAlign w:val="center"/>
          </w:tcPr>
          <w:p>
            <w:pPr>
              <w:jc w:val="right"/>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风格：诧寂风                       材质：老榆木                结构：支架结构                      尺寸：600*600*H600 ，圆形桌面，实木桌腿，桌板厚度30mm</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5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1155.4</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5777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380"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22</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床品展示桌台</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1）床品展示桌台；</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vAlign w:val="center"/>
          </w:tcPr>
          <w:p>
            <w:pPr>
              <w:jc w:val="right"/>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风格：诧寂风                         材质：老旧硬木（柚木、橡木、船木、红木）                结构：支架结构                               尺寸：600*1800*H800，方形桌面，原木桌腿，桌板厚度50mm</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2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3117.4</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6234.8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185"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23</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四人实木休闲座椅组合</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1）四人成品休闲座椅组合；</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vAlign w:val="center"/>
          </w:tcPr>
          <w:p>
            <w:pPr>
              <w:jc w:val="right"/>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风格：诧寂风                        材质：老旧硬木（柚木、橡木、船木、红木）                                                桌子尺寸：950*610*H680，方形桌面桌板厚度50mm，原木桌腿 椅子尺寸：800*800*H400</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16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3139.2</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50227.2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2"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双人实木休闲座椅组合</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1）双人成品休闲座椅组合；</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vAlign w:val="center"/>
          </w:tcPr>
          <w:p>
            <w:pPr>
              <w:jc w:val="right"/>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风格：诧寂风                                      材质：老旧硬木（柚木、橡木、船木、红木）＋铁艺 ＋蓝印花布沙发套                             填充物：棉花+海绵                   桌子尺寸：95*61*68                 椅子尺寸：800*800*H400 靠背弧形靠背，符合人体工程学</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坐垫板尺寸：480mm*430mm*20mm，加1.1mm纯手工蓝印花布包30mm高密度30mm海绵 </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41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2354.4</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96530.4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380"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25</w:t>
            </w:r>
          </w:p>
        </w:tc>
        <w:tc>
          <w:tcPr>
            <w:tcW w:w="1373"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条桌</w:t>
            </w:r>
          </w:p>
        </w:tc>
        <w:tc>
          <w:tcPr>
            <w:tcW w:w="1868"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1）条桌 0.8*2.4*0.85m；</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vAlign w:val="center"/>
          </w:tcPr>
          <w:p>
            <w:pPr>
              <w:jc w:val="right"/>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风格：诧寂风                       材质：老旧硬木（柚木、橡木、船木）                      结构：支架结构                                             尺寸： 0.8*2.4*0.85m，方形桌面，原木桌腿，桌板厚度80mm</w:t>
            </w:r>
          </w:p>
        </w:tc>
        <w:tc>
          <w:tcPr>
            <w:tcW w:w="111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4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16088.4</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64353.6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0"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26</w:t>
            </w:r>
          </w:p>
        </w:tc>
        <w:tc>
          <w:tcPr>
            <w:tcW w:w="1373"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八人位实木条桌</w:t>
            </w:r>
          </w:p>
        </w:tc>
        <w:tc>
          <w:tcPr>
            <w:tcW w:w="1868"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1）八人位实木条桌；</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vAlign w:val="center"/>
          </w:tcPr>
          <w:p>
            <w:pPr>
              <w:jc w:val="right"/>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风格：诧寂风                       材质：老旧硬木（柚木、橡木、船木）                      结构：支架结构                              尺寸：0.8*2.4*0.85m，方形桌面，方形原木桌腿直径50mm，桌板厚度80mm   </w:t>
            </w:r>
          </w:p>
        </w:tc>
        <w:tc>
          <w:tcPr>
            <w:tcW w:w="111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2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4687</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9374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0"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27</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实木条桌</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1）800*2400实木条桌；</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vAlign w:val="center"/>
          </w:tcPr>
          <w:p>
            <w:pPr>
              <w:jc w:val="right"/>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风格：诧寂风                       材质：老旧硬木（柚木、橡木、船木）                     结构：支架结构                                 尺寸：800*2400，方形桌面，方形原木桌腿直径50mm，桌板厚度80mm    </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4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4861.4</w:t>
            </w:r>
          </w:p>
        </w:tc>
        <w:tc>
          <w:tcPr>
            <w:tcW w:w="1598" w:type="dxa"/>
            <w:shd w:val="clear" w:color="auto" w:fill="auto"/>
            <w:noWrap/>
            <w:vAlign w:val="center"/>
          </w:tcPr>
          <w:p>
            <w:pPr>
              <w:keepNext w:val="0"/>
              <w:keepLines w:val="0"/>
              <w:widowControl/>
              <w:suppressLineNumbers w:val="0"/>
              <w:jc w:val="right"/>
              <w:textAlignment w:val="center"/>
              <w:rPr>
                <w:rFonts w:hint="default"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19445.6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0"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28</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实木条桌</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1）800*2300实木条桌；</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vAlign w:val="center"/>
          </w:tcPr>
          <w:p>
            <w:pPr>
              <w:jc w:val="right"/>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风格：诧寂风                       材质：老旧硬木（柚木、橡木、船木）                      结构：支架结构                               尺寸：800*2300，方形桌面，方形原木桌腿直径50mm，桌板厚度80mm     </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1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4512.6</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4512.6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90"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29</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实木条桌</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1）900*2300实木条桌；</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vAlign w:val="center"/>
          </w:tcPr>
          <w:p>
            <w:pPr>
              <w:jc w:val="right"/>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风格：诧寂风                        材质：老旧硬木（柚木、橡木、船木）                      结构：支架结构                              尺寸：900*2300，方形桌面，方形原木桌腿直径50mm，桌板厚度80mm   </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6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4002.48</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24014.88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380"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30</w:t>
            </w:r>
          </w:p>
        </w:tc>
        <w:tc>
          <w:tcPr>
            <w:tcW w:w="1373" w:type="dxa"/>
            <w:tcBorders>
              <w:tr2bl w:val="single" w:color="FFFFFF" w:sz="8" w:space="0"/>
            </w:tcBorders>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实木条桌</w:t>
            </w:r>
          </w:p>
        </w:tc>
        <w:tc>
          <w:tcPr>
            <w:tcW w:w="1868" w:type="dxa"/>
            <w:tcBorders>
              <w:tr2bl w:val="single" w:color="FFFFFF" w:sz="8" w:space="0"/>
            </w:tcBorders>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1）800*1800实木条桌；</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vAlign w:val="center"/>
          </w:tcPr>
          <w:p>
            <w:pPr>
              <w:jc w:val="right"/>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风格：诧寂风                       材质：老旧硬木（柚木、橡木、船木）                      结构：支架结构                            尺寸：800*1800，方形桌面，方形原木桌腿直径50mm，桌板厚度80mm      </w:t>
            </w:r>
          </w:p>
        </w:tc>
        <w:tc>
          <w:tcPr>
            <w:tcW w:w="1118" w:type="dxa"/>
            <w:tcBorders>
              <w:tr2bl w:val="single" w:color="FFFFFF" w:sz="8"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1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3335.4</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3335.4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380"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32</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实木条桌</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1）600*2000实木条桌；</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vAlign w:val="center"/>
          </w:tcPr>
          <w:p>
            <w:pPr>
              <w:jc w:val="right"/>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Style w:val="120"/>
                <w:rFonts w:hint="eastAsia" w:ascii="宋体" w:hAnsi="宋体" w:eastAsia="宋体" w:cs="宋体"/>
                <w:b w:val="0"/>
                <w:bCs w:val="0"/>
                <w:color w:val="auto"/>
                <w:highlight w:val="none"/>
                <w:lang w:val="en-US" w:eastAsia="zh-CN" w:bidi="ar"/>
              </w:rPr>
              <w:t>风格：诧寂风                       材质：老旧硬木（柚木、橡木、船木）                      结构：支架结构                           尺寸：</w:t>
            </w:r>
            <w:r>
              <w:rPr>
                <w:rStyle w:val="130"/>
                <w:rFonts w:hint="eastAsia" w:ascii="宋体" w:hAnsi="宋体" w:eastAsia="宋体" w:cs="宋体"/>
                <w:b w:val="0"/>
                <w:bCs w:val="0"/>
                <w:color w:val="auto"/>
                <w:highlight w:val="none"/>
                <w:lang w:val="en-US" w:eastAsia="zh-CN" w:bidi="ar"/>
              </w:rPr>
              <w:t>600*2000*800</w:t>
            </w:r>
            <w:r>
              <w:rPr>
                <w:rStyle w:val="120"/>
                <w:rFonts w:hint="eastAsia" w:ascii="宋体" w:hAnsi="宋体" w:eastAsia="宋体" w:cs="宋体"/>
                <w:b w:val="0"/>
                <w:bCs w:val="0"/>
                <w:color w:val="auto"/>
                <w:highlight w:val="none"/>
                <w:lang w:val="en-US" w:eastAsia="zh-CN" w:bidi="ar"/>
              </w:rPr>
              <w:t xml:space="preserve">，方形桌面，方形原木桌腿直径50mm，桌板厚度80mm    </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3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3477.1</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10431.3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380"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33</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成品实木条桌</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1）成品实木条桌；</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vAlign w:val="center"/>
          </w:tcPr>
          <w:p>
            <w:pPr>
              <w:jc w:val="right"/>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Style w:val="120"/>
                <w:rFonts w:hint="eastAsia" w:ascii="宋体" w:hAnsi="宋体" w:eastAsia="宋体" w:cs="宋体"/>
                <w:b w:val="0"/>
                <w:bCs w:val="0"/>
                <w:color w:val="auto"/>
                <w:highlight w:val="none"/>
                <w:lang w:val="en-US" w:eastAsia="zh-CN" w:bidi="ar"/>
              </w:rPr>
              <w:t>风格：诧寂风                       材质：老旧硬木（柚木、橡木、船木）                      结构：支架结构                              尺寸：</w:t>
            </w:r>
            <w:r>
              <w:rPr>
                <w:rStyle w:val="130"/>
                <w:rFonts w:hint="eastAsia" w:ascii="宋体" w:hAnsi="宋体" w:eastAsia="宋体" w:cs="宋体"/>
                <w:b w:val="0"/>
                <w:bCs w:val="0"/>
                <w:color w:val="auto"/>
                <w:highlight w:val="none"/>
                <w:lang w:val="en-US" w:eastAsia="zh-CN" w:bidi="ar"/>
              </w:rPr>
              <w:t>600*1600*800</w:t>
            </w:r>
            <w:r>
              <w:rPr>
                <w:rStyle w:val="120"/>
                <w:rFonts w:hint="eastAsia" w:ascii="宋体" w:hAnsi="宋体" w:eastAsia="宋体" w:cs="宋体"/>
                <w:b w:val="0"/>
                <w:bCs w:val="0"/>
                <w:color w:val="auto"/>
                <w:highlight w:val="none"/>
                <w:lang w:val="en-US" w:eastAsia="zh-CN" w:bidi="ar"/>
              </w:rPr>
              <w:t xml:space="preserve">，方形桌面，方形原木桌腿直径50mm，桌板厚度80mm      </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2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2648.7</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5297.4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0"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34</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条凳</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1）条凳；</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vAlign w:val="center"/>
          </w:tcPr>
          <w:p>
            <w:pPr>
              <w:jc w:val="right"/>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Style w:val="120"/>
                <w:rFonts w:hint="eastAsia" w:ascii="宋体" w:hAnsi="宋体" w:eastAsia="宋体" w:cs="宋体"/>
                <w:b w:val="0"/>
                <w:bCs w:val="0"/>
                <w:color w:val="auto"/>
                <w:highlight w:val="none"/>
                <w:lang w:val="en-US" w:eastAsia="zh-CN" w:bidi="ar"/>
              </w:rPr>
              <w:t>风格：诧寂风                        风材质：老旧硬木（柚木、橡木、船木）                    结构：支架结构                           尺寸</w:t>
            </w:r>
            <w:r>
              <w:rPr>
                <w:rStyle w:val="130"/>
                <w:rFonts w:hint="eastAsia" w:ascii="宋体" w:hAnsi="宋体" w:eastAsia="宋体" w:cs="宋体"/>
                <w:b w:val="0"/>
                <w:bCs w:val="0"/>
                <w:color w:val="auto"/>
                <w:highlight w:val="none"/>
                <w:lang w:val="en-US" w:eastAsia="zh-CN" w:bidi="ar"/>
              </w:rPr>
              <w:t>：2200*500*450</w:t>
            </w:r>
            <w:r>
              <w:rPr>
                <w:rStyle w:val="120"/>
                <w:rFonts w:hint="eastAsia" w:ascii="宋体" w:hAnsi="宋体" w:eastAsia="宋体" w:cs="宋体"/>
                <w:b w:val="0"/>
                <w:bCs w:val="0"/>
                <w:color w:val="auto"/>
                <w:highlight w:val="none"/>
                <w:lang w:val="en-US" w:eastAsia="zh-CN" w:bidi="ar"/>
              </w:rPr>
              <w:t xml:space="preserve">，圆形凳腿，直径80mm，凳板厚度50mm               </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6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1460.6</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8763.6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380"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35</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高脚凳</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1）高脚凳；</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vAlign w:val="center"/>
          </w:tcPr>
          <w:p>
            <w:pPr>
              <w:jc w:val="center"/>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 xml:space="preserve">材质：白蜡木＋棕色真皮坐垫组合                          风格：极简                         </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尺寸：160*70*103背高*75坐高，符合人体工程学，凳脚为35，整体表面采用木蜡油处理，表面光滑</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4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828.4</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3313.6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47"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36</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L型卡座沙发</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1）L型卡座沙发；</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vAlign w:val="center"/>
          </w:tcPr>
          <w:p>
            <w:pPr>
              <w:jc w:val="right"/>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Style w:val="120"/>
                <w:rFonts w:hint="eastAsia" w:ascii="宋体" w:hAnsi="宋体" w:eastAsia="宋体" w:cs="宋体"/>
                <w:b w:val="0"/>
                <w:bCs w:val="0"/>
                <w:color w:val="auto"/>
                <w:highlight w:val="none"/>
                <w:lang w:val="en-US" w:eastAsia="zh-CN" w:bidi="ar"/>
              </w:rPr>
            </w:pPr>
            <w:r>
              <w:rPr>
                <w:rStyle w:val="120"/>
                <w:rFonts w:hint="eastAsia" w:ascii="宋体" w:hAnsi="宋体" w:eastAsia="宋体" w:cs="宋体"/>
                <w:b w:val="0"/>
                <w:bCs w:val="0"/>
                <w:color w:val="auto"/>
                <w:highlight w:val="none"/>
                <w:lang w:val="en-US" w:eastAsia="zh-CN" w:bidi="ar"/>
              </w:rPr>
              <w:t xml:space="preserve">风格：诧寂风                材质：白蜡木＋亚麻布套                  填充物：高密度海绵                                            </w:t>
            </w:r>
          </w:p>
          <w:p>
            <w:pPr>
              <w:keepNext w:val="0"/>
              <w:keepLines w:val="0"/>
              <w:widowControl/>
              <w:suppressLineNumbers w:val="0"/>
              <w:jc w:val="left"/>
              <w:textAlignment w:val="center"/>
              <w:rPr>
                <w:rStyle w:val="120"/>
                <w:rFonts w:hint="eastAsia" w:ascii="宋体" w:hAnsi="宋体" w:eastAsia="宋体" w:cs="宋体"/>
                <w:b w:val="0"/>
                <w:bCs w:val="0"/>
                <w:color w:val="auto"/>
                <w:highlight w:val="none"/>
                <w:lang w:val="en-US" w:eastAsia="zh-CN" w:bidi="ar"/>
              </w:rPr>
            </w:pPr>
            <w:r>
              <w:rPr>
                <w:rStyle w:val="130"/>
                <w:rFonts w:hint="eastAsia" w:ascii="宋体" w:hAnsi="宋体" w:eastAsia="宋体" w:cs="宋体"/>
                <w:b w:val="0"/>
                <w:bCs w:val="0"/>
                <w:color w:val="auto"/>
                <w:highlight w:val="none"/>
                <w:lang w:val="en-US" w:eastAsia="zh-CN" w:bidi="ar"/>
              </w:rPr>
              <w:t>尺寸：2900*1000*700，</w:t>
            </w:r>
            <w:r>
              <w:rPr>
                <w:rStyle w:val="120"/>
                <w:rFonts w:hint="eastAsia" w:ascii="宋体" w:hAnsi="宋体" w:eastAsia="宋体" w:cs="宋体"/>
                <w:b w:val="0"/>
                <w:bCs w:val="0"/>
                <w:color w:val="auto"/>
                <w:highlight w:val="none"/>
                <w:lang w:val="en-US" w:eastAsia="zh-CN" w:bidi="ar"/>
              </w:rPr>
              <w:t xml:space="preserve">         面料材质：耐磨性能:&gt;40000</w:t>
            </w:r>
          </w:p>
          <w:p>
            <w:pPr>
              <w:keepNext w:val="0"/>
              <w:keepLines w:val="0"/>
              <w:widowControl/>
              <w:suppressLineNumbers w:val="0"/>
              <w:jc w:val="left"/>
              <w:textAlignment w:val="center"/>
              <w:rPr>
                <w:rStyle w:val="120"/>
                <w:rFonts w:hint="eastAsia" w:ascii="宋体" w:hAnsi="宋体" w:eastAsia="宋体" w:cs="宋体"/>
                <w:b w:val="0"/>
                <w:bCs w:val="0"/>
                <w:color w:val="auto"/>
                <w:highlight w:val="none"/>
                <w:lang w:val="en-US" w:eastAsia="zh-CN" w:bidi="ar"/>
              </w:rPr>
            </w:pPr>
            <w:r>
              <w:rPr>
                <w:rStyle w:val="120"/>
                <w:rFonts w:hint="eastAsia" w:ascii="宋体" w:hAnsi="宋体" w:eastAsia="宋体" w:cs="宋体"/>
                <w:b w:val="0"/>
                <w:bCs w:val="0"/>
                <w:color w:val="auto"/>
                <w:highlight w:val="none"/>
                <w:lang w:val="en-US" w:eastAsia="zh-CN" w:bidi="ar"/>
              </w:rPr>
              <w:t>摩擦色牢度:干4.0 湿磨4.0</w:t>
            </w:r>
          </w:p>
          <w:p>
            <w:pPr>
              <w:keepNext w:val="0"/>
              <w:keepLines w:val="0"/>
              <w:widowControl/>
              <w:suppressLineNumbers w:val="0"/>
              <w:jc w:val="left"/>
              <w:textAlignment w:val="center"/>
              <w:rPr>
                <w:rStyle w:val="120"/>
                <w:rFonts w:hint="eastAsia" w:ascii="宋体" w:hAnsi="宋体" w:eastAsia="宋体" w:cs="宋体"/>
                <w:b w:val="0"/>
                <w:bCs w:val="0"/>
                <w:color w:val="auto"/>
                <w:highlight w:val="none"/>
                <w:lang w:val="en-US" w:eastAsia="zh-CN" w:bidi="ar"/>
              </w:rPr>
            </w:pPr>
            <w:r>
              <w:rPr>
                <w:rStyle w:val="120"/>
                <w:rFonts w:hint="eastAsia" w:ascii="宋体" w:hAnsi="宋体" w:eastAsia="宋体" w:cs="宋体"/>
                <w:b w:val="0"/>
                <w:bCs w:val="0"/>
                <w:color w:val="auto"/>
                <w:highlight w:val="none"/>
                <w:lang w:val="en-US" w:eastAsia="zh-CN" w:bidi="ar"/>
              </w:rPr>
              <w:t>光照色牢度:4.0</w:t>
            </w:r>
          </w:p>
          <w:p>
            <w:pPr>
              <w:keepNext w:val="0"/>
              <w:keepLines w:val="0"/>
              <w:widowControl/>
              <w:suppressLineNumbers w:val="0"/>
              <w:jc w:val="left"/>
              <w:textAlignment w:val="center"/>
              <w:rPr>
                <w:rStyle w:val="120"/>
                <w:rFonts w:hint="eastAsia" w:ascii="宋体" w:hAnsi="宋体" w:eastAsia="宋体" w:cs="宋体"/>
                <w:b w:val="0"/>
                <w:bCs w:val="0"/>
                <w:color w:val="auto"/>
                <w:highlight w:val="none"/>
                <w:lang w:val="en-US" w:eastAsia="zh-CN" w:bidi="ar"/>
              </w:rPr>
            </w:pPr>
            <w:r>
              <w:rPr>
                <w:rStyle w:val="120"/>
                <w:rFonts w:hint="eastAsia" w:ascii="宋体" w:hAnsi="宋体" w:eastAsia="宋体" w:cs="宋体"/>
                <w:b w:val="0"/>
                <w:bCs w:val="0"/>
                <w:color w:val="auto"/>
                <w:highlight w:val="none"/>
                <w:lang w:val="en-US" w:eastAsia="zh-CN" w:bidi="ar"/>
              </w:rPr>
              <w:t>水洗色牢度:4.0</w:t>
            </w:r>
          </w:p>
          <w:p>
            <w:pPr>
              <w:keepNext w:val="0"/>
              <w:keepLines w:val="0"/>
              <w:widowControl/>
              <w:suppressLineNumbers w:val="0"/>
              <w:jc w:val="left"/>
              <w:textAlignment w:val="center"/>
              <w:rPr>
                <w:rStyle w:val="120"/>
                <w:rFonts w:hint="eastAsia" w:ascii="宋体" w:hAnsi="宋体" w:eastAsia="宋体" w:cs="宋体"/>
                <w:b w:val="0"/>
                <w:bCs w:val="0"/>
                <w:color w:val="auto"/>
                <w:highlight w:val="none"/>
                <w:lang w:val="en-US" w:eastAsia="zh-CN" w:bidi="ar"/>
              </w:rPr>
            </w:pPr>
            <w:r>
              <w:rPr>
                <w:rStyle w:val="120"/>
                <w:rFonts w:hint="eastAsia" w:ascii="宋体" w:hAnsi="宋体" w:eastAsia="宋体" w:cs="宋体"/>
                <w:b w:val="0"/>
                <w:bCs w:val="0"/>
                <w:color w:val="auto"/>
                <w:highlight w:val="none"/>
                <w:lang w:val="en-US" w:eastAsia="zh-CN" w:bidi="ar"/>
              </w:rPr>
              <w:t>抗起毛起球:4.5(5000转)</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Style w:val="120"/>
                <w:rFonts w:hint="eastAsia" w:ascii="宋体" w:hAnsi="宋体" w:eastAsia="宋体" w:cs="宋体"/>
                <w:b w:val="0"/>
                <w:bCs w:val="0"/>
                <w:color w:val="auto"/>
                <w:highlight w:val="none"/>
                <w:lang w:val="en-US" w:eastAsia="zh-CN" w:bidi="ar"/>
              </w:rPr>
              <w:t>转拉伸强度:经向1500N，纬向720N接缝滑移:经向4.6毫米，纬向3.9毫米</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15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9374</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140610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57"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37</w:t>
            </w:r>
          </w:p>
        </w:tc>
        <w:tc>
          <w:tcPr>
            <w:tcW w:w="1373"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组合沙发</w:t>
            </w:r>
          </w:p>
        </w:tc>
        <w:tc>
          <w:tcPr>
            <w:tcW w:w="1868" w:type="dxa"/>
            <w:shd w:val="clear" w:color="auto" w:fill="auto"/>
            <w:vAlign w:val="center"/>
          </w:tcPr>
          <w:p>
            <w:pPr>
              <w:jc w:val="left"/>
              <w:rPr>
                <w:rFonts w:hint="eastAsia" w:ascii="宋体" w:hAnsi="宋体" w:eastAsia="宋体" w:cs="宋体"/>
                <w:b w:val="0"/>
                <w:bCs w:val="0"/>
                <w:i w:val="0"/>
                <w:iCs w:val="0"/>
                <w:color w:val="auto"/>
                <w:sz w:val="22"/>
                <w:szCs w:val="22"/>
                <w:highlight w:val="none"/>
                <w:u w:val="none"/>
              </w:rPr>
            </w:pPr>
          </w:p>
        </w:tc>
        <w:tc>
          <w:tcPr>
            <w:tcW w:w="1729" w:type="dxa"/>
            <w:shd w:val="clear" w:color="auto" w:fill="auto"/>
            <w:vAlign w:val="center"/>
          </w:tcPr>
          <w:p>
            <w:pPr>
              <w:jc w:val="center"/>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Style w:val="127"/>
                <w:rFonts w:hint="eastAsia" w:ascii="宋体" w:hAnsi="宋体" w:eastAsia="宋体" w:cs="宋体"/>
                <w:b w:val="0"/>
                <w:bCs w:val="0"/>
                <w:color w:val="auto"/>
                <w:highlight w:val="none"/>
                <w:lang w:val="en-US" w:eastAsia="zh-CN" w:bidi="ar"/>
              </w:rPr>
            </w:pPr>
            <w:r>
              <w:rPr>
                <w:rStyle w:val="127"/>
                <w:rFonts w:hint="eastAsia" w:ascii="宋体" w:hAnsi="宋体" w:eastAsia="宋体" w:cs="宋体"/>
                <w:b w:val="0"/>
                <w:bCs w:val="0"/>
                <w:color w:val="auto"/>
                <w:highlight w:val="none"/>
                <w:lang w:val="en-US" w:eastAsia="zh-CN" w:bidi="ar"/>
              </w:rPr>
              <w:t xml:space="preserve">材质：老旧硬木（柚木、橡木）＋手工植物染蓝印花布沙发套                      填充物：高密度海绵                                   风格：诧寂风                         </w:t>
            </w:r>
          </w:p>
          <w:p>
            <w:pPr>
              <w:keepNext w:val="0"/>
              <w:keepLines w:val="0"/>
              <w:widowControl/>
              <w:suppressLineNumbers w:val="0"/>
              <w:jc w:val="left"/>
              <w:textAlignment w:val="center"/>
              <w:rPr>
                <w:rStyle w:val="127"/>
                <w:rFonts w:hint="eastAsia" w:ascii="宋体" w:hAnsi="宋体" w:eastAsia="宋体" w:cs="宋体"/>
                <w:b w:val="0"/>
                <w:bCs w:val="0"/>
                <w:color w:val="auto"/>
                <w:highlight w:val="none"/>
                <w:lang w:val="en-US" w:eastAsia="zh-CN" w:bidi="ar"/>
              </w:rPr>
            </w:pPr>
            <w:r>
              <w:rPr>
                <w:rStyle w:val="130"/>
                <w:rFonts w:hint="eastAsia" w:ascii="宋体" w:hAnsi="宋体" w:eastAsia="宋体" w:cs="宋体"/>
                <w:b w:val="0"/>
                <w:bCs w:val="0"/>
                <w:color w:val="auto"/>
                <w:highlight w:val="none"/>
                <w:lang w:val="en-US" w:eastAsia="zh-CN" w:bidi="ar"/>
              </w:rPr>
              <w:t xml:space="preserve">尺寸：1700*1000*700 </w:t>
            </w:r>
            <w:r>
              <w:rPr>
                <w:rStyle w:val="127"/>
                <w:rFonts w:hint="eastAsia" w:ascii="宋体" w:hAnsi="宋体" w:eastAsia="宋体" w:cs="宋体"/>
                <w:b w:val="0"/>
                <w:bCs w:val="0"/>
                <w:color w:val="auto"/>
                <w:highlight w:val="none"/>
                <w:lang w:val="en-US" w:eastAsia="zh-CN" w:bidi="ar"/>
              </w:rPr>
              <w:t xml:space="preserve">          面料材质：耐磨性能:&gt;40000</w:t>
            </w:r>
          </w:p>
          <w:p>
            <w:pPr>
              <w:keepNext w:val="0"/>
              <w:keepLines w:val="0"/>
              <w:widowControl/>
              <w:suppressLineNumbers w:val="0"/>
              <w:jc w:val="left"/>
              <w:textAlignment w:val="center"/>
              <w:rPr>
                <w:rStyle w:val="127"/>
                <w:rFonts w:hint="eastAsia" w:ascii="宋体" w:hAnsi="宋体" w:eastAsia="宋体" w:cs="宋体"/>
                <w:b w:val="0"/>
                <w:bCs w:val="0"/>
                <w:color w:val="auto"/>
                <w:highlight w:val="none"/>
                <w:lang w:val="en-US" w:eastAsia="zh-CN" w:bidi="ar"/>
              </w:rPr>
            </w:pPr>
            <w:r>
              <w:rPr>
                <w:rStyle w:val="127"/>
                <w:rFonts w:hint="eastAsia" w:ascii="宋体" w:hAnsi="宋体" w:eastAsia="宋体" w:cs="宋体"/>
                <w:b w:val="0"/>
                <w:bCs w:val="0"/>
                <w:color w:val="auto"/>
                <w:highlight w:val="none"/>
                <w:lang w:val="en-US" w:eastAsia="zh-CN" w:bidi="ar"/>
              </w:rPr>
              <w:t>摩擦色牢度:干4.0 湿磨4.0</w:t>
            </w:r>
          </w:p>
          <w:p>
            <w:pPr>
              <w:keepNext w:val="0"/>
              <w:keepLines w:val="0"/>
              <w:widowControl/>
              <w:suppressLineNumbers w:val="0"/>
              <w:jc w:val="left"/>
              <w:textAlignment w:val="center"/>
              <w:rPr>
                <w:rStyle w:val="127"/>
                <w:rFonts w:hint="eastAsia" w:ascii="宋体" w:hAnsi="宋体" w:eastAsia="宋体" w:cs="宋体"/>
                <w:b w:val="0"/>
                <w:bCs w:val="0"/>
                <w:color w:val="auto"/>
                <w:highlight w:val="none"/>
                <w:lang w:val="en-US" w:eastAsia="zh-CN" w:bidi="ar"/>
              </w:rPr>
            </w:pPr>
            <w:r>
              <w:rPr>
                <w:rStyle w:val="127"/>
                <w:rFonts w:hint="eastAsia" w:ascii="宋体" w:hAnsi="宋体" w:eastAsia="宋体" w:cs="宋体"/>
                <w:b w:val="0"/>
                <w:bCs w:val="0"/>
                <w:color w:val="auto"/>
                <w:highlight w:val="none"/>
                <w:lang w:val="en-US" w:eastAsia="zh-CN" w:bidi="ar"/>
              </w:rPr>
              <w:t>光照色牢度:4.0</w:t>
            </w:r>
          </w:p>
          <w:p>
            <w:pPr>
              <w:keepNext w:val="0"/>
              <w:keepLines w:val="0"/>
              <w:widowControl/>
              <w:suppressLineNumbers w:val="0"/>
              <w:jc w:val="left"/>
              <w:textAlignment w:val="center"/>
              <w:rPr>
                <w:rStyle w:val="127"/>
                <w:rFonts w:hint="eastAsia" w:ascii="宋体" w:hAnsi="宋体" w:eastAsia="宋体" w:cs="宋体"/>
                <w:b w:val="0"/>
                <w:bCs w:val="0"/>
                <w:color w:val="auto"/>
                <w:highlight w:val="none"/>
                <w:lang w:val="en-US" w:eastAsia="zh-CN" w:bidi="ar"/>
              </w:rPr>
            </w:pPr>
            <w:r>
              <w:rPr>
                <w:rStyle w:val="127"/>
                <w:rFonts w:hint="eastAsia" w:ascii="宋体" w:hAnsi="宋体" w:eastAsia="宋体" w:cs="宋体"/>
                <w:b w:val="0"/>
                <w:bCs w:val="0"/>
                <w:color w:val="auto"/>
                <w:highlight w:val="none"/>
                <w:lang w:val="en-US" w:eastAsia="zh-CN" w:bidi="ar"/>
              </w:rPr>
              <w:t>水洗色牢度:4.0</w:t>
            </w:r>
          </w:p>
          <w:p>
            <w:pPr>
              <w:keepNext w:val="0"/>
              <w:keepLines w:val="0"/>
              <w:widowControl/>
              <w:suppressLineNumbers w:val="0"/>
              <w:jc w:val="left"/>
              <w:textAlignment w:val="center"/>
              <w:rPr>
                <w:rStyle w:val="127"/>
                <w:rFonts w:hint="eastAsia" w:ascii="宋体" w:hAnsi="宋体" w:eastAsia="宋体" w:cs="宋体"/>
                <w:b w:val="0"/>
                <w:bCs w:val="0"/>
                <w:color w:val="auto"/>
                <w:highlight w:val="none"/>
                <w:lang w:val="en-US" w:eastAsia="zh-CN" w:bidi="ar"/>
              </w:rPr>
            </w:pPr>
            <w:r>
              <w:rPr>
                <w:rStyle w:val="127"/>
                <w:rFonts w:hint="eastAsia" w:ascii="宋体" w:hAnsi="宋体" w:eastAsia="宋体" w:cs="宋体"/>
                <w:b w:val="0"/>
                <w:bCs w:val="0"/>
                <w:color w:val="auto"/>
                <w:highlight w:val="none"/>
                <w:lang w:val="en-US" w:eastAsia="zh-CN" w:bidi="ar"/>
              </w:rPr>
              <w:t>抗起毛起球:4.5(5000转)</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Style w:val="127"/>
                <w:rFonts w:hint="eastAsia" w:ascii="宋体" w:hAnsi="宋体" w:eastAsia="宋体" w:cs="宋体"/>
                <w:b w:val="0"/>
                <w:bCs w:val="0"/>
                <w:color w:val="auto"/>
                <w:highlight w:val="none"/>
                <w:lang w:val="en-US" w:eastAsia="zh-CN" w:bidi="ar"/>
              </w:rPr>
              <w:t>转拉伸强度:经向1500N，纬向720N接缝滑移:经向4.6毫米，纬向3.9毫米</w:t>
            </w:r>
          </w:p>
        </w:tc>
        <w:tc>
          <w:tcPr>
            <w:tcW w:w="111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14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3924</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54936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47"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38</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沙发</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1）成品L型沙发配套茶几；</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vAlign w:val="center"/>
          </w:tcPr>
          <w:p>
            <w:pPr>
              <w:jc w:val="right"/>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Style w:val="120"/>
                <w:rFonts w:hint="eastAsia" w:ascii="宋体" w:hAnsi="宋体" w:eastAsia="宋体" w:cs="宋体"/>
                <w:b w:val="0"/>
                <w:bCs w:val="0"/>
                <w:color w:val="auto"/>
                <w:highlight w:val="none"/>
                <w:lang w:val="en-US" w:eastAsia="zh-CN" w:bidi="ar"/>
              </w:rPr>
            </w:pPr>
            <w:r>
              <w:rPr>
                <w:rStyle w:val="120"/>
                <w:rFonts w:hint="eastAsia" w:ascii="宋体" w:hAnsi="宋体" w:eastAsia="宋体" w:cs="宋体"/>
                <w:b w:val="0"/>
                <w:bCs w:val="0"/>
                <w:color w:val="auto"/>
                <w:highlight w:val="none"/>
                <w:lang w:val="en-US" w:eastAsia="zh-CN" w:bidi="ar"/>
              </w:rPr>
              <w:t xml:space="preserve">风格：诧寂风                材质：白蜡木＋亚麻布套                  填充物：高密度海绵                                            </w:t>
            </w:r>
          </w:p>
          <w:p>
            <w:pPr>
              <w:keepNext w:val="0"/>
              <w:keepLines w:val="0"/>
              <w:widowControl/>
              <w:suppressLineNumbers w:val="0"/>
              <w:jc w:val="left"/>
              <w:textAlignment w:val="center"/>
              <w:rPr>
                <w:rStyle w:val="120"/>
                <w:rFonts w:hint="eastAsia" w:ascii="宋体" w:hAnsi="宋体" w:eastAsia="宋体" w:cs="宋体"/>
                <w:b w:val="0"/>
                <w:bCs w:val="0"/>
                <w:color w:val="auto"/>
                <w:highlight w:val="none"/>
                <w:lang w:val="en-US" w:eastAsia="zh-CN" w:bidi="ar"/>
              </w:rPr>
            </w:pPr>
            <w:r>
              <w:rPr>
                <w:rStyle w:val="130"/>
                <w:rFonts w:hint="eastAsia" w:ascii="宋体" w:hAnsi="宋体" w:eastAsia="宋体" w:cs="宋体"/>
                <w:b w:val="0"/>
                <w:bCs w:val="0"/>
                <w:color w:val="auto"/>
                <w:highlight w:val="none"/>
                <w:lang w:val="en-US" w:eastAsia="zh-CN" w:bidi="ar"/>
              </w:rPr>
              <w:t>尺寸：2500*1000*700，</w:t>
            </w:r>
            <w:r>
              <w:rPr>
                <w:rStyle w:val="120"/>
                <w:rFonts w:hint="eastAsia" w:ascii="宋体" w:hAnsi="宋体" w:eastAsia="宋体" w:cs="宋体"/>
                <w:b w:val="0"/>
                <w:bCs w:val="0"/>
                <w:color w:val="auto"/>
                <w:highlight w:val="none"/>
                <w:lang w:val="en-US" w:eastAsia="zh-CN" w:bidi="ar"/>
              </w:rPr>
              <w:t xml:space="preserve">         面料材质：耐磨性能:&gt;40000</w:t>
            </w:r>
          </w:p>
          <w:p>
            <w:pPr>
              <w:keepNext w:val="0"/>
              <w:keepLines w:val="0"/>
              <w:widowControl/>
              <w:suppressLineNumbers w:val="0"/>
              <w:jc w:val="left"/>
              <w:textAlignment w:val="center"/>
              <w:rPr>
                <w:rStyle w:val="120"/>
                <w:rFonts w:hint="eastAsia" w:ascii="宋体" w:hAnsi="宋体" w:eastAsia="宋体" w:cs="宋体"/>
                <w:b w:val="0"/>
                <w:bCs w:val="0"/>
                <w:color w:val="auto"/>
                <w:highlight w:val="none"/>
                <w:lang w:val="en-US" w:eastAsia="zh-CN" w:bidi="ar"/>
              </w:rPr>
            </w:pPr>
            <w:r>
              <w:rPr>
                <w:rStyle w:val="120"/>
                <w:rFonts w:hint="eastAsia" w:ascii="宋体" w:hAnsi="宋体" w:eastAsia="宋体" w:cs="宋体"/>
                <w:b w:val="0"/>
                <w:bCs w:val="0"/>
                <w:color w:val="auto"/>
                <w:highlight w:val="none"/>
                <w:lang w:val="en-US" w:eastAsia="zh-CN" w:bidi="ar"/>
              </w:rPr>
              <w:t>摩擦色牢度:干4.0 湿磨4.0</w:t>
            </w:r>
          </w:p>
          <w:p>
            <w:pPr>
              <w:keepNext w:val="0"/>
              <w:keepLines w:val="0"/>
              <w:widowControl/>
              <w:suppressLineNumbers w:val="0"/>
              <w:jc w:val="left"/>
              <w:textAlignment w:val="center"/>
              <w:rPr>
                <w:rStyle w:val="120"/>
                <w:rFonts w:hint="eastAsia" w:ascii="宋体" w:hAnsi="宋体" w:eastAsia="宋体" w:cs="宋体"/>
                <w:b w:val="0"/>
                <w:bCs w:val="0"/>
                <w:color w:val="auto"/>
                <w:highlight w:val="none"/>
                <w:lang w:val="en-US" w:eastAsia="zh-CN" w:bidi="ar"/>
              </w:rPr>
            </w:pPr>
            <w:r>
              <w:rPr>
                <w:rStyle w:val="120"/>
                <w:rFonts w:hint="eastAsia" w:ascii="宋体" w:hAnsi="宋体" w:eastAsia="宋体" w:cs="宋体"/>
                <w:b w:val="0"/>
                <w:bCs w:val="0"/>
                <w:color w:val="auto"/>
                <w:highlight w:val="none"/>
                <w:lang w:val="en-US" w:eastAsia="zh-CN" w:bidi="ar"/>
              </w:rPr>
              <w:t>光照色牢度:4.0</w:t>
            </w:r>
          </w:p>
          <w:p>
            <w:pPr>
              <w:keepNext w:val="0"/>
              <w:keepLines w:val="0"/>
              <w:widowControl/>
              <w:suppressLineNumbers w:val="0"/>
              <w:jc w:val="left"/>
              <w:textAlignment w:val="center"/>
              <w:rPr>
                <w:rStyle w:val="120"/>
                <w:rFonts w:hint="eastAsia" w:ascii="宋体" w:hAnsi="宋体" w:eastAsia="宋体" w:cs="宋体"/>
                <w:b w:val="0"/>
                <w:bCs w:val="0"/>
                <w:color w:val="auto"/>
                <w:highlight w:val="none"/>
                <w:lang w:val="en-US" w:eastAsia="zh-CN" w:bidi="ar"/>
              </w:rPr>
            </w:pPr>
            <w:r>
              <w:rPr>
                <w:rStyle w:val="120"/>
                <w:rFonts w:hint="eastAsia" w:ascii="宋体" w:hAnsi="宋体" w:eastAsia="宋体" w:cs="宋体"/>
                <w:b w:val="0"/>
                <w:bCs w:val="0"/>
                <w:color w:val="auto"/>
                <w:highlight w:val="none"/>
                <w:lang w:val="en-US" w:eastAsia="zh-CN" w:bidi="ar"/>
              </w:rPr>
              <w:t>水洗色牢度:4.0</w:t>
            </w:r>
          </w:p>
          <w:p>
            <w:pPr>
              <w:keepNext w:val="0"/>
              <w:keepLines w:val="0"/>
              <w:widowControl/>
              <w:suppressLineNumbers w:val="0"/>
              <w:jc w:val="left"/>
              <w:textAlignment w:val="center"/>
              <w:rPr>
                <w:rStyle w:val="120"/>
                <w:rFonts w:hint="eastAsia" w:ascii="宋体" w:hAnsi="宋体" w:eastAsia="宋体" w:cs="宋体"/>
                <w:b w:val="0"/>
                <w:bCs w:val="0"/>
                <w:color w:val="auto"/>
                <w:highlight w:val="none"/>
                <w:lang w:val="en-US" w:eastAsia="zh-CN" w:bidi="ar"/>
              </w:rPr>
            </w:pPr>
            <w:r>
              <w:rPr>
                <w:rStyle w:val="120"/>
                <w:rFonts w:hint="eastAsia" w:ascii="宋体" w:hAnsi="宋体" w:eastAsia="宋体" w:cs="宋体"/>
                <w:b w:val="0"/>
                <w:bCs w:val="0"/>
                <w:color w:val="auto"/>
                <w:highlight w:val="none"/>
                <w:lang w:val="en-US" w:eastAsia="zh-CN" w:bidi="ar"/>
              </w:rPr>
              <w:t>抗起毛起球:4.5(5000转)</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Style w:val="120"/>
                <w:rFonts w:hint="eastAsia" w:ascii="宋体" w:hAnsi="宋体" w:eastAsia="宋体" w:cs="宋体"/>
                <w:b w:val="0"/>
                <w:bCs w:val="0"/>
                <w:color w:val="auto"/>
                <w:highlight w:val="none"/>
                <w:lang w:val="en-US" w:eastAsia="zh-CN" w:bidi="ar"/>
              </w:rPr>
              <w:t>转拉伸强度:经向1500N，纬向720N接缝滑移:经向4.6毫米，纬向3.9毫米</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7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7831.65</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54821.55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575"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39</w:t>
            </w:r>
          </w:p>
        </w:tc>
        <w:tc>
          <w:tcPr>
            <w:tcW w:w="1373" w:type="dxa"/>
            <w:tcBorders>
              <w:tr2bl w:val="single" w:color="FFFFFF" w:sz="8" w:space="0"/>
            </w:tcBorders>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展品柜</w:t>
            </w:r>
          </w:p>
        </w:tc>
        <w:tc>
          <w:tcPr>
            <w:tcW w:w="1868" w:type="dxa"/>
            <w:tcBorders>
              <w:tr2bl w:val="single" w:color="FFFFFF" w:sz="8" w:space="0"/>
            </w:tcBorders>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1）350*2000*2100展品柜；</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vAlign w:val="center"/>
          </w:tcPr>
          <w:p>
            <w:pPr>
              <w:jc w:val="right"/>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风格：诧寂风                        材质：老旧硬木（柚木、橡木）                      尺寸：350*2000*H2100，隔板实木厚度：30mm，隔板4层，底层柜门，金属拉手隔板间距500mm，圆形柜腿，直径180mm</w:t>
            </w:r>
          </w:p>
        </w:tc>
        <w:tc>
          <w:tcPr>
            <w:tcW w:w="1118" w:type="dxa"/>
            <w:tcBorders>
              <w:tr2bl w:val="single" w:color="FFFFFF" w:sz="8"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1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1907.5</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1907.5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5"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40</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成品展示柜</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1）成品展示柜；</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vAlign w:val="center"/>
          </w:tcPr>
          <w:p>
            <w:pPr>
              <w:jc w:val="right"/>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风格：诧寂风                       材质：老旧硬木（柚木、橡木）                      尺寸：350*2500*H2100，隔板实木厚度：30mm，隔板4层，底层柜门，金属拉手，隔板间距500mm，圆形柜腿，直径180mm</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2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2626.9</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5253.8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771"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41</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展示柜</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1）1800mm高定制服装8mm厚安全玻璃展示柜(600宽)；</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200150" cy="1390650"/>
                  <wp:effectExtent l="0" t="0" r="0" b="0"/>
                  <wp:docPr id="200" name="图片 24"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4" descr="IMG_258"/>
                          <pic:cNvPicPr>
                            <a:picLocks noChangeAspect="1"/>
                          </pic:cNvPicPr>
                        </pic:nvPicPr>
                        <pic:blipFill>
                          <a:blip r:embed="rId161"/>
                          <a:stretch>
                            <a:fillRect/>
                          </a:stretch>
                        </pic:blipFill>
                        <pic:spPr>
                          <a:xfrm>
                            <a:off x="0" y="0"/>
                            <a:ext cx="1200150" cy="1390650"/>
                          </a:xfrm>
                          <a:prstGeom prst="rect">
                            <a:avLst/>
                          </a:prstGeom>
                          <a:noFill/>
                          <a:ln w="9525">
                            <a:noFill/>
                          </a:ln>
                        </pic:spPr>
                      </pic:pic>
                    </a:graphicData>
                  </a:graphic>
                </wp:inline>
              </w:drawing>
            </w: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金属材质：夹胶安全玻璃，采用优质超白玻璃，夹胶玻璃厚度为6mm+0.76mm+6mm，夹胶后透光率不小于90%，具有防爆功能，同时阻断红外线和紫外线。                                                       尺寸：1800mm高定制服装8mm厚安全玻璃展示柜(600宽)</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米</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41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1853</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75973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1"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42</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展示柜</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1）1800mm高定制服装8mm厚安全玻璃展示柜(1100宽)；</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190625" cy="1381125"/>
                  <wp:effectExtent l="0" t="0" r="0" b="0"/>
                  <wp:docPr id="203" name="图片 25"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5" descr="IMG_259"/>
                          <pic:cNvPicPr>
                            <a:picLocks noChangeAspect="1"/>
                          </pic:cNvPicPr>
                        </pic:nvPicPr>
                        <pic:blipFill>
                          <a:blip r:embed="rId162"/>
                          <a:stretch>
                            <a:fillRect/>
                          </a:stretch>
                        </pic:blipFill>
                        <pic:spPr>
                          <a:xfrm>
                            <a:off x="0" y="0"/>
                            <a:ext cx="1190625" cy="1381125"/>
                          </a:xfrm>
                          <a:prstGeom prst="rect">
                            <a:avLst/>
                          </a:prstGeom>
                          <a:noFill/>
                          <a:ln w="9525">
                            <a:noFill/>
                          </a:ln>
                        </pic:spPr>
                      </pic:pic>
                    </a:graphicData>
                  </a:graphic>
                </wp:inline>
              </w:drawing>
            </w: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金属材质：夹胶安全玻璃，采用优质超白玻璃，夹胶玻璃厚度为6mm+0.76mm+6mm，夹胶后透光率不小于90%，具有防爆功能，同时阻断红外线和紫外线。                                                   尺寸：1800mm高定制服装8mm厚安全玻璃展示柜(1100宽)</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米</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8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2616</w:t>
            </w:r>
          </w:p>
        </w:tc>
        <w:tc>
          <w:tcPr>
            <w:tcW w:w="1598" w:type="dxa"/>
            <w:shd w:val="clear" w:color="auto" w:fill="auto"/>
            <w:noWrap/>
            <w:vAlign w:val="center"/>
          </w:tcPr>
          <w:p>
            <w:pPr>
              <w:keepNext w:val="0"/>
              <w:keepLines w:val="0"/>
              <w:widowControl/>
              <w:suppressLineNumbers w:val="0"/>
              <w:jc w:val="right"/>
              <w:textAlignment w:val="center"/>
              <w:rPr>
                <w:rFonts w:hint="default"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cs="宋体"/>
                <w:b w:val="0"/>
                <w:bCs w:val="0"/>
                <w:i w:val="0"/>
                <w:iCs w:val="0"/>
                <w:color w:val="auto"/>
                <w:kern w:val="0"/>
                <w:sz w:val="22"/>
                <w:szCs w:val="22"/>
                <w:highlight w:val="none"/>
                <w:u w:val="none"/>
                <w:lang w:val="en-US" w:eastAsia="zh-CN" w:bidi="ar"/>
              </w:rPr>
              <w:t>20928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5"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43</w:t>
            </w:r>
          </w:p>
        </w:tc>
        <w:tc>
          <w:tcPr>
            <w:tcW w:w="1373"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床上用品</w:t>
            </w:r>
          </w:p>
        </w:tc>
        <w:tc>
          <w:tcPr>
            <w:tcW w:w="1868"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床上用品四件套100%亚麻；(含10斤重 被芯+2个乳胶枕芯)</w:t>
            </w:r>
          </w:p>
        </w:tc>
        <w:tc>
          <w:tcPr>
            <w:tcW w:w="1729" w:type="dxa"/>
            <w:shd w:val="clear" w:color="auto" w:fill="auto"/>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809625" cy="409575"/>
                  <wp:effectExtent l="0" t="0" r="0" b="0"/>
                  <wp:docPr id="214" name="图片 26"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6" descr="IMG_260"/>
                          <pic:cNvPicPr>
                            <a:picLocks noChangeAspect="1"/>
                          </pic:cNvPicPr>
                        </pic:nvPicPr>
                        <pic:blipFill>
                          <a:blip r:embed="rId163"/>
                          <a:stretch>
                            <a:fillRect/>
                          </a:stretch>
                        </pic:blipFill>
                        <pic:spPr>
                          <a:xfrm>
                            <a:off x="0" y="0"/>
                            <a:ext cx="809625" cy="409575"/>
                          </a:xfrm>
                          <a:prstGeom prst="rect">
                            <a:avLst/>
                          </a:prstGeom>
                          <a:noFill/>
                          <a:ln w="9525">
                            <a:noFill/>
                          </a:ln>
                        </pic:spPr>
                      </pic:pic>
                    </a:graphicData>
                  </a:graphic>
                </wp:inline>
              </w:drawing>
            </w: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品名：特色手工纯亚麻四件套                 面料：100%亚麻、245g/㎡亚麻比重 ，白色                         等级：一等品                        组成：被套*1，床单*1，枕套*2                         尺寸: 245*245cm</w:t>
            </w:r>
          </w:p>
        </w:tc>
        <w:tc>
          <w:tcPr>
            <w:tcW w:w="111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84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2038.3</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171217.2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0"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44</w:t>
            </w:r>
          </w:p>
        </w:tc>
        <w:tc>
          <w:tcPr>
            <w:tcW w:w="1373"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蓝印花布床旗</w:t>
            </w:r>
          </w:p>
        </w:tc>
        <w:tc>
          <w:tcPr>
            <w:tcW w:w="1868" w:type="dxa"/>
            <w:shd w:val="clear" w:color="auto" w:fill="auto"/>
            <w:vAlign w:val="center"/>
          </w:tcPr>
          <w:p>
            <w:pPr>
              <w:jc w:val="left"/>
              <w:rPr>
                <w:rFonts w:hint="eastAsia" w:ascii="宋体" w:hAnsi="宋体" w:eastAsia="宋体" w:cs="宋体"/>
                <w:b w:val="0"/>
                <w:bCs w:val="0"/>
                <w:i w:val="0"/>
                <w:iCs w:val="0"/>
                <w:color w:val="auto"/>
                <w:sz w:val="22"/>
                <w:szCs w:val="22"/>
                <w:highlight w:val="none"/>
                <w:u w:val="none"/>
              </w:rPr>
            </w:pPr>
          </w:p>
        </w:tc>
        <w:tc>
          <w:tcPr>
            <w:tcW w:w="1729"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762000" cy="390525"/>
                  <wp:effectExtent l="0" t="0" r="0" b="0"/>
                  <wp:docPr id="201" name="图片 27"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7" descr="IMG_261"/>
                          <pic:cNvPicPr>
                            <a:picLocks noChangeAspect="1"/>
                          </pic:cNvPicPr>
                        </pic:nvPicPr>
                        <pic:blipFill>
                          <a:blip r:embed="rId164"/>
                          <a:stretch>
                            <a:fillRect/>
                          </a:stretch>
                        </pic:blipFill>
                        <pic:spPr>
                          <a:xfrm>
                            <a:off x="0" y="0"/>
                            <a:ext cx="762000" cy="390525"/>
                          </a:xfrm>
                          <a:prstGeom prst="rect">
                            <a:avLst/>
                          </a:prstGeom>
                          <a:noFill/>
                          <a:ln w="9525">
                            <a:noFill/>
                          </a:ln>
                        </pic:spPr>
                      </pic:pic>
                    </a:graphicData>
                  </a:graphic>
                </wp:inline>
              </w:drawing>
            </w: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品名：特色手工植物染蓝染荷花布床旗                        面料：100%棉                        等级：一等品                        尺寸: 260*55cm，双层面料</w:t>
            </w:r>
          </w:p>
        </w:tc>
        <w:tc>
          <w:tcPr>
            <w:tcW w:w="111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张</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21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392.4</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8240.4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794"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45</w:t>
            </w:r>
          </w:p>
        </w:tc>
        <w:tc>
          <w:tcPr>
            <w:tcW w:w="1373"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蓝印花布桌旗</w:t>
            </w:r>
          </w:p>
        </w:tc>
        <w:tc>
          <w:tcPr>
            <w:tcW w:w="1868" w:type="dxa"/>
            <w:shd w:val="clear" w:color="auto" w:fill="auto"/>
            <w:vAlign w:val="center"/>
          </w:tcPr>
          <w:p>
            <w:pPr>
              <w:jc w:val="left"/>
              <w:rPr>
                <w:rFonts w:hint="eastAsia" w:ascii="宋体" w:hAnsi="宋体" w:eastAsia="宋体" w:cs="宋体"/>
                <w:b w:val="0"/>
                <w:bCs w:val="0"/>
                <w:i w:val="0"/>
                <w:iCs w:val="0"/>
                <w:color w:val="auto"/>
                <w:sz w:val="22"/>
                <w:szCs w:val="22"/>
                <w:highlight w:val="none"/>
                <w:u w:val="none"/>
              </w:rPr>
            </w:pPr>
          </w:p>
        </w:tc>
        <w:tc>
          <w:tcPr>
            <w:tcW w:w="1729" w:type="dxa"/>
            <w:shd w:val="clear" w:color="auto" w:fill="auto"/>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781050" cy="390525"/>
                  <wp:effectExtent l="0" t="0" r="0" b="0"/>
                  <wp:docPr id="207" name="图片 28"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8" descr="IMG_262"/>
                          <pic:cNvPicPr>
                            <a:picLocks noChangeAspect="1"/>
                          </pic:cNvPicPr>
                        </pic:nvPicPr>
                        <pic:blipFill>
                          <a:blip r:embed="rId165"/>
                          <a:stretch>
                            <a:fillRect/>
                          </a:stretch>
                        </pic:blipFill>
                        <pic:spPr>
                          <a:xfrm>
                            <a:off x="0" y="0"/>
                            <a:ext cx="781050" cy="390525"/>
                          </a:xfrm>
                          <a:prstGeom prst="rect">
                            <a:avLst/>
                          </a:prstGeom>
                          <a:noFill/>
                          <a:ln w="9525">
                            <a:noFill/>
                          </a:ln>
                        </pic:spPr>
                      </pic:pic>
                    </a:graphicData>
                  </a:graphic>
                </wp:inline>
              </w:drawing>
            </w: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品名：特色手工植物染蓝染桌旗                        面料：100%棉                        等级：一等品                          尺寸: 250*40cm</w:t>
            </w:r>
          </w:p>
        </w:tc>
        <w:tc>
          <w:tcPr>
            <w:tcW w:w="111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张</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38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158.05</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6005.9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0"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46</w:t>
            </w:r>
          </w:p>
        </w:tc>
        <w:tc>
          <w:tcPr>
            <w:tcW w:w="1373"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抱枕(蓝印花布背靠)</w:t>
            </w:r>
          </w:p>
        </w:tc>
        <w:tc>
          <w:tcPr>
            <w:tcW w:w="1868"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蓝印花布抱枕(100%亚麻)</w:t>
            </w:r>
          </w:p>
        </w:tc>
        <w:tc>
          <w:tcPr>
            <w:tcW w:w="1729"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781050" cy="342900"/>
                  <wp:effectExtent l="0" t="0" r="0" b="0"/>
                  <wp:docPr id="206" name="图片 29"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9" descr="IMG_263"/>
                          <pic:cNvPicPr>
                            <a:picLocks noChangeAspect="1"/>
                          </pic:cNvPicPr>
                        </pic:nvPicPr>
                        <pic:blipFill>
                          <a:blip r:embed="rId166"/>
                          <a:stretch>
                            <a:fillRect/>
                          </a:stretch>
                        </pic:blipFill>
                        <pic:spPr>
                          <a:xfrm>
                            <a:off x="0" y="0"/>
                            <a:ext cx="781050" cy="342900"/>
                          </a:xfrm>
                          <a:prstGeom prst="rect">
                            <a:avLst/>
                          </a:prstGeom>
                          <a:noFill/>
                          <a:ln w="9525">
                            <a:noFill/>
                          </a:ln>
                        </pic:spPr>
                      </pic:pic>
                    </a:graphicData>
                  </a:graphic>
                </wp:inline>
              </w:drawing>
            </w: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品名：特色纯亚麻抱枕、手工植物染抱枕                            面料：100%亚麻、100%棉               等级：一等品                       尺寸: 55*55cm，双层面料</w:t>
            </w:r>
          </w:p>
        </w:tc>
        <w:tc>
          <w:tcPr>
            <w:tcW w:w="111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225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234.35</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52728.75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575"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47</w:t>
            </w:r>
          </w:p>
        </w:tc>
        <w:tc>
          <w:tcPr>
            <w:tcW w:w="1373"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窗帘(杆)</w:t>
            </w:r>
          </w:p>
        </w:tc>
        <w:tc>
          <w:tcPr>
            <w:tcW w:w="1868"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窗帘及其配件窗帘100%亚麻</w:t>
            </w:r>
          </w:p>
        </w:tc>
        <w:tc>
          <w:tcPr>
            <w:tcW w:w="1729" w:type="dxa"/>
            <w:shd w:val="clear" w:color="auto" w:fill="auto"/>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504825" cy="428625"/>
                  <wp:effectExtent l="0" t="0" r="0" b="0"/>
                  <wp:docPr id="197" name="图片 30"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30" descr="IMG_264"/>
                          <pic:cNvPicPr>
                            <a:picLocks noChangeAspect="1"/>
                          </pic:cNvPicPr>
                        </pic:nvPicPr>
                        <pic:blipFill>
                          <a:blip r:embed="rId167"/>
                          <a:stretch>
                            <a:fillRect/>
                          </a:stretch>
                        </pic:blipFill>
                        <pic:spPr>
                          <a:xfrm>
                            <a:off x="0" y="0"/>
                            <a:ext cx="504825" cy="428625"/>
                          </a:xfrm>
                          <a:prstGeom prst="rect">
                            <a:avLst/>
                          </a:prstGeom>
                          <a:noFill/>
                          <a:ln w="9525">
                            <a:noFill/>
                          </a:ln>
                        </pic:spPr>
                      </pic:pic>
                    </a:graphicData>
                  </a:graphic>
                </wp:inline>
              </w:drawing>
            </w: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品名：特色手工纯亚麻窗帘、纯手工植物染窗帘                           面料：100%亚麻、100%棉               等级：一等品                        尺寸: 特厚铝合金轨道，厚度3.8mm，铝合金窗帘挂钩，厚度0.2mm，承重8.76g，经久耐用，不易变形</w:t>
            </w:r>
          </w:p>
        </w:tc>
        <w:tc>
          <w:tcPr>
            <w:tcW w:w="111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m2</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231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158.05</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36509.55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380"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48</w:t>
            </w:r>
          </w:p>
        </w:tc>
        <w:tc>
          <w:tcPr>
            <w:tcW w:w="1373"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地毯</w:t>
            </w:r>
          </w:p>
        </w:tc>
        <w:tc>
          <w:tcPr>
            <w:tcW w:w="1868" w:type="dxa"/>
            <w:shd w:val="clear" w:color="auto" w:fill="auto"/>
            <w:vAlign w:val="center"/>
          </w:tcPr>
          <w:p>
            <w:pPr>
              <w:jc w:val="left"/>
              <w:rPr>
                <w:rFonts w:hint="eastAsia" w:ascii="宋体" w:hAnsi="宋体" w:eastAsia="宋体" w:cs="宋体"/>
                <w:b w:val="0"/>
                <w:bCs w:val="0"/>
                <w:i w:val="0"/>
                <w:iCs w:val="0"/>
                <w:color w:val="auto"/>
                <w:sz w:val="22"/>
                <w:szCs w:val="22"/>
                <w:highlight w:val="none"/>
                <w:u w:val="none"/>
              </w:rPr>
            </w:pPr>
          </w:p>
        </w:tc>
        <w:tc>
          <w:tcPr>
            <w:tcW w:w="1729" w:type="dxa"/>
            <w:shd w:val="clear" w:color="auto" w:fill="auto"/>
            <w:vAlign w:val="center"/>
          </w:tcPr>
          <w:p>
            <w:pPr>
              <w:jc w:val="center"/>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材质：植物花卉地毯                            风格：法式中古风                         形状：长方形                材质：100%棉绒材质                      尺寸：120cm*160cm，地毯厚度15mm及以上，防滑环保棉底背</w:t>
            </w:r>
          </w:p>
        </w:tc>
        <w:tc>
          <w:tcPr>
            <w:tcW w:w="111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张</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5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1177.2</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5886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99"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49</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陈列墩</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1）陈列墩；</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noWrap/>
            <w:vAlign w:val="center"/>
          </w:tcPr>
          <w:p>
            <w:pPr>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风格：诧寂风                       材质：老旧硬木整木（柚木、橡木）                         尺寸：32*45                 总重量:15kg及以上</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36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261.6</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9417.6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380"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50</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定制10厚玻璃展柜</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1）定制10厚玻璃展柜0.6米宽*0.8米高；</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vAlign w:val="center"/>
          </w:tcPr>
          <w:p>
            <w:pPr>
              <w:jc w:val="left"/>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材质：夹胶安全玻璃，采用优质超白玻璃，夹胶玻璃厚度为6mm+0.76mm+6mm，夹胶后透光率不小于90%，具有防爆功能，同时阻断红外线和紫外线</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尺寸：0.6*0.8m</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m</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60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594.05</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35643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51</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吧台柜</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1）吧台柜(3050MM长)；</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noWrap/>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162050" cy="590550"/>
                  <wp:effectExtent l="0" t="0" r="0" b="0"/>
                  <wp:docPr id="208" name="图片 31"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31" descr="IMG_265"/>
                          <pic:cNvPicPr>
                            <a:picLocks noChangeAspect="1"/>
                          </pic:cNvPicPr>
                        </pic:nvPicPr>
                        <pic:blipFill>
                          <a:blip r:embed="rId168"/>
                          <a:stretch>
                            <a:fillRect/>
                          </a:stretch>
                        </pic:blipFill>
                        <pic:spPr>
                          <a:xfrm>
                            <a:off x="0" y="0"/>
                            <a:ext cx="1162050" cy="590550"/>
                          </a:xfrm>
                          <a:prstGeom prst="rect">
                            <a:avLst/>
                          </a:prstGeom>
                          <a:noFill/>
                          <a:ln w="9525">
                            <a:noFill/>
                          </a:ln>
                        </pic:spPr>
                      </pic:pic>
                    </a:graphicData>
                  </a:graphic>
                </wp:inline>
              </w:drawing>
            </w: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风格：诧寂风                       材质：老旧硬木（柚木、橡木）              尺寸：3050*1800 *750  </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1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2507</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2507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52</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操作柜</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1）操作柜(2680MM长)；</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162050" cy="600075"/>
                  <wp:effectExtent l="0" t="0" r="0" b="0"/>
                  <wp:docPr id="213" name="图片 32"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32" descr="IMG_266"/>
                          <pic:cNvPicPr>
                            <a:picLocks noChangeAspect="1"/>
                          </pic:cNvPicPr>
                        </pic:nvPicPr>
                        <pic:blipFill>
                          <a:blip r:embed="rId169"/>
                          <a:stretch>
                            <a:fillRect/>
                          </a:stretch>
                        </pic:blipFill>
                        <pic:spPr>
                          <a:xfrm>
                            <a:off x="0" y="0"/>
                            <a:ext cx="1162050" cy="600075"/>
                          </a:xfrm>
                          <a:prstGeom prst="rect">
                            <a:avLst/>
                          </a:prstGeom>
                          <a:noFill/>
                          <a:ln w="9525">
                            <a:noFill/>
                          </a:ln>
                        </pic:spPr>
                      </pic:pic>
                    </a:graphicData>
                  </a:graphic>
                </wp:inline>
              </w:drawing>
            </w: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Style w:val="120"/>
                <w:rFonts w:hint="eastAsia" w:ascii="宋体" w:hAnsi="宋体" w:eastAsia="宋体" w:cs="宋体"/>
                <w:b w:val="0"/>
                <w:bCs w:val="0"/>
                <w:color w:val="auto"/>
                <w:highlight w:val="none"/>
                <w:lang w:val="en-US" w:eastAsia="zh-CN" w:bidi="ar"/>
              </w:rPr>
              <w:t xml:space="preserve">风格：诧寂风                        材质：老旧硬木（柚木、橡木）              </w:t>
            </w:r>
            <w:r>
              <w:rPr>
                <w:rStyle w:val="130"/>
                <w:rFonts w:hint="eastAsia" w:ascii="宋体" w:hAnsi="宋体" w:eastAsia="宋体" w:cs="宋体"/>
                <w:b w:val="0"/>
                <w:bCs w:val="0"/>
                <w:color w:val="auto"/>
                <w:highlight w:val="none"/>
                <w:lang w:val="en-US" w:eastAsia="zh-CN" w:bidi="ar"/>
              </w:rPr>
              <w:t xml:space="preserve">尺寸：2680*1800*H750  </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1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2812.2</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2812.2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53</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传统中式椅子</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1）传统中式椅子；</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vAlign w:val="center"/>
          </w:tcPr>
          <w:p>
            <w:pPr>
              <w:jc w:val="left"/>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材质：老旧硬木（柚木、橡木）                         风格：诧寂风                       尺寸：580*540*H780</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51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1395.2</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71155.2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9"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54</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一字成品座椅</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1）一字成品座椅；</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noWrap/>
            <w:vAlign w:val="center"/>
          </w:tcPr>
          <w:p>
            <w:pPr>
              <w:jc w:val="center"/>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材质：老旧硬木（柚木、橡木）       风格：诧寂风                           尺寸：1700*380*H460</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3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1547.8</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4643.4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90"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55</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实木衣架</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1）实木衣架；</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vAlign w:val="center"/>
          </w:tcPr>
          <w:p>
            <w:pPr>
              <w:jc w:val="left"/>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                                    风格：复古怀旧                      材质：老旧硬木（柚木、橡木）                     尺寸：650*420*1800</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lang w:val="en-US" w:eastAsia="zh-CN"/>
              </w:rPr>
            </w:pPr>
            <w:r>
              <w:rPr>
                <w:rFonts w:hint="eastAsia" w:ascii="宋体" w:hAnsi="宋体" w:cs="宋体"/>
                <w:b w:val="0"/>
                <w:bCs w:val="0"/>
                <w:i w:val="0"/>
                <w:iCs w:val="0"/>
                <w:color w:val="auto"/>
                <w:sz w:val="22"/>
                <w:szCs w:val="22"/>
                <w:highlight w:val="none"/>
                <w:u w:val="none"/>
                <w:lang w:val="en-US" w:eastAsia="zh-CN"/>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11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784.8</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8632.8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794"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56</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衣架</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1）衣架；</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noWrap/>
            <w:vAlign w:val="center"/>
          </w:tcPr>
          <w:p>
            <w:pPr>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材质：老旧硬木（柚木、橡木）                     风格：复古怀旧                     尺寸：1150*420*1800</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m</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22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1471.5</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32373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57</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木飘（凸）窗</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1）造型花木窗；</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noWrap/>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04800" cy="485775"/>
                  <wp:effectExtent l="0" t="0" r="0" b="0"/>
                  <wp:docPr id="199" name="图片 33"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33" descr="IMG_267"/>
                          <pic:cNvPicPr>
                            <a:picLocks noChangeAspect="1"/>
                          </pic:cNvPicPr>
                        </pic:nvPicPr>
                        <pic:blipFill>
                          <a:blip r:embed="rId170"/>
                          <a:stretch>
                            <a:fillRect/>
                          </a:stretch>
                        </pic:blipFill>
                        <pic:spPr>
                          <a:xfrm>
                            <a:off x="0" y="0"/>
                            <a:ext cx="304800" cy="485775"/>
                          </a:xfrm>
                          <a:prstGeom prst="rect">
                            <a:avLst/>
                          </a:prstGeom>
                          <a:noFill/>
                          <a:ln w="9525">
                            <a:noFill/>
                          </a:ln>
                        </pic:spPr>
                      </pic:pic>
                    </a:graphicData>
                  </a:graphic>
                </wp:inline>
              </w:drawing>
            </w: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材质：老旧硬木（柚木、橡木）                    风格：复古怀旧                     尺寸：按实际尺寸</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m2</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1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392.4</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392.4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58</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实木墩</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1）实木墩；</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noWrap/>
            <w:vAlign w:val="center"/>
          </w:tcPr>
          <w:p>
            <w:pPr>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材质：老旧硬木（柚木、橡木）                    风格：诧寂风                             尺寸：375*375*H500</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8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3215.5</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25724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59</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实木大板</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1）实木大板；</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noWrap/>
            <w:vAlign w:val="center"/>
          </w:tcPr>
          <w:p>
            <w:pPr>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材质：老旧硬木（柚木、橡木）                  风格：诧寂风                             尺寸：1.0*2.4*0.85m   </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1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17113</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17113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575"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60</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模特造型</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1）模特造型；</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vAlign w:val="center"/>
          </w:tcPr>
          <w:p>
            <w:pPr>
              <w:jc w:val="center"/>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材质：老旧硬木（柚木、橡木）</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图案：人物图案</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分类：站姿、坐摸、手臂随意造型                           附加功能：可升降                    家具结构：支架结构</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适用人群：成年女性</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2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2986.6</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5973.2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0"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61</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成品全身镜</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1）成品全身镜；</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noWrap/>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571500" cy="800100"/>
                  <wp:effectExtent l="0" t="0" r="0" b="0"/>
                  <wp:docPr id="209" name="图片 34"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34" descr="IMG_268"/>
                          <pic:cNvPicPr>
                            <a:picLocks noChangeAspect="1"/>
                          </pic:cNvPicPr>
                        </pic:nvPicPr>
                        <pic:blipFill>
                          <a:blip r:embed="rId171"/>
                          <a:stretch>
                            <a:fillRect/>
                          </a:stretch>
                        </pic:blipFill>
                        <pic:spPr>
                          <a:xfrm>
                            <a:off x="0" y="0"/>
                            <a:ext cx="571500" cy="800100"/>
                          </a:xfrm>
                          <a:prstGeom prst="rect">
                            <a:avLst/>
                          </a:prstGeom>
                          <a:noFill/>
                          <a:ln w="9525">
                            <a:noFill/>
                          </a:ln>
                        </pic:spPr>
                      </pic:pic>
                    </a:graphicData>
                  </a:graphic>
                </wp:inline>
              </w:drawing>
            </w: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材质：老旧硬木（柚木、橡木）+镜面                             尺寸：350*H1760</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3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981</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2943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08" w:hRule="atLeast"/>
        </w:trPr>
        <w:tc>
          <w:tcPr>
            <w:tcW w:w="858" w:type="dxa"/>
            <w:vMerge w:val="restart"/>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62</w:t>
            </w:r>
          </w:p>
        </w:tc>
        <w:tc>
          <w:tcPr>
            <w:tcW w:w="1373" w:type="dxa"/>
            <w:vMerge w:val="restart"/>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厨房货架</w:t>
            </w:r>
          </w:p>
        </w:tc>
        <w:tc>
          <w:tcPr>
            <w:tcW w:w="1868"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厨房货架</w:t>
            </w:r>
          </w:p>
        </w:tc>
        <w:tc>
          <w:tcPr>
            <w:tcW w:w="1729" w:type="dxa"/>
            <w:vMerge w:val="restart"/>
            <w:shd w:val="clear" w:color="auto" w:fill="auto"/>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171575" cy="685800"/>
                  <wp:effectExtent l="0" t="0" r="0" b="0"/>
                  <wp:docPr id="202" name="图片 35"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35" descr="IMG_269"/>
                          <pic:cNvPicPr>
                            <a:picLocks noChangeAspect="1"/>
                          </pic:cNvPicPr>
                        </pic:nvPicPr>
                        <pic:blipFill>
                          <a:blip r:embed="rId172"/>
                          <a:stretch>
                            <a:fillRect/>
                          </a:stretch>
                        </pic:blipFill>
                        <pic:spPr>
                          <a:xfrm>
                            <a:off x="0" y="0"/>
                            <a:ext cx="1171575" cy="685800"/>
                          </a:xfrm>
                          <a:prstGeom prst="rect">
                            <a:avLst/>
                          </a:prstGeom>
                          <a:noFill/>
                          <a:ln w="9525">
                            <a:noFill/>
                          </a:ln>
                        </pic:spPr>
                      </pic:pic>
                    </a:graphicData>
                  </a:graphic>
                </wp:inline>
              </w:drawing>
            </w:r>
          </w:p>
        </w:tc>
        <w:tc>
          <w:tcPr>
            <w:tcW w:w="4046" w:type="dxa"/>
            <w:vMerge w:val="restart"/>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材质：老旧硬木（柚木、橡木）         </w:t>
            </w:r>
          </w:p>
        </w:tc>
        <w:tc>
          <w:tcPr>
            <w:tcW w:w="1118" w:type="dxa"/>
            <w:vMerge w:val="restart"/>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lang w:val="en-US" w:eastAsia="zh-CN"/>
              </w:rPr>
            </w:pPr>
            <w:r>
              <w:rPr>
                <w:rFonts w:hint="eastAsia" w:ascii="宋体" w:hAnsi="宋体" w:cs="宋体"/>
                <w:b w:val="0"/>
                <w:bCs w:val="0"/>
                <w:i w:val="0"/>
                <w:iCs w:val="0"/>
                <w:color w:val="auto"/>
                <w:sz w:val="22"/>
                <w:szCs w:val="22"/>
                <w:highlight w:val="none"/>
                <w:u w:val="none"/>
                <w:lang w:val="en-US" w:eastAsia="zh-CN"/>
              </w:rPr>
              <w:t>项</w:t>
            </w:r>
          </w:p>
        </w:tc>
        <w:tc>
          <w:tcPr>
            <w:tcW w:w="1005" w:type="dxa"/>
            <w:vMerge w:val="restart"/>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10 </w:t>
            </w:r>
          </w:p>
        </w:tc>
        <w:tc>
          <w:tcPr>
            <w:tcW w:w="1350" w:type="dxa"/>
            <w:vMerge w:val="restart"/>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158.05</w:t>
            </w:r>
          </w:p>
        </w:tc>
        <w:tc>
          <w:tcPr>
            <w:tcW w:w="1598" w:type="dxa"/>
            <w:vMerge w:val="restart"/>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1580.5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08" w:hRule="atLeast"/>
        </w:trPr>
        <w:tc>
          <w:tcPr>
            <w:tcW w:w="858" w:type="dxa"/>
            <w:vMerge w:val="continue"/>
            <w:shd w:val="clear" w:color="auto" w:fill="auto"/>
            <w:vAlign w:val="center"/>
          </w:tcPr>
          <w:p>
            <w:pPr>
              <w:jc w:val="center"/>
              <w:rPr>
                <w:rFonts w:hint="eastAsia" w:ascii="宋体" w:hAnsi="宋体" w:eastAsia="宋体" w:cs="宋体"/>
                <w:b w:val="0"/>
                <w:bCs w:val="0"/>
                <w:i w:val="0"/>
                <w:iCs w:val="0"/>
                <w:color w:val="auto"/>
                <w:sz w:val="22"/>
                <w:szCs w:val="22"/>
                <w:highlight w:val="none"/>
                <w:u w:val="none"/>
              </w:rPr>
            </w:pPr>
          </w:p>
        </w:tc>
        <w:tc>
          <w:tcPr>
            <w:tcW w:w="1373" w:type="dxa"/>
            <w:vMerge w:val="continue"/>
            <w:shd w:val="clear" w:color="auto" w:fill="auto"/>
            <w:vAlign w:val="center"/>
          </w:tcPr>
          <w:p>
            <w:pPr>
              <w:jc w:val="left"/>
              <w:rPr>
                <w:rFonts w:hint="eastAsia" w:ascii="宋体" w:hAnsi="宋体" w:eastAsia="宋体" w:cs="宋体"/>
                <w:b w:val="0"/>
                <w:bCs w:val="0"/>
                <w:i w:val="0"/>
                <w:iCs w:val="0"/>
                <w:color w:val="auto"/>
                <w:sz w:val="22"/>
                <w:szCs w:val="22"/>
                <w:highlight w:val="none"/>
                <w:u w:val="none"/>
              </w:rPr>
            </w:pPr>
          </w:p>
        </w:tc>
        <w:tc>
          <w:tcPr>
            <w:tcW w:w="1868"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1.位置：首层咖吧；</w:t>
            </w:r>
          </w:p>
        </w:tc>
        <w:tc>
          <w:tcPr>
            <w:tcW w:w="1729" w:type="dxa"/>
            <w:vMerge w:val="continue"/>
            <w:shd w:val="clear" w:color="auto" w:fill="auto"/>
            <w:noWrap/>
            <w:vAlign w:val="center"/>
          </w:tcPr>
          <w:p>
            <w:pPr>
              <w:jc w:val="center"/>
              <w:rPr>
                <w:rFonts w:hint="eastAsia" w:ascii="宋体" w:hAnsi="宋体" w:eastAsia="宋体" w:cs="宋体"/>
                <w:b w:val="0"/>
                <w:bCs w:val="0"/>
                <w:i w:val="0"/>
                <w:iCs w:val="0"/>
                <w:color w:val="auto"/>
                <w:sz w:val="22"/>
                <w:szCs w:val="22"/>
                <w:highlight w:val="none"/>
                <w:u w:val="none"/>
              </w:rPr>
            </w:pPr>
          </w:p>
        </w:tc>
        <w:tc>
          <w:tcPr>
            <w:tcW w:w="4046" w:type="dxa"/>
            <w:vMerge w:val="continue"/>
            <w:shd w:val="clear" w:color="auto" w:fill="auto"/>
            <w:vAlign w:val="center"/>
          </w:tcPr>
          <w:p>
            <w:pPr>
              <w:jc w:val="left"/>
              <w:rPr>
                <w:rFonts w:hint="eastAsia" w:ascii="宋体" w:hAnsi="宋体" w:eastAsia="宋体" w:cs="宋体"/>
                <w:b w:val="0"/>
                <w:bCs w:val="0"/>
                <w:i w:val="0"/>
                <w:iCs w:val="0"/>
                <w:color w:val="auto"/>
                <w:sz w:val="22"/>
                <w:szCs w:val="22"/>
                <w:highlight w:val="none"/>
                <w:u w:val="none"/>
              </w:rPr>
            </w:pPr>
          </w:p>
        </w:tc>
        <w:tc>
          <w:tcPr>
            <w:tcW w:w="1118" w:type="dxa"/>
            <w:vMerge w:val="continue"/>
            <w:shd w:val="clear" w:color="auto" w:fill="auto"/>
            <w:vAlign w:val="center"/>
          </w:tcPr>
          <w:p>
            <w:pPr>
              <w:jc w:val="center"/>
              <w:rPr>
                <w:rFonts w:hint="eastAsia" w:ascii="宋体" w:hAnsi="宋体" w:eastAsia="宋体" w:cs="宋体"/>
                <w:b w:val="0"/>
                <w:bCs w:val="0"/>
                <w:i w:val="0"/>
                <w:iCs w:val="0"/>
                <w:color w:val="auto"/>
                <w:sz w:val="22"/>
                <w:szCs w:val="22"/>
                <w:highlight w:val="none"/>
                <w:u w:val="none"/>
              </w:rPr>
            </w:pPr>
          </w:p>
        </w:tc>
        <w:tc>
          <w:tcPr>
            <w:tcW w:w="1005" w:type="dxa"/>
            <w:vMerge w:val="continue"/>
            <w:shd w:val="clear" w:color="auto" w:fill="auto"/>
            <w:vAlign w:val="center"/>
          </w:tcPr>
          <w:p>
            <w:pPr>
              <w:jc w:val="center"/>
              <w:rPr>
                <w:rFonts w:hint="eastAsia" w:ascii="宋体" w:hAnsi="宋体" w:eastAsia="宋体" w:cs="宋体"/>
                <w:b w:val="0"/>
                <w:bCs w:val="0"/>
                <w:i w:val="0"/>
                <w:iCs w:val="0"/>
                <w:color w:val="auto"/>
                <w:sz w:val="22"/>
                <w:szCs w:val="22"/>
                <w:highlight w:val="none"/>
                <w:u w:val="none"/>
              </w:rPr>
            </w:pPr>
          </w:p>
        </w:tc>
        <w:tc>
          <w:tcPr>
            <w:tcW w:w="1350" w:type="dxa"/>
            <w:vMerge w:val="continue"/>
            <w:shd w:val="clear" w:color="auto" w:fill="auto"/>
            <w:noWrap/>
            <w:vAlign w:val="center"/>
          </w:tcPr>
          <w:p>
            <w:pPr>
              <w:jc w:val="right"/>
              <w:rPr>
                <w:rFonts w:hint="eastAsia" w:ascii="宋体" w:hAnsi="宋体" w:eastAsia="宋体" w:cs="宋体"/>
                <w:b w:val="0"/>
                <w:bCs w:val="0"/>
                <w:i w:val="0"/>
                <w:iCs w:val="0"/>
                <w:color w:val="auto"/>
                <w:sz w:val="22"/>
                <w:szCs w:val="22"/>
                <w:highlight w:val="none"/>
                <w:u w:val="none"/>
              </w:rPr>
            </w:pPr>
          </w:p>
        </w:tc>
        <w:tc>
          <w:tcPr>
            <w:tcW w:w="1598" w:type="dxa"/>
            <w:vMerge w:val="continue"/>
            <w:shd w:val="clear" w:color="auto" w:fill="auto"/>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08" w:hRule="atLeast"/>
        </w:trPr>
        <w:tc>
          <w:tcPr>
            <w:tcW w:w="858" w:type="dxa"/>
            <w:vMerge w:val="continue"/>
            <w:shd w:val="clear" w:color="auto" w:fill="auto"/>
            <w:vAlign w:val="center"/>
          </w:tcPr>
          <w:p>
            <w:pPr>
              <w:jc w:val="center"/>
              <w:rPr>
                <w:rFonts w:hint="eastAsia" w:ascii="宋体" w:hAnsi="宋体" w:eastAsia="宋体" w:cs="宋体"/>
                <w:b w:val="0"/>
                <w:bCs w:val="0"/>
                <w:i w:val="0"/>
                <w:iCs w:val="0"/>
                <w:color w:val="auto"/>
                <w:sz w:val="22"/>
                <w:szCs w:val="22"/>
                <w:highlight w:val="none"/>
                <w:u w:val="none"/>
              </w:rPr>
            </w:pPr>
          </w:p>
        </w:tc>
        <w:tc>
          <w:tcPr>
            <w:tcW w:w="1373" w:type="dxa"/>
            <w:vMerge w:val="continue"/>
            <w:shd w:val="clear" w:color="auto" w:fill="auto"/>
            <w:vAlign w:val="center"/>
          </w:tcPr>
          <w:p>
            <w:pPr>
              <w:jc w:val="left"/>
              <w:rPr>
                <w:rFonts w:hint="eastAsia" w:ascii="宋体" w:hAnsi="宋体" w:eastAsia="宋体" w:cs="宋体"/>
                <w:b w:val="0"/>
                <w:bCs w:val="0"/>
                <w:i w:val="0"/>
                <w:iCs w:val="0"/>
                <w:color w:val="auto"/>
                <w:sz w:val="22"/>
                <w:szCs w:val="22"/>
                <w:highlight w:val="none"/>
                <w:u w:val="none"/>
              </w:rPr>
            </w:pPr>
          </w:p>
        </w:tc>
        <w:tc>
          <w:tcPr>
            <w:tcW w:w="1868"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2.木工板贴木饰面；</w:t>
            </w:r>
          </w:p>
        </w:tc>
        <w:tc>
          <w:tcPr>
            <w:tcW w:w="1729" w:type="dxa"/>
            <w:vMerge w:val="continue"/>
            <w:shd w:val="clear" w:color="auto" w:fill="auto"/>
            <w:noWrap/>
            <w:vAlign w:val="center"/>
          </w:tcPr>
          <w:p>
            <w:pPr>
              <w:jc w:val="center"/>
              <w:rPr>
                <w:rFonts w:hint="eastAsia" w:ascii="宋体" w:hAnsi="宋体" w:eastAsia="宋体" w:cs="宋体"/>
                <w:b w:val="0"/>
                <w:bCs w:val="0"/>
                <w:i w:val="0"/>
                <w:iCs w:val="0"/>
                <w:color w:val="auto"/>
                <w:sz w:val="22"/>
                <w:szCs w:val="22"/>
                <w:highlight w:val="none"/>
                <w:u w:val="none"/>
              </w:rPr>
            </w:pPr>
          </w:p>
        </w:tc>
        <w:tc>
          <w:tcPr>
            <w:tcW w:w="4046" w:type="dxa"/>
            <w:vMerge w:val="continue"/>
            <w:shd w:val="clear" w:color="auto" w:fill="auto"/>
            <w:vAlign w:val="center"/>
          </w:tcPr>
          <w:p>
            <w:pPr>
              <w:jc w:val="left"/>
              <w:rPr>
                <w:rFonts w:hint="eastAsia" w:ascii="宋体" w:hAnsi="宋体" w:eastAsia="宋体" w:cs="宋体"/>
                <w:b w:val="0"/>
                <w:bCs w:val="0"/>
                <w:i w:val="0"/>
                <w:iCs w:val="0"/>
                <w:color w:val="auto"/>
                <w:sz w:val="22"/>
                <w:szCs w:val="22"/>
                <w:highlight w:val="none"/>
                <w:u w:val="none"/>
              </w:rPr>
            </w:pPr>
          </w:p>
        </w:tc>
        <w:tc>
          <w:tcPr>
            <w:tcW w:w="1118" w:type="dxa"/>
            <w:vMerge w:val="continue"/>
            <w:shd w:val="clear" w:color="auto" w:fill="auto"/>
            <w:vAlign w:val="center"/>
          </w:tcPr>
          <w:p>
            <w:pPr>
              <w:jc w:val="center"/>
              <w:rPr>
                <w:rFonts w:hint="eastAsia" w:ascii="宋体" w:hAnsi="宋体" w:eastAsia="宋体" w:cs="宋体"/>
                <w:b w:val="0"/>
                <w:bCs w:val="0"/>
                <w:i w:val="0"/>
                <w:iCs w:val="0"/>
                <w:color w:val="auto"/>
                <w:sz w:val="22"/>
                <w:szCs w:val="22"/>
                <w:highlight w:val="none"/>
                <w:u w:val="none"/>
              </w:rPr>
            </w:pPr>
          </w:p>
        </w:tc>
        <w:tc>
          <w:tcPr>
            <w:tcW w:w="1005" w:type="dxa"/>
            <w:vMerge w:val="continue"/>
            <w:shd w:val="clear" w:color="auto" w:fill="auto"/>
            <w:vAlign w:val="center"/>
          </w:tcPr>
          <w:p>
            <w:pPr>
              <w:jc w:val="center"/>
              <w:rPr>
                <w:rFonts w:hint="eastAsia" w:ascii="宋体" w:hAnsi="宋体" w:eastAsia="宋体" w:cs="宋体"/>
                <w:b w:val="0"/>
                <w:bCs w:val="0"/>
                <w:i w:val="0"/>
                <w:iCs w:val="0"/>
                <w:color w:val="auto"/>
                <w:sz w:val="22"/>
                <w:szCs w:val="22"/>
                <w:highlight w:val="none"/>
                <w:u w:val="none"/>
              </w:rPr>
            </w:pPr>
          </w:p>
        </w:tc>
        <w:tc>
          <w:tcPr>
            <w:tcW w:w="1350" w:type="dxa"/>
            <w:vMerge w:val="continue"/>
            <w:shd w:val="clear" w:color="auto" w:fill="auto"/>
            <w:noWrap/>
            <w:vAlign w:val="center"/>
          </w:tcPr>
          <w:p>
            <w:pPr>
              <w:jc w:val="right"/>
              <w:rPr>
                <w:rFonts w:hint="eastAsia" w:ascii="宋体" w:hAnsi="宋体" w:eastAsia="宋体" w:cs="宋体"/>
                <w:b w:val="0"/>
                <w:bCs w:val="0"/>
                <w:i w:val="0"/>
                <w:iCs w:val="0"/>
                <w:color w:val="auto"/>
                <w:sz w:val="22"/>
                <w:szCs w:val="22"/>
                <w:highlight w:val="none"/>
                <w:u w:val="none"/>
              </w:rPr>
            </w:pPr>
          </w:p>
        </w:tc>
        <w:tc>
          <w:tcPr>
            <w:tcW w:w="1598" w:type="dxa"/>
            <w:vMerge w:val="continue"/>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 w:hRule="atLeast"/>
        </w:trPr>
        <w:tc>
          <w:tcPr>
            <w:tcW w:w="858" w:type="dxa"/>
            <w:vMerge w:val="continue"/>
            <w:shd w:val="clear" w:color="auto" w:fill="auto"/>
            <w:vAlign w:val="center"/>
          </w:tcPr>
          <w:p>
            <w:pPr>
              <w:jc w:val="center"/>
              <w:rPr>
                <w:rFonts w:hint="eastAsia" w:ascii="宋体" w:hAnsi="宋体" w:eastAsia="宋体" w:cs="宋体"/>
                <w:b w:val="0"/>
                <w:bCs w:val="0"/>
                <w:i w:val="0"/>
                <w:iCs w:val="0"/>
                <w:color w:val="auto"/>
                <w:sz w:val="22"/>
                <w:szCs w:val="22"/>
                <w:highlight w:val="none"/>
                <w:u w:val="none"/>
              </w:rPr>
            </w:pPr>
          </w:p>
        </w:tc>
        <w:tc>
          <w:tcPr>
            <w:tcW w:w="1373" w:type="dxa"/>
            <w:vMerge w:val="continue"/>
            <w:shd w:val="clear" w:color="auto" w:fill="auto"/>
            <w:vAlign w:val="center"/>
          </w:tcPr>
          <w:p>
            <w:pPr>
              <w:jc w:val="left"/>
              <w:rPr>
                <w:rFonts w:hint="eastAsia" w:ascii="宋体" w:hAnsi="宋体" w:eastAsia="宋体" w:cs="宋体"/>
                <w:b w:val="0"/>
                <w:bCs w:val="0"/>
                <w:i w:val="0"/>
                <w:iCs w:val="0"/>
                <w:color w:val="auto"/>
                <w:sz w:val="22"/>
                <w:szCs w:val="22"/>
                <w:highlight w:val="none"/>
                <w:u w:val="none"/>
              </w:rPr>
            </w:pPr>
          </w:p>
        </w:tc>
        <w:tc>
          <w:tcPr>
            <w:tcW w:w="1868"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3.具体内容详见图纸。</w:t>
            </w:r>
          </w:p>
        </w:tc>
        <w:tc>
          <w:tcPr>
            <w:tcW w:w="1729" w:type="dxa"/>
            <w:vMerge w:val="continue"/>
            <w:shd w:val="clear" w:color="auto" w:fill="auto"/>
            <w:noWrap/>
            <w:vAlign w:val="center"/>
          </w:tcPr>
          <w:p>
            <w:pPr>
              <w:jc w:val="center"/>
              <w:rPr>
                <w:rFonts w:hint="eastAsia" w:ascii="宋体" w:hAnsi="宋体" w:eastAsia="宋体" w:cs="宋体"/>
                <w:b w:val="0"/>
                <w:bCs w:val="0"/>
                <w:i w:val="0"/>
                <w:iCs w:val="0"/>
                <w:color w:val="auto"/>
                <w:sz w:val="22"/>
                <w:szCs w:val="22"/>
                <w:highlight w:val="none"/>
                <w:u w:val="none"/>
              </w:rPr>
            </w:pPr>
          </w:p>
        </w:tc>
        <w:tc>
          <w:tcPr>
            <w:tcW w:w="4046" w:type="dxa"/>
            <w:vMerge w:val="continue"/>
            <w:shd w:val="clear" w:color="auto" w:fill="auto"/>
            <w:vAlign w:val="center"/>
          </w:tcPr>
          <w:p>
            <w:pPr>
              <w:jc w:val="left"/>
              <w:rPr>
                <w:rFonts w:hint="eastAsia" w:ascii="宋体" w:hAnsi="宋体" w:eastAsia="宋体" w:cs="宋体"/>
                <w:b w:val="0"/>
                <w:bCs w:val="0"/>
                <w:i w:val="0"/>
                <w:iCs w:val="0"/>
                <w:color w:val="auto"/>
                <w:sz w:val="22"/>
                <w:szCs w:val="22"/>
                <w:highlight w:val="none"/>
                <w:u w:val="none"/>
              </w:rPr>
            </w:pPr>
          </w:p>
        </w:tc>
        <w:tc>
          <w:tcPr>
            <w:tcW w:w="1118" w:type="dxa"/>
            <w:vMerge w:val="continue"/>
            <w:shd w:val="clear" w:color="auto" w:fill="auto"/>
            <w:vAlign w:val="center"/>
          </w:tcPr>
          <w:p>
            <w:pPr>
              <w:jc w:val="center"/>
              <w:rPr>
                <w:rFonts w:hint="eastAsia" w:ascii="宋体" w:hAnsi="宋体" w:eastAsia="宋体" w:cs="宋体"/>
                <w:b w:val="0"/>
                <w:bCs w:val="0"/>
                <w:i w:val="0"/>
                <w:iCs w:val="0"/>
                <w:color w:val="auto"/>
                <w:sz w:val="22"/>
                <w:szCs w:val="22"/>
                <w:highlight w:val="none"/>
                <w:u w:val="none"/>
              </w:rPr>
            </w:pPr>
          </w:p>
        </w:tc>
        <w:tc>
          <w:tcPr>
            <w:tcW w:w="1005" w:type="dxa"/>
            <w:vMerge w:val="continue"/>
            <w:shd w:val="clear" w:color="auto" w:fill="auto"/>
            <w:vAlign w:val="center"/>
          </w:tcPr>
          <w:p>
            <w:pPr>
              <w:jc w:val="center"/>
              <w:rPr>
                <w:rFonts w:hint="eastAsia" w:ascii="宋体" w:hAnsi="宋体" w:eastAsia="宋体" w:cs="宋体"/>
                <w:b w:val="0"/>
                <w:bCs w:val="0"/>
                <w:i w:val="0"/>
                <w:iCs w:val="0"/>
                <w:color w:val="auto"/>
                <w:sz w:val="22"/>
                <w:szCs w:val="22"/>
                <w:highlight w:val="none"/>
                <w:u w:val="none"/>
              </w:rPr>
            </w:pPr>
          </w:p>
        </w:tc>
        <w:tc>
          <w:tcPr>
            <w:tcW w:w="1350" w:type="dxa"/>
            <w:vMerge w:val="continue"/>
            <w:shd w:val="clear" w:color="auto" w:fill="auto"/>
            <w:noWrap/>
            <w:vAlign w:val="center"/>
          </w:tcPr>
          <w:p>
            <w:pPr>
              <w:jc w:val="right"/>
              <w:rPr>
                <w:rFonts w:hint="eastAsia" w:ascii="宋体" w:hAnsi="宋体" w:eastAsia="宋体" w:cs="宋体"/>
                <w:b w:val="0"/>
                <w:bCs w:val="0"/>
                <w:i w:val="0"/>
                <w:iCs w:val="0"/>
                <w:color w:val="auto"/>
                <w:sz w:val="22"/>
                <w:szCs w:val="22"/>
                <w:highlight w:val="none"/>
                <w:u w:val="none"/>
              </w:rPr>
            </w:pPr>
          </w:p>
        </w:tc>
        <w:tc>
          <w:tcPr>
            <w:tcW w:w="1598" w:type="dxa"/>
            <w:vMerge w:val="continue"/>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63</w:t>
            </w:r>
          </w:p>
        </w:tc>
        <w:tc>
          <w:tcPr>
            <w:tcW w:w="1373"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成品黑色不锈钢壁炉</w:t>
            </w:r>
          </w:p>
        </w:tc>
        <w:tc>
          <w:tcPr>
            <w:tcW w:w="1868" w:type="dxa"/>
            <w:shd w:val="clear" w:color="auto" w:fill="auto"/>
            <w:vAlign w:val="center"/>
          </w:tcPr>
          <w:p>
            <w:pPr>
              <w:jc w:val="left"/>
              <w:rPr>
                <w:rFonts w:hint="eastAsia" w:ascii="宋体" w:hAnsi="宋体" w:eastAsia="宋体" w:cs="宋体"/>
                <w:b w:val="0"/>
                <w:bCs w:val="0"/>
                <w:i w:val="0"/>
                <w:iCs w:val="0"/>
                <w:color w:val="auto"/>
                <w:sz w:val="22"/>
                <w:szCs w:val="22"/>
                <w:highlight w:val="none"/>
                <w:u w:val="none"/>
              </w:rPr>
            </w:pPr>
          </w:p>
        </w:tc>
        <w:tc>
          <w:tcPr>
            <w:tcW w:w="1729" w:type="dxa"/>
            <w:shd w:val="clear" w:color="auto" w:fill="auto"/>
            <w:noWrap/>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876300" cy="685800"/>
                  <wp:effectExtent l="0" t="0" r="0" b="0"/>
                  <wp:docPr id="204" name="图片 36"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36" descr="IMG_270"/>
                          <pic:cNvPicPr>
                            <a:picLocks noChangeAspect="1"/>
                          </pic:cNvPicPr>
                        </pic:nvPicPr>
                        <pic:blipFill>
                          <a:blip r:embed="rId173"/>
                          <a:stretch>
                            <a:fillRect/>
                          </a:stretch>
                        </pic:blipFill>
                        <pic:spPr>
                          <a:xfrm>
                            <a:off x="0" y="0"/>
                            <a:ext cx="876300" cy="685800"/>
                          </a:xfrm>
                          <a:prstGeom prst="rect">
                            <a:avLst/>
                          </a:prstGeom>
                          <a:noFill/>
                          <a:ln w="9525">
                            <a:noFill/>
                          </a:ln>
                        </pic:spPr>
                      </pic:pic>
                    </a:graphicData>
                  </a:graphic>
                </wp:inline>
              </w:drawing>
            </w: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尺寸：1.1米                        颜色：黑色</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材质：黑色不锈钢                   </w:t>
            </w:r>
          </w:p>
        </w:tc>
        <w:tc>
          <w:tcPr>
            <w:tcW w:w="111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2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3139.2</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6278.4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90"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64</w:t>
            </w:r>
          </w:p>
        </w:tc>
        <w:tc>
          <w:tcPr>
            <w:tcW w:w="1373"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成品陶瓷蹲坑</w:t>
            </w:r>
          </w:p>
        </w:tc>
        <w:tc>
          <w:tcPr>
            <w:tcW w:w="1868" w:type="dxa"/>
            <w:shd w:val="clear" w:color="auto" w:fill="auto"/>
            <w:vAlign w:val="center"/>
          </w:tcPr>
          <w:p>
            <w:pPr>
              <w:jc w:val="left"/>
              <w:rPr>
                <w:rFonts w:hint="eastAsia" w:ascii="宋体" w:hAnsi="宋体" w:eastAsia="宋体" w:cs="宋体"/>
                <w:b w:val="0"/>
                <w:bCs w:val="0"/>
                <w:i w:val="0"/>
                <w:iCs w:val="0"/>
                <w:color w:val="auto"/>
                <w:sz w:val="22"/>
                <w:szCs w:val="22"/>
                <w:highlight w:val="none"/>
                <w:u w:val="none"/>
              </w:rPr>
            </w:pPr>
          </w:p>
        </w:tc>
        <w:tc>
          <w:tcPr>
            <w:tcW w:w="1729" w:type="dxa"/>
            <w:shd w:val="clear" w:color="auto" w:fill="auto"/>
            <w:noWrap/>
            <w:vAlign w:val="center"/>
          </w:tcPr>
          <w:p>
            <w:pPr>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尺寸：60*45                         蹲便器下水方向：后排水             重量(g)：20</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 xml:space="preserve">是否带存水弯：是     </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是否带水箱：是</w:t>
            </w:r>
          </w:p>
        </w:tc>
        <w:tc>
          <w:tcPr>
            <w:tcW w:w="111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4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313.92</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1255.68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1"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65</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双门大冰箱</w:t>
            </w:r>
          </w:p>
        </w:tc>
        <w:tc>
          <w:tcPr>
            <w:tcW w:w="1868" w:type="dxa"/>
            <w:shd w:val="clear" w:color="auto" w:fill="auto"/>
            <w:noWrap/>
            <w:vAlign w:val="center"/>
          </w:tcPr>
          <w:p>
            <w:pPr>
              <w:jc w:val="left"/>
              <w:rPr>
                <w:rFonts w:hint="eastAsia" w:ascii="宋体" w:hAnsi="宋体" w:eastAsia="宋体" w:cs="宋体"/>
                <w:b w:val="0"/>
                <w:bCs w:val="0"/>
                <w:i w:val="0"/>
                <w:iCs w:val="0"/>
                <w:color w:val="auto"/>
                <w:sz w:val="22"/>
                <w:szCs w:val="22"/>
                <w:highlight w:val="none"/>
                <w:u w:val="none"/>
              </w:rPr>
            </w:pPr>
          </w:p>
        </w:tc>
        <w:tc>
          <w:tcPr>
            <w:tcW w:w="1729" w:type="dxa"/>
            <w:shd w:val="clear" w:color="auto" w:fill="auto"/>
            <w:noWrap/>
            <w:vAlign w:val="center"/>
          </w:tcPr>
          <w:p>
            <w:pPr>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面板类型：钢化玻璃制冷             方式：风冷</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冷柜机型：冷藏冷冻冰箱             制冷控制系统：电子温控</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能效等级：一级包装                 尺寸：700x660x1595mm</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宽度：610mm</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最大容积：243L                     冷冻室容积：23L                                      噪声：39db</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耗电量：0.43kWh/24h</w:t>
            </w:r>
          </w:p>
        </w:tc>
        <w:tc>
          <w:tcPr>
            <w:tcW w:w="1118" w:type="dxa"/>
            <w:shd w:val="clear" w:color="auto" w:fill="auto"/>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台</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1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6906.24</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6906.24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185"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66</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水槽</w:t>
            </w:r>
          </w:p>
        </w:tc>
        <w:tc>
          <w:tcPr>
            <w:tcW w:w="1868"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1）水槽；</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noWrap/>
            <w:vAlign w:val="center"/>
          </w:tcPr>
          <w:p>
            <w:pPr>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材质：高温陶瓷</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外径：600*455*245mm            内径：545x395x210mm            安装方式：台下式安装           产品配置：单盆、蘑菇头陶瓷下水器 </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6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2943</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17658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0"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67</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智能马桶</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1）智能马桶；</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noWrap/>
            <w:vAlign w:val="center"/>
          </w:tcPr>
          <w:p>
            <w:pPr>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材质：陶瓷</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承重：70kg及以上                   坐便器冲水方式：超漩式</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坐便器排水方式：地排水             坐便冲水量：4.8L                   盖板是否缓冲：是</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是否含遥控：是</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9 </w:t>
            </w:r>
          </w:p>
        </w:tc>
        <w:tc>
          <w:tcPr>
            <w:tcW w:w="1350" w:type="dxa"/>
            <w:shd w:val="clear" w:color="auto" w:fill="auto"/>
            <w:noWrap/>
            <w:vAlign w:val="center"/>
          </w:tcPr>
          <w:p>
            <w:pPr>
              <w:keepNext w:val="0"/>
              <w:keepLines w:val="0"/>
              <w:widowControl/>
              <w:suppressLineNumbers w:val="0"/>
              <w:jc w:val="right"/>
              <w:textAlignment w:val="center"/>
              <w:rPr>
                <w:rFonts w:hint="default" w:ascii="宋体" w:hAnsi="宋体" w:eastAsia="宋体" w:cs="宋体"/>
                <w:b w:val="0"/>
                <w:bCs w:val="0"/>
                <w:i w:val="0"/>
                <w:iCs w:val="0"/>
                <w:color w:val="auto"/>
                <w:sz w:val="22"/>
                <w:szCs w:val="22"/>
                <w:highlight w:val="none"/>
                <w:u w:val="none"/>
                <w:lang w:val="en-US"/>
              </w:rPr>
            </w:pPr>
            <w:r>
              <w:rPr>
                <w:rFonts w:hint="eastAsia" w:ascii="宋体" w:hAnsi="宋体" w:cs="宋体"/>
                <w:b w:val="0"/>
                <w:bCs w:val="0"/>
                <w:i w:val="0"/>
                <w:iCs w:val="0"/>
                <w:color w:val="auto"/>
                <w:kern w:val="0"/>
                <w:sz w:val="22"/>
                <w:szCs w:val="22"/>
                <w:highlight w:val="none"/>
                <w:u w:val="none"/>
                <w:lang w:val="en-US" w:eastAsia="zh-CN" w:bidi="ar"/>
              </w:rPr>
              <w:t>7114.55</w:t>
            </w:r>
          </w:p>
        </w:tc>
        <w:tc>
          <w:tcPr>
            <w:tcW w:w="1598" w:type="dxa"/>
            <w:shd w:val="clear" w:color="auto" w:fill="auto"/>
            <w:noWrap/>
            <w:vAlign w:val="center"/>
          </w:tcPr>
          <w:p>
            <w:pPr>
              <w:keepNext w:val="0"/>
              <w:keepLines w:val="0"/>
              <w:widowControl/>
              <w:suppressLineNumbers w:val="0"/>
              <w:jc w:val="right"/>
              <w:textAlignment w:val="center"/>
              <w:rPr>
                <w:rFonts w:hint="default"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cs="宋体"/>
                <w:b w:val="0"/>
                <w:bCs w:val="0"/>
                <w:i w:val="0"/>
                <w:iCs w:val="0"/>
                <w:color w:val="auto"/>
                <w:kern w:val="0"/>
                <w:sz w:val="22"/>
                <w:szCs w:val="22"/>
                <w:highlight w:val="none"/>
                <w:u w:val="none"/>
                <w:lang w:val="en-US" w:eastAsia="zh-CN" w:bidi="ar"/>
              </w:rPr>
              <w:t>64030.95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1"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68</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成品浴缸</w:t>
            </w:r>
          </w:p>
        </w:tc>
        <w:tc>
          <w:tcPr>
            <w:tcW w:w="1868" w:type="dxa"/>
            <w:shd w:val="clear" w:color="auto" w:fill="FFFFFF"/>
            <w:vAlign w:val="center"/>
          </w:tcPr>
          <w:p>
            <w:pPr>
              <w:keepNext w:val="0"/>
              <w:keepLines w:val="0"/>
              <w:widowControl/>
              <w:suppressLineNumbers w:val="0"/>
              <w:jc w:val="left"/>
              <w:textAlignment w:val="center"/>
              <w:rPr>
                <w:rStyle w:val="120"/>
                <w:rFonts w:hint="eastAsia" w:ascii="宋体" w:hAnsi="宋体" w:eastAsia="宋体" w:cs="宋体"/>
                <w:b w:val="0"/>
                <w:bCs w:val="0"/>
                <w:color w:val="auto"/>
                <w:highlight w:val="none"/>
                <w:lang w:val="en-US" w:eastAsia="zh-CN" w:bidi="ar"/>
              </w:rPr>
            </w:pPr>
            <w:r>
              <w:rPr>
                <w:rStyle w:val="120"/>
                <w:rFonts w:hint="eastAsia" w:ascii="宋体" w:hAnsi="宋体" w:eastAsia="宋体" w:cs="宋体"/>
                <w:b w:val="0"/>
                <w:bCs w:val="0"/>
                <w:color w:val="auto"/>
                <w:highlight w:val="none"/>
                <w:lang w:val="en-US" w:eastAsia="zh-CN" w:bidi="ar"/>
              </w:rPr>
              <w:t>1）成品浴缸；</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Style w:val="127"/>
                <w:rFonts w:hint="eastAsia" w:ascii="宋体" w:hAnsi="宋体" w:eastAsia="宋体" w:cs="宋体"/>
                <w:b w:val="0"/>
                <w:bCs w:val="0"/>
                <w:color w:val="auto"/>
                <w:highlight w:val="none"/>
                <w:lang w:val="en-US" w:eastAsia="zh-CN" w:bidi="ar"/>
              </w:rPr>
              <w:t>2）具体做法详见图纸；</w:t>
            </w:r>
          </w:p>
        </w:tc>
        <w:tc>
          <w:tcPr>
            <w:tcW w:w="1729" w:type="dxa"/>
            <w:shd w:val="clear" w:color="auto" w:fill="auto"/>
            <w:noWrap/>
            <w:vAlign w:val="center"/>
          </w:tcPr>
          <w:p>
            <w:pPr>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材质：透明有色环保树脂                   款式：独立式 不含水龙头                       产品尺寸：1.7m *0.75m*H0.55m   缸厚：25mm                     包装组件：浴缸、下水器、排水管                          安装方式：地面独立自由摆放安装</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3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4855.95</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14567.85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6"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69</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洗脸台盆</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1）洗脸台盆；</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noWrap/>
            <w:vAlign w:val="center"/>
          </w:tcPr>
          <w:p>
            <w:pPr>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柜体材质：榆木</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 xml:space="preserve">尺寸：400*500*730mm，材质为304不锈钢液压铰链 </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表面工艺：手扫漆                   环保等级：E0级                     组合形式：含带配套面盆,含带浴室镜柜,含带水龙头</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是否含镜灯：否                 台面类型：木质台面                     开合方式：翻开门</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5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686.7</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3433.5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380"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70</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花架台</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1）花架台；</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noWrap/>
            <w:vAlign w:val="center"/>
          </w:tcPr>
          <w:p>
            <w:pPr>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风格：诧寂风                   材质：老旧硬木（柚木、橡木）                   结构工艺：木质工艺</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木质结构工艺：榫卯结构             尺寸：35cm*35cm*81cm             家具结构：框架结构              环保等级：E0</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1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2496.1</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2496.1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380"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71</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定制红檀木岛台</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1）定制红檀木岛台 1*3.6*0.85m；</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noWrap/>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190625" cy="647700"/>
                  <wp:effectExtent l="0" t="0" r="0" b="0"/>
                  <wp:docPr id="210" name="图片 37"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37" descr="IMG_271"/>
                          <pic:cNvPicPr>
                            <a:picLocks noChangeAspect="1"/>
                          </pic:cNvPicPr>
                        </pic:nvPicPr>
                        <pic:blipFill>
                          <a:blip r:embed="rId174"/>
                          <a:stretch>
                            <a:fillRect/>
                          </a:stretch>
                        </pic:blipFill>
                        <pic:spPr>
                          <a:xfrm>
                            <a:off x="0" y="0"/>
                            <a:ext cx="1190625" cy="647700"/>
                          </a:xfrm>
                          <a:prstGeom prst="rect">
                            <a:avLst/>
                          </a:prstGeom>
                          <a:noFill/>
                          <a:ln w="9525">
                            <a:noFill/>
                          </a:ln>
                        </pic:spPr>
                      </pic:pic>
                    </a:graphicData>
                  </a:graphic>
                </wp:inline>
              </w:drawing>
            </w: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风格：诧寂风                       材质：红檀木                       尺寸：1*3.6*0.85m，材质为304不锈钢液压铰链，桌面板厚度0.05m                                 环保等级：E0级                 安装方式：组装 </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1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3847.7</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3847.7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0"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72</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定制橱柜</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1）定制橱柜 0.6*5.6*0.85m；</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noWrap/>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190625" cy="647700"/>
                  <wp:effectExtent l="0" t="0" r="0" b="0"/>
                  <wp:docPr id="198" name="图片 38"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38" descr="IMG_272"/>
                          <pic:cNvPicPr>
                            <a:picLocks noChangeAspect="1"/>
                          </pic:cNvPicPr>
                        </pic:nvPicPr>
                        <pic:blipFill>
                          <a:blip r:embed="rId174"/>
                          <a:stretch>
                            <a:fillRect/>
                          </a:stretch>
                        </pic:blipFill>
                        <pic:spPr>
                          <a:xfrm>
                            <a:off x="0" y="0"/>
                            <a:ext cx="1190625" cy="647700"/>
                          </a:xfrm>
                          <a:prstGeom prst="rect">
                            <a:avLst/>
                          </a:prstGeom>
                          <a:noFill/>
                          <a:ln w="9525">
                            <a:noFill/>
                          </a:ln>
                        </pic:spPr>
                      </pic:pic>
                    </a:graphicData>
                  </a:graphic>
                </wp:inline>
              </w:drawing>
            </w: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风格：诧寂风                        材质：老旧硬木（柚木、橡木）                       尺寸：0.6*5.6*0.85m ，材质为304不锈钢液压铰链，桌面板厚度0.05m                                 环保等级：E0级</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2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5711.6</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11423.2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0"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73</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定制橱柜</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1）定制橱柜600*3180*850mm；</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noWrap/>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190625" cy="647700"/>
                  <wp:effectExtent l="0" t="0" r="0" b="0"/>
                  <wp:docPr id="215" name="图片 39"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39" descr="IMG_273"/>
                          <pic:cNvPicPr>
                            <a:picLocks noChangeAspect="1"/>
                          </pic:cNvPicPr>
                        </pic:nvPicPr>
                        <pic:blipFill>
                          <a:blip r:embed="rId174"/>
                          <a:stretch>
                            <a:fillRect/>
                          </a:stretch>
                        </pic:blipFill>
                        <pic:spPr>
                          <a:xfrm>
                            <a:off x="0" y="0"/>
                            <a:ext cx="1190625" cy="647700"/>
                          </a:xfrm>
                          <a:prstGeom prst="rect">
                            <a:avLst/>
                          </a:prstGeom>
                          <a:noFill/>
                          <a:ln w="9525">
                            <a:noFill/>
                          </a:ln>
                        </pic:spPr>
                      </pic:pic>
                    </a:graphicData>
                  </a:graphic>
                </wp:inline>
              </w:drawing>
            </w: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风格：诧寂风                       材质：老旧硬木（柚木、橡木）                      尺寸：600*3180*850mm，材质为304不锈钢液压铰链，桌面板厚度0.05m                                 环保等级：E0级</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1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3270</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3270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5"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74</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定制岛台</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1）定制岛台600*1400*850mm；</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noWrap/>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181100" cy="685800"/>
                  <wp:effectExtent l="0" t="0" r="0" b="0"/>
                  <wp:docPr id="216" name="图片 40"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40" descr="IMG_274"/>
                          <pic:cNvPicPr>
                            <a:picLocks noChangeAspect="1"/>
                          </pic:cNvPicPr>
                        </pic:nvPicPr>
                        <pic:blipFill>
                          <a:blip r:embed="rId175"/>
                          <a:stretch>
                            <a:fillRect/>
                          </a:stretch>
                        </pic:blipFill>
                        <pic:spPr>
                          <a:xfrm>
                            <a:off x="0" y="0"/>
                            <a:ext cx="1181100" cy="685800"/>
                          </a:xfrm>
                          <a:prstGeom prst="rect">
                            <a:avLst/>
                          </a:prstGeom>
                          <a:noFill/>
                          <a:ln w="9525">
                            <a:noFill/>
                          </a:ln>
                        </pic:spPr>
                      </pic:pic>
                    </a:graphicData>
                  </a:graphic>
                </wp:inline>
              </w:drawing>
            </w: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风格：诧寂风                       材质：老旧硬木（柚木、橡木） 、钢架支架                       尺寸：600*1400*850mm ，材质为304不锈钢液压铰链，桌面板厚度0.05m                                 环保等级：E0级                 安装方式：组装</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2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11532.2</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23064.4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0"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75</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私人餐桌</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1）私人餐桌；</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noWrap/>
            <w:vAlign w:val="center"/>
          </w:tcPr>
          <w:p>
            <w:pPr>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风格：诧寂风                         材质：老旧硬木（柚木、橡木）                        尺寸：D1500*H760圆形桌面，圆形原木桌腿直径50mm，桌板厚度50mm                        环保等级：E0级 </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1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4305.5</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4305.5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575"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76</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恒温花洒</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1）恒温花洒；</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noWrap/>
            <w:vAlign w:val="center"/>
          </w:tcPr>
          <w:p>
            <w:pPr>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 xml:space="preserve">恒温花洒                    材质：铜                                                                </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形状：方形                         安装方式：壁挂式                   花洒支架类型：带升降</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淋浴花洒龙头类型：双花洒龙头，350mm置物平台，31cm大直径淋浴，恒温阀芯</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14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2256.3</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31588.2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99"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77</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厕所门帘</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1）厕所门帘；</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noWrap/>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933450" cy="542925"/>
                  <wp:effectExtent l="0" t="0" r="0" b="0"/>
                  <wp:docPr id="211" name="图片 41"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41" descr="IMG_275"/>
                          <pic:cNvPicPr>
                            <a:picLocks noChangeAspect="1"/>
                          </pic:cNvPicPr>
                        </pic:nvPicPr>
                        <pic:blipFill>
                          <a:blip r:embed="rId176"/>
                          <a:stretch>
                            <a:fillRect/>
                          </a:stretch>
                        </pic:blipFill>
                        <pic:spPr>
                          <a:xfrm>
                            <a:off x="0" y="0"/>
                            <a:ext cx="933450" cy="542925"/>
                          </a:xfrm>
                          <a:prstGeom prst="rect">
                            <a:avLst/>
                          </a:prstGeom>
                          <a:noFill/>
                          <a:ln w="9525">
                            <a:noFill/>
                          </a:ln>
                        </pic:spPr>
                      </pic:pic>
                    </a:graphicData>
                  </a:graphic>
                </wp:inline>
              </w:drawing>
            </w: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品名：纯手工植物染门帘               面料：100%棉                       等级：一等品                                      印刷工艺:蓝印花                印刷面数：双面</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2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1002.8</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2005.6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1"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78</w:t>
            </w:r>
          </w:p>
        </w:tc>
        <w:tc>
          <w:tcPr>
            <w:tcW w:w="1373"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陶艺成品定制操作台</w:t>
            </w:r>
          </w:p>
        </w:tc>
        <w:tc>
          <w:tcPr>
            <w:tcW w:w="1868"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1）陶艺成品定制操作台；</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2）长度18m：</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3）具体做法详见图纸；</w:t>
            </w:r>
          </w:p>
        </w:tc>
        <w:tc>
          <w:tcPr>
            <w:tcW w:w="1729" w:type="dxa"/>
            <w:shd w:val="clear" w:color="auto" w:fill="auto"/>
            <w:noWrap/>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847725" cy="504825"/>
                  <wp:effectExtent l="0" t="0" r="0" b="0"/>
                  <wp:docPr id="205" name="图片 42"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42" descr="IMG_276"/>
                          <pic:cNvPicPr>
                            <a:picLocks noChangeAspect="1"/>
                          </pic:cNvPicPr>
                        </pic:nvPicPr>
                        <pic:blipFill>
                          <a:blip r:embed="rId177"/>
                          <a:stretch>
                            <a:fillRect/>
                          </a:stretch>
                        </pic:blipFill>
                        <pic:spPr>
                          <a:xfrm>
                            <a:off x="0" y="0"/>
                            <a:ext cx="847725" cy="504825"/>
                          </a:xfrm>
                          <a:prstGeom prst="rect">
                            <a:avLst/>
                          </a:prstGeom>
                          <a:noFill/>
                          <a:ln w="9525">
                            <a:noFill/>
                          </a:ln>
                        </pic:spPr>
                      </pic:pic>
                    </a:graphicData>
                  </a:graphic>
                </wp:inline>
              </w:drawing>
            </w: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风格：诧寂风                       材质：老旧硬木（柚木、橡木）                      尺寸：18*2.3*0.85m 方形桌面，方形原木桌腿直径50mm，桌板厚度80mm                      环保等级：E0                   结构：支架结构                 安装方式：组装</w:t>
            </w:r>
          </w:p>
        </w:tc>
        <w:tc>
          <w:tcPr>
            <w:tcW w:w="111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1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17658</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17658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966"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79</w:t>
            </w:r>
          </w:p>
        </w:tc>
        <w:tc>
          <w:tcPr>
            <w:tcW w:w="1373"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陶艺区大板桌</w:t>
            </w:r>
          </w:p>
        </w:tc>
        <w:tc>
          <w:tcPr>
            <w:tcW w:w="1868"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1）陶艺区大板桌 1.2*2.3*0.85m；</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noWrap/>
            <w:vAlign w:val="center"/>
          </w:tcPr>
          <w:p>
            <w:pPr>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风格：诧寂风                       材质：老旧硬木（柚木、橡木）                       尺寸：1.2*2.3*0.85m 方形桌面，方形原木桌腿直径50mm，桌板厚度80mm                   毛重：</w:t>
            </w:r>
            <w:r>
              <w:rPr>
                <w:rFonts w:hint="eastAsia" w:ascii="宋体" w:hAnsi="宋体" w:cs="宋体"/>
                <w:b w:val="0"/>
                <w:bCs w:val="0"/>
                <w:i w:val="0"/>
                <w:iCs w:val="0"/>
                <w:color w:val="auto"/>
                <w:kern w:val="0"/>
                <w:sz w:val="22"/>
                <w:szCs w:val="22"/>
                <w:highlight w:val="none"/>
                <w:u w:val="none"/>
                <w:lang w:val="en-US" w:eastAsia="zh-CN" w:bidi="ar"/>
              </w:rPr>
              <w:t>约</w:t>
            </w:r>
            <w:r>
              <w:rPr>
                <w:rFonts w:hint="eastAsia" w:ascii="宋体" w:hAnsi="宋体" w:eastAsia="宋体" w:cs="宋体"/>
                <w:b w:val="0"/>
                <w:bCs w:val="0"/>
                <w:i w:val="0"/>
                <w:iCs w:val="0"/>
                <w:color w:val="auto"/>
                <w:kern w:val="0"/>
                <w:sz w:val="22"/>
                <w:szCs w:val="22"/>
                <w:highlight w:val="none"/>
                <w:u w:val="none"/>
                <w:lang w:val="en-US" w:eastAsia="zh-CN" w:bidi="ar"/>
              </w:rPr>
              <w:t>50kg                     环保等级：E0                    结构：支架结构                 安装方式：组装</w:t>
            </w:r>
          </w:p>
        </w:tc>
        <w:tc>
          <w:tcPr>
            <w:tcW w:w="111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1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13973.8</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13973.8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90"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80</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恒温淋浴头</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1）恒温淋浴头；</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noWrap/>
            <w:vAlign w:val="center"/>
          </w:tcPr>
          <w:p>
            <w:pPr>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风格：现代</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功能：增压                         材质：铜颜色                       分类：精铜主体                     花洒支架类型：可旋转带升降</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14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926.5</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12971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5"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81</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微水泥洗脸台</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1）微水泥洗脸台；</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noWrap/>
            <w:vAlign w:val="center"/>
          </w:tcPr>
          <w:p>
            <w:pPr>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材质：岩板</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容量：12L                                            尺寸：58                              台面类型：岩板无缝一体盆       环保等级：E0级                     组合形式：含带配套面盆,含带浴室镜柜,含带水龙头</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               </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米</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2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1144.5</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2289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2"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82</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煤气灶</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1）煤气灶；</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noWrap/>
            <w:vAlign w:val="center"/>
          </w:tcPr>
          <w:p>
            <w:pPr>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材质：钢化玻璃</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黑色灶眼数量：2个</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气灶结构：嵌入式                  面板材质：钢化玻璃</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熄火保护装置：热电偶熄火保护                        能效等级：一级             适用气源：天然气 液化气</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点火方式：脉冲电子点火进风方式：上下进风</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毛重：</w:t>
            </w:r>
            <w:r>
              <w:rPr>
                <w:rFonts w:hint="eastAsia" w:ascii="宋体" w:hAnsi="宋体" w:cs="宋体"/>
                <w:b w:val="0"/>
                <w:bCs w:val="0"/>
                <w:i w:val="0"/>
                <w:iCs w:val="0"/>
                <w:color w:val="auto"/>
                <w:kern w:val="0"/>
                <w:sz w:val="22"/>
                <w:szCs w:val="22"/>
                <w:highlight w:val="none"/>
                <w:u w:val="none"/>
                <w:lang w:val="en-US" w:eastAsia="zh-CN" w:bidi="ar"/>
              </w:rPr>
              <w:t>约</w:t>
            </w:r>
            <w:r>
              <w:rPr>
                <w:rFonts w:hint="eastAsia" w:ascii="宋体" w:hAnsi="宋体" w:eastAsia="宋体" w:cs="宋体"/>
                <w:b w:val="0"/>
                <w:bCs w:val="0"/>
                <w:i w:val="0"/>
                <w:iCs w:val="0"/>
                <w:color w:val="auto"/>
                <w:kern w:val="0"/>
                <w:sz w:val="22"/>
                <w:szCs w:val="22"/>
                <w:highlight w:val="none"/>
                <w:u w:val="none"/>
                <w:lang w:val="en-US" w:eastAsia="zh-CN" w:bidi="ar"/>
              </w:rPr>
              <w:t>14kg</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尺寸：780x450x136mm</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额定热负荷：5.0KW</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4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2964.8</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11859.2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43"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83</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成品洗手台</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1）成品洗手台；</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2）具体做法详见图纸；</w:t>
            </w:r>
          </w:p>
        </w:tc>
        <w:tc>
          <w:tcPr>
            <w:tcW w:w="1729" w:type="dxa"/>
            <w:shd w:val="clear" w:color="auto" w:fill="auto"/>
            <w:noWrap/>
            <w:vAlign w:val="center"/>
          </w:tcPr>
          <w:p>
            <w:pPr>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 xml:space="preserve">柜体材质：老旧硬木（柚木、橡木） </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尺寸：700*500*730mm</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表面工艺：手扫漆                   环保等级：E0级                     组合形式：含带配套面盆,含带浴室镜柜,含带水龙头</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是否含镜灯：否                  台面类型：木质台面                     开合方式：翻开门</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2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3433.5</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6867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1"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84</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空调机</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1.5匹挂机</w:t>
            </w:r>
          </w:p>
        </w:tc>
        <w:tc>
          <w:tcPr>
            <w:tcW w:w="1729" w:type="dxa"/>
            <w:shd w:val="clear" w:color="auto" w:fill="auto"/>
            <w:vAlign w:val="center"/>
          </w:tcPr>
          <w:p>
            <w:pPr>
              <w:jc w:val="left"/>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空调功率：</w:t>
            </w:r>
            <w:r>
              <w:rPr>
                <w:rFonts w:hint="eastAsia" w:ascii="宋体" w:hAnsi="宋体" w:cs="宋体"/>
                <w:b w:val="0"/>
                <w:bCs w:val="0"/>
                <w:i w:val="0"/>
                <w:iCs w:val="0"/>
                <w:color w:val="auto"/>
                <w:kern w:val="0"/>
                <w:sz w:val="22"/>
                <w:szCs w:val="22"/>
                <w:highlight w:val="none"/>
                <w:u w:val="none"/>
                <w:lang w:val="en-US" w:eastAsia="zh-CN" w:bidi="ar"/>
              </w:rPr>
              <w:t>1.</w:t>
            </w:r>
            <w:r>
              <w:rPr>
                <w:rFonts w:hint="eastAsia" w:ascii="宋体" w:hAnsi="宋体" w:eastAsia="宋体" w:cs="宋体"/>
                <w:b w:val="0"/>
                <w:bCs w:val="0"/>
                <w:i w:val="0"/>
                <w:iCs w:val="0"/>
                <w:color w:val="auto"/>
                <w:kern w:val="0"/>
                <w:sz w:val="22"/>
                <w:szCs w:val="22"/>
                <w:highlight w:val="none"/>
                <w:u w:val="none"/>
                <w:lang w:val="en-US" w:eastAsia="zh-CN" w:bidi="ar"/>
              </w:rPr>
              <w:t>5匹                      工作方式：变频                     工作方式：变频                     空调类型：壁挂式</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冷暖类型：冷暖电辅空调              能效能效等级：一级</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内机尺寸：825x196x293mm</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外机尺寸：802x350x555mm</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制热功率：1250W</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制热量：5010W</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制冷量：3510W</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制冷功率：810W</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台</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20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2986.6</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59732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32"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85</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空调机</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5匹立式机</w:t>
            </w:r>
          </w:p>
        </w:tc>
        <w:tc>
          <w:tcPr>
            <w:tcW w:w="1729" w:type="dxa"/>
            <w:shd w:val="clear" w:color="auto" w:fill="auto"/>
            <w:vAlign w:val="center"/>
          </w:tcPr>
          <w:p>
            <w:pPr>
              <w:jc w:val="left"/>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spacing w:after="220" w:afterAutospacing="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空调功率：5匹                           工作方式：变频</w:t>
            </w:r>
          </w:p>
          <w:p>
            <w:pPr>
              <w:keepNext w:val="0"/>
              <w:keepLines w:val="0"/>
              <w:widowControl/>
              <w:suppressLineNumbers w:val="0"/>
              <w:spacing w:after="220" w:afterAutospacing="0"/>
              <w:jc w:val="left"/>
              <w:textAlignment w:val="center"/>
              <w:rPr>
                <w:rFonts w:hint="default" w:ascii="宋体" w:hAnsi="宋体" w:eastAsia="宋体" w:cs="宋体"/>
                <w:b w:val="0"/>
                <w:bCs w:val="0"/>
                <w:i w:val="0"/>
                <w:iCs w:val="0"/>
                <w:color w:val="auto"/>
                <w:sz w:val="22"/>
                <w:szCs w:val="22"/>
                <w:highlight w:val="none"/>
                <w:u w:val="none"/>
                <w:lang w:val="en-US"/>
              </w:rPr>
            </w:pPr>
            <w:r>
              <w:rPr>
                <w:rFonts w:hint="eastAsia" w:ascii="宋体" w:hAnsi="宋体" w:eastAsia="宋体" w:cs="宋体"/>
                <w:b w:val="0"/>
                <w:bCs w:val="0"/>
                <w:i w:val="0"/>
                <w:iCs w:val="0"/>
                <w:color w:val="auto"/>
                <w:kern w:val="0"/>
                <w:sz w:val="22"/>
                <w:szCs w:val="22"/>
                <w:highlight w:val="none"/>
                <w:u w:val="none"/>
                <w:lang w:val="en-US" w:eastAsia="zh-CN" w:bidi="ar"/>
              </w:rPr>
              <w:t>空调类型：立柜式                        冷暖类型：冷暖电辅空调</w:t>
            </w:r>
            <w:r>
              <w:rPr>
                <w:rFonts w:hint="eastAsia" w:ascii="宋体" w:hAnsi="宋体" w:cs="宋体"/>
                <w:b w:val="0"/>
                <w:bCs w:val="0"/>
                <w:i w:val="0"/>
                <w:iCs w:val="0"/>
                <w:color w:val="auto"/>
                <w:kern w:val="0"/>
                <w:sz w:val="22"/>
                <w:szCs w:val="22"/>
                <w:highlight w:val="none"/>
                <w:u w:val="none"/>
                <w:lang w:val="en-US" w:eastAsia="zh-CN" w:bidi="ar"/>
              </w:rPr>
              <w:t xml:space="preserve"> </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台</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7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10845.5</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75918.5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936"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86</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电热水器</w:t>
            </w:r>
          </w:p>
        </w:tc>
        <w:tc>
          <w:tcPr>
            <w:tcW w:w="1868" w:type="dxa"/>
            <w:shd w:val="clear" w:color="auto" w:fill="FFFFFF"/>
            <w:vAlign w:val="center"/>
          </w:tcPr>
          <w:p>
            <w:pPr>
              <w:jc w:val="left"/>
              <w:rPr>
                <w:rFonts w:hint="eastAsia" w:ascii="宋体" w:hAnsi="宋体" w:eastAsia="宋体" w:cs="宋体"/>
                <w:b w:val="0"/>
                <w:bCs w:val="0"/>
                <w:i w:val="0"/>
                <w:iCs w:val="0"/>
                <w:strike/>
                <w:color w:val="auto"/>
                <w:sz w:val="22"/>
                <w:szCs w:val="22"/>
                <w:highlight w:val="none"/>
              </w:rPr>
            </w:pPr>
          </w:p>
        </w:tc>
        <w:tc>
          <w:tcPr>
            <w:tcW w:w="1729" w:type="dxa"/>
            <w:shd w:val="clear" w:color="auto" w:fill="auto"/>
            <w:vAlign w:val="center"/>
          </w:tcPr>
          <w:p>
            <w:pPr>
              <w:jc w:val="left"/>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spacing w:after="220" w:afterAutospacing="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能效等级：一级</w:t>
            </w:r>
          </w:p>
          <w:p>
            <w:pPr>
              <w:keepNext w:val="0"/>
              <w:keepLines w:val="0"/>
              <w:widowControl/>
              <w:suppressLineNumbers w:val="0"/>
              <w:spacing w:after="220" w:afterAutospacing="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控制方式：微电脑式款式：横式堆码层数极限：4层</w:t>
            </w:r>
          </w:p>
          <w:p>
            <w:pPr>
              <w:keepNext w:val="0"/>
              <w:keepLines w:val="0"/>
              <w:widowControl/>
              <w:suppressLineNumbers w:val="0"/>
              <w:spacing w:after="220" w:afterAutospacing="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毛重：</w:t>
            </w:r>
            <w:r>
              <w:rPr>
                <w:rFonts w:hint="eastAsia" w:ascii="宋体" w:hAnsi="宋体" w:cs="宋体"/>
                <w:b w:val="0"/>
                <w:bCs w:val="0"/>
                <w:i w:val="0"/>
                <w:iCs w:val="0"/>
                <w:color w:val="auto"/>
                <w:kern w:val="0"/>
                <w:sz w:val="22"/>
                <w:szCs w:val="22"/>
                <w:highlight w:val="none"/>
                <w:u w:val="none"/>
                <w:lang w:val="en-US" w:eastAsia="zh-CN" w:bidi="ar"/>
              </w:rPr>
              <w:t>约</w:t>
            </w:r>
            <w:r>
              <w:rPr>
                <w:rFonts w:hint="eastAsia" w:ascii="宋体" w:hAnsi="宋体" w:eastAsia="宋体" w:cs="宋体"/>
                <w:b w:val="0"/>
                <w:bCs w:val="0"/>
                <w:i w:val="0"/>
                <w:iCs w:val="0"/>
                <w:color w:val="auto"/>
                <w:kern w:val="0"/>
                <w:sz w:val="22"/>
                <w:szCs w:val="22"/>
                <w:highlight w:val="none"/>
                <w:u w:val="none"/>
                <w:lang w:val="en-US" w:eastAsia="zh-CN" w:bidi="ar"/>
              </w:rPr>
              <w:t>32kg                         尺寸：710x330x555mm</w:t>
            </w:r>
          </w:p>
          <w:p>
            <w:pPr>
              <w:keepNext w:val="0"/>
              <w:keepLines w:val="0"/>
              <w:widowControl/>
              <w:suppressLineNumbers w:val="0"/>
              <w:spacing w:after="220" w:afterAutospacing="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                        </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台</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15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1242.6</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18639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724" w:hRule="atLeast"/>
        </w:trPr>
        <w:tc>
          <w:tcPr>
            <w:tcW w:w="858"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87</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显示</w:t>
            </w:r>
            <w:r>
              <w:rPr>
                <w:rFonts w:hint="eastAsia" w:ascii="宋体" w:hAnsi="宋体" w:cs="宋体"/>
                <w:b w:val="0"/>
                <w:bCs w:val="0"/>
                <w:i w:val="0"/>
                <w:iCs w:val="0"/>
                <w:color w:val="auto"/>
                <w:kern w:val="0"/>
                <w:sz w:val="22"/>
                <w:szCs w:val="22"/>
                <w:highlight w:val="none"/>
                <w:u w:val="none"/>
                <w:lang w:val="en-US" w:eastAsia="zh-CN" w:bidi="ar"/>
              </w:rPr>
              <w:t>设备</w:t>
            </w:r>
          </w:p>
        </w:tc>
        <w:tc>
          <w:tcPr>
            <w:tcW w:w="186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5m*3m</w:t>
            </w:r>
          </w:p>
        </w:tc>
        <w:tc>
          <w:tcPr>
            <w:tcW w:w="1729" w:type="dxa"/>
            <w:shd w:val="clear" w:color="auto" w:fill="auto"/>
            <w:noWrap/>
            <w:vAlign w:val="center"/>
          </w:tcPr>
          <w:p>
            <w:pPr>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像素间距：2.0mm</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像素结构：1R1G1B</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像素密度：160000/m2</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模组分辨率：128*64</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 xml:space="preserve">模组尺寸：320mm*160mm  </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换帧频率：≥60HZ</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刷新率：普刷≥1920HZ高刷≥3840HZ</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白平衡亮度：≥600cd/㎡</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色温：3200K—9300K可调</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水平视角：≥140°</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垂直视角：≥120°</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亮度均匀性：≥97%</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对比度：≥3000:1</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信号处理位数 ：16位*3</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灰度等级：65536</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控制距离：网线：100米， 光纤：10公里</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驱动方式：高灰阶恒流源驱动IC</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控制方式：同步、异步</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亮度调节范围：0到100无级调节</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连续工作时间：≥72小时</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寿命典型值：≥10万小时</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防护等级：IP20</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工作温度范围：-20 ℃ 至 50 ℃</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工作湿度范围：10 %- 80% RH 无凝结</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存储温度范围：-20 ℃ 至 60 ℃</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工作电压：DC:4.2-5V</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供电要求：AC：220×（1±10%）V、50×（1±5%）Hz</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最大功耗：650 W/㎡</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平均功耗：270 W/㎡</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15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3924</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58860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52" w:hRule="atLeast"/>
        </w:trPr>
        <w:tc>
          <w:tcPr>
            <w:tcW w:w="858"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88</w:t>
            </w:r>
          </w:p>
        </w:tc>
        <w:tc>
          <w:tcPr>
            <w:tcW w:w="1373" w:type="dxa"/>
            <w:shd w:val="clear" w:color="auto" w:fill="FFFFFF"/>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投影仪</w:t>
            </w:r>
          </w:p>
        </w:tc>
        <w:tc>
          <w:tcPr>
            <w:tcW w:w="1868" w:type="dxa"/>
            <w:shd w:val="clear" w:color="auto" w:fill="FFFFFF"/>
            <w:vAlign w:val="center"/>
          </w:tcPr>
          <w:p>
            <w:pPr>
              <w:jc w:val="left"/>
              <w:rPr>
                <w:rFonts w:hint="eastAsia" w:ascii="宋体" w:hAnsi="宋体" w:eastAsia="宋体" w:cs="宋体"/>
                <w:b w:val="0"/>
                <w:bCs w:val="0"/>
                <w:i w:val="0"/>
                <w:iCs w:val="0"/>
                <w:color w:val="auto"/>
                <w:sz w:val="22"/>
                <w:szCs w:val="22"/>
                <w:highlight w:val="none"/>
                <w:u w:val="none"/>
              </w:rPr>
            </w:pPr>
          </w:p>
        </w:tc>
        <w:tc>
          <w:tcPr>
            <w:tcW w:w="1729" w:type="dxa"/>
            <w:shd w:val="clear" w:color="auto" w:fill="auto"/>
            <w:vAlign w:val="center"/>
          </w:tcPr>
          <w:p>
            <w:pPr>
              <w:jc w:val="left"/>
              <w:rPr>
                <w:rFonts w:hint="eastAsia" w:ascii="宋体" w:hAnsi="宋体" w:eastAsia="宋体" w:cs="宋体"/>
                <w:b w:val="0"/>
                <w:bCs w:val="0"/>
                <w:i w:val="0"/>
                <w:iCs w:val="0"/>
                <w:color w:val="auto"/>
                <w:sz w:val="22"/>
                <w:szCs w:val="22"/>
                <w:highlight w:val="none"/>
                <w:u w:val="none"/>
              </w:rPr>
            </w:pPr>
          </w:p>
        </w:tc>
        <w:tc>
          <w:tcPr>
            <w:tcW w:w="4046" w:type="dxa"/>
            <w:shd w:val="clear" w:color="auto" w:fill="auto"/>
            <w:vAlign w:val="center"/>
          </w:tcPr>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持画面比例：4:3 16:9 16:10              颜色分类：黑色机体</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变焦倍数：2倍动态                      对比度：50000以上                      光源类型：激光光源</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 xml:space="preserve">智能系统：无操作系统               </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梯形校正范围：四向校正                 投射比：2.0</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正常模式运行噪音：24dB                 投影机亮度：2200ANSI流明</w:t>
            </w:r>
          </w:p>
          <w:p>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显示技术：LCOS                         机体尺寸（mm）：500x234x505mm</w:t>
            </w:r>
          </w:p>
          <w:p>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光源功率：420W光学                     分辨率：4096x2160dpi</w:t>
            </w:r>
          </w:p>
        </w:tc>
        <w:tc>
          <w:tcPr>
            <w:tcW w:w="1118" w:type="dxa"/>
            <w:shd w:val="clear" w:color="auto" w:fill="FFFFFF"/>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台</w:t>
            </w:r>
          </w:p>
        </w:tc>
        <w:tc>
          <w:tcPr>
            <w:tcW w:w="1005" w:type="dxa"/>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1 </w:t>
            </w:r>
          </w:p>
        </w:tc>
        <w:tc>
          <w:tcPr>
            <w:tcW w:w="1350"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54772.5</w:t>
            </w:r>
          </w:p>
        </w:tc>
        <w:tc>
          <w:tcPr>
            <w:tcW w:w="1598" w:type="dxa"/>
            <w:shd w:val="clear" w:color="auto" w:fill="auto"/>
            <w:noWrap/>
            <w:vAlign w:val="center"/>
          </w:tcPr>
          <w:p>
            <w:pPr>
              <w:keepNext w:val="0"/>
              <w:keepLines w:val="0"/>
              <w:widowControl/>
              <w:suppressLineNumbers w:val="0"/>
              <w:jc w:val="righ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i w:val="0"/>
                <w:iCs w:val="0"/>
                <w:color w:val="000000"/>
                <w:kern w:val="0"/>
                <w:sz w:val="24"/>
                <w:szCs w:val="24"/>
                <w:u w:val="none"/>
                <w:lang w:val="en-US" w:eastAsia="zh-CN" w:bidi="ar"/>
              </w:rPr>
              <w:t>54772.5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52" w:hRule="atLeast"/>
        </w:trPr>
        <w:tc>
          <w:tcPr>
            <w:tcW w:w="13347" w:type="dxa"/>
            <w:gridSpan w:val="8"/>
            <w:shd w:val="clear" w:color="auto" w:fill="FFFFFF"/>
            <w:vAlign w:val="center"/>
          </w:tcPr>
          <w:p>
            <w:pPr>
              <w:keepNext w:val="0"/>
              <w:keepLines w:val="0"/>
              <w:widowControl/>
              <w:suppressLineNumbers w:val="0"/>
              <w:jc w:val="center"/>
              <w:textAlignment w:val="center"/>
              <w:rPr>
                <w:rFonts w:hint="default"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cs="宋体"/>
                <w:b w:val="0"/>
                <w:bCs w:val="0"/>
                <w:i w:val="0"/>
                <w:iCs w:val="0"/>
                <w:color w:val="auto"/>
                <w:kern w:val="0"/>
                <w:sz w:val="22"/>
                <w:szCs w:val="22"/>
                <w:highlight w:val="none"/>
                <w:u w:val="none"/>
                <w:lang w:val="en-US" w:eastAsia="zh-CN" w:bidi="ar"/>
              </w:rPr>
              <w:t>总计（元）</w:t>
            </w:r>
          </w:p>
        </w:tc>
        <w:tc>
          <w:tcPr>
            <w:tcW w:w="1598" w:type="dxa"/>
            <w:shd w:val="clear" w:color="auto" w:fill="auto"/>
            <w:noWrap/>
            <w:vAlign w:val="center"/>
          </w:tcPr>
          <w:p>
            <w:pPr>
              <w:keepNext w:val="0"/>
              <w:keepLines w:val="0"/>
              <w:widowControl/>
              <w:suppressLineNumbers w:val="0"/>
              <w:jc w:val="right"/>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cs="宋体"/>
                <w:i w:val="0"/>
                <w:iCs w:val="0"/>
                <w:color w:val="000000"/>
                <w:kern w:val="0"/>
                <w:sz w:val="24"/>
                <w:szCs w:val="24"/>
                <w:u w:val="none"/>
                <w:lang w:val="en-US" w:eastAsia="zh-CN" w:bidi="ar"/>
              </w:rPr>
              <w:t>2446995.5</w:t>
            </w:r>
          </w:p>
        </w:tc>
      </w:tr>
    </w:tbl>
    <w:p>
      <w:pPr>
        <w:rPr>
          <w:rFonts w:hint="default"/>
          <w:lang w:val="en-US" w:eastAsia="zh-CN"/>
        </w:rPr>
      </w:pPr>
    </w:p>
    <w:sectPr>
      <w:pgSz w:w="16838" w:h="11906" w:orient="landscape"/>
      <w:pgMar w:top="1247" w:right="851" w:bottom="1247" w:left="1021" w:header="851" w:footer="907" w:gutter="0"/>
      <w:pgNumType w:fmt="decimal"/>
      <w:cols w:space="720" w:num="1"/>
      <w:titlePg/>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Helvetica">
    <w:altName w:val="Arial"/>
    <w:panose1 w:val="020B0604020202020204"/>
    <w:charset w:val="00"/>
    <w:family w:val="swiss"/>
    <w:pitch w:val="default"/>
    <w:sig w:usb0="00000000" w:usb1="00000000" w:usb2="00000000" w:usb3="00000000" w:csb0="00000001" w:csb1="00000000"/>
  </w:font>
  <w:font w:name="楷体_GB2312">
    <w:altName w:val="楷体"/>
    <w:panose1 w:val="00000000000000000000"/>
    <w:charset w:val="86"/>
    <w:family w:val="modern"/>
    <w:pitch w:val="default"/>
    <w:sig w:usb0="00000000" w:usb1="00000000" w:usb2="00000000" w:usb3="00000000" w:csb0="00040000" w:csb1="00000000"/>
  </w:font>
  <w:font w:name="仿宋_GB2312">
    <w:altName w:val="仿宋"/>
    <w:panose1 w:val="02010609030101010101"/>
    <w:charset w:val="86"/>
    <w:family w:val="modern"/>
    <w:pitch w:val="default"/>
    <w:sig w:usb0="00000000" w:usb1="00000000" w:usb2="00000000" w:usb3="00000000" w:csb0="00040000" w:csb1="00000000"/>
  </w:font>
  <w:font w:name="Arial Narrow">
    <w:panose1 w:val="020B0606020202030204"/>
    <w:charset w:val="00"/>
    <w:family w:val="auto"/>
    <w:pitch w:val="default"/>
    <w:sig w:usb0="00000287" w:usb1="00000800" w:usb2="00000000" w:usb3="00000000" w:csb0="2000009F" w:csb1="DFD70000"/>
  </w:font>
  <w:font w:name="幼圆">
    <w:panose1 w:val="02010509060101010101"/>
    <w:charset w:val="86"/>
    <w:family w:val="auto"/>
    <w:pitch w:val="default"/>
    <w:sig w:usb0="00000001" w:usb1="080E0000" w:usb2="00000000" w:usb3="00000000" w:csb0="00040000" w:csb1="00000000"/>
  </w:font>
  <w:font w:name="Verdana">
    <w:panose1 w:val="020B0604030504040204"/>
    <w:charset w:val="00"/>
    <w:family w:val="swiss"/>
    <w:pitch w:val="default"/>
    <w:sig w:usb0="A00006FF" w:usb1="4000205B" w:usb2="00000010" w:usb3="00000000" w:csb0="2000019F" w:csb1="00000000"/>
  </w:font>
  <w:font w:name="微软雅黑">
    <w:panose1 w:val="020B0503020204020204"/>
    <w:charset w:val="86"/>
    <w:family w:val="swiss"/>
    <w:pitch w:val="default"/>
    <w:sig w:usb0="80000287" w:usb1="2ACF3C50" w:usb2="00000016" w:usb3="00000000" w:csb0="0004001F" w:csb1="00000000"/>
  </w:font>
  <w:font w:name="Arial Unicode MS">
    <w:altName w:val="宋体"/>
    <w:panose1 w:val="020B0604020202020204"/>
    <w:charset w:val="86"/>
    <w:family w:val="roman"/>
    <w:pitch w:val="default"/>
    <w:sig w:usb0="00000000" w:usb1="00000000" w:usb2="0000003F" w:usb3="00000000" w:csb0="603F01FF" w:csb1="FFFF0000"/>
  </w:font>
  <w:font w:name="Tahoma">
    <w:panose1 w:val="020B0604030504040204"/>
    <w:charset w:val="00"/>
    <w:family w:val="swiss"/>
    <w:pitch w:val="default"/>
    <w:sig w:usb0="E1002EFF" w:usb1="C000605B" w:usb2="00000029" w:usb3="00000000" w:csb0="200101FF" w:csb1="20280000"/>
  </w:font>
  <w:font w:name="Calibri Light">
    <w:panose1 w:val="020F0302020204030204"/>
    <w:charset w:val="00"/>
    <w:family w:val="swiss"/>
    <w:pitch w:val="default"/>
    <w:sig w:usb0="E4002EFF" w:usb1="C200247B" w:usb2="00000009" w:usb3="00000000" w:csb0="200001FF" w:csb1="00000000"/>
  </w:font>
  <w:font w:name="新宋体">
    <w:panose1 w:val="02010609030101010101"/>
    <w:charset w:val="86"/>
    <w:family w:val="modern"/>
    <w:pitch w:val="default"/>
    <w:sig w:usb0="00000203" w:usb1="288F0000" w:usb2="00000006" w:usb3="00000000" w:csb0="00040001" w:csb1="00000000"/>
  </w:font>
  <w:font w:name="仿宋">
    <w:panose1 w:val="02010609060101010101"/>
    <w:charset w:val="86"/>
    <w:family w:val="modern"/>
    <w:pitch w:val="default"/>
    <w:sig w:usb0="800002BF" w:usb1="38CF7CFA" w:usb2="00000016" w:usb3="00000000" w:csb0="00040001"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jc w:val="center"/>
      <w:rPr>
        <w:rFonts w:ascii="仿宋_GB2312" w:eastAsia="仿宋_GB2312"/>
      </w:rP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28"/>
                          </w:pPr>
                          <w:r>
                            <w:fldChar w:fldCharType="begin"/>
                          </w:r>
                          <w:r>
                            <w:instrText xml:space="preserve"> PAGE  \* MERGEFORMAT </w:instrText>
                          </w:r>
                          <w:r>
                            <w:fldChar w:fldCharType="separate"/>
                          </w:r>
                          <w:r>
                            <w:t>22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a+TjvDICAABjBAAADgAAAAAAAAABACAAAAAfAQAAZHJzL2Uyb0RvYy54bWxQSwUG&#10;AAAAAAYABgBZAQAAwwUAAAAA&#10;">
              <v:fill on="f" focussize="0,0"/>
              <v:stroke on="f" weight="0.5pt"/>
              <v:imagedata o:title=""/>
              <o:lock v:ext="edit" aspectratio="f"/>
              <v:textbox inset="0mm,0mm,0mm,0mm" style="mso-fit-shape-to-text:t;">
                <w:txbxContent>
                  <w:p>
                    <w:pPr>
                      <w:pStyle w:val="28"/>
                    </w:pPr>
                    <w:r>
                      <w:fldChar w:fldCharType="begin"/>
                    </w:r>
                    <w:r>
                      <w:instrText xml:space="preserve"> PAGE  \* MERGEFORMAT </w:instrText>
                    </w:r>
                    <w:r>
                      <w:fldChar w:fldCharType="separate"/>
                    </w:r>
                    <w:r>
                      <w:t>22</w:t>
                    </w:r>
                    <w:r>
                      <w:fldChar w:fldCharType="end"/>
                    </w:r>
                  </w:p>
                </w:txbxContent>
              </v:textbox>
            </v:shape>
          </w:pict>
        </mc:Fallback>
      </mc:AlternateContent>
    </w:r>
  </w:p>
  <w:p>
    <w:pPr>
      <w:rPr>
        <w:rFonts w:ascii="仿宋_GB2312" w:eastAsia="仿宋_GB231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rFonts w:ascii="仿宋_GB2312" w:eastAsia="仿宋_GB2312"/>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28"/>
                          </w:pPr>
                          <w:r>
                            <w:fldChar w:fldCharType="begin"/>
                          </w:r>
                          <w:r>
                            <w:instrText xml:space="preserve"> PAGE  \* MERGEFORMAT </w:instrText>
                          </w:r>
                          <w:r>
                            <w:fldChar w:fldCharType="separate"/>
                          </w:r>
                          <w:r>
                            <w:t>6</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2Zxg5DICAABjBAAADgAAAAAAAAABACAAAAAfAQAAZHJzL2Uyb0RvYy54bWxQSwUG&#10;AAAAAAYABgBZAQAAwwUAAAAA&#10;">
              <v:fill on="f" focussize="0,0"/>
              <v:stroke on="f" weight="0.5pt"/>
              <v:imagedata o:title=""/>
              <o:lock v:ext="edit" aspectratio="f"/>
              <v:textbox inset="0mm,0mm,0mm,0mm" style="mso-fit-shape-to-text:t;">
                <w:txbxContent>
                  <w:p>
                    <w:pPr>
                      <w:pStyle w:val="28"/>
                    </w:pPr>
                    <w:r>
                      <w:fldChar w:fldCharType="begin"/>
                    </w:r>
                    <w:r>
                      <w:instrText xml:space="preserve"> PAGE  \* MERGEFORMAT </w:instrText>
                    </w:r>
                    <w:r>
                      <w:fldChar w:fldCharType="separate"/>
                    </w:r>
                    <w:r>
                      <w:t>6</w:t>
                    </w:r>
                    <w:r>
                      <w:fldChar w:fldCharType="end"/>
                    </w:r>
                  </w:p>
                </w:txbxContent>
              </v:textbox>
            </v:shape>
          </w:pict>
        </mc:Fallback>
      </mc:AlternateContent>
    </w:r>
    <w:r>
      <w:rPr>
        <w:rFonts w:hint="eastAsia" w:ascii="仿宋_GB2312" w:eastAsia="仿宋_GB2312"/>
        <w:kern w:val="0"/>
      </w:rPr>
      <w:t>1</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ind w:firstLine="4320" w:firstLineChars="2400"/>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9525">
                        <a:noFill/>
                      </a:ln>
                    </wps:spPr>
                    <wps:txbx>
                      <w:txbxContent>
                        <w:p>
                          <w:pPr>
                            <w:pStyle w:val="28"/>
                            <w:rPr>
                              <w:rStyle w:val="45"/>
                            </w:rPr>
                          </w:pPr>
                          <w:r>
                            <w:fldChar w:fldCharType="begin"/>
                          </w:r>
                          <w:r>
                            <w:rPr>
                              <w:rStyle w:val="45"/>
                            </w:rPr>
                            <w:instrText xml:space="preserve">PAGE  </w:instrText>
                          </w:r>
                          <w:r>
                            <w:fldChar w:fldCharType="separate"/>
                          </w:r>
                          <w:r>
                            <w:rPr>
                              <w:rStyle w:val="45"/>
                            </w:rPr>
                            <w:t>4</w:t>
                          </w:r>
                          <w:r>
                            <w:fldChar w:fldCharType="end"/>
                          </w:r>
                        </w:p>
                      </w:txbxContent>
                    </wps:txbx>
                    <wps:bodyPr vert="horz" wrap="none" lIns="0" tIns="0" rIns="0" bIns="0" anchor="t" anchorCtr="0" upright="0">
                      <a:spAutoFit/>
                    </wps:bodyPr>
                  </wps:wsp>
                </a:graphicData>
              </a:graphic>
            </wp:anchor>
          </w:drawing>
        </mc:Choice>
        <mc:Fallback>
          <w:pict>
            <v:shape id="文本框 10"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M6pebnPAAAABQEAAA8A&#10;AAAAAAAAAQAgAAAAIgAAAGRycy9kb3ducmV2LnhtbFBLAQIUABQAAAAIAIdO4kDzfcFQ5wEAAMgD&#10;AAAOAAAAAAAAAAEAIAAAAB4BAABkcnMvZTJvRG9jLnhtbFBLBQYAAAAABgAGAFkBAAB3BQAAAAA=&#10;">
              <v:fill on="f" focussize="0,0"/>
              <v:stroke on="f"/>
              <v:imagedata o:title=""/>
              <o:lock v:ext="edit" aspectratio="f"/>
              <v:textbox inset="0mm,0mm,0mm,0mm" style="mso-fit-shape-to-text:t;">
                <w:txbxContent>
                  <w:p>
                    <w:pPr>
                      <w:pStyle w:val="28"/>
                      <w:rPr>
                        <w:rStyle w:val="45"/>
                      </w:rPr>
                    </w:pPr>
                    <w:r>
                      <w:fldChar w:fldCharType="begin"/>
                    </w:r>
                    <w:r>
                      <w:rPr>
                        <w:rStyle w:val="45"/>
                      </w:rPr>
                      <w:instrText xml:space="preserve">PAGE  </w:instrText>
                    </w:r>
                    <w:r>
                      <w:fldChar w:fldCharType="separate"/>
                    </w:r>
                    <w:r>
                      <w:rPr>
                        <w:rStyle w:val="45"/>
                      </w:rPr>
                      <w:t>4</w:t>
                    </w:r>
                    <w:r>
                      <w:fldChar w:fldCharType="end"/>
                    </w:r>
                  </w:p>
                </w:txbxContent>
              </v:textbox>
            </v:shape>
          </w:pict>
        </mc:Fallback>
      </mc:AlternateContent>
    </w:r>
    <w:r>
      <w:rPr>
        <w:rFonts w:hint="eastAsia"/>
      </w:rPr>
      <w:t xml:space="preserve">  </w:t>
    </w:r>
    <w:r>
      <w:t xml:space="preserve">   </w:t>
    </w:r>
    <w:r>
      <w:rPr>
        <w:rFonts w:hint="eastAsia"/>
      </w:rPr>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rFonts w:ascii="仿宋_GB2312" w:eastAsia="仿宋_GB2312"/>
      </w:rPr>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28"/>
                          </w:pPr>
                          <w:r>
                            <w:fldChar w:fldCharType="begin"/>
                          </w:r>
                          <w:r>
                            <w:instrText xml:space="preserve"> PAGE  \* MERGEFORMAT </w:instrText>
                          </w:r>
                          <w:r>
                            <w:fldChar w:fldCharType="separate"/>
                          </w:r>
                          <w:r>
                            <w:t>6</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5"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ToIUuMQIAAGMEAAAOAAAAAAAAAAEAIAAAAB8BAABkcnMvZTJvRG9jLnhtbFBLBQYA&#10;AAAABgAGAFkBAADCBQAAAAA=&#10;">
              <v:fill on="f" focussize="0,0"/>
              <v:stroke on="f" weight="0.5pt"/>
              <v:imagedata o:title=""/>
              <o:lock v:ext="edit" aspectratio="f"/>
              <v:textbox inset="0mm,0mm,0mm,0mm" style="mso-fit-shape-to-text:t;">
                <w:txbxContent>
                  <w:p>
                    <w:pPr>
                      <w:pStyle w:val="28"/>
                    </w:pPr>
                    <w:r>
                      <w:fldChar w:fldCharType="begin"/>
                    </w:r>
                    <w:r>
                      <w:instrText xml:space="preserve"> PAGE  \* MERGEFORMAT </w:instrText>
                    </w:r>
                    <w:r>
                      <w:fldChar w:fldCharType="separate"/>
                    </w:r>
                    <w:r>
                      <w:t>6</w:t>
                    </w:r>
                    <w:r>
                      <w:fldChar w:fldCharType="end"/>
                    </w:r>
                  </w:p>
                </w:txbxContent>
              </v:textbox>
            </v:shape>
          </w:pict>
        </mc:Fallback>
      </mc:AlternateContent>
    </w:r>
    <w:r>
      <w:rPr>
        <w:rFonts w:hint="eastAsia" w:ascii="仿宋_GB2312" w:eastAsia="仿宋_GB2312"/>
        <w:kern w:val="0"/>
      </w:rPr>
      <w:t>1</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jc w:val="left"/>
      <w:rPr>
        <w:rFonts w:hint="eastAsia" w:eastAsia="宋体"/>
        <w:sz w:val="16"/>
        <w:szCs w:val="16"/>
        <w:lang w:eastAsia="zh-CN"/>
      </w:rPr>
    </w:pPr>
    <w:r>
      <w:rPr>
        <w:rFonts w:hint="eastAsia"/>
        <w:sz w:val="16"/>
        <w:szCs w:val="16"/>
        <w:lang w:eastAsia="zh-CN"/>
      </w:rPr>
      <w:t>三单乡三单村一事一议财政奖补支持打造共富乡村试点项目软装工程</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jc w:val="both"/>
    </w:pPr>
    <w:r>
      <w:rPr>
        <w:rFonts w:hint="eastAsia"/>
      </w:rPr>
      <w:t>东阳市2022年度开发区节约集约利用评价项目</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rPr>
        <w:rFonts w:hint="eastAsia" w:eastAsia="宋体" w:cs="Arial"/>
        <w:color w:val="000000"/>
        <w:sz w:val="16"/>
        <w:szCs w:val="16"/>
        <w:lang w:eastAsia="zh-CN"/>
      </w:rPr>
    </w:pPr>
    <w:r>
      <w:rPr>
        <w:rFonts w:hint="eastAsia" w:cs="Arial"/>
        <w:color w:val="000000"/>
        <w:sz w:val="16"/>
        <w:szCs w:val="16"/>
        <w:lang w:eastAsia="zh-CN"/>
      </w:rPr>
      <w:t>三单乡三单村一事一议财政奖补支持打造共富乡村试点项目软装工程</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rPr>
        <w:rFonts w:hint="eastAsia" w:eastAsia="宋体" w:cs="Arial"/>
        <w:color w:val="000000"/>
        <w:sz w:val="16"/>
        <w:szCs w:val="16"/>
        <w:lang w:eastAsia="zh-CN"/>
      </w:rPr>
    </w:pPr>
    <w:r>
      <w:rPr>
        <w:rFonts w:hint="eastAsia" w:cs="Arial"/>
        <w:color w:val="000000"/>
        <w:sz w:val="16"/>
        <w:szCs w:val="16"/>
        <w:lang w:eastAsia="zh-CN"/>
      </w:rPr>
      <w:t>三单乡三单村一事一议财政奖补支持打造共富乡村试点项目软装工程</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6D025FC"/>
    <w:multiLevelType w:val="singleLevel"/>
    <w:tmpl w:val="C6D025FC"/>
    <w:lvl w:ilvl="0" w:tentative="0">
      <w:start w:val="1"/>
      <w:numFmt w:val="decimal"/>
      <w:lvlText w:val="%1."/>
      <w:lvlJc w:val="left"/>
      <w:pPr>
        <w:tabs>
          <w:tab w:val="left" w:pos="312"/>
        </w:tabs>
      </w:pPr>
    </w:lvl>
  </w:abstractNum>
  <w:abstractNum w:abstractNumId="1">
    <w:nsid w:val="FA5E8E8B"/>
    <w:multiLevelType w:val="singleLevel"/>
    <w:tmpl w:val="FA5E8E8B"/>
    <w:lvl w:ilvl="0" w:tentative="0">
      <w:start w:val="1"/>
      <w:numFmt w:val="chineseCounting"/>
      <w:suff w:val="nothing"/>
      <w:lvlText w:val="%1、"/>
      <w:lvlJc w:val="left"/>
      <w:rPr>
        <w:rFonts w:hint="eastAsia"/>
      </w:rPr>
    </w:lvl>
  </w:abstractNum>
  <w:abstractNum w:abstractNumId="2">
    <w:nsid w:val="23E1191B"/>
    <w:multiLevelType w:val="multilevel"/>
    <w:tmpl w:val="23E1191B"/>
    <w:lvl w:ilvl="0" w:tentative="0">
      <w:start w:val="1"/>
      <w:numFmt w:val="japaneseCounting"/>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2A646790"/>
    <w:multiLevelType w:val="multilevel"/>
    <w:tmpl w:val="2A646790"/>
    <w:lvl w:ilvl="0" w:tentative="0">
      <w:start w:val="1"/>
      <w:numFmt w:val="decimal"/>
      <w:lvlText w:val="%1."/>
      <w:lvlJc w:val="left"/>
      <w:pPr>
        <w:tabs>
          <w:tab w:val="left" w:pos="1224"/>
        </w:tabs>
        <w:ind w:left="1224" w:hanging="1224"/>
      </w:pPr>
      <w:rPr>
        <w:rFonts w:hint="eastAsia"/>
      </w:rPr>
    </w:lvl>
    <w:lvl w:ilvl="1" w:tentative="0">
      <w:start w:val="1"/>
      <w:numFmt w:val="decimal"/>
      <w:lvlText w:val="%1.%2"/>
      <w:lvlJc w:val="left"/>
      <w:pPr>
        <w:tabs>
          <w:tab w:val="left" w:pos="1224"/>
        </w:tabs>
        <w:ind w:left="1224" w:hanging="1224"/>
      </w:pPr>
      <w:rPr>
        <w:rFonts w:hint="eastAsia"/>
        <w:sz w:val="24"/>
        <w:szCs w:val="24"/>
      </w:rPr>
    </w:lvl>
    <w:lvl w:ilvl="2" w:tentative="0">
      <w:start w:val="1"/>
      <w:numFmt w:val="decimal"/>
      <w:pStyle w:val="55"/>
      <w:lvlText w:val="%1.%2.%3"/>
      <w:lvlJc w:val="left"/>
      <w:pPr>
        <w:tabs>
          <w:tab w:val="left" w:pos="1224"/>
        </w:tabs>
        <w:ind w:left="1224" w:hanging="1224"/>
      </w:pPr>
      <w:rPr>
        <w:rFonts w:hint="default" w:ascii="Arial Narrow" w:hAnsi="Arial Narrow" w:eastAsia="仿宋_GB2312"/>
        <w:sz w:val="24"/>
        <w:szCs w:val="24"/>
      </w:rPr>
    </w:lvl>
    <w:lvl w:ilvl="3" w:tentative="0">
      <w:start w:val="1"/>
      <w:numFmt w:val="decimal"/>
      <w:lvlText w:val="%1.%2.%3.%4."/>
      <w:lvlJc w:val="left"/>
      <w:pPr>
        <w:tabs>
          <w:tab w:val="left" w:pos="1225"/>
        </w:tabs>
        <w:ind w:left="1225" w:hanging="1225"/>
      </w:pPr>
      <w:rPr>
        <w:rFonts w:hint="eastAsia"/>
        <w:sz w:val="24"/>
        <w:szCs w:val="24"/>
      </w:rPr>
    </w:lvl>
    <w:lvl w:ilvl="4" w:tentative="0">
      <w:start w:val="1"/>
      <w:numFmt w:val="lowerLetter"/>
      <w:lvlText w:val="%5)"/>
      <w:lvlJc w:val="left"/>
      <w:pPr>
        <w:tabs>
          <w:tab w:val="left" w:pos="2100"/>
        </w:tabs>
        <w:ind w:left="2100" w:hanging="420"/>
      </w:pPr>
      <w:rPr>
        <w:rFonts w:hint="eastAsia"/>
      </w:rPr>
    </w:lvl>
    <w:lvl w:ilvl="5" w:tentative="0">
      <w:start w:val="1"/>
      <w:numFmt w:val="lowerRoman"/>
      <w:lvlText w:val="%6."/>
      <w:lvlJc w:val="right"/>
      <w:pPr>
        <w:tabs>
          <w:tab w:val="left" w:pos="2520"/>
        </w:tabs>
        <w:ind w:left="2520" w:hanging="420"/>
      </w:pPr>
      <w:rPr>
        <w:rFonts w:hint="eastAsia"/>
      </w:rPr>
    </w:lvl>
    <w:lvl w:ilvl="6" w:tentative="0">
      <w:start w:val="1"/>
      <w:numFmt w:val="decimal"/>
      <w:lvlText w:val="%7."/>
      <w:lvlJc w:val="left"/>
      <w:pPr>
        <w:tabs>
          <w:tab w:val="left" w:pos="2940"/>
        </w:tabs>
        <w:ind w:left="2940" w:hanging="420"/>
      </w:pPr>
      <w:rPr>
        <w:rFonts w:hint="eastAsia"/>
      </w:rPr>
    </w:lvl>
    <w:lvl w:ilvl="7" w:tentative="0">
      <w:start w:val="1"/>
      <w:numFmt w:val="lowerLetter"/>
      <w:lvlText w:val="%8)"/>
      <w:lvlJc w:val="left"/>
      <w:pPr>
        <w:tabs>
          <w:tab w:val="left" w:pos="3360"/>
        </w:tabs>
        <w:ind w:left="3360" w:hanging="420"/>
      </w:pPr>
      <w:rPr>
        <w:rFonts w:hint="eastAsia"/>
      </w:rPr>
    </w:lvl>
    <w:lvl w:ilvl="8" w:tentative="0">
      <w:start w:val="1"/>
      <w:numFmt w:val="lowerRoman"/>
      <w:lvlText w:val="%9."/>
      <w:lvlJc w:val="right"/>
      <w:pPr>
        <w:tabs>
          <w:tab w:val="left" w:pos="3780"/>
        </w:tabs>
        <w:ind w:left="3780" w:hanging="420"/>
      </w:pPr>
      <w:rPr>
        <w:rFonts w:hint="eastAsia"/>
      </w:rPr>
    </w:lvl>
  </w:abstractNum>
  <w:abstractNum w:abstractNumId="4">
    <w:nsid w:val="3ECEE57E"/>
    <w:multiLevelType w:val="singleLevel"/>
    <w:tmpl w:val="3ECEE57E"/>
    <w:lvl w:ilvl="0" w:tentative="0">
      <w:start w:val="4"/>
      <w:numFmt w:val="chineseCounting"/>
      <w:suff w:val="nothing"/>
      <w:lvlText w:val="（%1）"/>
      <w:lvlJc w:val="left"/>
      <w:rPr>
        <w:rFonts w:hint="eastAsia"/>
      </w:rPr>
    </w:lvl>
  </w:abstractNum>
  <w:abstractNum w:abstractNumId="5">
    <w:nsid w:val="5BA933FE"/>
    <w:multiLevelType w:val="multilevel"/>
    <w:tmpl w:val="5BA933FE"/>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pStyle w:val="113"/>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6">
    <w:nsid w:val="5D410D0D"/>
    <w:multiLevelType w:val="singleLevel"/>
    <w:tmpl w:val="5D410D0D"/>
    <w:lvl w:ilvl="0" w:tentative="0">
      <w:start w:val="5"/>
      <w:numFmt w:val="chineseCounting"/>
      <w:suff w:val="space"/>
      <w:lvlText w:val="第%1章"/>
      <w:lvlJc w:val="left"/>
      <w:rPr>
        <w:rFonts w:hint="eastAsia"/>
      </w:rPr>
    </w:lvl>
  </w:abstractNum>
  <w:abstractNum w:abstractNumId="7">
    <w:nsid w:val="64DE61C4"/>
    <w:multiLevelType w:val="multilevel"/>
    <w:tmpl w:val="64DE61C4"/>
    <w:lvl w:ilvl="0" w:tentative="0">
      <w:start w:val="1"/>
      <w:numFmt w:val="decimal"/>
      <w:pStyle w:val="12"/>
      <w:lvlText w:val="%1、"/>
      <w:lvlJc w:val="left"/>
      <w:pPr>
        <w:tabs>
          <w:tab w:val="left" w:pos="360"/>
        </w:tabs>
        <w:ind w:left="36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8">
    <w:nsid w:val="685F539A"/>
    <w:multiLevelType w:val="multilevel"/>
    <w:tmpl w:val="685F539A"/>
    <w:lvl w:ilvl="0" w:tentative="0">
      <w:start w:val="1"/>
      <w:numFmt w:val="decimal"/>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7E234718"/>
    <w:multiLevelType w:val="multilevel"/>
    <w:tmpl w:val="7E234718"/>
    <w:lvl w:ilvl="0" w:tentative="0">
      <w:start w:val="1"/>
      <w:numFmt w:val="japaneseCounting"/>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7"/>
  </w:num>
  <w:num w:numId="2">
    <w:abstractNumId w:val="3"/>
  </w:num>
  <w:num w:numId="3">
    <w:abstractNumId w:val="5"/>
  </w:num>
  <w:num w:numId="4">
    <w:abstractNumId w:val="1"/>
  </w:num>
  <w:num w:numId="5">
    <w:abstractNumId w:val="2"/>
  </w:num>
  <w:num w:numId="6">
    <w:abstractNumId w:val="9"/>
  </w:num>
  <w:num w:numId="7">
    <w:abstractNumId w:val="0"/>
  </w:num>
  <w:num w:numId="8">
    <w:abstractNumId w:val="4"/>
  </w:num>
  <w:num w:numId="9">
    <w:abstractNumId w:val="6"/>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jY1YTk0OWMwNjFjZjBjNjNmNWE1ZWMyMTAxM2ZiYzgifQ=="/>
  </w:docVars>
  <w:rsids>
    <w:rsidRoot w:val="00DE79CC"/>
    <w:rsid w:val="0000006C"/>
    <w:rsid w:val="00000158"/>
    <w:rsid w:val="0000017A"/>
    <w:rsid w:val="00000345"/>
    <w:rsid w:val="0000047D"/>
    <w:rsid w:val="00000F83"/>
    <w:rsid w:val="000013EE"/>
    <w:rsid w:val="00001B93"/>
    <w:rsid w:val="00001E25"/>
    <w:rsid w:val="00001E64"/>
    <w:rsid w:val="00002A93"/>
    <w:rsid w:val="0000318B"/>
    <w:rsid w:val="000038C7"/>
    <w:rsid w:val="00003E13"/>
    <w:rsid w:val="00003F42"/>
    <w:rsid w:val="00004CDD"/>
    <w:rsid w:val="00004E27"/>
    <w:rsid w:val="00005219"/>
    <w:rsid w:val="000058C1"/>
    <w:rsid w:val="000058F6"/>
    <w:rsid w:val="00005CEE"/>
    <w:rsid w:val="00006144"/>
    <w:rsid w:val="000072CA"/>
    <w:rsid w:val="00007837"/>
    <w:rsid w:val="00007965"/>
    <w:rsid w:val="00007AF4"/>
    <w:rsid w:val="00007F1A"/>
    <w:rsid w:val="000107D0"/>
    <w:rsid w:val="00010A81"/>
    <w:rsid w:val="000114AC"/>
    <w:rsid w:val="00011A08"/>
    <w:rsid w:val="00011DC3"/>
    <w:rsid w:val="00011DCD"/>
    <w:rsid w:val="00012744"/>
    <w:rsid w:val="00012FAE"/>
    <w:rsid w:val="00013108"/>
    <w:rsid w:val="000131C4"/>
    <w:rsid w:val="0001341F"/>
    <w:rsid w:val="000156C7"/>
    <w:rsid w:val="00015DCC"/>
    <w:rsid w:val="000163EB"/>
    <w:rsid w:val="000165AD"/>
    <w:rsid w:val="000202F3"/>
    <w:rsid w:val="000203B3"/>
    <w:rsid w:val="00020413"/>
    <w:rsid w:val="000208BD"/>
    <w:rsid w:val="000209DC"/>
    <w:rsid w:val="000209E4"/>
    <w:rsid w:val="000219BD"/>
    <w:rsid w:val="00021ACA"/>
    <w:rsid w:val="0002216D"/>
    <w:rsid w:val="00022380"/>
    <w:rsid w:val="0002246D"/>
    <w:rsid w:val="00022CAD"/>
    <w:rsid w:val="00022CB5"/>
    <w:rsid w:val="00024090"/>
    <w:rsid w:val="000247CA"/>
    <w:rsid w:val="000251DC"/>
    <w:rsid w:val="000264B4"/>
    <w:rsid w:val="00026993"/>
    <w:rsid w:val="00026EAB"/>
    <w:rsid w:val="00027031"/>
    <w:rsid w:val="00027134"/>
    <w:rsid w:val="00027A01"/>
    <w:rsid w:val="00030A35"/>
    <w:rsid w:val="00030D38"/>
    <w:rsid w:val="00031012"/>
    <w:rsid w:val="0003172E"/>
    <w:rsid w:val="00031765"/>
    <w:rsid w:val="00032701"/>
    <w:rsid w:val="00034343"/>
    <w:rsid w:val="00034360"/>
    <w:rsid w:val="000344E1"/>
    <w:rsid w:val="00034675"/>
    <w:rsid w:val="00035843"/>
    <w:rsid w:val="00036337"/>
    <w:rsid w:val="00036686"/>
    <w:rsid w:val="00036A0E"/>
    <w:rsid w:val="000373E9"/>
    <w:rsid w:val="00037B61"/>
    <w:rsid w:val="00040F9B"/>
    <w:rsid w:val="000414E0"/>
    <w:rsid w:val="00041A99"/>
    <w:rsid w:val="00041C40"/>
    <w:rsid w:val="0004282D"/>
    <w:rsid w:val="000428CF"/>
    <w:rsid w:val="00043778"/>
    <w:rsid w:val="00044217"/>
    <w:rsid w:val="00044368"/>
    <w:rsid w:val="00044D8B"/>
    <w:rsid w:val="00046899"/>
    <w:rsid w:val="0004693E"/>
    <w:rsid w:val="0004713C"/>
    <w:rsid w:val="00047408"/>
    <w:rsid w:val="0005003E"/>
    <w:rsid w:val="00050E6F"/>
    <w:rsid w:val="00050ECE"/>
    <w:rsid w:val="0005120C"/>
    <w:rsid w:val="0005138C"/>
    <w:rsid w:val="00051F29"/>
    <w:rsid w:val="00052350"/>
    <w:rsid w:val="000524B5"/>
    <w:rsid w:val="00052BAF"/>
    <w:rsid w:val="00052DBB"/>
    <w:rsid w:val="00053218"/>
    <w:rsid w:val="00053700"/>
    <w:rsid w:val="000544D4"/>
    <w:rsid w:val="000547EE"/>
    <w:rsid w:val="000550B0"/>
    <w:rsid w:val="000553DC"/>
    <w:rsid w:val="00055FBE"/>
    <w:rsid w:val="0005654D"/>
    <w:rsid w:val="00056B0D"/>
    <w:rsid w:val="00056C73"/>
    <w:rsid w:val="00056E9B"/>
    <w:rsid w:val="00056ECC"/>
    <w:rsid w:val="00057AD2"/>
    <w:rsid w:val="00057F20"/>
    <w:rsid w:val="00060214"/>
    <w:rsid w:val="00060D89"/>
    <w:rsid w:val="00061041"/>
    <w:rsid w:val="00061153"/>
    <w:rsid w:val="000611F3"/>
    <w:rsid w:val="000618B9"/>
    <w:rsid w:val="00062941"/>
    <w:rsid w:val="000632B6"/>
    <w:rsid w:val="000634DB"/>
    <w:rsid w:val="00063936"/>
    <w:rsid w:val="00063CB5"/>
    <w:rsid w:val="00063F87"/>
    <w:rsid w:val="000641AE"/>
    <w:rsid w:val="0006464C"/>
    <w:rsid w:val="00064686"/>
    <w:rsid w:val="000646B9"/>
    <w:rsid w:val="00064917"/>
    <w:rsid w:val="00064CA8"/>
    <w:rsid w:val="00065A2B"/>
    <w:rsid w:val="0006660C"/>
    <w:rsid w:val="00066907"/>
    <w:rsid w:val="00066EB7"/>
    <w:rsid w:val="000670FA"/>
    <w:rsid w:val="00067114"/>
    <w:rsid w:val="0006732C"/>
    <w:rsid w:val="000677AD"/>
    <w:rsid w:val="000677CE"/>
    <w:rsid w:val="00067C76"/>
    <w:rsid w:val="0007091A"/>
    <w:rsid w:val="00070EA9"/>
    <w:rsid w:val="00071493"/>
    <w:rsid w:val="00071843"/>
    <w:rsid w:val="00071A27"/>
    <w:rsid w:val="00071E0D"/>
    <w:rsid w:val="00071E15"/>
    <w:rsid w:val="00072720"/>
    <w:rsid w:val="00073C15"/>
    <w:rsid w:val="00073DE6"/>
    <w:rsid w:val="0007498C"/>
    <w:rsid w:val="00074ED8"/>
    <w:rsid w:val="00075147"/>
    <w:rsid w:val="00075B60"/>
    <w:rsid w:val="00075D67"/>
    <w:rsid w:val="00075D84"/>
    <w:rsid w:val="0007638D"/>
    <w:rsid w:val="00076A1A"/>
    <w:rsid w:val="00076AF9"/>
    <w:rsid w:val="000770B5"/>
    <w:rsid w:val="000772C1"/>
    <w:rsid w:val="0007755A"/>
    <w:rsid w:val="00077AC3"/>
    <w:rsid w:val="00077E8A"/>
    <w:rsid w:val="0008006D"/>
    <w:rsid w:val="00080BD8"/>
    <w:rsid w:val="0008112A"/>
    <w:rsid w:val="0008194F"/>
    <w:rsid w:val="00081A3D"/>
    <w:rsid w:val="00081CB9"/>
    <w:rsid w:val="00082C7E"/>
    <w:rsid w:val="000832EC"/>
    <w:rsid w:val="000844A2"/>
    <w:rsid w:val="00084D41"/>
    <w:rsid w:val="00085177"/>
    <w:rsid w:val="00085420"/>
    <w:rsid w:val="0008636A"/>
    <w:rsid w:val="00087087"/>
    <w:rsid w:val="000875C3"/>
    <w:rsid w:val="000878D0"/>
    <w:rsid w:val="00090010"/>
    <w:rsid w:val="0009091C"/>
    <w:rsid w:val="00090BC3"/>
    <w:rsid w:val="00090F65"/>
    <w:rsid w:val="00092342"/>
    <w:rsid w:val="00092F7D"/>
    <w:rsid w:val="0009377D"/>
    <w:rsid w:val="000937FF"/>
    <w:rsid w:val="00094045"/>
    <w:rsid w:val="00094086"/>
    <w:rsid w:val="000943F9"/>
    <w:rsid w:val="000950BD"/>
    <w:rsid w:val="00095470"/>
    <w:rsid w:val="00095BFC"/>
    <w:rsid w:val="0009627F"/>
    <w:rsid w:val="000965F5"/>
    <w:rsid w:val="0009662A"/>
    <w:rsid w:val="00096E5A"/>
    <w:rsid w:val="00097153"/>
    <w:rsid w:val="00097339"/>
    <w:rsid w:val="000974F2"/>
    <w:rsid w:val="00097B41"/>
    <w:rsid w:val="00097B7A"/>
    <w:rsid w:val="000A0218"/>
    <w:rsid w:val="000A02FA"/>
    <w:rsid w:val="000A0919"/>
    <w:rsid w:val="000A10C4"/>
    <w:rsid w:val="000A137A"/>
    <w:rsid w:val="000A1F2A"/>
    <w:rsid w:val="000A1FB5"/>
    <w:rsid w:val="000A27BD"/>
    <w:rsid w:val="000A337D"/>
    <w:rsid w:val="000A3AFC"/>
    <w:rsid w:val="000A3BAB"/>
    <w:rsid w:val="000A3FF2"/>
    <w:rsid w:val="000A4262"/>
    <w:rsid w:val="000A4632"/>
    <w:rsid w:val="000A46EB"/>
    <w:rsid w:val="000A493D"/>
    <w:rsid w:val="000A503C"/>
    <w:rsid w:val="000A5040"/>
    <w:rsid w:val="000A510B"/>
    <w:rsid w:val="000A57BD"/>
    <w:rsid w:val="000A5834"/>
    <w:rsid w:val="000A6F50"/>
    <w:rsid w:val="000A7334"/>
    <w:rsid w:val="000A7768"/>
    <w:rsid w:val="000A7E56"/>
    <w:rsid w:val="000B0313"/>
    <w:rsid w:val="000B047A"/>
    <w:rsid w:val="000B07AD"/>
    <w:rsid w:val="000B15AC"/>
    <w:rsid w:val="000B242E"/>
    <w:rsid w:val="000B2615"/>
    <w:rsid w:val="000B2CB3"/>
    <w:rsid w:val="000B32DF"/>
    <w:rsid w:val="000B3F05"/>
    <w:rsid w:val="000B41F3"/>
    <w:rsid w:val="000B4255"/>
    <w:rsid w:val="000B4979"/>
    <w:rsid w:val="000B4F4D"/>
    <w:rsid w:val="000B517A"/>
    <w:rsid w:val="000B54FD"/>
    <w:rsid w:val="000B6339"/>
    <w:rsid w:val="000B663D"/>
    <w:rsid w:val="000B6738"/>
    <w:rsid w:val="000B6F98"/>
    <w:rsid w:val="000B7885"/>
    <w:rsid w:val="000C032B"/>
    <w:rsid w:val="000C15D3"/>
    <w:rsid w:val="000C211C"/>
    <w:rsid w:val="000C2C5F"/>
    <w:rsid w:val="000C2D42"/>
    <w:rsid w:val="000C37AB"/>
    <w:rsid w:val="000C4473"/>
    <w:rsid w:val="000C4525"/>
    <w:rsid w:val="000C5216"/>
    <w:rsid w:val="000C541A"/>
    <w:rsid w:val="000C575F"/>
    <w:rsid w:val="000C6F54"/>
    <w:rsid w:val="000C781B"/>
    <w:rsid w:val="000C789B"/>
    <w:rsid w:val="000C7D89"/>
    <w:rsid w:val="000C7F30"/>
    <w:rsid w:val="000D0457"/>
    <w:rsid w:val="000D08C4"/>
    <w:rsid w:val="000D18BE"/>
    <w:rsid w:val="000D1E86"/>
    <w:rsid w:val="000D3209"/>
    <w:rsid w:val="000D3657"/>
    <w:rsid w:val="000D3916"/>
    <w:rsid w:val="000D3D2A"/>
    <w:rsid w:val="000D4240"/>
    <w:rsid w:val="000D4886"/>
    <w:rsid w:val="000D4AA5"/>
    <w:rsid w:val="000D52FB"/>
    <w:rsid w:val="000D62AD"/>
    <w:rsid w:val="000D6BEE"/>
    <w:rsid w:val="000D6ED2"/>
    <w:rsid w:val="000D7583"/>
    <w:rsid w:val="000D78BE"/>
    <w:rsid w:val="000E006E"/>
    <w:rsid w:val="000E0224"/>
    <w:rsid w:val="000E0782"/>
    <w:rsid w:val="000E115A"/>
    <w:rsid w:val="000E1635"/>
    <w:rsid w:val="000E1F8E"/>
    <w:rsid w:val="000E2BCF"/>
    <w:rsid w:val="000E2FDF"/>
    <w:rsid w:val="000E3CA5"/>
    <w:rsid w:val="000E4595"/>
    <w:rsid w:val="000E4940"/>
    <w:rsid w:val="000E534C"/>
    <w:rsid w:val="000E6114"/>
    <w:rsid w:val="000E61C8"/>
    <w:rsid w:val="000E6560"/>
    <w:rsid w:val="000E6B96"/>
    <w:rsid w:val="000E736F"/>
    <w:rsid w:val="000E76C2"/>
    <w:rsid w:val="000E7933"/>
    <w:rsid w:val="000E7E37"/>
    <w:rsid w:val="000F0003"/>
    <w:rsid w:val="000F1FF1"/>
    <w:rsid w:val="000F22A3"/>
    <w:rsid w:val="000F2869"/>
    <w:rsid w:val="000F2AF3"/>
    <w:rsid w:val="000F2FE2"/>
    <w:rsid w:val="000F35B1"/>
    <w:rsid w:val="000F3DB5"/>
    <w:rsid w:val="000F4830"/>
    <w:rsid w:val="000F4FC7"/>
    <w:rsid w:val="000F544F"/>
    <w:rsid w:val="000F5708"/>
    <w:rsid w:val="000F5966"/>
    <w:rsid w:val="000F5FF7"/>
    <w:rsid w:val="000F6242"/>
    <w:rsid w:val="000F6B92"/>
    <w:rsid w:val="000F7DE2"/>
    <w:rsid w:val="0010027E"/>
    <w:rsid w:val="0010129D"/>
    <w:rsid w:val="0010178F"/>
    <w:rsid w:val="001017B1"/>
    <w:rsid w:val="0010197C"/>
    <w:rsid w:val="00101CF6"/>
    <w:rsid w:val="00101D6A"/>
    <w:rsid w:val="00102080"/>
    <w:rsid w:val="00102358"/>
    <w:rsid w:val="0010277E"/>
    <w:rsid w:val="001027EB"/>
    <w:rsid w:val="00102C71"/>
    <w:rsid w:val="00102F65"/>
    <w:rsid w:val="001030C6"/>
    <w:rsid w:val="00103374"/>
    <w:rsid w:val="001034A5"/>
    <w:rsid w:val="001035FB"/>
    <w:rsid w:val="00103A8F"/>
    <w:rsid w:val="001040BF"/>
    <w:rsid w:val="00104588"/>
    <w:rsid w:val="00105B30"/>
    <w:rsid w:val="00106504"/>
    <w:rsid w:val="001078AF"/>
    <w:rsid w:val="00107DA0"/>
    <w:rsid w:val="00110349"/>
    <w:rsid w:val="00110575"/>
    <w:rsid w:val="0011078E"/>
    <w:rsid w:val="00110971"/>
    <w:rsid w:val="00111B72"/>
    <w:rsid w:val="001139DC"/>
    <w:rsid w:val="00114AD1"/>
    <w:rsid w:val="00115269"/>
    <w:rsid w:val="001153A9"/>
    <w:rsid w:val="00115A7B"/>
    <w:rsid w:val="001160AD"/>
    <w:rsid w:val="0011681F"/>
    <w:rsid w:val="001168AD"/>
    <w:rsid w:val="001173A4"/>
    <w:rsid w:val="001179A2"/>
    <w:rsid w:val="00117C09"/>
    <w:rsid w:val="00117E1F"/>
    <w:rsid w:val="00121F83"/>
    <w:rsid w:val="00122B38"/>
    <w:rsid w:val="0012341E"/>
    <w:rsid w:val="00123BA6"/>
    <w:rsid w:val="00124CD9"/>
    <w:rsid w:val="001254B6"/>
    <w:rsid w:val="00125C0D"/>
    <w:rsid w:val="00126294"/>
    <w:rsid w:val="0012652D"/>
    <w:rsid w:val="00126704"/>
    <w:rsid w:val="00127C05"/>
    <w:rsid w:val="001302F8"/>
    <w:rsid w:val="00131BE0"/>
    <w:rsid w:val="001324DF"/>
    <w:rsid w:val="00132E59"/>
    <w:rsid w:val="001339D0"/>
    <w:rsid w:val="001340B5"/>
    <w:rsid w:val="001348CC"/>
    <w:rsid w:val="001349A6"/>
    <w:rsid w:val="00134A43"/>
    <w:rsid w:val="00134A81"/>
    <w:rsid w:val="00134A97"/>
    <w:rsid w:val="00134B12"/>
    <w:rsid w:val="00135923"/>
    <w:rsid w:val="00135E77"/>
    <w:rsid w:val="00135F13"/>
    <w:rsid w:val="00136561"/>
    <w:rsid w:val="00136CB1"/>
    <w:rsid w:val="00136CEF"/>
    <w:rsid w:val="00136E5E"/>
    <w:rsid w:val="00137157"/>
    <w:rsid w:val="00137485"/>
    <w:rsid w:val="00140A89"/>
    <w:rsid w:val="0014116B"/>
    <w:rsid w:val="001413FD"/>
    <w:rsid w:val="00141E29"/>
    <w:rsid w:val="00142AD7"/>
    <w:rsid w:val="00142BCD"/>
    <w:rsid w:val="00142C3B"/>
    <w:rsid w:val="0014366A"/>
    <w:rsid w:val="001438C9"/>
    <w:rsid w:val="00146232"/>
    <w:rsid w:val="00146398"/>
    <w:rsid w:val="001464BF"/>
    <w:rsid w:val="00146945"/>
    <w:rsid w:val="001476B6"/>
    <w:rsid w:val="001508E3"/>
    <w:rsid w:val="001518E1"/>
    <w:rsid w:val="001528E6"/>
    <w:rsid w:val="00152D0F"/>
    <w:rsid w:val="00153087"/>
    <w:rsid w:val="001533C4"/>
    <w:rsid w:val="00153539"/>
    <w:rsid w:val="001539F9"/>
    <w:rsid w:val="00153BDB"/>
    <w:rsid w:val="00154642"/>
    <w:rsid w:val="00154A42"/>
    <w:rsid w:val="00154A4E"/>
    <w:rsid w:val="00154BFD"/>
    <w:rsid w:val="00154D3A"/>
    <w:rsid w:val="0015574B"/>
    <w:rsid w:val="00155B0F"/>
    <w:rsid w:val="001560E5"/>
    <w:rsid w:val="00156274"/>
    <w:rsid w:val="00160037"/>
    <w:rsid w:val="00162646"/>
    <w:rsid w:val="0016325A"/>
    <w:rsid w:val="00163337"/>
    <w:rsid w:val="0016355A"/>
    <w:rsid w:val="00163DF4"/>
    <w:rsid w:val="00163E9B"/>
    <w:rsid w:val="001647ED"/>
    <w:rsid w:val="001654E7"/>
    <w:rsid w:val="00165CFF"/>
    <w:rsid w:val="00166A89"/>
    <w:rsid w:val="001674F5"/>
    <w:rsid w:val="00167A3C"/>
    <w:rsid w:val="00167D97"/>
    <w:rsid w:val="00167E89"/>
    <w:rsid w:val="0017029C"/>
    <w:rsid w:val="001709BA"/>
    <w:rsid w:val="00170A41"/>
    <w:rsid w:val="00170C94"/>
    <w:rsid w:val="00170E65"/>
    <w:rsid w:val="0017111A"/>
    <w:rsid w:val="00171981"/>
    <w:rsid w:val="0017231F"/>
    <w:rsid w:val="00172A3E"/>
    <w:rsid w:val="00172D51"/>
    <w:rsid w:val="001733F6"/>
    <w:rsid w:val="00174601"/>
    <w:rsid w:val="0017468F"/>
    <w:rsid w:val="001751FD"/>
    <w:rsid w:val="00175D02"/>
    <w:rsid w:val="00175D9D"/>
    <w:rsid w:val="001763CF"/>
    <w:rsid w:val="001765BD"/>
    <w:rsid w:val="0017666D"/>
    <w:rsid w:val="001805BD"/>
    <w:rsid w:val="00180FEA"/>
    <w:rsid w:val="001810F2"/>
    <w:rsid w:val="00181DAD"/>
    <w:rsid w:val="00181DC0"/>
    <w:rsid w:val="00181FA4"/>
    <w:rsid w:val="0018213E"/>
    <w:rsid w:val="00182BD6"/>
    <w:rsid w:val="0018418A"/>
    <w:rsid w:val="00184AA5"/>
    <w:rsid w:val="00186A27"/>
    <w:rsid w:val="001875A9"/>
    <w:rsid w:val="0018798C"/>
    <w:rsid w:val="00187E5E"/>
    <w:rsid w:val="00190092"/>
    <w:rsid w:val="0019063E"/>
    <w:rsid w:val="00190965"/>
    <w:rsid w:val="001911CB"/>
    <w:rsid w:val="00191541"/>
    <w:rsid w:val="001915C3"/>
    <w:rsid w:val="0019171E"/>
    <w:rsid w:val="00191939"/>
    <w:rsid w:val="00193259"/>
    <w:rsid w:val="001932C6"/>
    <w:rsid w:val="00193731"/>
    <w:rsid w:val="001941DE"/>
    <w:rsid w:val="00194A53"/>
    <w:rsid w:val="00195507"/>
    <w:rsid w:val="00195FD6"/>
    <w:rsid w:val="00196CA4"/>
    <w:rsid w:val="00196D4C"/>
    <w:rsid w:val="001971BC"/>
    <w:rsid w:val="00197321"/>
    <w:rsid w:val="001976BF"/>
    <w:rsid w:val="00197C88"/>
    <w:rsid w:val="001A0902"/>
    <w:rsid w:val="001A0F6F"/>
    <w:rsid w:val="001A122D"/>
    <w:rsid w:val="001A1EE0"/>
    <w:rsid w:val="001A2210"/>
    <w:rsid w:val="001A329E"/>
    <w:rsid w:val="001A3501"/>
    <w:rsid w:val="001A367B"/>
    <w:rsid w:val="001A368A"/>
    <w:rsid w:val="001A3AC4"/>
    <w:rsid w:val="001A4241"/>
    <w:rsid w:val="001A4489"/>
    <w:rsid w:val="001A4A0A"/>
    <w:rsid w:val="001A4C3B"/>
    <w:rsid w:val="001A55FA"/>
    <w:rsid w:val="001A56BD"/>
    <w:rsid w:val="001A6D75"/>
    <w:rsid w:val="001B03A2"/>
    <w:rsid w:val="001B0AA8"/>
    <w:rsid w:val="001B0DAE"/>
    <w:rsid w:val="001B1098"/>
    <w:rsid w:val="001B1BFD"/>
    <w:rsid w:val="001B1E10"/>
    <w:rsid w:val="001B2498"/>
    <w:rsid w:val="001B30F8"/>
    <w:rsid w:val="001B361E"/>
    <w:rsid w:val="001B3F5C"/>
    <w:rsid w:val="001B412E"/>
    <w:rsid w:val="001B4150"/>
    <w:rsid w:val="001B4E86"/>
    <w:rsid w:val="001B509E"/>
    <w:rsid w:val="001B50EA"/>
    <w:rsid w:val="001B58DF"/>
    <w:rsid w:val="001B62D7"/>
    <w:rsid w:val="001B62DC"/>
    <w:rsid w:val="001B67C3"/>
    <w:rsid w:val="001B69A0"/>
    <w:rsid w:val="001B70A7"/>
    <w:rsid w:val="001B74D6"/>
    <w:rsid w:val="001B7622"/>
    <w:rsid w:val="001B7B0B"/>
    <w:rsid w:val="001C0362"/>
    <w:rsid w:val="001C0843"/>
    <w:rsid w:val="001C126A"/>
    <w:rsid w:val="001C16F3"/>
    <w:rsid w:val="001C2606"/>
    <w:rsid w:val="001C2B37"/>
    <w:rsid w:val="001C3467"/>
    <w:rsid w:val="001C370A"/>
    <w:rsid w:val="001C46CD"/>
    <w:rsid w:val="001C4823"/>
    <w:rsid w:val="001C4DCF"/>
    <w:rsid w:val="001C4E27"/>
    <w:rsid w:val="001C53CF"/>
    <w:rsid w:val="001C5CE5"/>
    <w:rsid w:val="001C627B"/>
    <w:rsid w:val="001C644A"/>
    <w:rsid w:val="001C65B8"/>
    <w:rsid w:val="001C6690"/>
    <w:rsid w:val="001C6823"/>
    <w:rsid w:val="001C6AF5"/>
    <w:rsid w:val="001C7E2A"/>
    <w:rsid w:val="001D0253"/>
    <w:rsid w:val="001D05C6"/>
    <w:rsid w:val="001D0B86"/>
    <w:rsid w:val="001D0D76"/>
    <w:rsid w:val="001D145F"/>
    <w:rsid w:val="001D1598"/>
    <w:rsid w:val="001D1A30"/>
    <w:rsid w:val="001D1CE9"/>
    <w:rsid w:val="001D24AD"/>
    <w:rsid w:val="001D26DB"/>
    <w:rsid w:val="001D2E43"/>
    <w:rsid w:val="001D3748"/>
    <w:rsid w:val="001D3EBF"/>
    <w:rsid w:val="001D4391"/>
    <w:rsid w:val="001D442D"/>
    <w:rsid w:val="001D5A33"/>
    <w:rsid w:val="001D5EC5"/>
    <w:rsid w:val="001D6D2C"/>
    <w:rsid w:val="001D7CD1"/>
    <w:rsid w:val="001E0A2C"/>
    <w:rsid w:val="001E1AB3"/>
    <w:rsid w:val="001E1BD5"/>
    <w:rsid w:val="001E21DC"/>
    <w:rsid w:val="001E2530"/>
    <w:rsid w:val="001E25F3"/>
    <w:rsid w:val="001E4657"/>
    <w:rsid w:val="001E473B"/>
    <w:rsid w:val="001E5577"/>
    <w:rsid w:val="001E5803"/>
    <w:rsid w:val="001E5B59"/>
    <w:rsid w:val="001E5C79"/>
    <w:rsid w:val="001E65DC"/>
    <w:rsid w:val="001E6A47"/>
    <w:rsid w:val="001E6C3F"/>
    <w:rsid w:val="001E6D40"/>
    <w:rsid w:val="001E6D6A"/>
    <w:rsid w:val="001E6ECD"/>
    <w:rsid w:val="001E71CF"/>
    <w:rsid w:val="001E740D"/>
    <w:rsid w:val="001E75EF"/>
    <w:rsid w:val="001F0748"/>
    <w:rsid w:val="001F07BA"/>
    <w:rsid w:val="001F0D39"/>
    <w:rsid w:val="001F1A90"/>
    <w:rsid w:val="001F2673"/>
    <w:rsid w:val="001F2935"/>
    <w:rsid w:val="001F2D3A"/>
    <w:rsid w:val="001F2E97"/>
    <w:rsid w:val="001F2F2D"/>
    <w:rsid w:val="001F3219"/>
    <w:rsid w:val="001F34CD"/>
    <w:rsid w:val="001F3D5D"/>
    <w:rsid w:val="001F43B8"/>
    <w:rsid w:val="001F459C"/>
    <w:rsid w:val="001F45BE"/>
    <w:rsid w:val="001F4C68"/>
    <w:rsid w:val="001F5C57"/>
    <w:rsid w:val="001F6487"/>
    <w:rsid w:val="001F6754"/>
    <w:rsid w:val="001F7F0E"/>
    <w:rsid w:val="0020017E"/>
    <w:rsid w:val="0020072E"/>
    <w:rsid w:val="002011B8"/>
    <w:rsid w:val="00201541"/>
    <w:rsid w:val="00201CDF"/>
    <w:rsid w:val="00201FB6"/>
    <w:rsid w:val="002027DA"/>
    <w:rsid w:val="00203033"/>
    <w:rsid w:val="00203913"/>
    <w:rsid w:val="00203F4F"/>
    <w:rsid w:val="002043B4"/>
    <w:rsid w:val="00204524"/>
    <w:rsid w:val="002046DC"/>
    <w:rsid w:val="00204C7A"/>
    <w:rsid w:val="00204C84"/>
    <w:rsid w:val="00205FB7"/>
    <w:rsid w:val="002061F2"/>
    <w:rsid w:val="00206288"/>
    <w:rsid w:val="00206983"/>
    <w:rsid w:val="00206985"/>
    <w:rsid w:val="00206B08"/>
    <w:rsid w:val="00206F66"/>
    <w:rsid w:val="0020738E"/>
    <w:rsid w:val="002114ED"/>
    <w:rsid w:val="002118B6"/>
    <w:rsid w:val="00212835"/>
    <w:rsid w:val="00212E6B"/>
    <w:rsid w:val="002136FD"/>
    <w:rsid w:val="00213974"/>
    <w:rsid w:val="00213A50"/>
    <w:rsid w:val="00214086"/>
    <w:rsid w:val="002147E8"/>
    <w:rsid w:val="00215773"/>
    <w:rsid w:val="00215CAF"/>
    <w:rsid w:val="00215CF1"/>
    <w:rsid w:val="002173FC"/>
    <w:rsid w:val="00221222"/>
    <w:rsid w:val="0022167D"/>
    <w:rsid w:val="002223E8"/>
    <w:rsid w:val="00222613"/>
    <w:rsid w:val="00222B6C"/>
    <w:rsid w:val="00224186"/>
    <w:rsid w:val="00224B68"/>
    <w:rsid w:val="00224D5D"/>
    <w:rsid w:val="00226A58"/>
    <w:rsid w:val="00227287"/>
    <w:rsid w:val="00227330"/>
    <w:rsid w:val="00227B80"/>
    <w:rsid w:val="002302CE"/>
    <w:rsid w:val="002307EF"/>
    <w:rsid w:val="00231201"/>
    <w:rsid w:val="002321BF"/>
    <w:rsid w:val="00232485"/>
    <w:rsid w:val="00232C3C"/>
    <w:rsid w:val="00232CB6"/>
    <w:rsid w:val="00232D9B"/>
    <w:rsid w:val="00232E77"/>
    <w:rsid w:val="002331CF"/>
    <w:rsid w:val="00233652"/>
    <w:rsid w:val="00233746"/>
    <w:rsid w:val="00233796"/>
    <w:rsid w:val="002345C6"/>
    <w:rsid w:val="00234C3A"/>
    <w:rsid w:val="00237485"/>
    <w:rsid w:val="00240DCF"/>
    <w:rsid w:val="002410C9"/>
    <w:rsid w:val="00241257"/>
    <w:rsid w:val="002416CE"/>
    <w:rsid w:val="002426BC"/>
    <w:rsid w:val="00243BC4"/>
    <w:rsid w:val="00243E59"/>
    <w:rsid w:val="00243E6F"/>
    <w:rsid w:val="00243EF9"/>
    <w:rsid w:val="00244ED9"/>
    <w:rsid w:val="0024565A"/>
    <w:rsid w:val="002463B2"/>
    <w:rsid w:val="00246500"/>
    <w:rsid w:val="0024728D"/>
    <w:rsid w:val="002478ED"/>
    <w:rsid w:val="00250ACB"/>
    <w:rsid w:val="00251AFF"/>
    <w:rsid w:val="00251B1E"/>
    <w:rsid w:val="00251C97"/>
    <w:rsid w:val="002523EA"/>
    <w:rsid w:val="00252ADD"/>
    <w:rsid w:val="00252D79"/>
    <w:rsid w:val="00253490"/>
    <w:rsid w:val="00253578"/>
    <w:rsid w:val="00253D5E"/>
    <w:rsid w:val="00254603"/>
    <w:rsid w:val="00254D7E"/>
    <w:rsid w:val="00254EDC"/>
    <w:rsid w:val="00254EF3"/>
    <w:rsid w:val="00255042"/>
    <w:rsid w:val="002556AA"/>
    <w:rsid w:val="0025594F"/>
    <w:rsid w:val="00255D1B"/>
    <w:rsid w:val="00255D41"/>
    <w:rsid w:val="00256514"/>
    <w:rsid w:val="00256E1C"/>
    <w:rsid w:val="0025706D"/>
    <w:rsid w:val="002571A6"/>
    <w:rsid w:val="002571C7"/>
    <w:rsid w:val="00257815"/>
    <w:rsid w:val="0026068A"/>
    <w:rsid w:val="002606F1"/>
    <w:rsid w:val="00261681"/>
    <w:rsid w:val="00261A17"/>
    <w:rsid w:val="00261A2A"/>
    <w:rsid w:val="0026218E"/>
    <w:rsid w:val="00262ACA"/>
    <w:rsid w:val="00262F6B"/>
    <w:rsid w:val="002631FE"/>
    <w:rsid w:val="00263375"/>
    <w:rsid w:val="00264578"/>
    <w:rsid w:val="00264789"/>
    <w:rsid w:val="002649A0"/>
    <w:rsid w:val="00264E43"/>
    <w:rsid w:val="00264F6C"/>
    <w:rsid w:val="00264FFA"/>
    <w:rsid w:val="00265220"/>
    <w:rsid w:val="0026542F"/>
    <w:rsid w:val="00265534"/>
    <w:rsid w:val="00265564"/>
    <w:rsid w:val="0026576A"/>
    <w:rsid w:val="002659E6"/>
    <w:rsid w:val="00266B58"/>
    <w:rsid w:val="00266DA6"/>
    <w:rsid w:val="00267256"/>
    <w:rsid w:val="00267878"/>
    <w:rsid w:val="00267BE0"/>
    <w:rsid w:val="0027097B"/>
    <w:rsid w:val="00270EE7"/>
    <w:rsid w:val="0027115D"/>
    <w:rsid w:val="002717DF"/>
    <w:rsid w:val="00272E7D"/>
    <w:rsid w:val="002732A1"/>
    <w:rsid w:val="00273957"/>
    <w:rsid w:val="0027398E"/>
    <w:rsid w:val="00274212"/>
    <w:rsid w:val="002745B3"/>
    <w:rsid w:val="00274A41"/>
    <w:rsid w:val="0027501E"/>
    <w:rsid w:val="002754C1"/>
    <w:rsid w:val="002754E1"/>
    <w:rsid w:val="002757D2"/>
    <w:rsid w:val="0027581A"/>
    <w:rsid w:val="00275AB7"/>
    <w:rsid w:val="0027616F"/>
    <w:rsid w:val="002763BE"/>
    <w:rsid w:val="00277110"/>
    <w:rsid w:val="0027730D"/>
    <w:rsid w:val="00277352"/>
    <w:rsid w:val="00277527"/>
    <w:rsid w:val="0027775F"/>
    <w:rsid w:val="00277CF6"/>
    <w:rsid w:val="00277F90"/>
    <w:rsid w:val="0028040B"/>
    <w:rsid w:val="002806C9"/>
    <w:rsid w:val="0028076C"/>
    <w:rsid w:val="00280DFA"/>
    <w:rsid w:val="002815EB"/>
    <w:rsid w:val="0028176B"/>
    <w:rsid w:val="00281C87"/>
    <w:rsid w:val="002825DC"/>
    <w:rsid w:val="002826A9"/>
    <w:rsid w:val="00282D0A"/>
    <w:rsid w:val="00282FFF"/>
    <w:rsid w:val="00283A19"/>
    <w:rsid w:val="00283E87"/>
    <w:rsid w:val="002842B0"/>
    <w:rsid w:val="00284C34"/>
    <w:rsid w:val="00284C62"/>
    <w:rsid w:val="00285CB2"/>
    <w:rsid w:val="00285F10"/>
    <w:rsid w:val="0028622B"/>
    <w:rsid w:val="0028634A"/>
    <w:rsid w:val="00286366"/>
    <w:rsid w:val="002864A6"/>
    <w:rsid w:val="0028664C"/>
    <w:rsid w:val="002877F4"/>
    <w:rsid w:val="00290906"/>
    <w:rsid w:val="0029106A"/>
    <w:rsid w:val="00291945"/>
    <w:rsid w:val="00291BBB"/>
    <w:rsid w:val="00291FB1"/>
    <w:rsid w:val="00292CE6"/>
    <w:rsid w:val="00293775"/>
    <w:rsid w:val="00293A03"/>
    <w:rsid w:val="00293F43"/>
    <w:rsid w:val="00294010"/>
    <w:rsid w:val="002948EE"/>
    <w:rsid w:val="00295550"/>
    <w:rsid w:val="002955DA"/>
    <w:rsid w:val="00295FE4"/>
    <w:rsid w:val="002966FE"/>
    <w:rsid w:val="00296B8B"/>
    <w:rsid w:val="00296E65"/>
    <w:rsid w:val="002971E8"/>
    <w:rsid w:val="00297D26"/>
    <w:rsid w:val="002A02EB"/>
    <w:rsid w:val="002A0507"/>
    <w:rsid w:val="002A06E4"/>
    <w:rsid w:val="002A112C"/>
    <w:rsid w:val="002A142A"/>
    <w:rsid w:val="002A1A2C"/>
    <w:rsid w:val="002A1D2B"/>
    <w:rsid w:val="002A21DD"/>
    <w:rsid w:val="002A2353"/>
    <w:rsid w:val="002A2E8F"/>
    <w:rsid w:val="002A325C"/>
    <w:rsid w:val="002A3552"/>
    <w:rsid w:val="002A383F"/>
    <w:rsid w:val="002A3849"/>
    <w:rsid w:val="002A401B"/>
    <w:rsid w:val="002A4E68"/>
    <w:rsid w:val="002A566C"/>
    <w:rsid w:val="002A5C27"/>
    <w:rsid w:val="002A5C5D"/>
    <w:rsid w:val="002A5EDA"/>
    <w:rsid w:val="002A61F9"/>
    <w:rsid w:val="002A69E5"/>
    <w:rsid w:val="002A6BE0"/>
    <w:rsid w:val="002B0329"/>
    <w:rsid w:val="002B03DA"/>
    <w:rsid w:val="002B05AA"/>
    <w:rsid w:val="002B1EC1"/>
    <w:rsid w:val="002B2421"/>
    <w:rsid w:val="002B2CF4"/>
    <w:rsid w:val="002B364C"/>
    <w:rsid w:val="002B3AE7"/>
    <w:rsid w:val="002B42BC"/>
    <w:rsid w:val="002B4466"/>
    <w:rsid w:val="002B4762"/>
    <w:rsid w:val="002B4DAD"/>
    <w:rsid w:val="002B4EEB"/>
    <w:rsid w:val="002B5D76"/>
    <w:rsid w:val="002B5F04"/>
    <w:rsid w:val="002B6793"/>
    <w:rsid w:val="002B6ABE"/>
    <w:rsid w:val="002B718A"/>
    <w:rsid w:val="002B72FB"/>
    <w:rsid w:val="002B76EB"/>
    <w:rsid w:val="002C041E"/>
    <w:rsid w:val="002C09BB"/>
    <w:rsid w:val="002C15B9"/>
    <w:rsid w:val="002C1F39"/>
    <w:rsid w:val="002C1F3E"/>
    <w:rsid w:val="002C256C"/>
    <w:rsid w:val="002C339E"/>
    <w:rsid w:val="002C3546"/>
    <w:rsid w:val="002C4413"/>
    <w:rsid w:val="002C4CD0"/>
    <w:rsid w:val="002C5364"/>
    <w:rsid w:val="002C58A8"/>
    <w:rsid w:val="002C5B87"/>
    <w:rsid w:val="002C5D35"/>
    <w:rsid w:val="002C6739"/>
    <w:rsid w:val="002C6934"/>
    <w:rsid w:val="002C6A1A"/>
    <w:rsid w:val="002C6E3B"/>
    <w:rsid w:val="002C6F6F"/>
    <w:rsid w:val="002C6FEF"/>
    <w:rsid w:val="002C746A"/>
    <w:rsid w:val="002C790C"/>
    <w:rsid w:val="002D0343"/>
    <w:rsid w:val="002D0861"/>
    <w:rsid w:val="002D08EF"/>
    <w:rsid w:val="002D10F5"/>
    <w:rsid w:val="002D166B"/>
    <w:rsid w:val="002D1F29"/>
    <w:rsid w:val="002D290B"/>
    <w:rsid w:val="002D30FD"/>
    <w:rsid w:val="002D31FD"/>
    <w:rsid w:val="002D32B3"/>
    <w:rsid w:val="002D372F"/>
    <w:rsid w:val="002D37A4"/>
    <w:rsid w:val="002D3843"/>
    <w:rsid w:val="002D3A14"/>
    <w:rsid w:val="002D4129"/>
    <w:rsid w:val="002D474E"/>
    <w:rsid w:val="002D6565"/>
    <w:rsid w:val="002D665D"/>
    <w:rsid w:val="002D69B5"/>
    <w:rsid w:val="002D6AA7"/>
    <w:rsid w:val="002D7BD4"/>
    <w:rsid w:val="002E03D1"/>
    <w:rsid w:val="002E1866"/>
    <w:rsid w:val="002E2AC2"/>
    <w:rsid w:val="002E3086"/>
    <w:rsid w:val="002E38CE"/>
    <w:rsid w:val="002E3B80"/>
    <w:rsid w:val="002E3FD4"/>
    <w:rsid w:val="002E4DC2"/>
    <w:rsid w:val="002E5295"/>
    <w:rsid w:val="002E547B"/>
    <w:rsid w:val="002E5662"/>
    <w:rsid w:val="002E56F4"/>
    <w:rsid w:val="002E58E6"/>
    <w:rsid w:val="002E5A32"/>
    <w:rsid w:val="002E5C2E"/>
    <w:rsid w:val="002E5F11"/>
    <w:rsid w:val="002E6CAE"/>
    <w:rsid w:val="002E6CE8"/>
    <w:rsid w:val="002E6D6E"/>
    <w:rsid w:val="002E7B53"/>
    <w:rsid w:val="002F1458"/>
    <w:rsid w:val="002F25A1"/>
    <w:rsid w:val="002F2FA5"/>
    <w:rsid w:val="002F304B"/>
    <w:rsid w:val="002F356B"/>
    <w:rsid w:val="002F3C31"/>
    <w:rsid w:val="002F408C"/>
    <w:rsid w:val="002F43F9"/>
    <w:rsid w:val="002F472D"/>
    <w:rsid w:val="002F544B"/>
    <w:rsid w:val="002F70D6"/>
    <w:rsid w:val="002F78FD"/>
    <w:rsid w:val="00300245"/>
    <w:rsid w:val="0030071B"/>
    <w:rsid w:val="00300D5B"/>
    <w:rsid w:val="00301226"/>
    <w:rsid w:val="00301614"/>
    <w:rsid w:val="00301662"/>
    <w:rsid w:val="00302312"/>
    <w:rsid w:val="0030238A"/>
    <w:rsid w:val="00302695"/>
    <w:rsid w:val="003026C0"/>
    <w:rsid w:val="0030340B"/>
    <w:rsid w:val="00303BC6"/>
    <w:rsid w:val="003059A6"/>
    <w:rsid w:val="00305AC8"/>
    <w:rsid w:val="003068E4"/>
    <w:rsid w:val="00306CDD"/>
    <w:rsid w:val="003077FB"/>
    <w:rsid w:val="0030793C"/>
    <w:rsid w:val="003104EC"/>
    <w:rsid w:val="00311A9F"/>
    <w:rsid w:val="00312175"/>
    <w:rsid w:val="00312DC0"/>
    <w:rsid w:val="003134CB"/>
    <w:rsid w:val="00313B56"/>
    <w:rsid w:val="00313BE2"/>
    <w:rsid w:val="003146DD"/>
    <w:rsid w:val="0031477F"/>
    <w:rsid w:val="00314E9A"/>
    <w:rsid w:val="00315228"/>
    <w:rsid w:val="0031544D"/>
    <w:rsid w:val="003155E2"/>
    <w:rsid w:val="00315D37"/>
    <w:rsid w:val="0031610A"/>
    <w:rsid w:val="0031612E"/>
    <w:rsid w:val="00316E18"/>
    <w:rsid w:val="003204BD"/>
    <w:rsid w:val="003206AC"/>
    <w:rsid w:val="00320DE2"/>
    <w:rsid w:val="00321074"/>
    <w:rsid w:val="00321DE2"/>
    <w:rsid w:val="00322005"/>
    <w:rsid w:val="0032219D"/>
    <w:rsid w:val="003223DB"/>
    <w:rsid w:val="00322940"/>
    <w:rsid w:val="00322AAE"/>
    <w:rsid w:val="00323CCF"/>
    <w:rsid w:val="00323E26"/>
    <w:rsid w:val="00323F30"/>
    <w:rsid w:val="00324353"/>
    <w:rsid w:val="003244D8"/>
    <w:rsid w:val="00324A44"/>
    <w:rsid w:val="00324AAD"/>
    <w:rsid w:val="00324B5E"/>
    <w:rsid w:val="00325134"/>
    <w:rsid w:val="00325445"/>
    <w:rsid w:val="00325706"/>
    <w:rsid w:val="00325D64"/>
    <w:rsid w:val="00327C3C"/>
    <w:rsid w:val="00330627"/>
    <w:rsid w:val="00330E4F"/>
    <w:rsid w:val="003310FD"/>
    <w:rsid w:val="00331BAC"/>
    <w:rsid w:val="003321D8"/>
    <w:rsid w:val="00332656"/>
    <w:rsid w:val="003326B4"/>
    <w:rsid w:val="00332794"/>
    <w:rsid w:val="00332D6E"/>
    <w:rsid w:val="00332F5A"/>
    <w:rsid w:val="00333396"/>
    <w:rsid w:val="00333E85"/>
    <w:rsid w:val="0033466D"/>
    <w:rsid w:val="003349E5"/>
    <w:rsid w:val="003366B9"/>
    <w:rsid w:val="00336A5F"/>
    <w:rsid w:val="00336B53"/>
    <w:rsid w:val="00336FFA"/>
    <w:rsid w:val="003375B4"/>
    <w:rsid w:val="0033761A"/>
    <w:rsid w:val="00337883"/>
    <w:rsid w:val="00337954"/>
    <w:rsid w:val="00337A4B"/>
    <w:rsid w:val="00337B2B"/>
    <w:rsid w:val="003408BA"/>
    <w:rsid w:val="003408F8"/>
    <w:rsid w:val="00340C73"/>
    <w:rsid w:val="00340EAE"/>
    <w:rsid w:val="00341A39"/>
    <w:rsid w:val="003424E9"/>
    <w:rsid w:val="0034294F"/>
    <w:rsid w:val="00342A25"/>
    <w:rsid w:val="00343004"/>
    <w:rsid w:val="0034327E"/>
    <w:rsid w:val="00343359"/>
    <w:rsid w:val="003443DB"/>
    <w:rsid w:val="00344A40"/>
    <w:rsid w:val="00344B1B"/>
    <w:rsid w:val="0034529D"/>
    <w:rsid w:val="00345AC7"/>
    <w:rsid w:val="00346428"/>
    <w:rsid w:val="00347882"/>
    <w:rsid w:val="00347AD7"/>
    <w:rsid w:val="003501D3"/>
    <w:rsid w:val="0035047D"/>
    <w:rsid w:val="003539A8"/>
    <w:rsid w:val="00353ACD"/>
    <w:rsid w:val="00353C63"/>
    <w:rsid w:val="00353C97"/>
    <w:rsid w:val="00353CBB"/>
    <w:rsid w:val="00353E2B"/>
    <w:rsid w:val="003540F7"/>
    <w:rsid w:val="00354793"/>
    <w:rsid w:val="00354A02"/>
    <w:rsid w:val="00354BAF"/>
    <w:rsid w:val="00354E84"/>
    <w:rsid w:val="00355582"/>
    <w:rsid w:val="00355B83"/>
    <w:rsid w:val="00355D39"/>
    <w:rsid w:val="00356256"/>
    <w:rsid w:val="003562EE"/>
    <w:rsid w:val="00356C2F"/>
    <w:rsid w:val="00356FF4"/>
    <w:rsid w:val="00357007"/>
    <w:rsid w:val="00357083"/>
    <w:rsid w:val="003600B8"/>
    <w:rsid w:val="00361098"/>
    <w:rsid w:val="00361138"/>
    <w:rsid w:val="00361767"/>
    <w:rsid w:val="00361EB5"/>
    <w:rsid w:val="00362102"/>
    <w:rsid w:val="003628E7"/>
    <w:rsid w:val="0036298F"/>
    <w:rsid w:val="00362B48"/>
    <w:rsid w:val="00362DAE"/>
    <w:rsid w:val="00363905"/>
    <w:rsid w:val="003647E8"/>
    <w:rsid w:val="003648BA"/>
    <w:rsid w:val="00365389"/>
    <w:rsid w:val="00365443"/>
    <w:rsid w:val="0036552A"/>
    <w:rsid w:val="003657A8"/>
    <w:rsid w:val="003658A2"/>
    <w:rsid w:val="00365E40"/>
    <w:rsid w:val="00365E8F"/>
    <w:rsid w:val="00366460"/>
    <w:rsid w:val="003669F3"/>
    <w:rsid w:val="00366CCD"/>
    <w:rsid w:val="00366E6B"/>
    <w:rsid w:val="00367139"/>
    <w:rsid w:val="00370A09"/>
    <w:rsid w:val="003719AA"/>
    <w:rsid w:val="00371A95"/>
    <w:rsid w:val="00371D29"/>
    <w:rsid w:val="00372A9F"/>
    <w:rsid w:val="0037397A"/>
    <w:rsid w:val="00373995"/>
    <w:rsid w:val="00373B40"/>
    <w:rsid w:val="0037427D"/>
    <w:rsid w:val="0037474B"/>
    <w:rsid w:val="00374888"/>
    <w:rsid w:val="00375136"/>
    <w:rsid w:val="00375354"/>
    <w:rsid w:val="003759E4"/>
    <w:rsid w:val="0037606F"/>
    <w:rsid w:val="0037683E"/>
    <w:rsid w:val="00377174"/>
    <w:rsid w:val="00377FFD"/>
    <w:rsid w:val="003801DF"/>
    <w:rsid w:val="0038032E"/>
    <w:rsid w:val="0038045C"/>
    <w:rsid w:val="0038054E"/>
    <w:rsid w:val="0038099E"/>
    <w:rsid w:val="003810AD"/>
    <w:rsid w:val="0038126F"/>
    <w:rsid w:val="00381537"/>
    <w:rsid w:val="00381829"/>
    <w:rsid w:val="0038183C"/>
    <w:rsid w:val="003824A5"/>
    <w:rsid w:val="003833E5"/>
    <w:rsid w:val="0038349D"/>
    <w:rsid w:val="00383DBB"/>
    <w:rsid w:val="00383F08"/>
    <w:rsid w:val="00384B79"/>
    <w:rsid w:val="003856B9"/>
    <w:rsid w:val="003857FB"/>
    <w:rsid w:val="00385C09"/>
    <w:rsid w:val="0038761B"/>
    <w:rsid w:val="00387A95"/>
    <w:rsid w:val="003900C5"/>
    <w:rsid w:val="0039012B"/>
    <w:rsid w:val="00390408"/>
    <w:rsid w:val="00390F30"/>
    <w:rsid w:val="003916C1"/>
    <w:rsid w:val="00391B96"/>
    <w:rsid w:val="00391BC0"/>
    <w:rsid w:val="00391D48"/>
    <w:rsid w:val="00391E84"/>
    <w:rsid w:val="00392542"/>
    <w:rsid w:val="00392863"/>
    <w:rsid w:val="00392A03"/>
    <w:rsid w:val="003933D0"/>
    <w:rsid w:val="00394261"/>
    <w:rsid w:val="0039460F"/>
    <w:rsid w:val="00395ED4"/>
    <w:rsid w:val="00396338"/>
    <w:rsid w:val="00396529"/>
    <w:rsid w:val="003966AD"/>
    <w:rsid w:val="003967F6"/>
    <w:rsid w:val="00397570"/>
    <w:rsid w:val="00397B99"/>
    <w:rsid w:val="003A06D3"/>
    <w:rsid w:val="003A097E"/>
    <w:rsid w:val="003A0C26"/>
    <w:rsid w:val="003A0EA0"/>
    <w:rsid w:val="003A1471"/>
    <w:rsid w:val="003A1B9B"/>
    <w:rsid w:val="003A28A0"/>
    <w:rsid w:val="003A353C"/>
    <w:rsid w:val="003A3AB4"/>
    <w:rsid w:val="003A3FD1"/>
    <w:rsid w:val="003A3FF7"/>
    <w:rsid w:val="003A52A1"/>
    <w:rsid w:val="003A535E"/>
    <w:rsid w:val="003A638D"/>
    <w:rsid w:val="003A6743"/>
    <w:rsid w:val="003A7C27"/>
    <w:rsid w:val="003B03DC"/>
    <w:rsid w:val="003B0D92"/>
    <w:rsid w:val="003B16F1"/>
    <w:rsid w:val="003B1D58"/>
    <w:rsid w:val="003B2100"/>
    <w:rsid w:val="003B35C4"/>
    <w:rsid w:val="003B385C"/>
    <w:rsid w:val="003B3900"/>
    <w:rsid w:val="003B3E80"/>
    <w:rsid w:val="003B4298"/>
    <w:rsid w:val="003B509C"/>
    <w:rsid w:val="003B57E2"/>
    <w:rsid w:val="003B75A1"/>
    <w:rsid w:val="003B7B47"/>
    <w:rsid w:val="003C071E"/>
    <w:rsid w:val="003C1CBB"/>
    <w:rsid w:val="003C1CEB"/>
    <w:rsid w:val="003C2808"/>
    <w:rsid w:val="003C2AB6"/>
    <w:rsid w:val="003C2D90"/>
    <w:rsid w:val="003C3B3C"/>
    <w:rsid w:val="003C3BC2"/>
    <w:rsid w:val="003C3CC8"/>
    <w:rsid w:val="003C3D9E"/>
    <w:rsid w:val="003C3F07"/>
    <w:rsid w:val="003C46C9"/>
    <w:rsid w:val="003C57B6"/>
    <w:rsid w:val="003C5975"/>
    <w:rsid w:val="003C60BF"/>
    <w:rsid w:val="003C67BD"/>
    <w:rsid w:val="003C73EC"/>
    <w:rsid w:val="003C74A3"/>
    <w:rsid w:val="003D0E96"/>
    <w:rsid w:val="003D1464"/>
    <w:rsid w:val="003D19C8"/>
    <w:rsid w:val="003D1B5E"/>
    <w:rsid w:val="003D1D9C"/>
    <w:rsid w:val="003D2496"/>
    <w:rsid w:val="003D2561"/>
    <w:rsid w:val="003D301F"/>
    <w:rsid w:val="003D3A49"/>
    <w:rsid w:val="003D46A1"/>
    <w:rsid w:val="003D4C55"/>
    <w:rsid w:val="003D4E3C"/>
    <w:rsid w:val="003D51ED"/>
    <w:rsid w:val="003D5204"/>
    <w:rsid w:val="003D5BD0"/>
    <w:rsid w:val="003D605B"/>
    <w:rsid w:val="003D6324"/>
    <w:rsid w:val="003D6342"/>
    <w:rsid w:val="003D6EBB"/>
    <w:rsid w:val="003D72D8"/>
    <w:rsid w:val="003D73BF"/>
    <w:rsid w:val="003E0293"/>
    <w:rsid w:val="003E0413"/>
    <w:rsid w:val="003E0A0C"/>
    <w:rsid w:val="003E0B1F"/>
    <w:rsid w:val="003E18EC"/>
    <w:rsid w:val="003E213B"/>
    <w:rsid w:val="003E29DD"/>
    <w:rsid w:val="003E2A98"/>
    <w:rsid w:val="003E3C16"/>
    <w:rsid w:val="003E417A"/>
    <w:rsid w:val="003E46D5"/>
    <w:rsid w:val="003E507D"/>
    <w:rsid w:val="003E563C"/>
    <w:rsid w:val="003E56A6"/>
    <w:rsid w:val="003E70EA"/>
    <w:rsid w:val="003F0336"/>
    <w:rsid w:val="003F1BCA"/>
    <w:rsid w:val="003F1C3B"/>
    <w:rsid w:val="003F2182"/>
    <w:rsid w:val="003F2C0A"/>
    <w:rsid w:val="003F2E1D"/>
    <w:rsid w:val="003F2E3C"/>
    <w:rsid w:val="003F41DA"/>
    <w:rsid w:val="003F46FA"/>
    <w:rsid w:val="003F48E7"/>
    <w:rsid w:val="003F4D70"/>
    <w:rsid w:val="003F64D1"/>
    <w:rsid w:val="003F65D7"/>
    <w:rsid w:val="003F682E"/>
    <w:rsid w:val="003F7238"/>
    <w:rsid w:val="003F7425"/>
    <w:rsid w:val="003F7C95"/>
    <w:rsid w:val="0040004D"/>
    <w:rsid w:val="00400254"/>
    <w:rsid w:val="004018DB"/>
    <w:rsid w:val="004023F3"/>
    <w:rsid w:val="004026A1"/>
    <w:rsid w:val="00402BF3"/>
    <w:rsid w:val="0040321F"/>
    <w:rsid w:val="00403489"/>
    <w:rsid w:val="00403BD5"/>
    <w:rsid w:val="00403DBF"/>
    <w:rsid w:val="00403FA5"/>
    <w:rsid w:val="00404694"/>
    <w:rsid w:val="00404B2E"/>
    <w:rsid w:val="00404E3C"/>
    <w:rsid w:val="00404E5C"/>
    <w:rsid w:val="00404FC0"/>
    <w:rsid w:val="00405965"/>
    <w:rsid w:val="00405975"/>
    <w:rsid w:val="00405D25"/>
    <w:rsid w:val="0040698F"/>
    <w:rsid w:val="00407FFC"/>
    <w:rsid w:val="00410306"/>
    <w:rsid w:val="0041088B"/>
    <w:rsid w:val="004109FB"/>
    <w:rsid w:val="00411123"/>
    <w:rsid w:val="004113BF"/>
    <w:rsid w:val="00411E37"/>
    <w:rsid w:val="00411F81"/>
    <w:rsid w:val="004120A8"/>
    <w:rsid w:val="00412754"/>
    <w:rsid w:val="004148B8"/>
    <w:rsid w:val="00414B23"/>
    <w:rsid w:val="00415960"/>
    <w:rsid w:val="00415A0B"/>
    <w:rsid w:val="004161E3"/>
    <w:rsid w:val="00416917"/>
    <w:rsid w:val="004169DE"/>
    <w:rsid w:val="0041716B"/>
    <w:rsid w:val="004175F7"/>
    <w:rsid w:val="0042042A"/>
    <w:rsid w:val="00420972"/>
    <w:rsid w:val="00420984"/>
    <w:rsid w:val="00420B1B"/>
    <w:rsid w:val="00420C25"/>
    <w:rsid w:val="00420E34"/>
    <w:rsid w:val="00420ED4"/>
    <w:rsid w:val="0042104C"/>
    <w:rsid w:val="00421056"/>
    <w:rsid w:val="004212A2"/>
    <w:rsid w:val="00421BE8"/>
    <w:rsid w:val="00421FA1"/>
    <w:rsid w:val="0042225C"/>
    <w:rsid w:val="004226BF"/>
    <w:rsid w:val="00422B18"/>
    <w:rsid w:val="00423396"/>
    <w:rsid w:val="00423FAE"/>
    <w:rsid w:val="00424550"/>
    <w:rsid w:val="00424753"/>
    <w:rsid w:val="00424862"/>
    <w:rsid w:val="0042499F"/>
    <w:rsid w:val="00424AF3"/>
    <w:rsid w:val="00425119"/>
    <w:rsid w:val="00425E6E"/>
    <w:rsid w:val="00426836"/>
    <w:rsid w:val="0042690C"/>
    <w:rsid w:val="00427061"/>
    <w:rsid w:val="004277FA"/>
    <w:rsid w:val="00427941"/>
    <w:rsid w:val="00427B16"/>
    <w:rsid w:val="00427D7B"/>
    <w:rsid w:val="004305EF"/>
    <w:rsid w:val="00430B64"/>
    <w:rsid w:val="00430BEF"/>
    <w:rsid w:val="00430DA1"/>
    <w:rsid w:val="0043115B"/>
    <w:rsid w:val="00431AD9"/>
    <w:rsid w:val="00433808"/>
    <w:rsid w:val="00433EFF"/>
    <w:rsid w:val="004340E7"/>
    <w:rsid w:val="0043455A"/>
    <w:rsid w:val="00434FE9"/>
    <w:rsid w:val="0043538C"/>
    <w:rsid w:val="004359E7"/>
    <w:rsid w:val="00436439"/>
    <w:rsid w:val="00436756"/>
    <w:rsid w:val="00436D35"/>
    <w:rsid w:val="004372BF"/>
    <w:rsid w:val="0043777E"/>
    <w:rsid w:val="0044030B"/>
    <w:rsid w:val="0044053A"/>
    <w:rsid w:val="00441C06"/>
    <w:rsid w:val="00441DD5"/>
    <w:rsid w:val="00441F43"/>
    <w:rsid w:val="00442098"/>
    <w:rsid w:val="00442700"/>
    <w:rsid w:val="00442EF6"/>
    <w:rsid w:val="004434C8"/>
    <w:rsid w:val="004441F7"/>
    <w:rsid w:val="00444FF2"/>
    <w:rsid w:val="00445224"/>
    <w:rsid w:val="0044581A"/>
    <w:rsid w:val="0044650E"/>
    <w:rsid w:val="004465DA"/>
    <w:rsid w:val="004467F3"/>
    <w:rsid w:val="004504C3"/>
    <w:rsid w:val="00451431"/>
    <w:rsid w:val="00451565"/>
    <w:rsid w:val="004525D9"/>
    <w:rsid w:val="00452A25"/>
    <w:rsid w:val="00452D0C"/>
    <w:rsid w:val="00453B3C"/>
    <w:rsid w:val="004542CE"/>
    <w:rsid w:val="00454638"/>
    <w:rsid w:val="0045499A"/>
    <w:rsid w:val="00454E9E"/>
    <w:rsid w:val="00454FE9"/>
    <w:rsid w:val="0045535A"/>
    <w:rsid w:val="00455671"/>
    <w:rsid w:val="0045579C"/>
    <w:rsid w:val="00456E39"/>
    <w:rsid w:val="00461A62"/>
    <w:rsid w:val="004625E0"/>
    <w:rsid w:val="00462B5C"/>
    <w:rsid w:val="00462E3F"/>
    <w:rsid w:val="00463347"/>
    <w:rsid w:val="00463AC0"/>
    <w:rsid w:val="004640F4"/>
    <w:rsid w:val="00464663"/>
    <w:rsid w:val="00464C68"/>
    <w:rsid w:val="0046549B"/>
    <w:rsid w:val="00465A47"/>
    <w:rsid w:val="00466536"/>
    <w:rsid w:val="00466802"/>
    <w:rsid w:val="00466A86"/>
    <w:rsid w:val="00466E0C"/>
    <w:rsid w:val="0046722D"/>
    <w:rsid w:val="00467874"/>
    <w:rsid w:val="00467CDD"/>
    <w:rsid w:val="004703C9"/>
    <w:rsid w:val="00470C4C"/>
    <w:rsid w:val="00470CCD"/>
    <w:rsid w:val="00470EF5"/>
    <w:rsid w:val="00471935"/>
    <w:rsid w:val="00471F9D"/>
    <w:rsid w:val="004724A9"/>
    <w:rsid w:val="00473534"/>
    <w:rsid w:val="00473960"/>
    <w:rsid w:val="00473C1F"/>
    <w:rsid w:val="00473C27"/>
    <w:rsid w:val="0047481D"/>
    <w:rsid w:val="004749DB"/>
    <w:rsid w:val="00474A12"/>
    <w:rsid w:val="00474D0A"/>
    <w:rsid w:val="004753C0"/>
    <w:rsid w:val="00475554"/>
    <w:rsid w:val="00475D31"/>
    <w:rsid w:val="0047625F"/>
    <w:rsid w:val="00477030"/>
    <w:rsid w:val="00477B60"/>
    <w:rsid w:val="004816E5"/>
    <w:rsid w:val="0048236C"/>
    <w:rsid w:val="0048279B"/>
    <w:rsid w:val="004828BE"/>
    <w:rsid w:val="00482A1A"/>
    <w:rsid w:val="00482A7B"/>
    <w:rsid w:val="00482FAA"/>
    <w:rsid w:val="004835E9"/>
    <w:rsid w:val="00483A37"/>
    <w:rsid w:val="004850AA"/>
    <w:rsid w:val="004851BB"/>
    <w:rsid w:val="004866A8"/>
    <w:rsid w:val="00486D38"/>
    <w:rsid w:val="00487021"/>
    <w:rsid w:val="0048733C"/>
    <w:rsid w:val="00487607"/>
    <w:rsid w:val="00487BBC"/>
    <w:rsid w:val="00487BCE"/>
    <w:rsid w:val="0049045D"/>
    <w:rsid w:val="00490EBF"/>
    <w:rsid w:val="00491072"/>
    <w:rsid w:val="0049141C"/>
    <w:rsid w:val="004921A1"/>
    <w:rsid w:val="00492885"/>
    <w:rsid w:val="00492A8C"/>
    <w:rsid w:val="00493621"/>
    <w:rsid w:val="00493C02"/>
    <w:rsid w:val="00493C67"/>
    <w:rsid w:val="00493D19"/>
    <w:rsid w:val="004941D5"/>
    <w:rsid w:val="004942EB"/>
    <w:rsid w:val="004944E9"/>
    <w:rsid w:val="0049455F"/>
    <w:rsid w:val="004948D7"/>
    <w:rsid w:val="00494B09"/>
    <w:rsid w:val="00494D4A"/>
    <w:rsid w:val="00495493"/>
    <w:rsid w:val="00495495"/>
    <w:rsid w:val="00495E6E"/>
    <w:rsid w:val="004960FE"/>
    <w:rsid w:val="004964BD"/>
    <w:rsid w:val="00496B5F"/>
    <w:rsid w:val="004975A8"/>
    <w:rsid w:val="004A026F"/>
    <w:rsid w:val="004A0912"/>
    <w:rsid w:val="004A1186"/>
    <w:rsid w:val="004A3C5C"/>
    <w:rsid w:val="004A459F"/>
    <w:rsid w:val="004A4E6E"/>
    <w:rsid w:val="004A4EB0"/>
    <w:rsid w:val="004A51C6"/>
    <w:rsid w:val="004A55B6"/>
    <w:rsid w:val="004A589B"/>
    <w:rsid w:val="004A6BEF"/>
    <w:rsid w:val="004A72F7"/>
    <w:rsid w:val="004A740A"/>
    <w:rsid w:val="004A75D6"/>
    <w:rsid w:val="004A75ED"/>
    <w:rsid w:val="004A76F6"/>
    <w:rsid w:val="004A7D4B"/>
    <w:rsid w:val="004A7F63"/>
    <w:rsid w:val="004B068D"/>
    <w:rsid w:val="004B0E1A"/>
    <w:rsid w:val="004B11D1"/>
    <w:rsid w:val="004B15B6"/>
    <w:rsid w:val="004B1906"/>
    <w:rsid w:val="004B1A12"/>
    <w:rsid w:val="004B2298"/>
    <w:rsid w:val="004B2777"/>
    <w:rsid w:val="004B279C"/>
    <w:rsid w:val="004B3154"/>
    <w:rsid w:val="004B37A1"/>
    <w:rsid w:val="004B38A7"/>
    <w:rsid w:val="004B3DE1"/>
    <w:rsid w:val="004B61A4"/>
    <w:rsid w:val="004B7B40"/>
    <w:rsid w:val="004C0231"/>
    <w:rsid w:val="004C04DA"/>
    <w:rsid w:val="004C15B5"/>
    <w:rsid w:val="004C3479"/>
    <w:rsid w:val="004C35C5"/>
    <w:rsid w:val="004C38D6"/>
    <w:rsid w:val="004C3AA2"/>
    <w:rsid w:val="004C4965"/>
    <w:rsid w:val="004C52C3"/>
    <w:rsid w:val="004C5357"/>
    <w:rsid w:val="004C561C"/>
    <w:rsid w:val="004C579E"/>
    <w:rsid w:val="004C5F91"/>
    <w:rsid w:val="004C623B"/>
    <w:rsid w:val="004C6277"/>
    <w:rsid w:val="004C685A"/>
    <w:rsid w:val="004C6BA6"/>
    <w:rsid w:val="004C7CC4"/>
    <w:rsid w:val="004D044C"/>
    <w:rsid w:val="004D04AD"/>
    <w:rsid w:val="004D0C2C"/>
    <w:rsid w:val="004D21AC"/>
    <w:rsid w:val="004D2300"/>
    <w:rsid w:val="004D2308"/>
    <w:rsid w:val="004D44AD"/>
    <w:rsid w:val="004D4B88"/>
    <w:rsid w:val="004D4BEB"/>
    <w:rsid w:val="004D4FA1"/>
    <w:rsid w:val="004D5033"/>
    <w:rsid w:val="004D52CD"/>
    <w:rsid w:val="004D5DFA"/>
    <w:rsid w:val="004D6954"/>
    <w:rsid w:val="004D6F5F"/>
    <w:rsid w:val="004D7484"/>
    <w:rsid w:val="004D798F"/>
    <w:rsid w:val="004D79A9"/>
    <w:rsid w:val="004E03B0"/>
    <w:rsid w:val="004E06A0"/>
    <w:rsid w:val="004E11BE"/>
    <w:rsid w:val="004E1932"/>
    <w:rsid w:val="004E1AC1"/>
    <w:rsid w:val="004E1B64"/>
    <w:rsid w:val="004E1CDB"/>
    <w:rsid w:val="004E1D36"/>
    <w:rsid w:val="004E1DF4"/>
    <w:rsid w:val="004E2698"/>
    <w:rsid w:val="004E2A7F"/>
    <w:rsid w:val="004E3069"/>
    <w:rsid w:val="004E31C3"/>
    <w:rsid w:val="004E359D"/>
    <w:rsid w:val="004E3AB4"/>
    <w:rsid w:val="004E3AEA"/>
    <w:rsid w:val="004E3E38"/>
    <w:rsid w:val="004E40E5"/>
    <w:rsid w:val="004E45E9"/>
    <w:rsid w:val="004E4CC6"/>
    <w:rsid w:val="004E52F2"/>
    <w:rsid w:val="004E63BA"/>
    <w:rsid w:val="004F07BC"/>
    <w:rsid w:val="004F08D8"/>
    <w:rsid w:val="004F0EB3"/>
    <w:rsid w:val="004F12DB"/>
    <w:rsid w:val="004F13BF"/>
    <w:rsid w:val="004F19D1"/>
    <w:rsid w:val="004F1B7D"/>
    <w:rsid w:val="004F1BAE"/>
    <w:rsid w:val="004F1D71"/>
    <w:rsid w:val="004F3EAC"/>
    <w:rsid w:val="004F425C"/>
    <w:rsid w:val="004F4355"/>
    <w:rsid w:val="004F440D"/>
    <w:rsid w:val="004F4E92"/>
    <w:rsid w:val="004F5492"/>
    <w:rsid w:val="004F5C55"/>
    <w:rsid w:val="004F5D6C"/>
    <w:rsid w:val="004F6B49"/>
    <w:rsid w:val="004F73A8"/>
    <w:rsid w:val="004F73FB"/>
    <w:rsid w:val="005000AD"/>
    <w:rsid w:val="0050079A"/>
    <w:rsid w:val="00500FE5"/>
    <w:rsid w:val="005022B1"/>
    <w:rsid w:val="005023FD"/>
    <w:rsid w:val="005025AA"/>
    <w:rsid w:val="00502CF2"/>
    <w:rsid w:val="00502F3F"/>
    <w:rsid w:val="00503958"/>
    <w:rsid w:val="00503D6D"/>
    <w:rsid w:val="00503D97"/>
    <w:rsid w:val="00503FB0"/>
    <w:rsid w:val="005041D1"/>
    <w:rsid w:val="00504741"/>
    <w:rsid w:val="00505393"/>
    <w:rsid w:val="00505EBD"/>
    <w:rsid w:val="0050626A"/>
    <w:rsid w:val="005105E6"/>
    <w:rsid w:val="00511006"/>
    <w:rsid w:val="0051136A"/>
    <w:rsid w:val="00511771"/>
    <w:rsid w:val="0051205D"/>
    <w:rsid w:val="00512702"/>
    <w:rsid w:val="00512C18"/>
    <w:rsid w:val="00514509"/>
    <w:rsid w:val="00514835"/>
    <w:rsid w:val="00516125"/>
    <w:rsid w:val="00516510"/>
    <w:rsid w:val="00516D7C"/>
    <w:rsid w:val="00516D8B"/>
    <w:rsid w:val="00517A8C"/>
    <w:rsid w:val="00517B88"/>
    <w:rsid w:val="00517EDF"/>
    <w:rsid w:val="00520111"/>
    <w:rsid w:val="005215EB"/>
    <w:rsid w:val="00522043"/>
    <w:rsid w:val="00522674"/>
    <w:rsid w:val="00522BAE"/>
    <w:rsid w:val="00522C84"/>
    <w:rsid w:val="005230F5"/>
    <w:rsid w:val="0052311E"/>
    <w:rsid w:val="005237B8"/>
    <w:rsid w:val="00524328"/>
    <w:rsid w:val="005243E0"/>
    <w:rsid w:val="005246B1"/>
    <w:rsid w:val="00524DC7"/>
    <w:rsid w:val="00524FFA"/>
    <w:rsid w:val="005253C9"/>
    <w:rsid w:val="0052549C"/>
    <w:rsid w:val="005255FC"/>
    <w:rsid w:val="00525670"/>
    <w:rsid w:val="005266AB"/>
    <w:rsid w:val="005275DF"/>
    <w:rsid w:val="00527DF8"/>
    <w:rsid w:val="00527F25"/>
    <w:rsid w:val="00530580"/>
    <w:rsid w:val="005306EB"/>
    <w:rsid w:val="00530850"/>
    <w:rsid w:val="005318B6"/>
    <w:rsid w:val="0053308A"/>
    <w:rsid w:val="00533152"/>
    <w:rsid w:val="005331B6"/>
    <w:rsid w:val="00533C14"/>
    <w:rsid w:val="00533C1D"/>
    <w:rsid w:val="00533E06"/>
    <w:rsid w:val="00533F7A"/>
    <w:rsid w:val="00534C3A"/>
    <w:rsid w:val="00534CF7"/>
    <w:rsid w:val="0053585A"/>
    <w:rsid w:val="00536F1B"/>
    <w:rsid w:val="005374F6"/>
    <w:rsid w:val="005402DD"/>
    <w:rsid w:val="00540714"/>
    <w:rsid w:val="00540C45"/>
    <w:rsid w:val="00540D8B"/>
    <w:rsid w:val="00541055"/>
    <w:rsid w:val="00541252"/>
    <w:rsid w:val="00541D75"/>
    <w:rsid w:val="005421CE"/>
    <w:rsid w:val="00542B61"/>
    <w:rsid w:val="00542D0C"/>
    <w:rsid w:val="0054395C"/>
    <w:rsid w:val="00543F24"/>
    <w:rsid w:val="005454EA"/>
    <w:rsid w:val="005456AD"/>
    <w:rsid w:val="00545787"/>
    <w:rsid w:val="00546268"/>
    <w:rsid w:val="00546953"/>
    <w:rsid w:val="00546B4D"/>
    <w:rsid w:val="00547129"/>
    <w:rsid w:val="0054796D"/>
    <w:rsid w:val="00550578"/>
    <w:rsid w:val="00550591"/>
    <w:rsid w:val="00550DEE"/>
    <w:rsid w:val="0055182B"/>
    <w:rsid w:val="005518A9"/>
    <w:rsid w:val="00551AB9"/>
    <w:rsid w:val="005520B3"/>
    <w:rsid w:val="005522D8"/>
    <w:rsid w:val="00552680"/>
    <w:rsid w:val="005526AF"/>
    <w:rsid w:val="0055291B"/>
    <w:rsid w:val="00552EA2"/>
    <w:rsid w:val="005531FA"/>
    <w:rsid w:val="00556089"/>
    <w:rsid w:val="005562C7"/>
    <w:rsid w:val="00556791"/>
    <w:rsid w:val="005567EF"/>
    <w:rsid w:val="00556818"/>
    <w:rsid w:val="00556CCB"/>
    <w:rsid w:val="005574ED"/>
    <w:rsid w:val="00557EC6"/>
    <w:rsid w:val="005601A6"/>
    <w:rsid w:val="00560A52"/>
    <w:rsid w:val="00561875"/>
    <w:rsid w:val="00561AC6"/>
    <w:rsid w:val="00561D97"/>
    <w:rsid w:val="00561DC6"/>
    <w:rsid w:val="005627F2"/>
    <w:rsid w:val="005628AC"/>
    <w:rsid w:val="00562938"/>
    <w:rsid w:val="00562D45"/>
    <w:rsid w:val="00563A00"/>
    <w:rsid w:val="00563D71"/>
    <w:rsid w:val="005647DE"/>
    <w:rsid w:val="00564DE7"/>
    <w:rsid w:val="005654E8"/>
    <w:rsid w:val="00565811"/>
    <w:rsid w:val="00565A20"/>
    <w:rsid w:val="00565A46"/>
    <w:rsid w:val="00565C0D"/>
    <w:rsid w:val="00565E35"/>
    <w:rsid w:val="00565FB0"/>
    <w:rsid w:val="00566314"/>
    <w:rsid w:val="005664ED"/>
    <w:rsid w:val="00566A86"/>
    <w:rsid w:val="00566FDB"/>
    <w:rsid w:val="00567227"/>
    <w:rsid w:val="00567FF5"/>
    <w:rsid w:val="00570014"/>
    <w:rsid w:val="00570375"/>
    <w:rsid w:val="005706A3"/>
    <w:rsid w:val="00570AD0"/>
    <w:rsid w:val="0057177B"/>
    <w:rsid w:val="0057195A"/>
    <w:rsid w:val="00571B41"/>
    <w:rsid w:val="00571EDC"/>
    <w:rsid w:val="00572160"/>
    <w:rsid w:val="00572F53"/>
    <w:rsid w:val="005731FE"/>
    <w:rsid w:val="00573340"/>
    <w:rsid w:val="005747E1"/>
    <w:rsid w:val="005748D4"/>
    <w:rsid w:val="00574B86"/>
    <w:rsid w:val="00575056"/>
    <w:rsid w:val="005750FD"/>
    <w:rsid w:val="00575C5C"/>
    <w:rsid w:val="005763E8"/>
    <w:rsid w:val="0057667C"/>
    <w:rsid w:val="005766A2"/>
    <w:rsid w:val="005768BC"/>
    <w:rsid w:val="00577B3E"/>
    <w:rsid w:val="00577B4B"/>
    <w:rsid w:val="00577E54"/>
    <w:rsid w:val="00580018"/>
    <w:rsid w:val="0058028D"/>
    <w:rsid w:val="00580DAB"/>
    <w:rsid w:val="00580E20"/>
    <w:rsid w:val="00580F9B"/>
    <w:rsid w:val="005810CB"/>
    <w:rsid w:val="005818E3"/>
    <w:rsid w:val="00581BD1"/>
    <w:rsid w:val="00582D7F"/>
    <w:rsid w:val="005830E1"/>
    <w:rsid w:val="005833C8"/>
    <w:rsid w:val="00583838"/>
    <w:rsid w:val="005849DB"/>
    <w:rsid w:val="0058504A"/>
    <w:rsid w:val="00585446"/>
    <w:rsid w:val="00585D72"/>
    <w:rsid w:val="0058764A"/>
    <w:rsid w:val="005877C9"/>
    <w:rsid w:val="00590372"/>
    <w:rsid w:val="0059054D"/>
    <w:rsid w:val="0059062C"/>
    <w:rsid w:val="00590F1F"/>
    <w:rsid w:val="005913F3"/>
    <w:rsid w:val="00591C2D"/>
    <w:rsid w:val="005926A8"/>
    <w:rsid w:val="005929B1"/>
    <w:rsid w:val="00593348"/>
    <w:rsid w:val="00593BE4"/>
    <w:rsid w:val="00593D89"/>
    <w:rsid w:val="00594B6C"/>
    <w:rsid w:val="0059634B"/>
    <w:rsid w:val="005968B2"/>
    <w:rsid w:val="00597CCA"/>
    <w:rsid w:val="005A028D"/>
    <w:rsid w:val="005A03CA"/>
    <w:rsid w:val="005A05F7"/>
    <w:rsid w:val="005A0B62"/>
    <w:rsid w:val="005A1455"/>
    <w:rsid w:val="005A1AA3"/>
    <w:rsid w:val="005A2328"/>
    <w:rsid w:val="005A2744"/>
    <w:rsid w:val="005A2D8D"/>
    <w:rsid w:val="005A3FD4"/>
    <w:rsid w:val="005A4319"/>
    <w:rsid w:val="005A4A1D"/>
    <w:rsid w:val="005A4CF4"/>
    <w:rsid w:val="005A5B9B"/>
    <w:rsid w:val="005A6953"/>
    <w:rsid w:val="005A6A3F"/>
    <w:rsid w:val="005A6A83"/>
    <w:rsid w:val="005A6CA1"/>
    <w:rsid w:val="005A70B5"/>
    <w:rsid w:val="005A75CF"/>
    <w:rsid w:val="005A7746"/>
    <w:rsid w:val="005B013B"/>
    <w:rsid w:val="005B01F7"/>
    <w:rsid w:val="005B1226"/>
    <w:rsid w:val="005B123A"/>
    <w:rsid w:val="005B184F"/>
    <w:rsid w:val="005B1EB2"/>
    <w:rsid w:val="005B261D"/>
    <w:rsid w:val="005B2946"/>
    <w:rsid w:val="005B2B11"/>
    <w:rsid w:val="005B3135"/>
    <w:rsid w:val="005B387C"/>
    <w:rsid w:val="005B3D63"/>
    <w:rsid w:val="005B4D12"/>
    <w:rsid w:val="005B5486"/>
    <w:rsid w:val="005B5B90"/>
    <w:rsid w:val="005B6041"/>
    <w:rsid w:val="005B734A"/>
    <w:rsid w:val="005B7906"/>
    <w:rsid w:val="005C02E8"/>
    <w:rsid w:val="005C0B03"/>
    <w:rsid w:val="005C18C6"/>
    <w:rsid w:val="005C3953"/>
    <w:rsid w:val="005C3C85"/>
    <w:rsid w:val="005C41CC"/>
    <w:rsid w:val="005C4E68"/>
    <w:rsid w:val="005C58EC"/>
    <w:rsid w:val="005C5973"/>
    <w:rsid w:val="005C5C2B"/>
    <w:rsid w:val="005C60A7"/>
    <w:rsid w:val="005C6394"/>
    <w:rsid w:val="005C697C"/>
    <w:rsid w:val="005C6AF0"/>
    <w:rsid w:val="005C7591"/>
    <w:rsid w:val="005C77B0"/>
    <w:rsid w:val="005C7D7E"/>
    <w:rsid w:val="005C7FDA"/>
    <w:rsid w:val="005D09C7"/>
    <w:rsid w:val="005D0EA8"/>
    <w:rsid w:val="005D1044"/>
    <w:rsid w:val="005D1D07"/>
    <w:rsid w:val="005D2640"/>
    <w:rsid w:val="005D3B00"/>
    <w:rsid w:val="005D3EC5"/>
    <w:rsid w:val="005D4805"/>
    <w:rsid w:val="005D482E"/>
    <w:rsid w:val="005D48C3"/>
    <w:rsid w:val="005D495A"/>
    <w:rsid w:val="005D4DE6"/>
    <w:rsid w:val="005D5850"/>
    <w:rsid w:val="005D64AB"/>
    <w:rsid w:val="005D6567"/>
    <w:rsid w:val="005D6BB4"/>
    <w:rsid w:val="005E01A0"/>
    <w:rsid w:val="005E044E"/>
    <w:rsid w:val="005E0D33"/>
    <w:rsid w:val="005E0FC9"/>
    <w:rsid w:val="005E2056"/>
    <w:rsid w:val="005E265D"/>
    <w:rsid w:val="005E2ED1"/>
    <w:rsid w:val="005E2FC7"/>
    <w:rsid w:val="005E4436"/>
    <w:rsid w:val="005E58A4"/>
    <w:rsid w:val="005E6084"/>
    <w:rsid w:val="005E608A"/>
    <w:rsid w:val="005E70EE"/>
    <w:rsid w:val="005F0373"/>
    <w:rsid w:val="005F07C8"/>
    <w:rsid w:val="005F19E6"/>
    <w:rsid w:val="005F1D2D"/>
    <w:rsid w:val="005F2037"/>
    <w:rsid w:val="005F2DFC"/>
    <w:rsid w:val="005F2EE0"/>
    <w:rsid w:val="005F3516"/>
    <w:rsid w:val="005F402C"/>
    <w:rsid w:val="005F40AA"/>
    <w:rsid w:val="005F48E4"/>
    <w:rsid w:val="005F5E99"/>
    <w:rsid w:val="005F6025"/>
    <w:rsid w:val="005F6421"/>
    <w:rsid w:val="005F6AC3"/>
    <w:rsid w:val="005F6B63"/>
    <w:rsid w:val="005F70A9"/>
    <w:rsid w:val="005F71A1"/>
    <w:rsid w:val="005F73FB"/>
    <w:rsid w:val="005F782D"/>
    <w:rsid w:val="005F795C"/>
    <w:rsid w:val="005F7CDF"/>
    <w:rsid w:val="00600942"/>
    <w:rsid w:val="00601A6A"/>
    <w:rsid w:val="00601E0E"/>
    <w:rsid w:val="0060208B"/>
    <w:rsid w:val="006021C4"/>
    <w:rsid w:val="00602C0A"/>
    <w:rsid w:val="00603134"/>
    <w:rsid w:val="0060329A"/>
    <w:rsid w:val="0060394F"/>
    <w:rsid w:val="00604372"/>
    <w:rsid w:val="00604FA4"/>
    <w:rsid w:val="00604FC4"/>
    <w:rsid w:val="00605139"/>
    <w:rsid w:val="00605605"/>
    <w:rsid w:val="00605990"/>
    <w:rsid w:val="00605A94"/>
    <w:rsid w:val="00605EF7"/>
    <w:rsid w:val="00605F17"/>
    <w:rsid w:val="00607343"/>
    <w:rsid w:val="006077E1"/>
    <w:rsid w:val="00610326"/>
    <w:rsid w:val="00610D9F"/>
    <w:rsid w:val="0061173A"/>
    <w:rsid w:val="0061191D"/>
    <w:rsid w:val="00611EF4"/>
    <w:rsid w:val="006121A6"/>
    <w:rsid w:val="00613928"/>
    <w:rsid w:val="00613E6A"/>
    <w:rsid w:val="006140FD"/>
    <w:rsid w:val="0061414A"/>
    <w:rsid w:val="0061417B"/>
    <w:rsid w:val="0061535D"/>
    <w:rsid w:val="00616551"/>
    <w:rsid w:val="00616E42"/>
    <w:rsid w:val="00616FDC"/>
    <w:rsid w:val="006178B9"/>
    <w:rsid w:val="00617A5E"/>
    <w:rsid w:val="00617DEC"/>
    <w:rsid w:val="00620AFE"/>
    <w:rsid w:val="00620C27"/>
    <w:rsid w:val="00621E45"/>
    <w:rsid w:val="00622258"/>
    <w:rsid w:val="00622434"/>
    <w:rsid w:val="00622C70"/>
    <w:rsid w:val="00622DAF"/>
    <w:rsid w:val="00622E11"/>
    <w:rsid w:val="00623275"/>
    <w:rsid w:val="006235C9"/>
    <w:rsid w:val="00623665"/>
    <w:rsid w:val="00623741"/>
    <w:rsid w:val="00623BA6"/>
    <w:rsid w:val="00623CB2"/>
    <w:rsid w:val="006240CB"/>
    <w:rsid w:val="00624B9C"/>
    <w:rsid w:val="00624F05"/>
    <w:rsid w:val="006252C2"/>
    <w:rsid w:val="00625357"/>
    <w:rsid w:val="0062636A"/>
    <w:rsid w:val="00626921"/>
    <w:rsid w:val="00626EBB"/>
    <w:rsid w:val="00626ECC"/>
    <w:rsid w:val="00627855"/>
    <w:rsid w:val="006311E0"/>
    <w:rsid w:val="006314AE"/>
    <w:rsid w:val="00631C4F"/>
    <w:rsid w:val="0063214E"/>
    <w:rsid w:val="00632253"/>
    <w:rsid w:val="006322B3"/>
    <w:rsid w:val="00632D87"/>
    <w:rsid w:val="00632E92"/>
    <w:rsid w:val="00633B60"/>
    <w:rsid w:val="00633B87"/>
    <w:rsid w:val="00633CFA"/>
    <w:rsid w:val="00634233"/>
    <w:rsid w:val="0063433E"/>
    <w:rsid w:val="00634546"/>
    <w:rsid w:val="006345AC"/>
    <w:rsid w:val="00634649"/>
    <w:rsid w:val="006347F1"/>
    <w:rsid w:val="006350F1"/>
    <w:rsid w:val="0063521C"/>
    <w:rsid w:val="00635B36"/>
    <w:rsid w:val="00635FA4"/>
    <w:rsid w:val="006363D5"/>
    <w:rsid w:val="00636BFF"/>
    <w:rsid w:val="00636CAD"/>
    <w:rsid w:val="00636D69"/>
    <w:rsid w:val="00637144"/>
    <w:rsid w:val="006376DF"/>
    <w:rsid w:val="00637C45"/>
    <w:rsid w:val="00640616"/>
    <w:rsid w:val="006406A4"/>
    <w:rsid w:val="00640833"/>
    <w:rsid w:val="006416F7"/>
    <w:rsid w:val="00641A2A"/>
    <w:rsid w:val="00641F04"/>
    <w:rsid w:val="00641F52"/>
    <w:rsid w:val="0064245C"/>
    <w:rsid w:val="00642535"/>
    <w:rsid w:val="00642C88"/>
    <w:rsid w:val="00644A2B"/>
    <w:rsid w:val="006453EA"/>
    <w:rsid w:val="00645440"/>
    <w:rsid w:val="00645C73"/>
    <w:rsid w:val="0064618B"/>
    <w:rsid w:val="006461F1"/>
    <w:rsid w:val="0064674D"/>
    <w:rsid w:val="00646AB7"/>
    <w:rsid w:val="0065014C"/>
    <w:rsid w:val="006507C6"/>
    <w:rsid w:val="00650E45"/>
    <w:rsid w:val="0065129A"/>
    <w:rsid w:val="0065184B"/>
    <w:rsid w:val="00651905"/>
    <w:rsid w:val="00652206"/>
    <w:rsid w:val="0065299F"/>
    <w:rsid w:val="00652B79"/>
    <w:rsid w:val="00652BA3"/>
    <w:rsid w:val="00653710"/>
    <w:rsid w:val="0065459D"/>
    <w:rsid w:val="00654E02"/>
    <w:rsid w:val="00655010"/>
    <w:rsid w:val="00655143"/>
    <w:rsid w:val="006555B0"/>
    <w:rsid w:val="006558E2"/>
    <w:rsid w:val="0065592B"/>
    <w:rsid w:val="006559D2"/>
    <w:rsid w:val="006559FD"/>
    <w:rsid w:val="00655CCD"/>
    <w:rsid w:val="00656451"/>
    <w:rsid w:val="00656AD9"/>
    <w:rsid w:val="00656AEE"/>
    <w:rsid w:val="00660363"/>
    <w:rsid w:val="006615E6"/>
    <w:rsid w:val="00661C86"/>
    <w:rsid w:val="00663E43"/>
    <w:rsid w:val="00664228"/>
    <w:rsid w:val="006642CD"/>
    <w:rsid w:val="0066435C"/>
    <w:rsid w:val="00664418"/>
    <w:rsid w:val="00664603"/>
    <w:rsid w:val="00664B93"/>
    <w:rsid w:val="00664E16"/>
    <w:rsid w:val="0066589A"/>
    <w:rsid w:val="00665D8E"/>
    <w:rsid w:val="0066644A"/>
    <w:rsid w:val="00666848"/>
    <w:rsid w:val="00667269"/>
    <w:rsid w:val="00667F8F"/>
    <w:rsid w:val="0067081B"/>
    <w:rsid w:val="0067100E"/>
    <w:rsid w:val="006712B8"/>
    <w:rsid w:val="0067137F"/>
    <w:rsid w:val="00671648"/>
    <w:rsid w:val="0067176F"/>
    <w:rsid w:val="0067283C"/>
    <w:rsid w:val="00672A63"/>
    <w:rsid w:val="00673F25"/>
    <w:rsid w:val="00675B7F"/>
    <w:rsid w:val="00675C43"/>
    <w:rsid w:val="00675F60"/>
    <w:rsid w:val="0067667B"/>
    <w:rsid w:val="00676C0B"/>
    <w:rsid w:val="00677230"/>
    <w:rsid w:val="006776B2"/>
    <w:rsid w:val="00681524"/>
    <w:rsid w:val="00681A79"/>
    <w:rsid w:val="00681DE1"/>
    <w:rsid w:val="00682633"/>
    <w:rsid w:val="006826BB"/>
    <w:rsid w:val="00682773"/>
    <w:rsid w:val="00682855"/>
    <w:rsid w:val="00682A65"/>
    <w:rsid w:val="006834ED"/>
    <w:rsid w:val="00683658"/>
    <w:rsid w:val="0068482F"/>
    <w:rsid w:val="00684E5A"/>
    <w:rsid w:val="006857D0"/>
    <w:rsid w:val="006861FB"/>
    <w:rsid w:val="006872F9"/>
    <w:rsid w:val="00687D6D"/>
    <w:rsid w:val="00687F43"/>
    <w:rsid w:val="0069048E"/>
    <w:rsid w:val="0069099C"/>
    <w:rsid w:val="00691432"/>
    <w:rsid w:val="00691944"/>
    <w:rsid w:val="00691A10"/>
    <w:rsid w:val="00691ACB"/>
    <w:rsid w:val="00692203"/>
    <w:rsid w:val="0069250D"/>
    <w:rsid w:val="00692A7B"/>
    <w:rsid w:val="00692E7C"/>
    <w:rsid w:val="00693765"/>
    <w:rsid w:val="00693E50"/>
    <w:rsid w:val="006942E9"/>
    <w:rsid w:val="006942EC"/>
    <w:rsid w:val="00694DB3"/>
    <w:rsid w:val="006952EF"/>
    <w:rsid w:val="0069572E"/>
    <w:rsid w:val="006960FF"/>
    <w:rsid w:val="0069631F"/>
    <w:rsid w:val="00696BC1"/>
    <w:rsid w:val="00696C20"/>
    <w:rsid w:val="00696E64"/>
    <w:rsid w:val="0069714B"/>
    <w:rsid w:val="00697CF8"/>
    <w:rsid w:val="00697DCD"/>
    <w:rsid w:val="006A06F1"/>
    <w:rsid w:val="006A0B80"/>
    <w:rsid w:val="006A0CCE"/>
    <w:rsid w:val="006A0E12"/>
    <w:rsid w:val="006A2881"/>
    <w:rsid w:val="006A2EFF"/>
    <w:rsid w:val="006A3B9B"/>
    <w:rsid w:val="006A4428"/>
    <w:rsid w:val="006A44B6"/>
    <w:rsid w:val="006A47B9"/>
    <w:rsid w:val="006A4906"/>
    <w:rsid w:val="006A4AB2"/>
    <w:rsid w:val="006A562C"/>
    <w:rsid w:val="006A5D76"/>
    <w:rsid w:val="006A5DD7"/>
    <w:rsid w:val="006A69B7"/>
    <w:rsid w:val="006A7AFE"/>
    <w:rsid w:val="006B004D"/>
    <w:rsid w:val="006B0E9E"/>
    <w:rsid w:val="006B0F2B"/>
    <w:rsid w:val="006B1901"/>
    <w:rsid w:val="006B1902"/>
    <w:rsid w:val="006B2175"/>
    <w:rsid w:val="006B2462"/>
    <w:rsid w:val="006B27AE"/>
    <w:rsid w:val="006B2AAC"/>
    <w:rsid w:val="006B2B88"/>
    <w:rsid w:val="006B2D63"/>
    <w:rsid w:val="006B333F"/>
    <w:rsid w:val="006B39A2"/>
    <w:rsid w:val="006B47F6"/>
    <w:rsid w:val="006B4E1B"/>
    <w:rsid w:val="006B506E"/>
    <w:rsid w:val="006B5101"/>
    <w:rsid w:val="006B55D5"/>
    <w:rsid w:val="006B5895"/>
    <w:rsid w:val="006B5EF9"/>
    <w:rsid w:val="006B6059"/>
    <w:rsid w:val="006B69F5"/>
    <w:rsid w:val="006B6C19"/>
    <w:rsid w:val="006B6CC8"/>
    <w:rsid w:val="006B6DCE"/>
    <w:rsid w:val="006B77CA"/>
    <w:rsid w:val="006B7B04"/>
    <w:rsid w:val="006C03DC"/>
    <w:rsid w:val="006C05A3"/>
    <w:rsid w:val="006C0A4F"/>
    <w:rsid w:val="006C0FF0"/>
    <w:rsid w:val="006C12DE"/>
    <w:rsid w:val="006C132C"/>
    <w:rsid w:val="006C2CB3"/>
    <w:rsid w:val="006C2E3F"/>
    <w:rsid w:val="006C30F6"/>
    <w:rsid w:val="006C3DDD"/>
    <w:rsid w:val="006C417F"/>
    <w:rsid w:val="006C431E"/>
    <w:rsid w:val="006C47AD"/>
    <w:rsid w:val="006C47BB"/>
    <w:rsid w:val="006C4EB1"/>
    <w:rsid w:val="006C5156"/>
    <w:rsid w:val="006C5362"/>
    <w:rsid w:val="006C58B8"/>
    <w:rsid w:val="006C58FC"/>
    <w:rsid w:val="006C59C8"/>
    <w:rsid w:val="006C5DD7"/>
    <w:rsid w:val="006C6481"/>
    <w:rsid w:val="006C659E"/>
    <w:rsid w:val="006C6802"/>
    <w:rsid w:val="006C6DCC"/>
    <w:rsid w:val="006C701D"/>
    <w:rsid w:val="006C735F"/>
    <w:rsid w:val="006C74DC"/>
    <w:rsid w:val="006C7A5E"/>
    <w:rsid w:val="006D0388"/>
    <w:rsid w:val="006D0944"/>
    <w:rsid w:val="006D0957"/>
    <w:rsid w:val="006D0B87"/>
    <w:rsid w:val="006D0D5D"/>
    <w:rsid w:val="006D1C16"/>
    <w:rsid w:val="006D1E45"/>
    <w:rsid w:val="006D2122"/>
    <w:rsid w:val="006D24EB"/>
    <w:rsid w:val="006D2E1A"/>
    <w:rsid w:val="006D2F8A"/>
    <w:rsid w:val="006D339B"/>
    <w:rsid w:val="006D34EB"/>
    <w:rsid w:val="006D37A8"/>
    <w:rsid w:val="006D3824"/>
    <w:rsid w:val="006D395C"/>
    <w:rsid w:val="006D39B5"/>
    <w:rsid w:val="006D3F4B"/>
    <w:rsid w:val="006D3F7C"/>
    <w:rsid w:val="006D5071"/>
    <w:rsid w:val="006D56C3"/>
    <w:rsid w:val="006D6CDF"/>
    <w:rsid w:val="006D6FAA"/>
    <w:rsid w:val="006D6FF9"/>
    <w:rsid w:val="006D7F31"/>
    <w:rsid w:val="006D7F9D"/>
    <w:rsid w:val="006E0DB6"/>
    <w:rsid w:val="006E0F47"/>
    <w:rsid w:val="006E12DB"/>
    <w:rsid w:val="006E15ED"/>
    <w:rsid w:val="006E2370"/>
    <w:rsid w:val="006E3017"/>
    <w:rsid w:val="006E3383"/>
    <w:rsid w:val="006E427D"/>
    <w:rsid w:val="006E517D"/>
    <w:rsid w:val="006E5222"/>
    <w:rsid w:val="006E581C"/>
    <w:rsid w:val="006E5EC2"/>
    <w:rsid w:val="006E64BA"/>
    <w:rsid w:val="006E6D9A"/>
    <w:rsid w:val="006E7C92"/>
    <w:rsid w:val="006F028B"/>
    <w:rsid w:val="006F1934"/>
    <w:rsid w:val="006F2030"/>
    <w:rsid w:val="006F2D15"/>
    <w:rsid w:val="006F2D96"/>
    <w:rsid w:val="006F3742"/>
    <w:rsid w:val="006F383E"/>
    <w:rsid w:val="006F3D9B"/>
    <w:rsid w:val="006F3F14"/>
    <w:rsid w:val="006F42AD"/>
    <w:rsid w:val="006F4571"/>
    <w:rsid w:val="006F49CD"/>
    <w:rsid w:val="006F4D43"/>
    <w:rsid w:val="006F50B4"/>
    <w:rsid w:val="006F57A4"/>
    <w:rsid w:val="0070005D"/>
    <w:rsid w:val="00700413"/>
    <w:rsid w:val="00700BD8"/>
    <w:rsid w:val="00700D9F"/>
    <w:rsid w:val="00701159"/>
    <w:rsid w:val="007016FA"/>
    <w:rsid w:val="0070224B"/>
    <w:rsid w:val="007023FC"/>
    <w:rsid w:val="00702D1D"/>
    <w:rsid w:val="00703599"/>
    <w:rsid w:val="00703B23"/>
    <w:rsid w:val="0070472D"/>
    <w:rsid w:val="00706C03"/>
    <w:rsid w:val="00706EA7"/>
    <w:rsid w:val="007070D6"/>
    <w:rsid w:val="0070716A"/>
    <w:rsid w:val="007103F8"/>
    <w:rsid w:val="007105BE"/>
    <w:rsid w:val="00710AEB"/>
    <w:rsid w:val="00710DB2"/>
    <w:rsid w:val="00710E2B"/>
    <w:rsid w:val="00711AA8"/>
    <w:rsid w:val="007123E0"/>
    <w:rsid w:val="00712F2C"/>
    <w:rsid w:val="00714056"/>
    <w:rsid w:val="00714175"/>
    <w:rsid w:val="0071429A"/>
    <w:rsid w:val="00714C14"/>
    <w:rsid w:val="00715DCB"/>
    <w:rsid w:val="00716C91"/>
    <w:rsid w:val="00716E11"/>
    <w:rsid w:val="00717C76"/>
    <w:rsid w:val="00720869"/>
    <w:rsid w:val="00720BB0"/>
    <w:rsid w:val="00720F60"/>
    <w:rsid w:val="00721884"/>
    <w:rsid w:val="00721D3F"/>
    <w:rsid w:val="007220E2"/>
    <w:rsid w:val="007226BD"/>
    <w:rsid w:val="00722BA5"/>
    <w:rsid w:val="00722E66"/>
    <w:rsid w:val="00722F39"/>
    <w:rsid w:val="00723271"/>
    <w:rsid w:val="0072349B"/>
    <w:rsid w:val="00724A6D"/>
    <w:rsid w:val="007252DE"/>
    <w:rsid w:val="00725416"/>
    <w:rsid w:val="00725962"/>
    <w:rsid w:val="007266A7"/>
    <w:rsid w:val="00726861"/>
    <w:rsid w:val="00726A1B"/>
    <w:rsid w:val="00726A53"/>
    <w:rsid w:val="00726EB0"/>
    <w:rsid w:val="00730B1C"/>
    <w:rsid w:val="00730E28"/>
    <w:rsid w:val="00730EEF"/>
    <w:rsid w:val="00732D6B"/>
    <w:rsid w:val="00733221"/>
    <w:rsid w:val="007335A0"/>
    <w:rsid w:val="0073390D"/>
    <w:rsid w:val="007339C6"/>
    <w:rsid w:val="00733C9D"/>
    <w:rsid w:val="00733F28"/>
    <w:rsid w:val="007345DF"/>
    <w:rsid w:val="00734C3B"/>
    <w:rsid w:val="0073506D"/>
    <w:rsid w:val="007365D0"/>
    <w:rsid w:val="00736B16"/>
    <w:rsid w:val="00737259"/>
    <w:rsid w:val="00737480"/>
    <w:rsid w:val="00740C9B"/>
    <w:rsid w:val="00741B97"/>
    <w:rsid w:val="00741D3C"/>
    <w:rsid w:val="0074407C"/>
    <w:rsid w:val="00744240"/>
    <w:rsid w:val="00744AFB"/>
    <w:rsid w:val="00744D57"/>
    <w:rsid w:val="00747175"/>
    <w:rsid w:val="0074756E"/>
    <w:rsid w:val="00747BE0"/>
    <w:rsid w:val="00747E8A"/>
    <w:rsid w:val="0075061C"/>
    <w:rsid w:val="007506FB"/>
    <w:rsid w:val="00750C9F"/>
    <w:rsid w:val="00750F66"/>
    <w:rsid w:val="00752396"/>
    <w:rsid w:val="007529D6"/>
    <w:rsid w:val="00752FE8"/>
    <w:rsid w:val="007530FF"/>
    <w:rsid w:val="00753188"/>
    <w:rsid w:val="00753486"/>
    <w:rsid w:val="00753D5A"/>
    <w:rsid w:val="00753E17"/>
    <w:rsid w:val="007543BA"/>
    <w:rsid w:val="007547AB"/>
    <w:rsid w:val="00754A75"/>
    <w:rsid w:val="00754B28"/>
    <w:rsid w:val="007555C7"/>
    <w:rsid w:val="00755AC0"/>
    <w:rsid w:val="00755CD4"/>
    <w:rsid w:val="00755EFA"/>
    <w:rsid w:val="007563B1"/>
    <w:rsid w:val="007567C7"/>
    <w:rsid w:val="0075730C"/>
    <w:rsid w:val="00757B9C"/>
    <w:rsid w:val="007610BF"/>
    <w:rsid w:val="00761769"/>
    <w:rsid w:val="007617A9"/>
    <w:rsid w:val="00761A28"/>
    <w:rsid w:val="00761E9F"/>
    <w:rsid w:val="00761F8C"/>
    <w:rsid w:val="0076233F"/>
    <w:rsid w:val="00763C7C"/>
    <w:rsid w:val="00764945"/>
    <w:rsid w:val="007649CE"/>
    <w:rsid w:val="00764B17"/>
    <w:rsid w:val="00764B79"/>
    <w:rsid w:val="00765665"/>
    <w:rsid w:val="007656EF"/>
    <w:rsid w:val="00765940"/>
    <w:rsid w:val="007661C9"/>
    <w:rsid w:val="0076625E"/>
    <w:rsid w:val="00766889"/>
    <w:rsid w:val="00766FF4"/>
    <w:rsid w:val="00767A4F"/>
    <w:rsid w:val="00767ABD"/>
    <w:rsid w:val="00767C67"/>
    <w:rsid w:val="00770901"/>
    <w:rsid w:val="00771DB6"/>
    <w:rsid w:val="0077233C"/>
    <w:rsid w:val="00772B77"/>
    <w:rsid w:val="00774961"/>
    <w:rsid w:val="00774F78"/>
    <w:rsid w:val="0077554F"/>
    <w:rsid w:val="00775CC6"/>
    <w:rsid w:val="00776372"/>
    <w:rsid w:val="00777AE6"/>
    <w:rsid w:val="00777B05"/>
    <w:rsid w:val="00780379"/>
    <w:rsid w:val="00780BE8"/>
    <w:rsid w:val="00780F4C"/>
    <w:rsid w:val="00781094"/>
    <w:rsid w:val="00781984"/>
    <w:rsid w:val="00781D16"/>
    <w:rsid w:val="007822C6"/>
    <w:rsid w:val="00782703"/>
    <w:rsid w:val="007827BB"/>
    <w:rsid w:val="007829BC"/>
    <w:rsid w:val="00782A7C"/>
    <w:rsid w:val="00782DF6"/>
    <w:rsid w:val="007834E6"/>
    <w:rsid w:val="007839BE"/>
    <w:rsid w:val="007839F6"/>
    <w:rsid w:val="00783DFB"/>
    <w:rsid w:val="00784856"/>
    <w:rsid w:val="00785058"/>
    <w:rsid w:val="007853A7"/>
    <w:rsid w:val="00785679"/>
    <w:rsid w:val="00786381"/>
    <w:rsid w:val="007866BB"/>
    <w:rsid w:val="00786E55"/>
    <w:rsid w:val="0078739E"/>
    <w:rsid w:val="00787E2A"/>
    <w:rsid w:val="00791553"/>
    <w:rsid w:val="00791F34"/>
    <w:rsid w:val="007921B7"/>
    <w:rsid w:val="00792449"/>
    <w:rsid w:val="00792480"/>
    <w:rsid w:val="007931B1"/>
    <w:rsid w:val="007933D2"/>
    <w:rsid w:val="00793ECE"/>
    <w:rsid w:val="00793FEB"/>
    <w:rsid w:val="0079509F"/>
    <w:rsid w:val="0079511B"/>
    <w:rsid w:val="00795122"/>
    <w:rsid w:val="007952CB"/>
    <w:rsid w:val="00795A35"/>
    <w:rsid w:val="00795BBC"/>
    <w:rsid w:val="00796116"/>
    <w:rsid w:val="007964A1"/>
    <w:rsid w:val="00796642"/>
    <w:rsid w:val="00796A17"/>
    <w:rsid w:val="00796E27"/>
    <w:rsid w:val="00796EA5"/>
    <w:rsid w:val="00797AAD"/>
    <w:rsid w:val="00797F53"/>
    <w:rsid w:val="007A0347"/>
    <w:rsid w:val="007A0661"/>
    <w:rsid w:val="007A0EEF"/>
    <w:rsid w:val="007A14B3"/>
    <w:rsid w:val="007A1658"/>
    <w:rsid w:val="007A1C14"/>
    <w:rsid w:val="007A1EC8"/>
    <w:rsid w:val="007A248E"/>
    <w:rsid w:val="007A28FC"/>
    <w:rsid w:val="007A2A2B"/>
    <w:rsid w:val="007A40B6"/>
    <w:rsid w:val="007A40CD"/>
    <w:rsid w:val="007A41A8"/>
    <w:rsid w:val="007A5873"/>
    <w:rsid w:val="007A7346"/>
    <w:rsid w:val="007B058D"/>
    <w:rsid w:val="007B1030"/>
    <w:rsid w:val="007B127F"/>
    <w:rsid w:val="007B187A"/>
    <w:rsid w:val="007B228E"/>
    <w:rsid w:val="007B288D"/>
    <w:rsid w:val="007B2CBF"/>
    <w:rsid w:val="007B3B3B"/>
    <w:rsid w:val="007B4508"/>
    <w:rsid w:val="007B477D"/>
    <w:rsid w:val="007B4805"/>
    <w:rsid w:val="007B4B95"/>
    <w:rsid w:val="007B5266"/>
    <w:rsid w:val="007B5C5E"/>
    <w:rsid w:val="007B640A"/>
    <w:rsid w:val="007B6C36"/>
    <w:rsid w:val="007B6FF7"/>
    <w:rsid w:val="007B79E3"/>
    <w:rsid w:val="007C0476"/>
    <w:rsid w:val="007C07C5"/>
    <w:rsid w:val="007C07E8"/>
    <w:rsid w:val="007C1C3E"/>
    <w:rsid w:val="007C1EAA"/>
    <w:rsid w:val="007C1F29"/>
    <w:rsid w:val="007C2997"/>
    <w:rsid w:val="007C2F7D"/>
    <w:rsid w:val="007C30B4"/>
    <w:rsid w:val="007C384E"/>
    <w:rsid w:val="007C3D75"/>
    <w:rsid w:val="007C415F"/>
    <w:rsid w:val="007C42C6"/>
    <w:rsid w:val="007C5333"/>
    <w:rsid w:val="007C53F9"/>
    <w:rsid w:val="007C57A6"/>
    <w:rsid w:val="007C5962"/>
    <w:rsid w:val="007C5B13"/>
    <w:rsid w:val="007C5E6E"/>
    <w:rsid w:val="007C66B9"/>
    <w:rsid w:val="007C67CA"/>
    <w:rsid w:val="007C6933"/>
    <w:rsid w:val="007C6C12"/>
    <w:rsid w:val="007C6E3B"/>
    <w:rsid w:val="007C7404"/>
    <w:rsid w:val="007C7787"/>
    <w:rsid w:val="007D040E"/>
    <w:rsid w:val="007D067A"/>
    <w:rsid w:val="007D07FF"/>
    <w:rsid w:val="007D1090"/>
    <w:rsid w:val="007D2BAF"/>
    <w:rsid w:val="007D2E02"/>
    <w:rsid w:val="007D315C"/>
    <w:rsid w:val="007D3322"/>
    <w:rsid w:val="007D3FFF"/>
    <w:rsid w:val="007D4599"/>
    <w:rsid w:val="007D53F7"/>
    <w:rsid w:val="007D583C"/>
    <w:rsid w:val="007D5BD6"/>
    <w:rsid w:val="007D6511"/>
    <w:rsid w:val="007D7243"/>
    <w:rsid w:val="007D72C2"/>
    <w:rsid w:val="007D778B"/>
    <w:rsid w:val="007D7B37"/>
    <w:rsid w:val="007D7C9C"/>
    <w:rsid w:val="007D7E4A"/>
    <w:rsid w:val="007E089C"/>
    <w:rsid w:val="007E0C87"/>
    <w:rsid w:val="007E2131"/>
    <w:rsid w:val="007E2241"/>
    <w:rsid w:val="007E246B"/>
    <w:rsid w:val="007E2854"/>
    <w:rsid w:val="007E2CBD"/>
    <w:rsid w:val="007E2CF0"/>
    <w:rsid w:val="007E330C"/>
    <w:rsid w:val="007E355A"/>
    <w:rsid w:val="007E36D9"/>
    <w:rsid w:val="007E3B17"/>
    <w:rsid w:val="007E3BD2"/>
    <w:rsid w:val="007E430D"/>
    <w:rsid w:val="007E46D5"/>
    <w:rsid w:val="007E47FE"/>
    <w:rsid w:val="007E4B24"/>
    <w:rsid w:val="007E5248"/>
    <w:rsid w:val="007E529A"/>
    <w:rsid w:val="007E5322"/>
    <w:rsid w:val="007E56E3"/>
    <w:rsid w:val="007E7DFB"/>
    <w:rsid w:val="007F018D"/>
    <w:rsid w:val="007F092A"/>
    <w:rsid w:val="007F136E"/>
    <w:rsid w:val="007F16AB"/>
    <w:rsid w:val="007F174C"/>
    <w:rsid w:val="007F19FF"/>
    <w:rsid w:val="007F1D68"/>
    <w:rsid w:val="007F1FBE"/>
    <w:rsid w:val="007F2421"/>
    <w:rsid w:val="007F26BE"/>
    <w:rsid w:val="007F287A"/>
    <w:rsid w:val="007F2AB5"/>
    <w:rsid w:val="007F38C3"/>
    <w:rsid w:val="007F3989"/>
    <w:rsid w:val="007F4049"/>
    <w:rsid w:val="007F4146"/>
    <w:rsid w:val="007F5134"/>
    <w:rsid w:val="007F57B2"/>
    <w:rsid w:val="007F58FD"/>
    <w:rsid w:val="007F5F0E"/>
    <w:rsid w:val="007F6142"/>
    <w:rsid w:val="007F6150"/>
    <w:rsid w:val="007F6F76"/>
    <w:rsid w:val="007F7A15"/>
    <w:rsid w:val="008001C4"/>
    <w:rsid w:val="008004AD"/>
    <w:rsid w:val="0080062D"/>
    <w:rsid w:val="00801749"/>
    <w:rsid w:val="00801EAC"/>
    <w:rsid w:val="00801F3E"/>
    <w:rsid w:val="008038F8"/>
    <w:rsid w:val="00805295"/>
    <w:rsid w:val="00805E21"/>
    <w:rsid w:val="00805E25"/>
    <w:rsid w:val="00805FFC"/>
    <w:rsid w:val="008068DB"/>
    <w:rsid w:val="00806FEE"/>
    <w:rsid w:val="008070D2"/>
    <w:rsid w:val="0080753A"/>
    <w:rsid w:val="00807AC2"/>
    <w:rsid w:val="00807B55"/>
    <w:rsid w:val="00807D4D"/>
    <w:rsid w:val="00807E15"/>
    <w:rsid w:val="00810604"/>
    <w:rsid w:val="008116E9"/>
    <w:rsid w:val="00811BCF"/>
    <w:rsid w:val="008120C6"/>
    <w:rsid w:val="00812824"/>
    <w:rsid w:val="00812839"/>
    <w:rsid w:val="008129D0"/>
    <w:rsid w:val="00812DEE"/>
    <w:rsid w:val="008131D6"/>
    <w:rsid w:val="00813B25"/>
    <w:rsid w:val="00814281"/>
    <w:rsid w:val="00814480"/>
    <w:rsid w:val="00814918"/>
    <w:rsid w:val="0081505B"/>
    <w:rsid w:val="008150E3"/>
    <w:rsid w:val="008158F0"/>
    <w:rsid w:val="00815DC4"/>
    <w:rsid w:val="00815E1E"/>
    <w:rsid w:val="00815FDA"/>
    <w:rsid w:val="008167A8"/>
    <w:rsid w:val="00816A4A"/>
    <w:rsid w:val="00816E3F"/>
    <w:rsid w:val="00817416"/>
    <w:rsid w:val="00817AA6"/>
    <w:rsid w:val="008211B6"/>
    <w:rsid w:val="0082188B"/>
    <w:rsid w:val="0082264E"/>
    <w:rsid w:val="00822CB5"/>
    <w:rsid w:val="00823681"/>
    <w:rsid w:val="0082373D"/>
    <w:rsid w:val="00823982"/>
    <w:rsid w:val="00823A70"/>
    <w:rsid w:val="00824E8F"/>
    <w:rsid w:val="008254A6"/>
    <w:rsid w:val="0082599E"/>
    <w:rsid w:val="00825A86"/>
    <w:rsid w:val="00826A06"/>
    <w:rsid w:val="00826A71"/>
    <w:rsid w:val="00826BB5"/>
    <w:rsid w:val="0082742D"/>
    <w:rsid w:val="00827549"/>
    <w:rsid w:val="0082767C"/>
    <w:rsid w:val="00827A5B"/>
    <w:rsid w:val="00827F03"/>
    <w:rsid w:val="00830506"/>
    <w:rsid w:val="00830606"/>
    <w:rsid w:val="00831798"/>
    <w:rsid w:val="00831A4B"/>
    <w:rsid w:val="00831BF3"/>
    <w:rsid w:val="00832180"/>
    <w:rsid w:val="00832563"/>
    <w:rsid w:val="00832BED"/>
    <w:rsid w:val="00833113"/>
    <w:rsid w:val="0083366D"/>
    <w:rsid w:val="00833E3F"/>
    <w:rsid w:val="00834967"/>
    <w:rsid w:val="008367A0"/>
    <w:rsid w:val="00837158"/>
    <w:rsid w:val="008374AB"/>
    <w:rsid w:val="00837542"/>
    <w:rsid w:val="00840597"/>
    <w:rsid w:val="0084059E"/>
    <w:rsid w:val="008405C9"/>
    <w:rsid w:val="00841692"/>
    <w:rsid w:val="00841762"/>
    <w:rsid w:val="00841E24"/>
    <w:rsid w:val="008431BA"/>
    <w:rsid w:val="00843218"/>
    <w:rsid w:val="008435CD"/>
    <w:rsid w:val="008439DF"/>
    <w:rsid w:val="00843D25"/>
    <w:rsid w:val="00843DA4"/>
    <w:rsid w:val="00843EBA"/>
    <w:rsid w:val="00844E6D"/>
    <w:rsid w:val="0084612D"/>
    <w:rsid w:val="008467EA"/>
    <w:rsid w:val="00846AF8"/>
    <w:rsid w:val="0084781A"/>
    <w:rsid w:val="00847E13"/>
    <w:rsid w:val="0085058F"/>
    <w:rsid w:val="008509FD"/>
    <w:rsid w:val="00851290"/>
    <w:rsid w:val="00851409"/>
    <w:rsid w:val="00851B44"/>
    <w:rsid w:val="00853F70"/>
    <w:rsid w:val="00854031"/>
    <w:rsid w:val="00854220"/>
    <w:rsid w:val="00855357"/>
    <w:rsid w:val="008553B4"/>
    <w:rsid w:val="00855522"/>
    <w:rsid w:val="008555A2"/>
    <w:rsid w:val="0085566D"/>
    <w:rsid w:val="008556A1"/>
    <w:rsid w:val="008557B0"/>
    <w:rsid w:val="00855A68"/>
    <w:rsid w:val="00855C45"/>
    <w:rsid w:val="00855ED9"/>
    <w:rsid w:val="008561C4"/>
    <w:rsid w:val="00856253"/>
    <w:rsid w:val="0085655E"/>
    <w:rsid w:val="00856725"/>
    <w:rsid w:val="00860977"/>
    <w:rsid w:val="00860A2B"/>
    <w:rsid w:val="008615A9"/>
    <w:rsid w:val="0086196C"/>
    <w:rsid w:val="00863BA5"/>
    <w:rsid w:val="00863E41"/>
    <w:rsid w:val="008641E8"/>
    <w:rsid w:val="00864C48"/>
    <w:rsid w:val="0086515C"/>
    <w:rsid w:val="00865F7E"/>
    <w:rsid w:val="008661CE"/>
    <w:rsid w:val="0086625E"/>
    <w:rsid w:val="0086658E"/>
    <w:rsid w:val="00866EC4"/>
    <w:rsid w:val="00867113"/>
    <w:rsid w:val="008675AD"/>
    <w:rsid w:val="00867CEA"/>
    <w:rsid w:val="0087050B"/>
    <w:rsid w:val="008706FB"/>
    <w:rsid w:val="00870763"/>
    <w:rsid w:val="0087169C"/>
    <w:rsid w:val="00871EEA"/>
    <w:rsid w:val="008729BC"/>
    <w:rsid w:val="00872D4D"/>
    <w:rsid w:val="008730BC"/>
    <w:rsid w:val="00873DC6"/>
    <w:rsid w:val="008741B2"/>
    <w:rsid w:val="0087441C"/>
    <w:rsid w:val="00874A07"/>
    <w:rsid w:val="00874C54"/>
    <w:rsid w:val="00875137"/>
    <w:rsid w:val="008765E1"/>
    <w:rsid w:val="008771B2"/>
    <w:rsid w:val="0087778C"/>
    <w:rsid w:val="008778AA"/>
    <w:rsid w:val="00877B50"/>
    <w:rsid w:val="00877D0D"/>
    <w:rsid w:val="00877FA1"/>
    <w:rsid w:val="0088036E"/>
    <w:rsid w:val="00880EB6"/>
    <w:rsid w:val="00880EEA"/>
    <w:rsid w:val="00880F04"/>
    <w:rsid w:val="008815C2"/>
    <w:rsid w:val="00881E08"/>
    <w:rsid w:val="008825A2"/>
    <w:rsid w:val="0088285C"/>
    <w:rsid w:val="0088330C"/>
    <w:rsid w:val="0088351A"/>
    <w:rsid w:val="00883CD0"/>
    <w:rsid w:val="00883D78"/>
    <w:rsid w:val="00884233"/>
    <w:rsid w:val="00884742"/>
    <w:rsid w:val="00884DDC"/>
    <w:rsid w:val="0088503D"/>
    <w:rsid w:val="00885AFE"/>
    <w:rsid w:val="00885C9D"/>
    <w:rsid w:val="00886934"/>
    <w:rsid w:val="00886DFC"/>
    <w:rsid w:val="00887019"/>
    <w:rsid w:val="00887825"/>
    <w:rsid w:val="00887F1F"/>
    <w:rsid w:val="00890511"/>
    <w:rsid w:val="0089062C"/>
    <w:rsid w:val="00890754"/>
    <w:rsid w:val="00890E93"/>
    <w:rsid w:val="00890F0E"/>
    <w:rsid w:val="0089129E"/>
    <w:rsid w:val="008925A5"/>
    <w:rsid w:val="0089269D"/>
    <w:rsid w:val="00892854"/>
    <w:rsid w:val="0089285E"/>
    <w:rsid w:val="00893330"/>
    <w:rsid w:val="00893A71"/>
    <w:rsid w:val="00893D03"/>
    <w:rsid w:val="008943AE"/>
    <w:rsid w:val="00894489"/>
    <w:rsid w:val="008944D0"/>
    <w:rsid w:val="00894509"/>
    <w:rsid w:val="00894629"/>
    <w:rsid w:val="00895109"/>
    <w:rsid w:val="00895AD6"/>
    <w:rsid w:val="00895D07"/>
    <w:rsid w:val="0089660F"/>
    <w:rsid w:val="00896BD1"/>
    <w:rsid w:val="00896D82"/>
    <w:rsid w:val="00897028"/>
    <w:rsid w:val="0089758A"/>
    <w:rsid w:val="008975F3"/>
    <w:rsid w:val="00897918"/>
    <w:rsid w:val="00897EAC"/>
    <w:rsid w:val="008A0539"/>
    <w:rsid w:val="008A0E52"/>
    <w:rsid w:val="008A1110"/>
    <w:rsid w:val="008A1168"/>
    <w:rsid w:val="008A128B"/>
    <w:rsid w:val="008A17F6"/>
    <w:rsid w:val="008A2357"/>
    <w:rsid w:val="008A2E95"/>
    <w:rsid w:val="008A34B9"/>
    <w:rsid w:val="008A45BA"/>
    <w:rsid w:val="008A4BFF"/>
    <w:rsid w:val="008A61D7"/>
    <w:rsid w:val="008A672B"/>
    <w:rsid w:val="008A7639"/>
    <w:rsid w:val="008A7A00"/>
    <w:rsid w:val="008A7C71"/>
    <w:rsid w:val="008A7C87"/>
    <w:rsid w:val="008B085E"/>
    <w:rsid w:val="008B0D93"/>
    <w:rsid w:val="008B1D58"/>
    <w:rsid w:val="008B20A9"/>
    <w:rsid w:val="008B2A83"/>
    <w:rsid w:val="008B3484"/>
    <w:rsid w:val="008B37F0"/>
    <w:rsid w:val="008B3C27"/>
    <w:rsid w:val="008B49F6"/>
    <w:rsid w:val="008B4AE9"/>
    <w:rsid w:val="008B4FCC"/>
    <w:rsid w:val="008B601E"/>
    <w:rsid w:val="008B638C"/>
    <w:rsid w:val="008B668F"/>
    <w:rsid w:val="008B6F21"/>
    <w:rsid w:val="008B7410"/>
    <w:rsid w:val="008B7507"/>
    <w:rsid w:val="008B7D92"/>
    <w:rsid w:val="008B7DC2"/>
    <w:rsid w:val="008C0168"/>
    <w:rsid w:val="008C05DD"/>
    <w:rsid w:val="008C07D7"/>
    <w:rsid w:val="008C09DC"/>
    <w:rsid w:val="008C11AB"/>
    <w:rsid w:val="008C1E7A"/>
    <w:rsid w:val="008C1ECC"/>
    <w:rsid w:val="008C1EEA"/>
    <w:rsid w:val="008C2500"/>
    <w:rsid w:val="008C2EEE"/>
    <w:rsid w:val="008C3521"/>
    <w:rsid w:val="008C385D"/>
    <w:rsid w:val="008C38D1"/>
    <w:rsid w:val="008C3987"/>
    <w:rsid w:val="008C3F13"/>
    <w:rsid w:val="008C3F1E"/>
    <w:rsid w:val="008C4342"/>
    <w:rsid w:val="008C4A76"/>
    <w:rsid w:val="008C54F8"/>
    <w:rsid w:val="008C555E"/>
    <w:rsid w:val="008C559A"/>
    <w:rsid w:val="008C55E3"/>
    <w:rsid w:val="008C5EAB"/>
    <w:rsid w:val="008C5F24"/>
    <w:rsid w:val="008C606A"/>
    <w:rsid w:val="008C6A81"/>
    <w:rsid w:val="008C7D1D"/>
    <w:rsid w:val="008C7EFE"/>
    <w:rsid w:val="008D0154"/>
    <w:rsid w:val="008D02BD"/>
    <w:rsid w:val="008D04DB"/>
    <w:rsid w:val="008D05BF"/>
    <w:rsid w:val="008D07DA"/>
    <w:rsid w:val="008D08F6"/>
    <w:rsid w:val="008D0D57"/>
    <w:rsid w:val="008D13E2"/>
    <w:rsid w:val="008D1AE5"/>
    <w:rsid w:val="008D1E33"/>
    <w:rsid w:val="008D22D7"/>
    <w:rsid w:val="008D395B"/>
    <w:rsid w:val="008D3C60"/>
    <w:rsid w:val="008D3E01"/>
    <w:rsid w:val="008D4366"/>
    <w:rsid w:val="008D4971"/>
    <w:rsid w:val="008D4C90"/>
    <w:rsid w:val="008D58AC"/>
    <w:rsid w:val="008D597F"/>
    <w:rsid w:val="008D61F5"/>
    <w:rsid w:val="008D6B23"/>
    <w:rsid w:val="008D7236"/>
    <w:rsid w:val="008D7CF0"/>
    <w:rsid w:val="008D7D8A"/>
    <w:rsid w:val="008D7F38"/>
    <w:rsid w:val="008E027F"/>
    <w:rsid w:val="008E1E86"/>
    <w:rsid w:val="008E1E92"/>
    <w:rsid w:val="008E1ED7"/>
    <w:rsid w:val="008E216E"/>
    <w:rsid w:val="008E2318"/>
    <w:rsid w:val="008E2FFE"/>
    <w:rsid w:val="008E33E3"/>
    <w:rsid w:val="008E386E"/>
    <w:rsid w:val="008E3FD4"/>
    <w:rsid w:val="008E437D"/>
    <w:rsid w:val="008E4C9E"/>
    <w:rsid w:val="008E4E55"/>
    <w:rsid w:val="008E4FED"/>
    <w:rsid w:val="008E544E"/>
    <w:rsid w:val="008E5673"/>
    <w:rsid w:val="008E5E8F"/>
    <w:rsid w:val="008E6644"/>
    <w:rsid w:val="008E69D8"/>
    <w:rsid w:val="008E72B0"/>
    <w:rsid w:val="008E7604"/>
    <w:rsid w:val="008E77ED"/>
    <w:rsid w:val="008E7BD8"/>
    <w:rsid w:val="008E7D92"/>
    <w:rsid w:val="008F0476"/>
    <w:rsid w:val="008F072A"/>
    <w:rsid w:val="008F0EE6"/>
    <w:rsid w:val="008F2A46"/>
    <w:rsid w:val="008F323E"/>
    <w:rsid w:val="008F32A5"/>
    <w:rsid w:val="008F47F2"/>
    <w:rsid w:val="008F4BED"/>
    <w:rsid w:val="008F552D"/>
    <w:rsid w:val="008F577F"/>
    <w:rsid w:val="008F61C8"/>
    <w:rsid w:val="008F6BDC"/>
    <w:rsid w:val="008F702B"/>
    <w:rsid w:val="008F70BD"/>
    <w:rsid w:val="008F7C60"/>
    <w:rsid w:val="009006EB"/>
    <w:rsid w:val="00900991"/>
    <w:rsid w:val="00900BE2"/>
    <w:rsid w:val="00900EDC"/>
    <w:rsid w:val="00901620"/>
    <w:rsid w:val="00901B27"/>
    <w:rsid w:val="009023A7"/>
    <w:rsid w:val="0090278D"/>
    <w:rsid w:val="0090285F"/>
    <w:rsid w:val="00902C72"/>
    <w:rsid w:val="00903740"/>
    <w:rsid w:val="00903757"/>
    <w:rsid w:val="00903D41"/>
    <w:rsid w:val="00904549"/>
    <w:rsid w:val="00904583"/>
    <w:rsid w:val="0090492B"/>
    <w:rsid w:val="00904F4A"/>
    <w:rsid w:val="00905079"/>
    <w:rsid w:val="00905C9B"/>
    <w:rsid w:val="00907479"/>
    <w:rsid w:val="009103FF"/>
    <w:rsid w:val="009105B4"/>
    <w:rsid w:val="00910935"/>
    <w:rsid w:val="0091123A"/>
    <w:rsid w:val="0091208B"/>
    <w:rsid w:val="0091274F"/>
    <w:rsid w:val="00912A24"/>
    <w:rsid w:val="00912C68"/>
    <w:rsid w:val="00912D40"/>
    <w:rsid w:val="00913400"/>
    <w:rsid w:val="00913975"/>
    <w:rsid w:val="00913DD4"/>
    <w:rsid w:val="00914D06"/>
    <w:rsid w:val="00914F18"/>
    <w:rsid w:val="00914F9B"/>
    <w:rsid w:val="00915A5D"/>
    <w:rsid w:val="00915FF6"/>
    <w:rsid w:val="00916163"/>
    <w:rsid w:val="00917C70"/>
    <w:rsid w:val="00917D7C"/>
    <w:rsid w:val="009202B7"/>
    <w:rsid w:val="009212C7"/>
    <w:rsid w:val="0092192B"/>
    <w:rsid w:val="0092286A"/>
    <w:rsid w:val="00923470"/>
    <w:rsid w:val="00924647"/>
    <w:rsid w:val="00924B5B"/>
    <w:rsid w:val="00924FDD"/>
    <w:rsid w:val="0092559B"/>
    <w:rsid w:val="0092559F"/>
    <w:rsid w:val="0092562C"/>
    <w:rsid w:val="0092562E"/>
    <w:rsid w:val="009257EA"/>
    <w:rsid w:val="00925C1C"/>
    <w:rsid w:val="00925E48"/>
    <w:rsid w:val="00926254"/>
    <w:rsid w:val="00926963"/>
    <w:rsid w:val="00926BA7"/>
    <w:rsid w:val="00926E39"/>
    <w:rsid w:val="00926F16"/>
    <w:rsid w:val="00927C68"/>
    <w:rsid w:val="0093077D"/>
    <w:rsid w:val="00931FED"/>
    <w:rsid w:val="00932B78"/>
    <w:rsid w:val="00932DF5"/>
    <w:rsid w:val="00933141"/>
    <w:rsid w:val="0093319C"/>
    <w:rsid w:val="00933428"/>
    <w:rsid w:val="0093632A"/>
    <w:rsid w:val="009368D1"/>
    <w:rsid w:val="009403D8"/>
    <w:rsid w:val="009404AE"/>
    <w:rsid w:val="00941023"/>
    <w:rsid w:val="009414CB"/>
    <w:rsid w:val="00941AAA"/>
    <w:rsid w:val="00941B44"/>
    <w:rsid w:val="00941BB0"/>
    <w:rsid w:val="009423C2"/>
    <w:rsid w:val="009426ED"/>
    <w:rsid w:val="009429E0"/>
    <w:rsid w:val="009431DE"/>
    <w:rsid w:val="0094346A"/>
    <w:rsid w:val="009434B9"/>
    <w:rsid w:val="009438B6"/>
    <w:rsid w:val="00943C4F"/>
    <w:rsid w:val="00943F27"/>
    <w:rsid w:val="009443D8"/>
    <w:rsid w:val="0094498D"/>
    <w:rsid w:val="00944D77"/>
    <w:rsid w:val="00944E53"/>
    <w:rsid w:val="009452AB"/>
    <w:rsid w:val="00945CF2"/>
    <w:rsid w:val="00946661"/>
    <w:rsid w:val="0094785C"/>
    <w:rsid w:val="00950833"/>
    <w:rsid w:val="0095098E"/>
    <w:rsid w:val="009518FE"/>
    <w:rsid w:val="00951D42"/>
    <w:rsid w:val="0095245C"/>
    <w:rsid w:val="00952A7B"/>
    <w:rsid w:val="00952E47"/>
    <w:rsid w:val="0095314E"/>
    <w:rsid w:val="009537CB"/>
    <w:rsid w:val="00953EC4"/>
    <w:rsid w:val="00954B6E"/>
    <w:rsid w:val="00954F1F"/>
    <w:rsid w:val="00955094"/>
    <w:rsid w:val="00955B59"/>
    <w:rsid w:val="00955B9C"/>
    <w:rsid w:val="00955F18"/>
    <w:rsid w:val="00956667"/>
    <w:rsid w:val="00956FEF"/>
    <w:rsid w:val="0095731C"/>
    <w:rsid w:val="00960381"/>
    <w:rsid w:val="00961367"/>
    <w:rsid w:val="009614CC"/>
    <w:rsid w:val="00961564"/>
    <w:rsid w:val="009615A9"/>
    <w:rsid w:val="00961A46"/>
    <w:rsid w:val="00961B76"/>
    <w:rsid w:val="00962464"/>
    <w:rsid w:val="00962C07"/>
    <w:rsid w:val="00962CA6"/>
    <w:rsid w:val="00963361"/>
    <w:rsid w:val="00963843"/>
    <w:rsid w:val="0096387D"/>
    <w:rsid w:val="00964B83"/>
    <w:rsid w:val="00964C96"/>
    <w:rsid w:val="009651CB"/>
    <w:rsid w:val="009661FB"/>
    <w:rsid w:val="009663F8"/>
    <w:rsid w:val="00967382"/>
    <w:rsid w:val="00967A8C"/>
    <w:rsid w:val="00967D2F"/>
    <w:rsid w:val="00970004"/>
    <w:rsid w:val="009704C7"/>
    <w:rsid w:val="00970709"/>
    <w:rsid w:val="00970720"/>
    <w:rsid w:val="009708D6"/>
    <w:rsid w:val="00970D43"/>
    <w:rsid w:val="0097239E"/>
    <w:rsid w:val="0097251A"/>
    <w:rsid w:val="00972FD8"/>
    <w:rsid w:val="00973017"/>
    <w:rsid w:val="009736EF"/>
    <w:rsid w:val="00974795"/>
    <w:rsid w:val="009749F6"/>
    <w:rsid w:val="00974FAE"/>
    <w:rsid w:val="009750B8"/>
    <w:rsid w:val="009757A2"/>
    <w:rsid w:val="009767C5"/>
    <w:rsid w:val="00976840"/>
    <w:rsid w:val="00976A61"/>
    <w:rsid w:val="00977053"/>
    <w:rsid w:val="009772A2"/>
    <w:rsid w:val="009802AA"/>
    <w:rsid w:val="00980EE4"/>
    <w:rsid w:val="0098156B"/>
    <w:rsid w:val="009827BD"/>
    <w:rsid w:val="00982ED9"/>
    <w:rsid w:val="0098321F"/>
    <w:rsid w:val="00983423"/>
    <w:rsid w:val="00984EF8"/>
    <w:rsid w:val="0098519F"/>
    <w:rsid w:val="00985CDC"/>
    <w:rsid w:val="00986577"/>
    <w:rsid w:val="0098668B"/>
    <w:rsid w:val="009869D4"/>
    <w:rsid w:val="00987A91"/>
    <w:rsid w:val="00987E87"/>
    <w:rsid w:val="00990840"/>
    <w:rsid w:val="00990A32"/>
    <w:rsid w:val="00990F8F"/>
    <w:rsid w:val="009912EC"/>
    <w:rsid w:val="00991416"/>
    <w:rsid w:val="009916BD"/>
    <w:rsid w:val="00991907"/>
    <w:rsid w:val="00991E7A"/>
    <w:rsid w:val="009924F6"/>
    <w:rsid w:val="00992C67"/>
    <w:rsid w:val="00992C71"/>
    <w:rsid w:val="00993430"/>
    <w:rsid w:val="009939EA"/>
    <w:rsid w:val="00994467"/>
    <w:rsid w:val="00995330"/>
    <w:rsid w:val="00995376"/>
    <w:rsid w:val="009955FD"/>
    <w:rsid w:val="0099593C"/>
    <w:rsid w:val="00996034"/>
    <w:rsid w:val="00996CA4"/>
    <w:rsid w:val="00996E60"/>
    <w:rsid w:val="0099704F"/>
    <w:rsid w:val="00997892"/>
    <w:rsid w:val="00997C72"/>
    <w:rsid w:val="009A06CD"/>
    <w:rsid w:val="009A0B14"/>
    <w:rsid w:val="009A0CB6"/>
    <w:rsid w:val="009A137F"/>
    <w:rsid w:val="009A178D"/>
    <w:rsid w:val="009A19EE"/>
    <w:rsid w:val="009A20D5"/>
    <w:rsid w:val="009A21F3"/>
    <w:rsid w:val="009A22A7"/>
    <w:rsid w:val="009A2483"/>
    <w:rsid w:val="009A2BA1"/>
    <w:rsid w:val="009A2FF7"/>
    <w:rsid w:val="009A325B"/>
    <w:rsid w:val="009A3D6E"/>
    <w:rsid w:val="009A43A9"/>
    <w:rsid w:val="009A45AE"/>
    <w:rsid w:val="009A4D83"/>
    <w:rsid w:val="009A5122"/>
    <w:rsid w:val="009A5EDB"/>
    <w:rsid w:val="009A6DEC"/>
    <w:rsid w:val="009A6F0D"/>
    <w:rsid w:val="009A710F"/>
    <w:rsid w:val="009A7BE2"/>
    <w:rsid w:val="009B006C"/>
    <w:rsid w:val="009B0574"/>
    <w:rsid w:val="009B073E"/>
    <w:rsid w:val="009B1410"/>
    <w:rsid w:val="009B1594"/>
    <w:rsid w:val="009B19E0"/>
    <w:rsid w:val="009B3733"/>
    <w:rsid w:val="009B39B1"/>
    <w:rsid w:val="009B5388"/>
    <w:rsid w:val="009B5C82"/>
    <w:rsid w:val="009B5C87"/>
    <w:rsid w:val="009B5F79"/>
    <w:rsid w:val="009B6248"/>
    <w:rsid w:val="009B678F"/>
    <w:rsid w:val="009B70D1"/>
    <w:rsid w:val="009B755D"/>
    <w:rsid w:val="009B7647"/>
    <w:rsid w:val="009B7D01"/>
    <w:rsid w:val="009C07D2"/>
    <w:rsid w:val="009C2825"/>
    <w:rsid w:val="009C35F9"/>
    <w:rsid w:val="009C3B81"/>
    <w:rsid w:val="009C3CC6"/>
    <w:rsid w:val="009C5752"/>
    <w:rsid w:val="009C5D51"/>
    <w:rsid w:val="009C6358"/>
    <w:rsid w:val="009C6595"/>
    <w:rsid w:val="009C65B0"/>
    <w:rsid w:val="009C65CB"/>
    <w:rsid w:val="009C76FF"/>
    <w:rsid w:val="009C7F4F"/>
    <w:rsid w:val="009D118E"/>
    <w:rsid w:val="009D2179"/>
    <w:rsid w:val="009D236D"/>
    <w:rsid w:val="009D243E"/>
    <w:rsid w:val="009D2C8B"/>
    <w:rsid w:val="009D3539"/>
    <w:rsid w:val="009D3712"/>
    <w:rsid w:val="009D38EA"/>
    <w:rsid w:val="009D3C92"/>
    <w:rsid w:val="009D4031"/>
    <w:rsid w:val="009D4221"/>
    <w:rsid w:val="009D469A"/>
    <w:rsid w:val="009D60D7"/>
    <w:rsid w:val="009D690C"/>
    <w:rsid w:val="009D697E"/>
    <w:rsid w:val="009D7879"/>
    <w:rsid w:val="009D7928"/>
    <w:rsid w:val="009D7971"/>
    <w:rsid w:val="009D7FDB"/>
    <w:rsid w:val="009E02A9"/>
    <w:rsid w:val="009E0303"/>
    <w:rsid w:val="009E0333"/>
    <w:rsid w:val="009E055F"/>
    <w:rsid w:val="009E0F85"/>
    <w:rsid w:val="009E1A5F"/>
    <w:rsid w:val="009E1EF6"/>
    <w:rsid w:val="009E2279"/>
    <w:rsid w:val="009E2EF2"/>
    <w:rsid w:val="009E30E5"/>
    <w:rsid w:val="009E3C3B"/>
    <w:rsid w:val="009E40FB"/>
    <w:rsid w:val="009E4105"/>
    <w:rsid w:val="009E4502"/>
    <w:rsid w:val="009E491C"/>
    <w:rsid w:val="009E4ACF"/>
    <w:rsid w:val="009E4E4F"/>
    <w:rsid w:val="009E5637"/>
    <w:rsid w:val="009E5690"/>
    <w:rsid w:val="009E5E2C"/>
    <w:rsid w:val="009E6E80"/>
    <w:rsid w:val="009E733F"/>
    <w:rsid w:val="009E773F"/>
    <w:rsid w:val="009F00D0"/>
    <w:rsid w:val="009F0182"/>
    <w:rsid w:val="009F02DC"/>
    <w:rsid w:val="009F093B"/>
    <w:rsid w:val="009F0AF9"/>
    <w:rsid w:val="009F0DE8"/>
    <w:rsid w:val="009F1C53"/>
    <w:rsid w:val="009F1D49"/>
    <w:rsid w:val="009F2078"/>
    <w:rsid w:val="009F239F"/>
    <w:rsid w:val="009F3155"/>
    <w:rsid w:val="009F3609"/>
    <w:rsid w:val="009F381D"/>
    <w:rsid w:val="009F3863"/>
    <w:rsid w:val="009F3F22"/>
    <w:rsid w:val="009F4203"/>
    <w:rsid w:val="009F4619"/>
    <w:rsid w:val="009F5130"/>
    <w:rsid w:val="009F569E"/>
    <w:rsid w:val="009F570F"/>
    <w:rsid w:val="009F72A5"/>
    <w:rsid w:val="009F73B5"/>
    <w:rsid w:val="009F7CAB"/>
    <w:rsid w:val="009F7D3C"/>
    <w:rsid w:val="009F7E12"/>
    <w:rsid w:val="009F7F18"/>
    <w:rsid w:val="009F7FBB"/>
    <w:rsid w:val="00A003E0"/>
    <w:rsid w:val="00A0053B"/>
    <w:rsid w:val="00A0076C"/>
    <w:rsid w:val="00A00AB5"/>
    <w:rsid w:val="00A00C56"/>
    <w:rsid w:val="00A00EF0"/>
    <w:rsid w:val="00A01732"/>
    <w:rsid w:val="00A01EDE"/>
    <w:rsid w:val="00A0263B"/>
    <w:rsid w:val="00A02839"/>
    <w:rsid w:val="00A03A29"/>
    <w:rsid w:val="00A03DE1"/>
    <w:rsid w:val="00A04314"/>
    <w:rsid w:val="00A04393"/>
    <w:rsid w:val="00A04612"/>
    <w:rsid w:val="00A04EFA"/>
    <w:rsid w:val="00A051F2"/>
    <w:rsid w:val="00A059D8"/>
    <w:rsid w:val="00A05AF9"/>
    <w:rsid w:val="00A07CD4"/>
    <w:rsid w:val="00A07DF3"/>
    <w:rsid w:val="00A10118"/>
    <w:rsid w:val="00A102DA"/>
    <w:rsid w:val="00A10DEB"/>
    <w:rsid w:val="00A12707"/>
    <w:rsid w:val="00A12DFA"/>
    <w:rsid w:val="00A1330B"/>
    <w:rsid w:val="00A135E2"/>
    <w:rsid w:val="00A13CF6"/>
    <w:rsid w:val="00A13F8F"/>
    <w:rsid w:val="00A14CE7"/>
    <w:rsid w:val="00A15859"/>
    <w:rsid w:val="00A15D80"/>
    <w:rsid w:val="00A161C5"/>
    <w:rsid w:val="00A16469"/>
    <w:rsid w:val="00A1646B"/>
    <w:rsid w:val="00A17151"/>
    <w:rsid w:val="00A20034"/>
    <w:rsid w:val="00A2095C"/>
    <w:rsid w:val="00A20D1B"/>
    <w:rsid w:val="00A20F77"/>
    <w:rsid w:val="00A215F5"/>
    <w:rsid w:val="00A21D50"/>
    <w:rsid w:val="00A22A44"/>
    <w:rsid w:val="00A2367A"/>
    <w:rsid w:val="00A23A91"/>
    <w:rsid w:val="00A242C4"/>
    <w:rsid w:val="00A24779"/>
    <w:rsid w:val="00A24BEB"/>
    <w:rsid w:val="00A25534"/>
    <w:rsid w:val="00A256EC"/>
    <w:rsid w:val="00A259EA"/>
    <w:rsid w:val="00A26F6B"/>
    <w:rsid w:val="00A278C1"/>
    <w:rsid w:val="00A279C1"/>
    <w:rsid w:val="00A27ADA"/>
    <w:rsid w:val="00A305B3"/>
    <w:rsid w:val="00A305DD"/>
    <w:rsid w:val="00A30890"/>
    <w:rsid w:val="00A3135B"/>
    <w:rsid w:val="00A3142E"/>
    <w:rsid w:val="00A31798"/>
    <w:rsid w:val="00A3202B"/>
    <w:rsid w:val="00A339C0"/>
    <w:rsid w:val="00A33CBE"/>
    <w:rsid w:val="00A33DF7"/>
    <w:rsid w:val="00A34F90"/>
    <w:rsid w:val="00A353A4"/>
    <w:rsid w:val="00A35536"/>
    <w:rsid w:val="00A35AC4"/>
    <w:rsid w:val="00A35D73"/>
    <w:rsid w:val="00A364B9"/>
    <w:rsid w:val="00A36674"/>
    <w:rsid w:val="00A3677B"/>
    <w:rsid w:val="00A37636"/>
    <w:rsid w:val="00A4026D"/>
    <w:rsid w:val="00A4155A"/>
    <w:rsid w:val="00A4157F"/>
    <w:rsid w:val="00A428A9"/>
    <w:rsid w:val="00A43299"/>
    <w:rsid w:val="00A44517"/>
    <w:rsid w:val="00A453B8"/>
    <w:rsid w:val="00A45E78"/>
    <w:rsid w:val="00A466AF"/>
    <w:rsid w:val="00A46CDD"/>
    <w:rsid w:val="00A4789B"/>
    <w:rsid w:val="00A47B51"/>
    <w:rsid w:val="00A50151"/>
    <w:rsid w:val="00A501AC"/>
    <w:rsid w:val="00A507B9"/>
    <w:rsid w:val="00A50EFC"/>
    <w:rsid w:val="00A51E2D"/>
    <w:rsid w:val="00A52C2E"/>
    <w:rsid w:val="00A52FA2"/>
    <w:rsid w:val="00A53A8B"/>
    <w:rsid w:val="00A53B21"/>
    <w:rsid w:val="00A53F30"/>
    <w:rsid w:val="00A54081"/>
    <w:rsid w:val="00A5412B"/>
    <w:rsid w:val="00A5450F"/>
    <w:rsid w:val="00A54826"/>
    <w:rsid w:val="00A54A55"/>
    <w:rsid w:val="00A55174"/>
    <w:rsid w:val="00A56858"/>
    <w:rsid w:val="00A5694E"/>
    <w:rsid w:val="00A56C27"/>
    <w:rsid w:val="00A57767"/>
    <w:rsid w:val="00A57AB7"/>
    <w:rsid w:val="00A60804"/>
    <w:rsid w:val="00A60B0C"/>
    <w:rsid w:val="00A60E02"/>
    <w:rsid w:val="00A60F0C"/>
    <w:rsid w:val="00A60F52"/>
    <w:rsid w:val="00A61057"/>
    <w:rsid w:val="00A610A9"/>
    <w:rsid w:val="00A61892"/>
    <w:rsid w:val="00A61A38"/>
    <w:rsid w:val="00A61A7D"/>
    <w:rsid w:val="00A61CFD"/>
    <w:rsid w:val="00A6208C"/>
    <w:rsid w:val="00A62E75"/>
    <w:rsid w:val="00A63501"/>
    <w:rsid w:val="00A63CDA"/>
    <w:rsid w:val="00A64A88"/>
    <w:rsid w:val="00A64D1D"/>
    <w:rsid w:val="00A657AC"/>
    <w:rsid w:val="00A661A9"/>
    <w:rsid w:val="00A66281"/>
    <w:rsid w:val="00A66600"/>
    <w:rsid w:val="00A668EF"/>
    <w:rsid w:val="00A66AFF"/>
    <w:rsid w:val="00A671E3"/>
    <w:rsid w:val="00A67277"/>
    <w:rsid w:val="00A67CC6"/>
    <w:rsid w:val="00A701A1"/>
    <w:rsid w:val="00A70617"/>
    <w:rsid w:val="00A70836"/>
    <w:rsid w:val="00A710DA"/>
    <w:rsid w:val="00A7231E"/>
    <w:rsid w:val="00A725B7"/>
    <w:rsid w:val="00A72889"/>
    <w:rsid w:val="00A748A8"/>
    <w:rsid w:val="00A74D33"/>
    <w:rsid w:val="00A74E64"/>
    <w:rsid w:val="00A7511E"/>
    <w:rsid w:val="00A755BF"/>
    <w:rsid w:val="00A75728"/>
    <w:rsid w:val="00A761A7"/>
    <w:rsid w:val="00A77316"/>
    <w:rsid w:val="00A774FA"/>
    <w:rsid w:val="00A77AF7"/>
    <w:rsid w:val="00A77BFF"/>
    <w:rsid w:val="00A8060F"/>
    <w:rsid w:val="00A807E1"/>
    <w:rsid w:val="00A80A18"/>
    <w:rsid w:val="00A80E69"/>
    <w:rsid w:val="00A8210C"/>
    <w:rsid w:val="00A82D58"/>
    <w:rsid w:val="00A82D62"/>
    <w:rsid w:val="00A835E0"/>
    <w:rsid w:val="00A836F0"/>
    <w:rsid w:val="00A838D5"/>
    <w:rsid w:val="00A83ED1"/>
    <w:rsid w:val="00A8402E"/>
    <w:rsid w:val="00A84191"/>
    <w:rsid w:val="00A84477"/>
    <w:rsid w:val="00A84A35"/>
    <w:rsid w:val="00A85EFA"/>
    <w:rsid w:val="00A860AB"/>
    <w:rsid w:val="00A8613A"/>
    <w:rsid w:val="00A865C4"/>
    <w:rsid w:val="00A86A59"/>
    <w:rsid w:val="00A86C1F"/>
    <w:rsid w:val="00A877CC"/>
    <w:rsid w:val="00A878D4"/>
    <w:rsid w:val="00A9142F"/>
    <w:rsid w:val="00A91D3C"/>
    <w:rsid w:val="00A91D3D"/>
    <w:rsid w:val="00A9209A"/>
    <w:rsid w:val="00A9268E"/>
    <w:rsid w:val="00A92691"/>
    <w:rsid w:val="00A93432"/>
    <w:rsid w:val="00A947DA"/>
    <w:rsid w:val="00A95022"/>
    <w:rsid w:val="00A9620B"/>
    <w:rsid w:val="00A9646D"/>
    <w:rsid w:val="00A972CF"/>
    <w:rsid w:val="00A973E8"/>
    <w:rsid w:val="00A97401"/>
    <w:rsid w:val="00A9765C"/>
    <w:rsid w:val="00A97A9A"/>
    <w:rsid w:val="00AA045C"/>
    <w:rsid w:val="00AA078F"/>
    <w:rsid w:val="00AA0A18"/>
    <w:rsid w:val="00AA144E"/>
    <w:rsid w:val="00AA1568"/>
    <w:rsid w:val="00AA1585"/>
    <w:rsid w:val="00AA1767"/>
    <w:rsid w:val="00AA2247"/>
    <w:rsid w:val="00AA2680"/>
    <w:rsid w:val="00AA269A"/>
    <w:rsid w:val="00AA3360"/>
    <w:rsid w:val="00AA4003"/>
    <w:rsid w:val="00AA59D3"/>
    <w:rsid w:val="00AA60F6"/>
    <w:rsid w:val="00AA65D5"/>
    <w:rsid w:val="00AB0AFA"/>
    <w:rsid w:val="00AB0E95"/>
    <w:rsid w:val="00AB0F88"/>
    <w:rsid w:val="00AB0FCF"/>
    <w:rsid w:val="00AB134B"/>
    <w:rsid w:val="00AB17C6"/>
    <w:rsid w:val="00AB1AD0"/>
    <w:rsid w:val="00AB203C"/>
    <w:rsid w:val="00AB2E34"/>
    <w:rsid w:val="00AB2FA4"/>
    <w:rsid w:val="00AB400F"/>
    <w:rsid w:val="00AB426D"/>
    <w:rsid w:val="00AB4F64"/>
    <w:rsid w:val="00AB536B"/>
    <w:rsid w:val="00AB5C39"/>
    <w:rsid w:val="00AB5E37"/>
    <w:rsid w:val="00AB67DF"/>
    <w:rsid w:val="00AB696D"/>
    <w:rsid w:val="00AB6D1F"/>
    <w:rsid w:val="00AB6D83"/>
    <w:rsid w:val="00AB6DBE"/>
    <w:rsid w:val="00AB7471"/>
    <w:rsid w:val="00AB7A29"/>
    <w:rsid w:val="00AB7A6F"/>
    <w:rsid w:val="00AB7BC1"/>
    <w:rsid w:val="00AB7E3B"/>
    <w:rsid w:val="00AC01AD"/>
    <w:rsid w:val="00AC0E2F"/>
    <w:rsid w:val="00AC0E76"/>
    <w:rsid w:val="00AC1216"/>
    <w:rsid w:val="00AC1607"/>
    <w:rsid w:val="00AC1D91"/>
    <w:rsid w:val="00AC1DFD"/>
    <w:rsid w:val="00AC240E"/>
    <w:rsid w:val="00AC2453"/>
    <w:rsid w:val="00AC2F8F"/>
    <w:rsid w:val="00AC31DF"/>
    <w:rsid w:val="00AC3656"/>
    <w:rsid w:val="00AC3B2F"/>
    <w:rsid w:val="00AC4199"/>
    <w:rsid w:val="00AC41C4"/>
    <w:rsid w:val="00AC5DB3"/>
    <w:rsid w:val="00AC5FBA"/>
    <w:rsid w:val="00AC6435"/>
    <w:rsid w:val="00AC6BFE"/>
    <w:rsid w:val="00AC6CA8"/>
    <w:rsid w:val="00AC7B48"/>
    <w:rsid w:val="00AC7EDA"/>
    <w:rsid w:val="00AD02F4"/>
    <w:rsid w:val="00AD03FE"/>
    <w:rsid w:val="00AD1529"/>
    <w:rsid w:val="00AD1A8B"/>
    <w:rsid w:val="00AD1D71"/>
    <w:rsid w:val="00AD252F"/>
    <w:rsid w:val="00AD26F1"/>
    <w:rsid w:val="00AD33B0"/>
    <w:rsid w:val="00AD3B34"/>
    <w:rsid w:val="00AD3B4A"/>
    <w:rsid w:val="00AD3BD9"/>
    <w:rsid w:val="00AD3E03"/>
    <w:rsid w:val="00AD47B2"/>
    <w:rsid w:val="00AD4876"/>
    <w:rsid w:val="00AD5325"/>
    <w:rsid w:val="00AD5D29"/>
    <w:rsid w:val="00AD61FD"/>
    <w:rsid w:val="00AD6421"/>
    <w:rsid w:val="00AD651A"/>
    <w:rsid w:val="00AD7209"/>
    <w:rsid w:val="00AE060F"/>
    <w:rsid w:val="00AE145F"/>
    <w:rsid w:val="00AE18B8"/>
    <w:rsid w:val="00AE1AEA"/>
    <w:rsid w:val="00AE1B45"/>
    <w:rsid w:val="00AE1B78"/>
    <w:rsid w:val="00AE1C34"/>
    <w:rsid w:val="00AE1E55"/>
    <w:rsid w:val="00AE273D"/>
    <w:rsid w:val="00AE2AFD"/>
    <w:rsid w:val="00AE32DF"/>
    <w:rsid w:val="00AE338A"/>
    <w:rsid w:val="00AE3D9E"/>
    <w:rsid w:val="00AE425B"/>
    <w:rsid w:val="00AE46A7"/>
    <w:rsid w:val="00AE4A57"/>
    <w:rsid w:val="00AE4FE3"/>
    <w:rsid w:val="00AE60B8"/>
    <w:rsid w:val="00AE6956"/>
    <w:rsid w:val="00AE6C69"/>
    <w:rsid w:val="00AE70F8"/>
    <w:rsid w:val="00AE715C"/>
    <w:rsid w:val="00AE768A"/>
    <w:rsid w:val="00AE7745"/>
    <w:rsid w:val="00AE7A3C"/>
    <w:rsid w:val="00AE7BC5"/>
    <w:rsid w:val="00AE7FE4"/>
    <w:rsid w:val="00AE7FF1"/>
    <w:rsid w:val="00AF01FC"/>
    <w:rsid w:val="00AF02C2"/>
    <w:rsid w:val="00AF033E"/>
    <w:rsid w:val="00AF12D1"/>
    <w:rsid w:val="00AF26DD"/>
    <w:rsid w:val="00AF2834"/>
    <w:rsid w:val="00AF314C"/>
    <w:rsid w:val="00AF4F81"/>
    <w:rsid w:val="00AF5777"/>
    <w:rsid w:val="00AF5D45"/>
    <w:rsid w:val="00AF602D"/>
    <w:rsid w:val="00AF63CD"/>
    <w:rsid w:val="00AF66B8"/>
    <w:rsid w:val="00AF6890"/>
    <w:rsid w:val="00AF6948"/>
    <w:rsid w:val="00AF6FCA"/>
    <w:rsid w:val="00AF73A3"/>
    <w:rsid w:val="00AF7516"/>
    <w:rsid w:val="00AF7C7B"/>
    <w:rsid w:val="00B000CD"/>
    <w:rsid w:val="00B0076E"/>
    <w:rsid w:val="00B00874"/>
    <w:rsid w:val="00B00ECE"/>
    <w:rsid w:val="00B022F1"/>
    <w:rsid w:val="00B0238A"/>
    <w:rsid w:val="00B02A97"/>
    <w:rsid w:val="00B037A1"/>
    <w:rsid w:val="00B03914"/>
    <w:rsid w:val="00B03FAB"/>
    <w:rsid w:val="00B04051"/>
    <w:rsid w:val="00B04666"/>
    <w:rsid w:val="00B04676"/>
    <w:rsid w:val="00B048FB"/>
    <w:rsid w:val="00B04FEA"/>
    <w:rsid w:val="00B057D6"/>
    <w:rsid w:val="00B05D4A"/>
    <w:rsid w:val="00B078B9"/>
    <w:rsid w:val="00B07ECF"/>
    <w:rsid w:val="00B1066E"/>
    <w:rsid w:val="00B10C67"/>
    <w:rsid w:val="00B10C6D"/>
    <w:rsid w:val="00B11940"/>
    <w:rsid w:val="00B11B57"/>
    <w:rsid w:val="00B12DF0"/>
    <w:rsid w:val="00B1345D"/>
    <w:rsid w:val="00B13473"/>
    <w:rsid w:val="00B13710"/>
    <w:rsid w:val="00B13A2C"/>
    <w:rsid w:val="00B13FEF"/>
    <w:rsid w:val="00B14016"/>
    <w:rsid w:val="00B14579"/>
    <w:rsid w:val="00B14709"/>
    <w:rsid w:val="00B1506B"/>
    <w:rsid w:val="00B15646"/>
    <w:rsid w:val="00B157AC"/>
    <w:rsid w:val="00B15B14"/>
    <w:rsid w:val="00B16024"/>
    <w:rsid w:val="00B167A5"/>
    <w:rsid w:val="00B16BA6"/>
    <w:rsid w:val="00B17543"/>
    <w:rsid w:val="00B213F3"/>
    <w:rsid w:val="00B2242B"/>
    <w:rsid w:val="00B22A2E"/>
    <w:rsid w:val="00B22CB2"/>
    <w:rsid w:val="00B23554"/>
    <w:rsid w:val="00B236E3"/>
    <w:rsid w:val="00B23C38"/>
    <w:rsid w:val="00B23F57"/>
    <w:rsid w:val="00B242F9"/>
    <w:rsid w:val="00B24EAC"/>
    <w:rsid w:val="00B25046"/>
    <w:rsid w:val="00B25621"/>
    <w:rsid w:val="00B25865"/>
    <w:rsid w:val="00B25A86"/>
    <w:rsid w:val="00B267C1"/>
    <w:rsid w:val="00B2689F"/>
    <w:rsid w:val="00B26904"/>
    <w:rsid w:val="00B269A1"/>
    <w:rsid w:val="00B274D9"/>
    <w:rsid w:val="00B27D78"/>
    <w:rsid w:val="00B30A7C"/>
    <w:rsid w:val="00B30BE3"/>
    <w:rsid w:val="00B31AB6"/>
    <w:rsid w:val="00B325B3"/>
    <w:rsid w:val="00B32600"/>
    <w:rsid w:val="00B32B28"/>
    <w:rsid w:val="00B32CF2"/>
    <w:rsid w:val="00B32FA7"/>
    <w:rsid w:val="00B33268"/>
    <w:rsid w:val="00B3355D"/>
    <w:rsid w:val="00B3378F"/>
    <w:rsid w:val="00B337C1"/>
    <w:rsid w:val="00B33A9F"/>
    <w:rsid w:val="00B33B8D"/>
    <w:rsid w:val="00B33C4F"/>
    <w:rsid w:val="00B345BF"/>
    <w:rsid w:val="00B34737"/>
    <w:rsid w:val="00B355D7"/>
    <w:rsid w:val="00B35901"/>
    <w:rsid w:val="00B35BA6"/>
    <w:rsid w:val="00B35BFA"/>
    <w:rsid w:val="00B35DB3"/>
    <w:rsid w:val="00B35EBB"/>
    <w:rsid w:val="00B3623C"/>
    <w:rsid w:val="00B362A3"/>
    <w:rsid w:val="00B3672F"/>
    <w:rsid w:val="00B36A76"/>
    <w:rsid w:val="00B36AF9"/>
    <w:rsid w:val="00B4186C"/>
    <w:rsid w:val="00B4287D"/>
    <w:rsid w:val="00B42DB8"/>
    <w:rsid w:val="00B42E9C"/>
    <w:rsid w:val="00B4453F"/>
    <w:rsid w:val="00B44700"/>
    <w:rsid w:val="00B4495B"/>
    <w:rsid w:val="00B44B92"/>
    <w:rsid w:val="00B45737"/>
    <w:rsid w:val="00B458AE"/>
    <w:rsid w:val="00B45D5F"/>
    <w:rsid w:val="00B464DC"/>
    <w:rsid w:val="00B46C85"/>
    <w:rsid w:val="00B46D8A"/>
    <w:rsid w:val="00B46EDA"/>
    <w:rsid w:val="00B474D0"/>
    <w:rsid w:val="00B47E45"/>
    <w:rsid w:val="00B47EB2"/>
    <w:rsid w:val="00B5025E"/>
    <w:rsid w:val="00B50589"/>
    <w:rsid w:val="00B50B23"/>
    <w:rsid w:val="00B50F3A"/>
    <w:rsid w:val="00B5108F"/>
    <w:rsid w:val="00B51520"/>
    <w:rsid w:val="00B51717"/>
    <w:rsid w:val="00B52178"/>
    <w:rsid w:val="00B5299A"/>
    <w:rsid w:val="00B52F08"/>
    <w:rsid w:val="00B53242"/>
    <w:rsid w:val="00B53794"/>
    <w:rsid w:val="00B542E3"/>
    <w:rsid w:val="00B548E2"/>
    <w:rsid w:val="00B5515D"/>
    <w:rsid w:val="00B55C45"/>
    <w:rsid w:val="00B55C81"/>
    <w:rsid w:val="00B56A88"/>
    <w:rsid w:val="00B577C7"/>
    <w:rsid w:val="00B603FB"/>
    <w:rsid w:val="00B60F21"/>
    <w:rsid w:val="00B615DC"/>
    <w:rsid w:val="00B6165F"/>
    <w:rsid w:val="00B61A53"/>
    <w:rsid w:val="00B62AF0"/>
    <w:rsid w:val="00B62FED"/>
    <w:rsid w:val="00B63091"/>
    <w:rsid w:val="00B633F6"/>
    <w:rsid w:val="00B63420"/>
    <w:rsid w:val="00B63851"/>
    <w:rsid w:val="00B63952"/>
    <w:rsid w:val="00B640FC"/>
    <w:rsid w:val="00B644FB"/>
    <w:rsid w:val="00B65121"/>
    <w:rsid w:val="00B6567F"/>
    <w:rsid w:val="00B65B16"/>
    <w:rsid w:val="00B662BC"/>
    <w:rsid w:val="00B66632"/>
    <w:rsid w:val="00B66A7E"/>
    <w:rsid w:val="00B67E1E"/>
    <w:rsid w:val="00B71DCA"/>
    <w:rsid w:val="00B72553"/>
    <w:rsid w:val="00B725C8"/>
    <w:rsid w:val="00B726FE"/>
    <w:rsid w:val="00B7362F"/>
    <w:rsid w:val="00B73D51"/>
    <w:rsid w:val="00B7412E"/>
    <w:rsid w:val="00B74981"/>
    <w:rsid w:val="00B74A82"/>
    <w:rsid w:val="00B74F21"/>
    <w:rsid w:val="00B75019"/>
    <w:rsid w:val="00B7503E"/>
    <w:rsid w:val="00B75180"/>
    <w:rsid w:val="00B751CE"/>
    <w:rsid w:val="00B754FD"/>
    <w:rsid w:val="00B75B26"/>
    <w:rsid w:val="00B75C66"/>
    <w:rsid w:val="00B7639D"/>
    <w:rsid w:val="00B76573"/>
    <w:rsid w:val="00B77452"/>
    <w:rsid w:val="00B77AED"/>
    <w:rsid w:val="00B804E9"/>
    <w:rsid w:val="00B807BB"/>
    <w:rsid w:val="00B81302"/>
    <w:rsid w:val="00B8140D"/>
    <w:rsid w:val="00B8162E"/>
    <w:rsid w:val="00B8260F"/>
    <w:rsid w:val="00B82D30"/>
    <w:rsid w:val="00B82DE4"/>
    <w:rsid w:val="00B83ACD"/>
    <w:rsid w:val="00B83BE1"/>
    <w:rsid w:val="00B84235"/>
    <w:rsid w:val="00B8446C"/>
    <w:rsid w:val="00B85021"/>
    <w:rsid w:val="00B860E1"/>
    <w:rsid w:val="00B86DF0"/>
    <w:rsid w:val="00B87378"/>
    <w:rsid w:val="00B875EF"/>
    <w:rsid w:val="00B87745"/>
    <w:rsid w:val="00B87BCC"/>
    <w:rsid w:val="00B87C05"/>
    <w:rsid w:val="00B87F86"/>
    <w:rsid w:val="00B900AA"/>
    <w:rsid w:val="00B9033D"/>
    <w:rsid w:val="00B9047D"/>
    <w:rsid w:val="00B90AC8"/>
    <w:rsid w:val="00B91A8B"/>
    <w:rsid w:val="00B91AFA"/>
    <w:rsid w:val="00B92585"/>
    <w:rsid w:val="00B93669"/>
    <w:rsid w:val="00B937CE"/>
    <w:rsid w:val="00B9408A"/>
    <w:rsid w:val="00B94329"/>
    <w:rsid w:val="00B94B25"/>
    <w:rsid w:val="00B95137"/>
    <w:rsid w:val="00B95A1D"/>
    <w:rsid w:val="00B95FD5"/>
    <w:rsid w:val="00B9674C"/>
    <w:rsid w:val="00B96A14"/>
    <w:rsid w:val="00B97691"/>
    <w:rsid w:val="00B97949"/>
    <w:rsid w:val="00BA0A62"/>
    <w:rsid w:val="00BA0BD7"/>
    <w:rsid w:val="00BA13C4"/>
    <w:rsid w:val="00BA161D"/>
    <w:rsid w:val="00BA1E75"/>
    <w:rsid w:val="00BA225C"/>
    <w:rsid w:val="00BA3257"/>
    <w:rsid w:val="00BA32AD"/>
    <w:rsid w:val="00BA34CF"/>
    <w:rsid w:val="00BA34E0"/>
    <w:rsid w:val="00BA3BCA"/>
    <w:rsid w:val="00BA405A"/>
    <w:rsid w:val="00BA416E"/>
    <w:rsid w:val="00BA4396"/>
    <w:rsid w:val="00BA44F2"/>
    <w:rsid w:val="00BA45BF"/>
    <w:rsid w:val="00BA5442"/>
    <w:rsid w:val="00BA5A4F"/>
    <w:rsid w:val="00BA6403"/>
    <w:rsid w:val="00BA6B2F"/>
    <w:rsid w:val="00BA7151"/>
    <w:rsid w:val="00BA7CD6"/>
    <w:rsid w:val="00BB0727"/>
    <w:rsid w:val="00BB1356"/>
    <w:rsid w:val="00BB1525"/>
    <w:rsid w:val="00BB155C"/>
    <w:rsid w:val="00BB1676"/>
    <w:rsid w:val="00BB1EF3"/>
    <w:rsid w:val="00BB29C5"/>
    <w:rsid w:val="00BB367E"/>
    <w:rsid w:val="00BB3807"/>
    <w:rsid w:val="00BB381D"/>
    <w:rsid w:val="00BB3C83"/>
    <w:rsid w:val="00BB458C"/>
    <w:rsid w:val="00BB45B3"/>
    <w:rsid w:val="00BB4B46"/>
    <w:rsid w:val="00BB54E4"/>
    <w:rsid w:val="00BB558D"/>
    <w:rsid w:val="00BB5D8D"/>
    <w:rsid w:val="00BB7319"/>
    <w:rsid w:val="00BB7B58"/>
    <w:rsid w:val="00BC09BC"/>
    <w:rsid w:val="00BC12CD"/>
    <w:rsid w:val="00BC1402"/>
    <w:rsid w:val="00BC1558"/>
    <w:rsid w:val="00BC1FCA"/>
    <w:rsid w:val="00BC258E"/>
    <w:rsid w:val="00BC28A9"/>
    <w:rsid w:val="00BC338F"/>
    <w:rsid w:val="00BC44B7"/>
    <w:rsid w:val="00BC4569"/>
    <w:rsid w:val="00BC49E0"/>
    <w:rsid w:val="00BC4B06"/>
    <w:rsid w:val="00BC51B7"/>
    <w:rsid w:val="00BC573E"/>
    <w:rsid w:val="00BC61BE"/>
    <w:rsid w:val="00BC65F2"/>
    <w:rsid w:val="00BC69ED"/>
    <w:rsid w:val="00BC6E04"/>
    <w:rsid w:val="00BC7335"/>
    <w:rsid w:val="00BC736C"/>
    <w:rsid w:val="00BC75AA"/>
    <w:rsid w:val="00BD019A"/>
    <w:rsid w:val="00BD0892"/>
    <w:rsid w:val="00BD20B0"/>
    <w:rsid w:val="00BD21E0"/>
    <w:rsid w:val="00BD28E5"/>
    <w:rsid w:val="00BD311D"/>
    <w:rsid w:val="00BD3EAA"/>
    <w:rsid w:val="00BD4504"/>
    <w:rsid w:val="00BD4642"/>
    <w:rsid w:val="00BD4894"/>
    <w:rsid w:val="00BD4AE8"/>
    <w:rsid w:val="00BD529F"/>
    <w:rsid w:val="00BD5723"/>
    <w:rsid w:val="00BD576D"/>
    <w:rsid w:val="00BD5DEF"/>
    <w:rsid w:val="00BD668E"/>
    <w:rsid w:val="00BD7A09"/>
    <w:rsid w:val="00BE068E"/>
    <w:rsid w:val="00BE0994"/>
    <w:rsid w:val="00BE0B73"/>
    <w:rsid w:val="00BE1492"/>
    <w:rsid w:val="00BE1A9F"/>
    <w:rsid w:val="00BE1E14"/>
    <w:rsid w:val="00BE24E5"/>
    <w:rsid w:val="00BE2A68"/>
    <w:rsid w:val="00BE2D7D"/>
    <w:rsid w:val="00BE352F"/>
    <w:rsid w:val="00BE3F06"/>
    <w:rsid w:val="00BE407C"/>
    <w:rsid w:val="00BE50E7"/>
    <w:rsid w:val="00BE5218"/>
    <w:rsid w:val="00BE5518"/>
    <w:rsid w:val="00BE562E"/>
    <w:rsid w:val="00BE5F94"/>
    <w:rsid w:val="00BE5FFE"/>
    <w:rsid w:val="00BE61DD"/>
    <w:rsid w:val="00BF060A"/>
    <w:rsid w:val="00BF06D9"/>
    <w:rsid w:val="00BF1557"/>
    <w:rsid w:val="00BF16E4"/>
    <w:rsid w:val="00BF1937"/>
    <w:rsid w:val="00BF1BC6"/>
    <w:rsid w:val="00BF1BDB"/>
    <w:rsid w:val="00BF1CDE"/>
    <w:rsid w:val="00BF2F69"/>
    <w:rsid w:val="00BF2FE1"/>
    <w:rsid w:val="00BF3280"/>
    <w:rsid w:val="00BF3556"/>
    <w:rsid w:val="00BF37D5"/>
    <w:rsid w:val="00BF4069"/>
    <w:rsid w:val="00BF48C0"/>
    <w:rsid w:val="00BF56C4"/>
    <w:rsid w:val="00BF5EEC"/>
    <w:rsid w:val="00BF61B4"/>
    <w:rsid w:val="00BF6260"/>
    <w:rsid w:val="00BF63CD"/>
    <w:rsid w:val="00BF673E"/>
    <w:rsid w:val="00BF67CD"/>
    <w:rsid w:val="00BF79F2"/>
    <w:rsid w:val="00C00082"/>
    <w:rsid w:val="00C00C4F"/>
    <w:rsid w:val="00C020A6"/>
    <w:rsid w:val="00C02522"/>
    <w:rsid w:val="00C027B4"/>
    <w:rsid w:val="00C0319E"/>
    <w:rsid w:val="00C032C6"/>
    <w:rsid w:val="00C03332"/>
    <w:rsid w:val="00C03409"/>
    <w:rsid w:val="00C034B1"/>
    <w:rsid w:val="00C03B4E"/>
    <w:rsid w:val="00C03CE2"/>
    <w:rsid w:val="00C052F5"/>
    <w:rsid w:val="00C059A3"/>
    <w:rsid w:val="00C06136"/>
    <w:rsid w:val="00C0640C"/>
    <w:rsid w:val="00C06613"/>
    <w:rsid w:val="00C0683E"/>
    <w:rsid w:val="00C06966"/>
    <w:rsid w:val="00C0733F"/>
    <w:rsid w:val="00C07A4A"/>
    <w:rsid w:val="00C104B2"/>
    <w:rsid w:val="00C114BD"/>
    <w:rsid w:val="00C11610"/>
    <w:rsid w:val="00C11978"/>
    <w:rsid w:val="00C11AD3"/>
    <w:rsid w:val="00C11C84"/>
    <w:rsid w:val="00C120F5"/>
    <w:rsid w:val="00C12175"/>
    <w:rsid w:val="00C13B10"/>
    <w:rsid w:val="00C14F20"/>
    <w:rsid w:val="00C1574F"/>
    <w:rsid w:val="00C16504"/>
    <w:rsid w:val="00C16928"/>
    <w:rsid w:val="00C17185"/>
    <w:rsid w:val="00C17211"/>
    <w:rsid w:val="00C17CCE"/>
    <w:rsid w:val="00C17D5E"/>
    <w:rsid w:val="00C17DF7"/>
    <w:rsid w:val="00C17FC1"/>
    <w:rsid w:val="00C2003D"/>
    <w:rsid w:val="00C2017D"/>
    <w:rsid w:val="00C203E2"/>
    <w:rsid w:val="00C20AC2"/>
    <w:rsid w:val="00C20F98"/>
    <w:rsid w:val="00C224D2"/>
    <w:rsid w:val="00C2307D"/>
    <w:rsid w:val="00C2356E"/>
    <w:rsid w:val="00C2377D"/>
    <w:rsid w:val="00C23E49"/>
    <w:rsid w:val="00C24060"/>
    <w:rsid w:val="00C2443C"/>
    <w:rsid w:val="00C248E3"/>
    <w:rsid w:val="00C249D7"/>
    <w:rsid w:val="00C24CA6"/>
    <w:rsid w:val="00C25AAC"/>
    <w:rsid w:val="00C270DF"/>
    <w:rsid w:val="00C275EA"/>
    <w:rsid w:val="00C278DA"/>
    <w:rsid w:val="00C27E78"/>
    <w:rsid w:val="00C30130"/>
    <w:rsid w:val="00C301BC"/>
    <w:rsid w:val="00C30DB2"/>
    <w:rsid w:val="00C30E34"/>
    <w:rsid w:val="00C31439"/>
    <w:rsid w:val="00C3147B"/>
    <w:rsid w:val="00C31E9A"/>
    <w:rsid w:val="00C31E9C"/>
    <w:rsid w:val="00C3205C"/>
    <w:rsid w:val="00C320DD"/>
    <w:rsid w:val="00C32FBC"/>
    <w:rsid w:val="00C33AD7"/>
    <w:rsid w:val="00C33BF8"/>
    <w:rsid w:val="00C3579F"/>
    <w:rsid w:val="00C359B2"/>
    <w:rsid w:val="00C36102"/>
    <w:rsid w:val="00C370B8"/>
    <w:rsid w:val="00C3785D"/>
    <w:rsid w:val="00C40326"/>
    <w:rsid w:val="00C403A6"/>
    <w:rsid w:val="00C404B8"/>
    <w:rsid w:val="00C40C01"/>
    <w:rsid w:val="00C41CDE"/>
    <w:rsid w:val="00C41DA7"/>
    <w:rsid w:val="00C41E92"/>
    <w:rsid w:val="00C42096"/>
    <w:rsid w:val="00C42245"/>
    <w:rsid w:val="00C4349C"/>
    <w:rsid w:val="00C448F4"/>
    <w:rsid w:val="00C44BC7"/>
    <w:rsid w:val="00C45534"/>
    <w:rsid w:val="00C45BD2"/>
    <w:rsid w:val="00C45DD8"/>
    <w:rsid w:val="00C45E29"/>
    <w:rsid w:val="00C46B95"/>
    <w:rsid w:val="00C46E74"/>
    <w:rsid w:val="00C46F0A"/>
    <w:rsid w:val="00C47275"/>
    <w:rsid w:val="00C475A4"/>
    <w:rsid w:val="00C476AD"/>
    <w:rsid w:val="00C476EA"/>
    <w:rsid w:val="00C50077"/>
    <w:rsid w:val="00C500B5"/>
    <w:rsid w:val="00C502B0"/>
    <w:rsid w:val="00C50B83"/>
    <w:rsid w:val="00C50E1E"/>
    <w:rsid w:val="00C51305"/>
    <w:rsid w:val="00C513D4"/>
    <w:rsid w:val="00C52D06"/>
    <w:rsid w:val="00C537AC"/>
    <w:rsid w:val="00C53C89"/>
    <w:rsid w:val="00C540B8"/>
    <w:rsid w:val="00C54306"/>
    <w:rsid w:val="00C546B9"/>
    <w:rsid w:val="00C54934"/>
    <w:rsid w:val="00C54E0A"/>
    <w:rsid w:val="00C5513E"/>
    <w:rsid w:val="00C5526D"/>
    <w:rsid w:val="00C55D11"/>
    <w:rsid w:val="00C55FD4"/>
    <w:rsid w:val="00C56080"/>
    <w:rsid w:val="00C56167"/>
    <w:rsid w:val="00C566D8"/>
    <w:rsid w:val="00C56E76"/>
    <w:rsid w:val="00C57001"/>
    <w:rsid w:val="00C57690"/>
    <w:rsid w:val="00C57C57"/>
    <w:rsid w:val="00C604D0"/>
    <w:rsid w:val="00C60A14"/>
    <w:rsid w:val="00C60D7C"/>
    <w:rsid w:val="00C61F77"/>
    <w:rsid w:val="00C6206A"/>
    <w:rsid w:val="00C6257C"/>
    <w:rsid w:val="00C628D6"/>
    <w:rsid w:val="00C63059"/>
    <w:rsid w:val="00C6338C"/>
    <w:rsid w:val="00C63475"/>
    <w:rsid w:val="00C638C0"/>
    <w:rsid w:val="00C641E9"/>
    <w:rsid w:val="00C642A9"/>
    <w:rsid w:val="00C651FF"/>
    <w:rsid w:val="00C65CA4"/>
    <w:rsid w:val="00C65F39"/>
    <w:rsid w:val="00C66EE8"/>
    <w:rsid w:val="00C67452"/>
    <w:rsid w:val="00C676EF"/>
    <w:rsid w:val="00C677D9"/>
    <w:rsid w:val="00C6783F"/>
    <w:rsid w:val="00C704DB"/>
    <w:rsid w:val="00C70B91"/>
    <w:rsid w:val="00C70F93"/>
    <w:rsid w:val="00C71067"/>
    <w:rsid w:val="00C7137E"/>
    <w:rsid w:val="00C7146C"/>
    <w:rsid w:val="00C714D0"/>
    <w:rsid w:val="00C715CD"/>
    <w:rsid w:val="00C72069"/>
    <w:rsid w:val="00C725E8"/>
    <w:rsid w:val="00C727F5"/>
    <w:rsid w:val="00C7281A"/>
    <w:rsid w:val="00C72BF2"/>
    <w:rsid w:val="00C72C2F"/>
    <w:rsid w:val="00C73DE2"/>
    <w:rsid w:val="00C73F14"/>
    <w:rsid w:val="00C73F21"/>
    <w:rsid w:val="00C7422A"/>
    <w:rsid w:val="00C7462D"/>
    <w:rsid w:val="00C74CD1"/>
    <w:rsid w:val="00C74DC0"/>
    <w:rsid w:val="00C759C9"/>
    <w:rsid w:val="00C75CAD"/>
    <w:rsid w:val="00C76308"/>
    <w:rsid w:val="00C76E18"/>
    <w:rsid w:val="00C76FB0"/>
    <w:rsid w:val="00C77C82"/>
    <w:rsid w:val="00C80C99"/>
    <w:rsid w:val="00C810D0"/>
    <w:rsid w:val="00C816AA"/>
    <w:rsid w:val="00C819AD"/>
    <w:rsid w:val="00C81CF9"/>
    <w:rsid w:val="00C81F31"/>
    <w:rsid w:val="00C82CED"/>
    <w:rsid w:val="00C835A5"/>
    <w:rsid w:val="00C84085"/>
    <w:rsid w:val="00C84306"/>
    <w:rsid w:val="00C84514"/>
    <w:rsid w:val="00C84680"/>
    <w:rsid w:val="00C84F76"/>
    <w:rsid w:val="00C85270"/>
    <w:rsid w:val="00C85989"/>
    <w:rsid w:val="00C859D7"/>
    <w:rsid w:val="00C86A10"/>
    <w:rsid w:val="00C8764A"/>
    <w:rsid w:val="00C879A0"/>
    <w:rsid w:val="00C87C9E"/>
    <w:rsid w:val="00C87D51"/>
    <w:rsid w:val="00C87D64"/>
    <w:rsid w:val="00C90ECC"/>
    <w:rsid w:val="00C91569"/>
    <w:rsid w:val="00C9157E"/>
    <w:rsid w:val="00C92AC1"/>
    <w:rsid w:val="00C92FEA"/>
    <w:rsid w:val="00C9387D"/>
    <w:rsid w:val="00C94533"/>
    <w:rsid w:val="00C9682A"/>
    <w:rsid w:val="00C975AE"/>
    <w:rsid w:val="00C97960"/>
    <w:rsid w:val="00CA0061"/>
    <w:rsid w:val="00CA065B"/>
    <w:rsid w:val="00CA0710"/>
    <w:rsid w:val="00CA24A3"/>
    <w:rsid w:val="00CA29E0"/>
    <w:rsid w:val="00CA2BCE"/>
    <w:rsid w:val="00CA2C7A"/>
    <w:rsid w:val="00CA36C4"/>
    <w:rsid w:val="00CA4159"/>
    <w:rsid w:val="00CA5FE8"/>
    <w:rsid w:val="00CA6469"/>
    <w:rsid w:val="00CA6670"/>
    <w:rsid w:val="00CA6E57"/>
    <w:rsid w:val="00CA7EC4"/>
    <w:rsid w:val="00CB010F"/>
    <w:rsid w:val="00CB0BE0"/>
    <w:rsid w:val="00CB1837"/>
    <w:rsid w:val="00CB18D0"/>
    <w:rsid w:val="00CB1AA3"/>
    <w:rsid w:val="00CB2B57"/>
    <w:rsid w:val="00CB2F62"/>
    <w:rsid w:val="00CB3418"/>
    <w:rsid w:val="00CB454C"/>
    <w:rsid w:val="00CB5076"/>
    <w:rsid w:val="00CB52E5"/>
    <w:rsid w:val="00CB5611"/>
    <w:rsid w:val="00CB591A"/>
    <w:rsid w:val="00CB5FB2"/>
    <w:rsid w:val="00CB6B0A"/>
    <w:rsid w:val="00CB71F4"/>
    <w:rsid w:val="00CB729D"/>
    <w:rsid w:val="00CB7341"/>
    <w:rsid w:val="00CB7698"/>
    <w:rsid w:val="00CB78AE"/>
    <w:rsid w:val="00CB799A"/>
    <w:rsid w:val="00CC007D"/>
    <w:rsid w:val="00CC0711"/>
    <w:rsid w:val="00CC143F"/>
    <w:rsid w:val="00CC1FE6"/>
    <w:rsid w:val="00CC2DEC"/>
    <w:rsid w:val="00CC301A"/>
    <w:rsid w:val="00CC38EB"/>
    <w:rsid w:val="00CC3CF6"/>
    <w:rsid w:val="00CC41EF"/>
    <w:rsid w:val="00CC42CD"/>
    <w:rsid w:val="00CC4D68"/>
    <w:rsid w:val="00CC5A73"/>
    <w:rsid w:val="00CC62DD"/>
    <w:rsid w:val="00CC6441"/>
    <w:rsid w:val="00CC66F5"/>
    <w:rsid w:val="00CC67D3"/>
    <w:rsid w:val="00CC67E3"/>
    <w:rsid w:val="00CC6E49"/>
    <w:rsid w:val="00CC6F92"/>
    <w:rsid w:val="00CC74CA"/>
    <w:rsid w:val="00CC78EF"/>
    <w:rsid w:val="00CC7F43"/>
    <w:rsid w:val="00CD044D"/>
    <w:rsid w:val="00CD0E49"/>
    <w:rsid w:val="00CD1273"/>
    <w:rsid w:val="00CD2B1F"/>
    <w:rsid w:val="00CD2B8C"/>
    <w:rsid w:val="00CD2EDF"/>
    <w:rsid w:val="00CD327A"/>
    <w:rsid w:val="00CD33D3"/>
    <w:rsid w:val="00CD3C4E"/>
    <w:rsid w:val="00CD3E86"/>
    <w:rsid w:val="00CD4554"/>
    <w:rsid w:val="00CD45DD"/>
    <w:rsid w:val="00CD4C1E"/>
    <w:rsid w:val="00CD5282"/>
    <w:rsid w:val="00CD52E3"/>
    <w:rsid w:val="00CD53AD"/>
    <w:rsid w:val="00CD53F8"/>
    <w:rsid w:val="00CD586C"/>
    <w:rsid w:val="00CD600D"/>
    <w:rsid w:val="00CD6102"/>
    <w:rsid w:val="00CD634B"/>
    <w:rsid w:val="00CD6550"/>
    <w:rsid w:val="00CD7924"/>
    <w:rsid w:val="00CE0528"/>
    <w:rsid w:val="00CE0A5F"/>
    <w:rsid w:val="00CE0B0D"/>
    <w:rsid w:val="00CE143D"/>
    <w:rsid w:val="00CE1CBD"/>
    <w:rsid w:val="00CE2207"/>
    <w:rsid w:val="00CE28BD"/>
    <w:rsid w:val="00CE33C3"/>
    <w:rsid w:val="00CE34B5"/>
    <w:rsid w:val="00CE3508"/>
    <w:rsid w:val="00CE3EC6"/>
    <w:rsid w:val="00CE45BB"/>
    <w:rsid w:val="00CE46A4"/>
    <w:rsid w:val="00CE50A6"/>
    <w:rsid w:val="00CE57D7"/>
    <w:rsid w:val="00CE5EB9"/>
    <w:rsid w:val="00CE619E"/>
    <w:rsid w:val="00CE7047"/>
    <w:rsid w:val="00CE7503"/>
    <w:rsid w:val="00CE7D7D"/>
    <w:rsid w:val="00CF061E"/>
    <w:rsid w:val="00CF1AA8"/>
    <w:rsid w:val="00CF1AEC"/>
    <w:rsid w:val="00CF3183"/>
    <w:rsid w:val="00CF3194"/>
    <w:rsid w:val="00CF34F6"/>
    <w:rsid w:val="00CF3C4E"/>
    <w:rsid w:val="00CF3F7E"/>
    <w:rsid w:val="00CF41F5"/>
    <w:rsid w:val="00CF5268"/>
    <w:rsid w:val="00CF552F"/>
    <w:rsid w:val="00CF5797"/>
    <w:rsid w:val="00CF597B"/>
    <w:rsid w:val="00CF5986"/>
    <w:rsid w:val="00CF5FD5"/>
    <w:rsid w:val="00CF623A"/>
    <w:rsid w:val="00CF6364"/>
    <w:rsid w:val="00CF64FA"/>
    <w:rsid w:val="00CF78A5"/>
    <w:rsid w:val="00CF7A16"/>
    <w:rsid w:val="00CF7C18"/>
    <w:rsid w:val="00D008F2"/>
    <w:rsid w:val="00D012DA"/>
    <w:rsid w:val="00D018FF"/>
    <w:rsid w:val="00D01C56"/>
    <w:rsid w:val="00D01C6B"/>
    <w:rsid w:val="00D01CF8"/>
    <w:rsid w:val="00D02447"/>
    <w:rsid w:val="00D02892"/>
    <w:rsid w:val="00D02936"/>
    <w:rsid w:val="00D02B79"/>
    <w:rsid w:val="00D0324B"/>
    <w:rsid w:val="00D0350B"/>
    <w:rsid w:val="00D037E8"/>
    <w:rsid w:val="00D039EE"/>
    <w:rsid w:val="00D03B80"/>
    <w:rsid w:val="00D03E24"/>
    <w:rsid w:val="00D0468D"/>
    <w:rsid w:val="00D04D60"/>
    <w:rsid w:val="00D05234"/>
    <w:rsid w:val="00D05A38"/>
    <w:rsid w:val="00D05D43"/>
    <w:rsid w:val="00D05E18"/>
    <w:rsid w:val="00D0606C"/>
    <w:rsid w:val="00D075E9"/>
    <w:rsid w:val="00D10DCD"/>
    <w:rsid w:val="00D1151F"/>
    <w:rsid w:val="00D11D2F"/>
    <w:rsid w:val="00D12424"/>
    <w:rsid w:val="00D1265B"/>
    <w:rsid w:val="00D12DDD"/>
    <w:rsid w:val="00D12ED0"/>
    <w:rsid w:val="00D13595"/>
    <w:rsid w:val="00D13663"/>
    <w:rsid w:val="00D13C12"/>
    <w:rsid w:val="00D1490E"/>
    <w:rsid w:val="00D14BC3"/>
    <w:rsid w:val="00D14CFB"/>
    <w:rsid w:val="00D14EBB"/>
    <w:rsid w:val="00D15094"/>
    <w:rsid w:val="00D1512D"/>
    <w:rsid w:val="00D1587C"/>
    <w:rsid w:val="00D15C87"/>
    <w:rsid w:val="00D16321"/>
    <w:rsid w:val="00D16422"/>
    <w:rsid w:val="00D167E4"/>
    <w:rsid w:val="00D16A42"/>
    <w:rsid w:val="00D16BCB"/>
    <w:rsid w:val="00D1738E"/>
    <w:rsid w:val="00D175EA"/>
    <w:rsid w:val="00D17A7F"/>
    <w:rsid w:val="00D17BB1"/>
    <w:rsid w:val="00D17DA4"/>
    <w:rsid w:val="00D20362"/>
    <w:rsid w:val="00D203DB"/>
    <w:rsid w:val="00D2074A"/>
    <w:rsid w:val="00D210CA"/>
    <w:rsid w:val="00D21270"/>
    <w:rsid w:val="00D216E3"/>
    <w:rsid w:val="00D21A29"/>
    <w:rsid w:val="00D21D2D"/>
    <w:rsid w:val="00D21D33"/>
    <w:rsid w:val="00D227D4"/>
    <w:rsid w:val="00D22A5C"/>
    <w:rsid w:val="00D232DE"/>
    <w:rsid w:val="00D2348F"/>
    <w:rsid w:val="00D24B23"/>
    <w:rsid w:val="00D256B9"/>
    <w:rsid w:val="00D25C61"/>
    <w:rsid w:val="00D25E29"/>
    <w:rsid w:val="00D25F87"/>
    <w:rsid w:val="00D2600E"/>
    <w:rsid w:val="00D26227"/>
    <w:rsid w:val="00D27508"/>
    <w:rsid w:val="00D278E2"/>
    <w:rsid w:val="00D27C34"/>
    <w:rsid w:val="00D30291"/>
    <w:rsid w:val="00D30416"/>
    <w:rsid w:val="00D305A8"/>
    <w:rsid w:val="00D305AA"/>
    <w:rsid w:val="00D30E05"/>
    <w:rsid w:val="00D31375"/>
    <w:rsid w:val="00D32089"/>
    <w:rsid w:val="00D32170"/>
    <w:rsid w:val="00D3239F"/>
    <w:rsid w:val="00D32701"/>
    <w:rsid w:val="00D32A20"/>
    <w:rsid w:val="00D32EC7"/>
    <w:rsid w:val="00D3340A"/>
    <w:rsid w:val="00D338FF"/>
    <w:rsid w:val="00D339A7"/>
    <w:rsid w:val="00D340FD"/>
    <w:rsid w:val="00D34303"/>
    <w:rsid w:val="00D34AE9"/>
    <w:rsid w:val="00D3554E"/>
    <w:rsid w:val="00D360D5"/>
    <w:rsid w:val="00D365F2"/>
    <w:rsid w:val="00D372D9"/>
    <w:rsid w:val="00D37639"/>
    <w:rsid w:val="00D37F61"/>
    <w:rsid w:val="00D403D2"/>
    <w:rsid w:val="00D404C1"/>
    <w:rsid w:val="00D40B65"/>
    <w:rsid w:val="00D40D6F"/>
    <w:rsid w:val="00D41105"/>
    <w:rsid w:val="00D415FD"/>
    <w:rsid w:val="00D41BD6"/>
    <w:rsid w:val="00D41EB4"/>
    <w:rsid w:val="00D41FC0"/>
    <w:rsid w:val="00D42024"/>
    <w:rsid w:val="00D42389"/>
    <w:rsid w:val="00D42865"/>
    <w:rsid w:val="00D4310F"/>
    <w:rsid w:val="00D436C5"/>
    <w:rsid w:val="00D43B78"/>
    <w:rsid w:val="00D43C11"/>
    <w:rsid w:val="00D444D6"/>
    <w:rsid w:val="00D45872"/>
    <w:rsid w:val="00D46340"/>
    <w:rsid w:val="00D47B26"/>
    <w:rsid w:val="00D50579"/>
    <w:rsid w:val="00D50694"/>
    <w:rsid w:val="00D5091C"/>
    <w:rsid w:val="00D51826"/>
    <w:rsid w:val="00D51AC8"/>
    <w:rsid w:val="00D52365"/>
    <w:rsid w:val="00D5244D"/>
    <w:rsid w:val="00D52EF4"/>
    <w:rsid w:val="00D53225"/>
    <w:rsid w:val="00D53B21"/>
    <w:rsid w:val="00D5419A"/>
    <w:rsid w:val="00D55483"/>
    <w:rsid w:val="00D556DA"/>
    <w:rsid w:val="00D55766"/>
    <w:rsid w:val="00D56021"/>
    <w:rsid w:val="00D568A9"/>
    <w:rsid w:val="00D56962"/>
    <w:rsid w:val="00D5710E"/>
    <w:rsid w:val="00D57131"/>
    <w:rsid w:val="00D57158"/>
    <w:rsid w:val="00D5774C"/>
    <w:rsid w:val="00D57F95"/>
    <w:rsid w:val="00D6014C"/>
    <w:rsid w:val="00D60634"/>
    <w:rsid w:val="00D6063A"/>
    <w:rsid w:val="00D60CC5"/>
    <w:rsid w:val="00D615B1"/>
    <w:rsid w:val="00D61AE8"/>
    <w:rsid w:val="00D623B9"/>
    <w:rsid w:val="00D623FC"/>
    <w:rsid w:val="00D627CD"/>
    <w:rsid w:val="00D62AD5"/>
    <w:rsid w:val="00D62E02"/>
    <w:rsid w:val="00D62EB6"/>
    <w:rsid w:val="00D6332D"/>
    <w:rsid w:val="00D6395D"/>
    <w:rsid w:val="00D642A0"/>
    <w:rsid w:val="00D649BA"/>
    <w:rsid w:val="00D659AB"/>
    <w:rsid w:val="00D660DC"/>
    <w:rsid w:val="00D665EF"/>
    <w:rsid w:val="00D6688E"/>
    <w:rsid w:val="00D66B0D"/>
    <w:rsid w:val="00D66FEE"/>
    <w:rsid w:val="00D706C5"/>
    <w:rsid w:val="00D70A78"/>
    <w:rsid w:val="00D70AAB"/>
    <w:rsid w:val="00D70C48"/>
    <w:rsid w:val="00D70CE2"/>
    <w:rsid w:val="00D71811"/>
    <w:rsid w:val="00D71BF0"/>
    <w:rsid w:val="00D71C15"/>
    <w:rsid w:val="00D71CEB"/>
    <w:rsid w:val="00D71D92"/>
    <w:rsid w:val="00D72230"/>
    <w:rsid w:val="00D722A1"/>
    <w:rsid w:val="00D7416F"/>
    <w:rsid w:val="00D745E3"/>
    <w:rsid w:val="00D7499C"/>
    <w:rsid w:val="00D74C8E"/>
    <w:rsid w:val="00D754CD"/>
    <w:rsid w:val="00D75669"/>
    <w:rsid w:val="00D75CCA"/>
    <w:rsid w:val="00D7600E"/>
    <w:rsid w:val="00D763A5"/>
    <w:rsid w:val="00D778C5"/>
    <w:rsid w:val="00D779FC"/>
    <w:rsid w:val="00D77E78"/>
    <w:rsid w:val="00D80061"/>
    <w:rsid w:val="00D8010F"/>
    <w:rsid w:val="00D8035F"/>
    <w:rsid w:val="00D80A6F"/>
    <w:rsid w:val="00D810CF"/>
    <w:rsid w:val="00D81CF1"/>
    <w:rsid w:val="00D82995"/>
    <w:rsid w:val="00D82B8B"/>
    <w:rsid w:val="00D83081"/>
    <w:rsid w:val="00D843E6"/>
    <w:rsid w:val="00D84EB8"/>
    <w:rsid w:val="00D85282"/>
    <w:rsid w:val="00D8598A"/>
    <w:rsid w:val="00D8607E"/>
    <w:rsid w:val="00D86419"/>
    <w:rsid w:val="00D86626"/>
    <w:rsid w:val="00D867F6"/>
    <w:rsid w:val="00D8689C"/>
    <w:rsid w:val="00D8764B"/>
    <w:rsid w:val="00D87E97"/>
    <w:rsid w:val="00D901D1"/>
    <w:rsid w:val="00D91424"/>
    <w:rsid w:val="00D9172E"/>
    <w:rsid w:val="00D91A58"/>
    <w:rsid w:val="00D91AE8"/>
    <w:rsid w:val="00D9212A"/>
    <w:rsid w:val="00D92D5B"/>
    <w:rsid w:val="00D95406"/>
    <w:rsid w:val="00D954FD"/>
    <w:rsid w:val="00D9589E"/>
    <w:rsid w:val="00D95C92"/>
    <w:rsid w:val="00D96184"/>
    <w:rsid w:val="00D96B54"/>
    <w:rsid w:val="00D970A9"/>
    <w:rsid w:val="00D97103"/>
    <w:rsid w:val="00D974ED"/>
    <w:rsid w:val="00DA0069"/>
    <w:rsid w:val="00DA0341"/>
    <w:rsid w:val="00DA0C6E"/>
    <w:rsid w:val="00DA17CC"/>
    <w:rsid w:val="00DA1E1A"/>
    <w:rsid w:val="00DA29E0"/>
    <w:rsid w:val="00DA3318"/>
    <w:rsid w:val="00DA387E"/>
    <w:rsid w:val="00DA3B96"/>
    <w:rsid w:val="00DA3C6D"/>
    <w:rsid w:val="00DA3DA8"/>
    <w:rsid w:val="00DA4FCB"/>
    <w:rsid w:val="00DA5DED"/>
    <w:rsid w:val="00DA5F1A"/>
    <w:rsid w:val="00DA614E"/>
    <w:rsid w:val="00DA6469"/>
    <w:rsid w:val="00DA6B88"/>
    <w:rsid w:val="00DA6DA0"/>
    <w:rsid w:val="00DA767F"/>
    <w:rsid w:val="00DA76F2"/>
    <w:rsid w:val="00DB0E6C"/>
    <w:rsid w:val="00DB0EF6"/>
    <w:rsid w:val="00DB15F2"/>
    <w:rsid w:val="00DB177F"/>
    <w:rsid w:val="00DB235A"/>
    <w:rsid w:val="00DB2668"/>
    <w:rsid w:val="00DB2811"/>
    <w:rsid w:val="00DB3A3F"/>
    <w:rsid w:val="00DB3B99"/>
    <w:rsid w:val="00DB3C54"/>
    <w:rsid w:val="00DB4260"/>
    <w:rsid w:val="00DB4366"/>
    <w:rsid w:val="00DB48A7"/>
    <w:rsid w:val="00DB494B"/>
    <w:rsid w:val="00DB53BD"/>
    <w:rsid w:val="00DB56A7"/>
    <w:rsid w:val="00DB6136"/>
    <w:rsid w:val="00DB64EF"/>
    <w:rsid w:val="00DB7A11"/>
    <w:rsid w:val="00DB7BAF"/>
    <w:rsid w:val="00DB7DB7"/>
    <w:rsid w:val="00DC04E9"/>
    <w:rsid w:val="00DC08EA"/>
    <w:rsid w:val="00DC0E28"/>
    <w:rsid w:val="00DC1163"/>
    <w:rsid w:val="00DC1497"/>
    <w:rsid w:val="00DC21C5"/>
    <w:rsid w:val="00DC22D7"/>
    <w:rsid w:val="00DC2D44"/>
    <w:rsid w:val="00DC2E19"/>
    <w:rsid w:val="00DC3030"/>
    <w:rsid w:val="00DC3181"/>
    <w:rsid w:val="00DC3F11"/>
    <w:rsid w:val="00DC4EB5"/>
    <w:rsid w:val="00DC5452"/>
    <w:rsid w:val="00DC5974"/>
    <w:rsid w:val="00DC6196"/>
    <w:rsid w:val="00DC6F10"/>
    <w:rsid w:val="00DC796B"/>
    <w:rsid w:val="00DD1788"/>
    <w:rsid w:val="00DD220C"/>
    <w:rsid w:val="00DD22A2"/>
    <w:rsid w:val="00DD2E7E"/>
    <w:rsid w:val="00DD40A4"/>
    <w:rsid w:val="00DD4517"/>
    <w:rsid w:val="00DD49DA"/>
    <w:rsid w:val="00DD49F4"/>
    <w:rsid w:val="00DD4CB9"/>
    <w:rsid w:val="00DD4DD3"/>
    <w:rsid w:val="00DD57E7"/>
    <w:rsid w:val="00DD5ABC"/>
    <w:rsid w:val="00DD5AD7"/>
    <w:rsid w:val="00DD66E2"/>
    <w:rsid w:val="00DD7DC3"/>
    <w:rsid w:val="00DE096B"/>
    <w:rsid w:val="00DE1C64"/>
    <w:rsid w:val="00DE20AA"/>
    <w:rsid w:val="00DE279E"/>
    <w:rsid w:val="00DE3027"/>
    <w:rsid w:val="00DE396E"/>
    <w:rsid w:val="00DE3FA7"/>
    <w:rsid w:val="00DE40B9"/>
    <w:rsid w:val="00DE42D9"/>
    <w:rsid w:val="00DE4D8E"/>
    <w:rsid w:val="00DE4E28"/>
    <w:rsid w:val="00DE51AC"/>
    <w:rsid w:val="00DE529D"/>
    <w:rsid w:val="00DE53C2"/>
    <w:rsid w:val="00DE547D"/>
    <w:rsid w:val="00DE7295"/>
    <w:rsid w:val="00DE73CB"/>
    <w:rsid w:val="00DE79CC"/>
    <w:rsid w:val="00DE7B84"/>
    <w:rsid w:val="00DF0E06"/>
    <w:rsid w:val="00DF0EDC"/>
    <w:rsid w:val="00DF1DE6"/>
    <w:rsid w:val="00DF252B"/>
    <w:rsid w:val="00DF2D98"/>
    <w:rsid w:val="00DF2E62"/>
    <w:rsid w:val="00DF3116"/>
    <w:rsid w:val="00DF37E2"/>
    <w:rsid w:val="00DF3AB2"/>
    <w:rsid w:val="00DF3BC9"/>
    <w:rsid w:val="00DF3BEE"/>
    <w:rsid w:val="00DF40E6"/>
    <w:rsid w:val="00DF53EE"/>
    <w:rsid w:val="00DF62CC"/>
    <w:rsid w:val="00DF6823"/>
    <w:rsid w:val="00DF68C2"/>
    <w:rsid w:val="00DF69D6"/>
    <w:rsid w:val="00DF6A27"/>
    <w:rsid w:val="00DF723E"/>
    <w:rsid w:val="00DF78D6"/>
    <w:rsid w:val="00E003C6"/>
    <w:rsid w:val="00E003DB"/>
    <w:rsid w:val="00E00A96"/>
    <w:rsid w:val="00E00E3A"/>
    <w:rsid w:val="00E0161F"/>
    <w:rsid w:val="00E021F0"/>
    <w:rsid w:val="00E026A1"/>
    <w:rsid w:val="00E03A2B"/>
    <w:rsid w:val="00E03AB2"/>
    <w:rsid w:val="00E03ADC"/>
    <w:rsid w:val="00E03AE4"/>
    <w:rsid w:val="00E03F86"/>
    <w:rsid w:val="00E0433C"/>
    <w:rsid w:val="00E04444"/>
    <w:rsid w:val="00E05E45"/>
    <w:rsid w:val="00E0613F"/>
    <w:rsid w:val="00E068AA"/>
    <w:rsid w:val="00E06C7D"/>
    <w:rsid w:val="00E06FC7"/>
    <w:rsid w:val="00E077E4"/>
    <w:rsid w:val="00E1088A"/>
    <w:rsid w:val="00E10E08"/>
    <w:rsid w:val="00E112A0"/>
    <w:rsid w:val="00E113BF"/>
    <w:rsid w:val="00E117E3"/>
    <w:rsid w:val="00E118C0"/>
    <w:rsid w:val="00E11B19"/>
    <w:rsid w:val="00E12185"/>
    <w:rsid w:val="00E1233A"/>
    <w:rsid w:val="00E12542"/>
    <w:rsid w:val="00E129EF"/>
    <w:rsid w:val="00E12CF1"/>
    <w:rsid w:val="00E13170"/>
    <w:rsid w:val="00E13550"/>
    <w:rsid w:val="00E13B6C"/>
    <w:rsid w:val="00E1503B"/>
    <w:rsid w:val="00E15A8F"/>
    <w:rsid w:val="00E15EC8"/>
    <w:rsid w:val="00E16FF5"/>
    <w:rsid w:val="00E20C31"/>
    <w:rsid w:val="00E2101B"/>
    <w:rsid w:val="00E2104F"/>
    <w:rsid w:val="00E210CE"/>
    <w:rsid w:val="00E21953"/>
    <w:rsid w:val="00E21B16"/>
    <w:rsid w:val="00E22337"/>
    <w:rsid w:val="00E228BE"/>
    <w:rsid w:val="00E229CD"/>
    <w:rsid w:val="00E22B50"/>
    <w:rsid w:val="00E22F1B"/>
    <w:rsid w:val="00E23653"/>
    <w:rsid w:val="00E23E7A"/>
    <w:rsid w:val="00E24CA4"/>
    <w:rsid w:val="00E27759"/>
    <w:rsid w:val="00E301E2"/>
    <w:rsid w:val="00E302E7"/>
    <w:rsid w:val="00E3033C"/>
    <w:rsid w:val="00E30BD0"/>
    <w:rsid w:val="00E30CCA"/>
    <w:rsid w:val="00E30FD8"/>
    <w:rsid w:val="00E310CE"/>
    <w:rsid w:val="00E31F1D"/>
    <w:rsid w:val="00E335E9"/>
    <w:rsid w:val="00E34078"/>
    <w:rsid w:val="00E34453"/>
    <w:rsid w:val="00E36AE6"/>
    <w:rsid w:val="00E36F06"/>
    <w:rsid w:val="00E37927"/>
    <w:rsid w:val="00E37B12"/>
    <w:rsid w:val="00E4015C"/>
    <w:rsid w:val="00E4050F"/>
    <w:rsid w:val="00E406BF"/>
    <w:rsid w:val="00E41A44"/>
    <w:rsid w:val="00E41A8A"/>
    <w:rsid w:val="00E42069"/>
    <w:rsid w:val="00E433D7"/>
    <w:rsid w:val="00E43714"/>
    <w:rsid w:val="00E43908"/>
    <w:rsid w:val="00E44077"/>
    <w:rsid w:val="00E4410F"/>
    <w:rsid w:val="00E44427"/>
    <w:rsid w:val="00E45331"/>
    <w:rsid w:val="00E453CB"/>
    <w:rsid w:val="00E4552B"/>
    <w:rsid w:val="00E45554"/>
    <w:rsid w:val="00E45BB9"/>
    <w:rsid w:val="00E46023"/>
    <w:rsid w:val="00E46513"/>
    <w:rsid w:val="00E46F66"/>
    <w:rsid w:val="00E47A90"/>
    <w:rsid w:val="00E47D36"/>
    <w:rsid w:val="00E47E9C"/>
    <w:rsid w:val="00E47F4E"/>
    <w:rsid w:val="00E50C1F"/>
    <w:rsid w:val="00E50D65"/>
    <w:rsid w:val="00E513F0"/>
    <w:rsid w:val="00E51661"/>
    <w:rsid w:val="00E51CFE"/>
    <w:rsid w:val="00E5270D"/>
    <w:rsid w:val="00E52916"/>
    <w:rsid w:val="00E529BE"/>
    <w:rsid w:val="00E52F9F"/>
    <w:rsid w:val="00E53AF0"/>
    <w:rsid w:val="00E542A3"/>
    <w:rsid w:val="00E54396"/>
    <w:rsid w:val="00E544E5"/>
    <w:rsid w:val="00E5565B"/>
    <w:rsid w:val="00E56286"/>
    <w:rsid w:val="00E566B3"/>
    <w:rsid w:val="00E569C6"/>
    <w:rsid w:val="00E56B0E"/>
    <w:rsid w:val="00E60023"/>
    <w:rsid w:val="00E60441"/>
    <w:rsid w:val="00E60A35"/>
    <w:rsid w:val="00E60E88"/>
    <w:rsid w:val="00E617F2"/>
    <w:rsid w:val="00E624E6"/>
    <w:rsid w:val="00E626C5"/>
    <w:rsid w:val="00E62BFE"/>
    <w:rsid w:val="00E62F1B"/>
    <w:rsid w:val="00E636F3"/>
    <w:rsid w:val="00E63F1A"/>
    <w:rsid w:val="00E63F73"/>
    <w:rsid w:val="00E64149"/>
    <w:rsid w:val="00E64A02"/>
    <w:rsid w:val="00E65256"/>
    <w:rsid w:val="00E66469"/>
    <w:rsid w:val="00E66654"/>
    <w:rsid w:val="00E668F0"/>
    <w:rsid w:val="00E672C0"/>
    <w:rsid w:val="00E6799D"/>
    <w:rsid w:val="00E679A2"/>
    <w:rsid w:val="00E700D7"/>
    <w:rsid w:val="00E704FC"/>
    <w:rsid w:val="00E70C3A"/>
    <w:rsid w:val="00E712E9"/>
    <w:rsid w:val="00E7222B"/>
    <w:rsid w:val="00E72266"/>
    <w:rsid w:val="00E7243E"/>
    <w:rsid w:val="00E72820"/>
    <w:rsid w:val="00E72D00"/>
    <w:rsid w:val="00E731AD"/>
    <w:rsid w:val="00E735DA"/>
    <w:rsid w:val="00E7417E"/>
    <w:rsid w:val="00E746C8"/>
    <w:rsid w:val="00E74B67"/>
    <w:rsid w:val="00E74D14"/>
    <w:rsid w:val="00E76697"/>
    <w:rsid w:val="00E76AC2"/>
    <w:rsid w:val="00E76F89"/>
    <w:rsid w:val="00E76FD0"/>
    <w:rsid w:val="00E77221"/>
    <w:rsid w:val="00E77644"/>
    <w:rsid w:val="00E77858"/>
    <w:rsid w:val="00E77981"/>
    <w:rsid w:val="00E80C10"/>
    <w:rsid w:val="00E819A0"/>
    <w:rsid w:val="00E819FD"/>
    <w:rsid w:val="00E821F1"/>
    <w:rsid w:val="00E827A3"/>
    <w:rsid w:val="00E827CC"/>
    <w:rsid w:val="00E83104"/>
    <w:rsid w:val="00E83294"/>
    <w:rsid w:val="00E833CC"/>
    <w:rsid w:val="00E83828"/>
    <w:rsid w:val="00E84449"/>
    <w:rsid w:val="00E8445C"/>
    <w:rsid w:val="00E847ED"/>
    <w:rsid w:val="00E84B00"/>
    <w:rsid w:val="00E85326"/>
    <w:rsid w:val="00E856C6"/>
    <w:rsid w:val="00E85D6F"/>
    <w:rsid w:val="00E8600F"/>
    <w:rsid w:val="00E86042"/>
    <w:rsid w:val="00E86315"/>
    <w:rsid w:val="00E86484"/>
    <w:rsid w:val="00E87A02"/>
    <w:rsid w:val="00E90385"/>
    <w:rsid w:val="00E912B9"/>
    <w:rsid w:val="00E91502"/>
    <w:rsid w:val="00E916E7"/>
    <w:rsid w:val="00E91936"/>
    <w:rsid w:val="00E91EAC"/>
    <w:rsid w:val="00E9258E"/>
    <w:rsid w:val="00E92B5A"/>
    <w:rsid w:val="00E939EE"/>
    <w:rsid w:val="00E93B89"/>
    <w:rsid w:val="00E94715"/>
    <w:rsid w:val="00E94A87"/>
    <w:rsid w:val="00E95509"/>
    <w:rsid w:val="00E95A26"/>
    <w:rsid w:val="00E95CCE"/>
    <w:rsid w:val="00E96026"/>
    <w:rsid w:val="00E9671F"/>
    <w:rsid w:val="00E96BA1"/>
    <w:rsid w:val="00E97161"/>
    <w:rsid w:val="00EA0095"/>
    <w:rsid w:val="00EA0B9E"/>
    <w:rsid w:val="00EA0E56"/>
    <w:rsid w:val="00EA0F70"/>
    <w:rsid w:val="00EA1205"/>
    <w:rsid w:val="00EA1418"/>
    <w:rsid w:val="00EA2594"/>
    <w:rsid w:val="00EA289D"/>
    <w:rsid w:val="00EA2C43"/>
    <w:rsid w:val="00EA3080"/>
    <w:rsid w:val="00EA381F"/>
    <w:rsid w:val="00EA395D"/>
    <w:rsid w:val="00EA4552"/>
    <w:rsid w:val="00EA47D4"/>
    <w:rsid w:val="00EA4A32"/>
    <w:rsid w:val="00EA4BEA"/>
    <w:rsid w:val="00EA5892"/>
    <w:rsid w:val="00EA5A62"/>
    <w:rsid w:val="00EA5D52"/>
    <w:rsid w:val="00EA642F"/>
    <w:rsid w:val="00EA68C2"/>
    <w:rsid w:val="00EB0198"/>
    <w:rsid w:val="00EB0BEE"/>
    <w:rsid w:val="00EB0E11"/>
    <w:rsid w:val="00EB135A"/>
    <w:rsid w:val="00EB1A87"/>
    <w:rsid w:val="00EB2270"/>
    <w:rsid w:val="00EB288C"/>
    <w:rsid w:val="00EB2A0B"/>
    <w:rsid w:val="00EB2F4F"/>
    <w:rsid w:val="00EB397E"/>
    <w:rsid w:val="00EB3D6C"/>
    <w:rsid w:val="00EB47BE"/>
    <w:rsid w:val="00EB4851"/>
    <w:rsid w:val="00EB4B6F"/>
    <w:rsid w:val="00EB4BEB"/>
    <w:rsid w:val="00EB4DFB"/>
    <w:rsid w:val="00EB53BB"/>
    <w:rsid w:val="00EB5472"/>
    <w:rsid w:val="00EB5558"/>
    <w:rsid w:val="00EB57CE"/>
    <w:rsid w:val="00EB57D8"/>
    <w:rsid w:val="00EB6240"/>
    <w:rsid w:val="00EB644D"/>
    <w:rsid w:val="00EB7140"/>
    <w:rsid w:val="00EB72DC"/>
    <w:rsid w:val="00EB77BD"/>
    <w:rsid w:val="00EB7BB1"/>
    <w:rsid w:val="00EC056E"/>
    <w:rsid w:val="00EC057A"/>
    <w:rsid w:val="00EC1656"/>
    <w:rsid w:val="00EC184E"/>
    <w:rsid w:val="00EC19E6"/>
    <w:rsid w:val="00EC26DB"/>
    <w:rsid w:val="00EC2B2F"/>
    <w:rsid w:val="00EC2F8B"/>
    <w:rsid w:val="00EC3426"/>
    <w:rsid w:val="00EC3F18"/>
    <w:rsid w:val="00EC4AE5"/>
    <w:rsid w:val="00EC4FF4"/>
    <w:rsid w:val="00EC6966"/>
    <w:rsid w:val="00EC6C06"/>
    <w:rsid w:val="00EC7531"/>
    <w:rsid w:val="00EC753E"/>
    <w:rsid w:val="00EC7780"/>
    <w:rsid w:val="00EC78EB"/>
    <w:rsid w:val="00ED0247"/>
    <w:rsid w:val="00ED0537"/>
    <w:rsid w:val="00ED0BA7"/>
    <w:rsid w:val="00ED0C2E"/>
    <w:rsid w:val="00ED122E"/>
    <w:rsid w:val="00ED131A"/>
    <w:rsid w:val="00ED135E"/>
    <w:rsid w:val="00ED1903"/>
    <w:rsid w:val="00ED1FA3"/>
    <w:rsid w:val="00ED34DF"/>
    <w:rsid w:val="00ED3B5C"/>
    <w:rsid w:val="00ED3D92"/>
    <w:rsid w:val="00ED3EB8"/>
    <w:rsid w:val="00ED414A"/>
    <w:rsid w:val="00ED482D"/>
    <w:rsid w:val="00ED5107"/>
    <w:rsid w:val="00ED5670"/>
    <w:rsid w:val="00ED5800"/>
    <w:rsid w:val="00ED5F25"/>
    <w:rsid w:val="00ED60FB"/>
    <w:rsid w:val="00ED612A"/>
    <w:rsid w:val="00ED6A56"/>
    <w:rsid w:val="00ED6E0D"/>
    <w:rsid w:val="00ED6F66"/>
    <w:rsid w:val="00ED7150"/>
    <w:rsid w:val="00ED7D85"/>
    <w:rsid w:val="00EE001B"/>
    <w:rsid w:val="00EE0654"/>
    <w:rsid w:val="00EE07A5"/>
    <w:rsid w:val="00EE0F9A"/>
    <w:rsid w:val="00EE15B1"/>
    <w:rsid w:val="00EE1A5A"/>
    <w:rsid w:val="00EE2B5E"/>
    <w:rsid w:val="00EE3217"/>
    <w:rsid w:val="00EE34D6"/>
    <w:rsid w:val="00EE3E8D"/>
    <w:rsid w:val="00EE4095"/>
    <w:rsid w:val="00EE460C"/>
    <w:rsid w:val="00EE48E8"/>
    <w:rsid w:val="00EE4C76"/>
    <w:rsid w:val="00EE4DDE"/>
    <w:rsid w:val="00EE4F1E"/>
    <w:rsid w:val="00EE5784"/>
    <w:rsid w:val="00EE6138"/>
    <w:rsid w:val="00EE628E"/>
    <w:rsid w:val="00EE6882"/>
    <w:rsid w:val="00EE68D4"/>
    <w:rsid w:val="00EF07D0"/>
    <w:rsid w:val="00EF08B0"/>
    <w:rsid w:val="00EF0D7C"/>
    <w:rsid w:val="00EF0E6D"/>
    <w:rsid w:val="00EF109B"/>
    <w:rsid w:val="00EF156B"/>
    <w:rsid w:val="00EF1CC0"/>
    <w:rsid w:val="00EF2B89"/>
    <w:rsid w:val="00EF356D"/>
    <w:rsid w:val="00EF3A49"/>
    <w:rsid w:val="00EF3C52"/>
    <w:rsid w:val="00EF3CDD"/>
    <w:rsid w:val="00EF4F82"/>
    <w:rsid w:val="00EF5D51"/>
    <w:rsid w:val="00EF5DC7"/>
    <w:rsid w:val="00EF6094"/>
    <w:rsid w:val="00EF647B"/>
    <w:rsid w:val="00EF69C2"/>
    <w:rsid w:val="00EF6C83"/>
    <w:rsid w:val="00EF701F"/>
    <w:rsid w:val="00EF71E7"/>
    <w:rsid w:val="00EF7AB0"/>
    <w:rsid w:val="00EF7FB3"/>
    <w:rsid w:val="00F001D0"/>
    <w:rsid w:val="00F005AA"/>
    <w:rsid w:val="00F01C99"/>
    <w:rsid w:val="00F0207A"/>
    <w:rsid w:val="00F0215C"/>
    <w:rsid w:val="00F022FB"/>
    <w:rsid w:val="00F02EE2"/>
    <w:rsid w:val="00F03681"/>
    <w:rsid w:val="00F03E44"/>
    <w:rsid w:val="00F04822"/>
    <w:rsid w:val="00F04EAF"/>
    <w:rsid w:val="00F05BF9"/>
    <w:rsid w:val="00F06038"/>
    <w:rsid w:val="00F11347"/>
    <w:rsid w:val="00F11DDB"/>
    <w:rsid w:val="00F12732"/>
    <w:rsid w:val="00F127FD"/>
    <w:rsid w:val="00F13634"/>
    <w:rsid w:val="00F13763"/>
    <w:rsid w:val="00F13D74"/>
    <w:rsid w:val="00F13E55"/>
    <w:rsid w:val="00F1432D"/>
    <w:rsid w:val="00F1451A"/>
    <w:rsid w:val="00F14B02"/>
    <w:rsid w:val="00F14B80"/>
    <w:rsid w:val="00F14B85"/>
    <w:rsid w:val="00F14D4B"/>
    <w:rsid w:val="00F15956"/>
    <w:rsid w:val="00F15F95"/>
    <w:rsid w:val="00F1697A"/>
    <w:rsid w:val="00F16C46"/>
    <w:rsid w:val="00F17DD0"/>
    <w:rsid w:val="00F20E40"/>
    <w:rsid w:val="00F2124C"/>
    <w:rsid w:val="00F21B4E"/>
    <w:rsid w:val="00F22005"/>
    <w:rsid w:val="00F232E4"/>
    <w:rsid w:val="00F234D0"/>
    <w:rsid w:val="00F2449C"/>
    <w:rsid w:val="00F25B86"/>
    <w:rsid w:val="00F2755A"/>
    <w:rsid w:val="00F2775A"/>
    <w:rsid w:val="00F278FB"/>
    <w:rsid w:val="00F30174"/>
    <w:rsid w:val="00F30237"/>
    <w:rsid w:val="00F306DB"/>
    <w:rsid w:val="00F310B3"/>
    <w:rsid w:val="00F316C8"/>
    <w:rsid w:val="00F31884"/>
    <w:rsid w:val="00F326CE"/>
    <w:rsid w:val="00F33211"/>
    <w:rsid w:val="00F336D2"/>
    <w:rsid w:val="00F3373D"/>
    <w:rsid w:val="00F33ABA"/>
    <w:rsid w:val="00F33F96"/>
    <w:rsid w:val="00F343F2"/>
    <w:rsid w:val="00F3463D"/>
    <w:rsid w:val="00F34702"/>
    <w:rsid w:val="00F34BC2"/>
    <w:rsid w:val="00F34F06"/>
    <w:rsid w:val="00F35592"/>
    <w:rsid w:val="00F35A54"/>
    <w:rsid w:val="00F360FA"/>
    <w:rsid w:val="00F36257"/>
    <w:rsid w:val="00F3717C"/>
    <w:rsid w:val="00F37A6A"/>
    <w:rsid w:val="00F37CBE"/>
    <w:rsid w:val="00F40191"/>
    <w:rsid w:val="00F40662"/>
    <w:rsid w:val="00F40B17"/>
    <w:rsid w:val="00F40DC5"/>
    <w:rsid w:val="00F40F93"/>
    <w:rsid w:val="00F41637"/>
    <w:rsid w:val="00F41C88"/>
    <w:rsid w:val="00F420EA"/>
    <w:rsid w:val="00F421AE"/>
    <w:rsid w:val="00F42587"/>
    <w:rsid w:val="00F4369A"/>
    <w:rsid w:val="00F4388E"/>
    <w:rsid w:val="00F4495D"/>
    <w:rsid w:val="00F44BED"/>
    <w:rsid w:val="00F44C3D"/>
    <w:rsid w:val="00F44D9C"/>
    <w:rsid w:val="00F44F68"/>
    <w:rsid w:val="00F45890"/>
    <w:rsid w:val="00F45917"/>
    <w:rsid w:val="00F45974"/>
    <w:rsid w:val="00F45992"/>
    <w:rsid w:val="00F4628B"/>
    <w:rsid w:val="00F46819"/>
    <w:rsid w:val="00F46936"/>
    <w:rsid w:val="00F5181B"/>
    <w:rsid w:val="00F51835"/>
    <w:rsid w:val="00F51A95"/>
    <w:rsid w:val="00F520E1"/>
    <w:rsid w:val="00F5254C"/>
    <w:rsid w:val="00F52AC1"/>
    <w:rsid w:val="00F52E33"/>
    <w:rsid w:val="00F52E91"/>
    <w:rsid w:val="00F52E98"/>
    <w:rsid w:val="00F53E1E"/>
    <w:rsid w:val="00F54165"/>
    <w:rsid w:val="00F541DD"/>
    <w:rsid w:val="00F54910"/>
    <w:rsid w:val="00F54E3D"/>
    <w:rsid w:val="00F54FDB"/>
    <w:rsid w:val="00F55165"/>
    <w:rsid w:val="00F55313"/>
    <w:rsid w:val="00F55E87"/>
    <w:rsid w:val="00F565FA"/>
    <w:rsid w:val="00F567E3"/>
    <w:rsid w:val="00F56CE9"/>
    <w:rsid w:val="00F570E4"/>
    <w:rsid w:val="00F60901"/>
    <w:rsid w:val="00F60AB0"/>
    <w:rsid w:val="00F6102B"/>
    <w:rsid w:val="00F6158C"/>
    <w:rsid w:val="00F6173C"/>
    <w:rsid w:val="00F619CC"/>
    <w:rsid w:val="00F62615"/>
    <w:rsid w:val="00F6299B"/>
    <w:rsid w:val="00F62D08"/>
    <w:rsid w:val="00F63B70"/>
    <w:rsid w:val="00F63C89"/>
    <w:rsid w:val="00F63D6E"/>
    <w:rsid w:val="00F64537"/>
    <w:rsid w:val="00F665A3"/>
    <w:rsid w:val="00F673FA"/>
    <w:rsid w:val="00F706D0"/>
    <w:rsid w:val="00F71510"/>
    <w:rsid w:val="00F721FF"/>
    <w:rsid w:val="00F7276B"/>
    <w:rsid w:val="00F72CE2"/>
    <w:rsid w:val="00F74995"/>
    <w:rsid w:val="00F74BF2"/>
    <w:rsid w:val="00F7590A"/>
    <w:rsid w:val="00F75999"/>
    <w:rsid w:val="00F76A4E"/>
    <w:rsid w:val="00F76BFA"/>
    <w:rsid w:val="00F770B9"/>
    <w:rsid w:val="00F77431"/>
    <w:rsid w:val="00F77485"/>
    <w:rsid w:val="00F77756"/>
    <w:rsid w:val="00F77F2E"/>
    <w:rsid w:val="00F804E6"/>
    <w:rsid w:val="00F80760"/>
    <w:rsid w:val="00F809FC"/>
    <w:rsid w:val="00F80FF6"/>
    <w:rsid w:val="00F81505"/>
    <w:rsid w:val="00F815B3"/>
    <w:rsid w:val="00F81FC1"/>
    <w:rsid w:val="00F82751"/>
    <w:rsid w:val="00F829CE"/>
    <w:rsid w:val="00F834E8"/>
    <w:rsid w:val="00F83684"/>
    <w:rsid w:val="00F84325"/>
    <w:rsid w:val="00F84A7B"/>
    <w:rsid w:val="00F84CFE"/>
    <w:rsid w:val="00F85285"/>
    <w:rsid w:val="00F856F4"/>
    <w:rsid w:val="00F85DA4"/>
    <w:rsid w:val="00F8649B"/>
    <w:rsid w:val="00F86D86"/>
    <w:rsid w:val="00F86FD9"/>
    <w:rsid w:val="00F876FD"/>
    <w:rsid w:val="00F877F2"/>
    <w:rsid w:val="00F879B8"/>
    <w:rsid w:val="00F90056"/>
    <w:rsid w:val="00F901A7"/>
    <w:rsid w:val="00F91280"/>
    <w:rsid w:val="00F914BF"/>
    <w:rsid w:val="00F914E5"/>
    <w:rsid w:val="00F91A2E"/>
    <w:rsid w:val="00F91DB3"/>
    <w:rsid w:val="00F9249B"/>
    <w:rsid w:val="00F9267F"/>
    <w:rsid w:val="00F932B5"/>
    <w:rsid w:val="00F934F0"/>
    <w:rsid w:val="00F93CE1"/>
    <w:rsid w:val="00F95349"/>
    <w:rsid w:val="00F9559F"/>
    <w:rsid w:val="00F958B1"/>
    <w:rsid w:val="00F95B03"/>
    <w:rsid w:val="00F96627"/>
    <w:rsid w:val="00F96732"/>
    <w:rsid w:val="00F96C0E"/>
    <w:rsid w:val="00F972F9"/>
    <w:rsid w:val="00F97557"/>
    <w:rsid w:val="00FA2222"/>
    <w:rsid w:val="00FA2459"/>
    <w:rsid w:val="00FA27B2"/>
    <w:rsid w:val="00FA331B"/>
    <w:rsid w:val="00FA37CC"/>
    <w:rsid w:val="00FA41BB"/>
    <w:rsid w:val="00FA44F1"/>
    <w:rsid w:val="00FA4C09"/>
    <w:rsid w:val="00FA5751"/>
    <w:rsid w:val="00FA5963"/>
    <w:rsid w:val="00FA65CC"/>
    <w:rsid w:val="00FA696E"/>
    <w:rsid w:val="00FA75E4"/>
    <w:rsid w:val="00FA7886"/>
    <w:rsid w:val="00FA7A70"/>
    <w:rsid w:val="00FB00F4"/>
    <w:rsid w:val="00FB02DB"/>
    <w:rsid w:val="00FB0B19"/>
    <w:rsid w:val="00FB1189"/>
    <w:rsid w:val="00FB230C"/>
    <w:rsid w:val="00FB377E"/>
    <w:rsid w:val="00FB3E8E"/>
    <w:rsid w:val="00FB4D9B"/>
    <w:rsid w:val="00FB68E0"/>
    <w:rsid w:val="00FB6964"/>
    <w:rsid w:val="00FB73FC"/>
    <w:rsid w:val="00FB7734"/>
    <w:rsid w:val="00FB7C2F"/>
    <w:rsid w:val="00FB7CC7"/>
    <w:rsid w:val="00FC0206"/>
    <w:rsid w:val="00FC05D4"/>
    <w:rsid w:val="00FC0D32"/>
    <w:rsid w:val="00FC177F"/>
    <w:rsid w:val="00FC1A00"/>
    <w:rsid w:val="00FC1AE0"/>
    <w:rsid w:val="00FC1B55"/>
    <w:rsid w:val="00FC2161"/>
    <w:rsid w:val="00FC32F1"/>
    <w:rsid w:val="00FC3325"/>
    <w:rsid w:val="00FC4292"/>
    <w:rsid w:val="00FC43D8"/>
    <w:rsid w:val="00FC4C95"/>
    <w:rsid w:val="00FC4F9C"/>
    <w:rsid w:val="00FC5437"/>
    <w:rsid w:val="00FC5AA6"/>
    <w:rsid w:val="00FC6D04"/>
    <w:rsid w:val="00FC71AA"/>
    <w:rsid w:val="00FC7296"/>
    <w:rsid w:val="00FC72A1"/>
    <w:rsid w:val="00FC7369"/>
    <w:rsid w:val="00FC7EF8"/>
    <w:rsid w:val="00FD03E4"/>
    <w:rsid w:val="00FD0FFB"/>
    <w:rsid w:val="00FD11B0"/>
    <w:rsid w:val="00FD125C"/>
    <w:rsid w:val="00FD15ED"/>
    <w:rsid w:val="00FD18B1"/>
    <w:rsid w:val="00FD1C24"/>
    <w:rsid w:val="00FD42F8"/>
    <w:rsid w:val="00FD4CCF"/>
    <w:rsid w:val="00FD4FAA"/>
    <w:rsid w:val="00FD542C"/>
    <w:rsid w:val="00FD63F4"/>
    <w:rsid w:val="00FD6506"/>
    <w:rsid w:val="00FD66E7"/>
    <w:rsid w:val="00FE025A"/>
    <w:rsid w:val="00FE0359"/>
    <w:rsid w:val="00FE0922"/>
    <w:rsid w:val="00FE0AE9"/>
    <w:rsid w:val="00FE0B90"/>
    <w:rsid w:val="00FE182F"/>
    <w:rsid w:val="00FE21C7"/>
    <w:rsid w:val="00FE24EE"/>
    <w:rsid w:val="00FE2822"/>
    <w:rsid w:val="00FE2D56"/>
    <w:rsid w:val="00FE320B"/>
    <w:rsid w:val="00FE4216"/>
    <w:rsid w:val="00FE4A0A"/>
    <w:rsid w:val="00FE568B"/>
    <w:rsid w:val="00FE6791"/>
    <w:rsid w:val="00FE6A56"/>
    <w:rsid w:val="00FE6AB3"/>
    <w:rsid w:val="00FE6C8E"/>
    <w:rsid w:val="00FE7152"/>
    <w:rsid w:val="00FE7771"/>
    <w:rsid w:val="00FF0CBC"/>
    <w:rsid w:val="00FF190C"/>
    <w:rsid w:val="00FF1CE6"/>
    <w:rsid w:val="00FF2107"/>
    <w:rsid w:val="00FF213F"/>
    <w:rsid w:val="00FF296A"/>
    <w:rsid w:val="00FF31F7"/>
    <w:rsid w:val="00FF3285"/>
    <w:rsid w:val="00FF3461"/>
    <w:rsid w:val="00FF418C"/>
    <w:rsid w:val="00FF42E4"/>
    <w:rsid w:val="00FF567B"/>
    <w:rsid w:val="00FF573A"/>
    <w:rsid w:val="00FF5E23"/>
    <w:rsid w:val="00FF65F7"/>
    <w:rsid w:val="00FF696C"/>
    <w:rsid w:val="00FF6A56"/>
    <w:rsid w:val="00FF6A6D"/>
    <w:rsid w:val="00FF6B8A"/>
    <w:rsid w:val="00FF70DE"/>
    <w:rsid w:val="00FF7301"/>
    <w:rsid w:val="00FF767C"/>
    <w:rsid w:val="00FF76E6"/>
    <w:rsid w:val="00FF77B7"/>
    <w:rsid w:val="00FF7A75"/>
    <w:rsid w:val="00FF7B92"/>
    <w:rsid w:val="00FF7D6F"/>
    <w:rsid w:val="012A4E21"/>
    <w:rsid w:val="013A690F"/>
    <w:rsid w:val="01593F92"/>
    <w:rsid w:val="015A1913"/>
    <w:rsid w:val="015A7948"/>
    <w:rsid w:val="015E2839"/>
    <w:rsid w:val="016B05BC"/>
    <w:rsid w:val="0175443A"/>
    <w:rsid w:val="01777E30"/>
    <w:rsid w:val="01957768"/>
    <w:rsid w:val="019F0AF5"/>
    <w:rsid w:val="01A152B0"/>
    <w:rsid w:val="01C15437"/>
    <w:rsid w:val="01C67396"/>
    <w:rsid w:val="01C74AC8"/>
    <w:rsid w:val="01C80D59"/>
    <w:rsid w:val="01D11701"/>
    <w:rsid w:val="01E0373D"/>
    <w:rsid w:val="01E92329"/>
    <w:rsid w:val="01F125AA"/>
    <w:rsid w:val="01FA6612"/>
    <w:rsid w:val="01FE0052"/>
    <w:rsid w:val="020B325A"/>
    <w:rsid w:val="021235EC"/>
    <w:rsid w:val="02221DF9"/>
    <w:rsid w:val="0242118E"/>
    <w:rsid w:val="024F2D27"/>
    <w:rsid w:val="025C69AC"/>
    <w:rsid w:val="02790E31"/>
    <w:rsid w:val="027F2E0D"/>
    <w:rsid w:val="029B3A6C"/>
    <w:rsid w:val="02AD79EA"/>
    <w:rsid w:val="02AF1E27"/>
    <w:rsid w:val="02BE3F94"/>
    <w:rsid w:val="02BE5535"/>
    <w:rsid w:val="02C357E3"/>
    <w:rsid w:val="02DF6410"/>
    <w:rsid w:val="02ED3385"/>
    <w:rsid w:val="02F016DD"/>
    <w:rsid w:val="02F43A2B"/>
    <w:rsid w:val="03056DC8"/>
    <w:rsid w:val="03145467"/>
    <w:rsid w:val="031B7166"/>
    <w:rsid w:val="031C76EC"/>
    <w:rsid w:val="0320478A"/>
    <w:rsid w:val="03355265"/>
    <w:rsid w:val="035C6DF3"/>
    <w:rsid w:val="035E787F"/>
    <w:rsid w:val="036A1685"/>
    <w:rsid w:val="03764359"/>
    <w:rsid w:val="037D3E51"/>
    <w:rsid w:val="0395476E"/>
    <w:rsid w:val="03E156A2"/>
    <w:rsid w:val="03F21F57"/>
    <w:rsid w:val="04003EB2"/>
    <w:rsid w:val="04020541"/>
    <w:rsid w:val="04271AF0"/>
    <w:rsid w:val="045460E0"/>
    <w:rsid w:val="045A31A4"/>
    <w:rsid w:val="04643AB8"/>
    <w:rsid w:val="046A6998"/>
    <w:rsid w:val="047E396A"/>
    <w:rsid w:val="0480087C"/>
    <w:rsid w:val="04916503"/>
    <w:rsid w:val="04990B69"/>
    <w:rsid w:val="04AB1DE0"/>
    <w:rsid w:val="04AB2DF4"/>
    <w:rsid w:val="04CC08EB"/>
    <w:rsid w:val="04D043AD"/>
    <w:rsid w:val="04D30939"/>
    <w:rsid w:val="04FE4E8A"/>
    <w:rsid w:val="0511593E"/>
    <w:rsid w:val="05132475"/>
    <w:rsid w:val="05141DF0"/>
    <w:rsid w:val="051D5FC6"/>
    <w:rsid w:val="05285B11"/>
    <w:rsid w:val="0531620D"/>
    <w:rsid w:val="05415BBD"/>
    <w:rsid w:val="05481A3A"/>
    <w:rsid w:val="0549490C"/>
    <w:rsid w:val="055178E9"/>
    <w:rsid w:val="05603190"/>
    <w:rsid w:val="057000C1"/>
    <w:rsid w:val="058D12A0"/>
    <w:rsid w:val="0598798D"/>
    <w:rsid w:val="05990C7D"/>
    <w:rsid w:val="05A61FAC"/>
    <w:rsid w:val="05AE30F1"/>
    <w:rsid w:val="05B40ECA"/>
    <w:rsid w:val="05C100EB"/>
    <w:rsid w:val="05D73B61"/>
    <w:rsid w:val="05E570CC"/>
    <w:rsid w:val="05E60001"/>
    <w:rsid w:val="05EF03F3"/>
    <w:rsid w:val="05EF52C8"/>
    <w:rsid w:val="05F27668"/>
    <w:rsid w:val="0619721E"/>
    <w:rsid w:val="062A44AF"/>
    <w:rsid w:val="062E3A1D"/>
    <w:rsid w:val="063925D1"/>
    <w:rsid w:val="063E7EA9"/>
    <w:rsid w:val="06612458"/>
    <w:rsid w:val="06633218"/>
    <w:rsid w:val="066D34B2"/>
    <w:rsid w:val="066D5F43"/>
    <w:rsid w:val="067A5870"/>
    <w:rsid w:val="067A6032"/>
    <w:rsid w:val="068805E7"/>
    <w:rsid w:val="06881577"/>
    <w:rsid w:val="06992382"/>
    <w:rsid w:val="06A170F3"/>
    <w:rsid w:val="06C059C2"/>
    <w:rsid w:val="06C26FEB"/>
    <w:rsid w:val="06C620FA"/>
    <w:rsid w:val="06D56611"/>
    <w:rsid w:val="06D66EBD"/>
    <w:rsid w:val="06DA6F81"/>
    <w:rsid w:val="06DC3A32"/>
    <w:rsid w:val="06E45F93"/>
    <w:rsid w:val="06F07F7E"/>
    <w:rsid w:val="06F37001"/>
    <w:rsid w:val="07005B38"/>
    <w:rsid w:val="0705457D"/>
    <w:rsid w:val="07364A4C"/>
    <w:rsid w:val="075B095F"/>
    <w:rsid w:val="07687B73"/>
    <w:rsid w:val="076C4EC2"/>
    <w:rsid w:val="076D2C0D"/>
    <w:rsid w:val="077F065C"/>
    <w:rsid w:val="07893F2F"/>
    <w:rsid w:val="078C107C"/>
    <w:rsid w:val="078E4C5C"/>
    <w:rsid w:val="07933081"/>
    <w:rsid w:val="07B00F1D"/>
    <w:rsid w:val="07C8347D"/>
    <w:rsid w:val="07F51BAB"/>
    <w:rsid w:val="081A2A1A"/>
    <w:rsid w:val="08276797"/>
    <w:rsid w:val="082A5356"/>
    <w:rsid w:val="082D6F32"/>
    <w:rsid w:val="08625011"/>
    <w:rsid w:val="08682F69"/>
    <w:rsid w:val="08767126"/>
    <w:rsid w:val="0884628E"/>
    <w:rsid w:val="088816B9"/>
    <w:rsid w:val="089E1642"/>
    <w:rsid w:val="08B17BE1"/>
    <w:rsid w:val="08BA426F"/>
    <w:rsid w:val="08E522B1"/>
    <w:rsid w:val="08EB7112"/>
    <w:rsid w:val="08F07C2D"/>
    <w:rsid w:val="08F4703A"/>
    <w:rsid w:val="08F66B32"/>
    <w:rsid w:val="08FA146D"/>
    <w:rsid w:val="090030B6"/>
    <w:rsid w:val="090620B8"/>
    <w:rsid w:val="09127C2A"/>
    <w:rsid w:val="091A2C9A"/>
    <w:rsid w:val="091A7D77"/>
    <w:rsid w:val="09281FD6"/>
    <w:rsid w:val="09292548"/>
    <w:rsid w:val="093F51ED"/>
    <w:rsid w:val="094314F2"/>
    <w:rsid w:val="09465B74"/>
    <w:rsid w:val="094846AB"/>
    <w:rsid w:val="09497E1A"/>
    <w:rsid w:val="095073FA"/>
    <w:rsid w:val="09551119"/>
    <w:rsid w:val="09577B8B"/>
    <w:rsid w:val="09675EB5"/>
    <w:rsid w:val="0992244E"/>
    <w:rsid w:val="09A9515D"/>
    <w:rsid w:val="09AC384F"/>
    <w:rsid w:val="09B16020"/>
    <w:rsid w:val="09B23C11"/>
    <w:rsid w:val="09B76C6A"/>
    <w:rsid w:val="09BB62F2"/>
    <w:rsid w:val="09D26AB5"/>
    <w:rsid w:val="09D75580"/>
    <w:rsid w:val="09EA7679"/>
    <w:rsid w:val="0A097FBA"/>
    <w:rsid w:val="0A1C2502"/>
    <w:rsid w:val="0A2B4270"/>
    <w:rsid w:val="0A452777"/>
    <w:rsid w:val="0A4632D9"/>
    <w:rsid w:val="0A4E36C6"/>
    <w:rsid w:val="0A52729D"/>
    <w:rsid w:val="0A874528"/>
    <w:rsid w:val="0A8B7316"/>
    <w:rsid w:val="0A8C110E"/>
    <w:rsid w:val="0AA16F7A"/>
    <w:rsid w:val="0AAD4EDD"/>
    <w:rsid w:val="0AB55D02"/>
    <w:rsid w:val="0ABF0BD3"/>
    <w:rsid w:val="0ACC08EE"/>
    <w:rsid w:val="0AD05264"/>
    <w:rsid w:val="0ADB3B99"/>
    <w:rsid w:val="0AE5691F"/>
    <w:rsid w:val="0AE8742C"/>
    <w:rsid w:val="0AF639B0"/>
    <w:rsid w:val="0AF65375"/>
    <w:rsid w:val="0AFA5870"/>
    <w:rsid w:val="0AFB19E5"/>
    <w:rsid w:val="0B022976"/>
    <w:rsid w:val="0B081D3B"/>
    <w:rsid w:val="0B0C32F3"/>
    <w:rsid w:val="0B0C4720"/>
    <w:rsid w:val="0B197E66"/>
    <w:rsid w:val="0B204BAA"/>
    <w:rsid w:val="0B2D2AD7"/>
    <w:rsid w:val="0B2E01DA"/>
    <w:rsid w:val="0B320337"/>
    <w:rsid w:val="0B346A82"/>
    <w:rsid w:val="0B38067D"/>
    <w:rsid w:val="0B3C6044"/>
    <w:rsid w:val="0B560E92"/>
    <w:rsid w:val="0B673601"/>
    <w:rsid w:val="0B704E99"/>
    <w:rsid w:val="0B7371A6"/>
    <w:rsid w:val="0B7609EE"/>
    <w:rsid w:val="0B760C93"/>
    <w:rsid w:val="0B7A075E"/>
    <w:rsid w:val="0B8A79AF"/>
    <w:rsid w:val="0BA55BDE"/>
    <w:rsid w:val="0BB7E64E"/>
    <w:rsid w:val="0BBE65A8"/>
    <w:rsid w:val="0BDC277F"/>
    <w:rsid w:val="0BEF6659"/>
    <w:rsid w:val="0BF56D6B"/>
    <w:rsid w:val="0BF81BBC"/>
    <w:rsid w:val="0BFC7976"/>
    <w:rsid w:val="0C015150"/>
    <w:rsid w:val="0C121E0B"/>
    <w:rsid w:val="0C195DBC"/>
    <w:rsid w:val="0C1C402C"/>
    <w:rsid w:val="0C27651D"/>
    <w:rsid w:val="0C342351"/>
    <w:rsid w:val="0C5313A4"/>
    <w:rsid w:val="0C580538"/>
    <w:rsid w:val="0C590374"/>
    <w:rsid w:val="0C5A588C"/>
    <w:rsid w:val="0C635FA4"/>
    <w:rsid w:val="0C682019"/>
    <w:rsid w:val="0C6B0C28"/>
    <w:rsid w:val="0C8F6630"/>
    <w:rsid w:val="0C954B1D"/>
    <w:rsid w:val="0C9D168E"/>
    <w:rsid w:val="0CA93832"/>
    <w:rsid w:val="0CAC493E"/>
    <w:rsid w:val="0CC266AF"/>
    <w:rsid w:val="0CC47EE3"/>
    <w:rsid w:val="0CD10C70"/>
    <w:rsid w:val="0CD50F98"/>
    <w:rsid w:val="0CDC30BC"/>
    <w:rsid w:val="0CEF32BC"/>
    <w:rsid w:val="0CF5147B"/>
    <w:rsid w:val="0D022AF7"/>
    <w:rsid w:val="0D0B0957"/>
    <w:rsid w:val="0D1225E1"/>
    <w:rsid w:val="0D142F14"/>
    <w:rsid w:val="0D2C0E94"/>
    <w:rsid w:val="0D2D3C5F"/>
    <w:rsid w:val="0D66545C"/>
    <w:rsid w:val="0D6B717A"/>
    <w:rsid w:val="0D6F45C7"/>
    <w:rsid w:val="0DA25357"/>
    <w:rsid w:val="0DA5377E"/>
    <w:rsid w:val="0DB1705C"/>
    <w:rsid w:val="0DB37D75"/>
    <w:rsid w:val="0DB811DB"/>
    <w:rsid w:val="0DBA2787"/>
    <w:rsid w:val="0DBB182E"/>
    <w:rsid w:val="0DC12134"/>
    <w:rsid w:val="0DC31923"/>
    <w:rsid w:val="0DCA7B13"/>
    <w:rsid w:val="0DD62FEF"/>
    <w:rsid w:val="0DEF149A"/>
    <w:rsid w:val="0DF504D7"/>
    <w:rsid w:val="0E036A28"/>
    <w:rsid w:val="0E0552CC"/>
    <w:rsid w:val="0E2E0EBE"/>
    <w:rsid w:val="0E47447A"/>
    <w:rsid w:val="0E4C14FB"/>
    <w:rsid w:val="0E6401D1"/>
    <w:rsid w:val="0E651521"/>
    <w:rsid w:val="0E663744"/>
    <w:rsid w:val="0E6A4ABA"/>
    <w:rsid w:val="0E6F23C7"/>
    <w:rsid w:val="0E7476E7"/>
    <w:rsid w:val="0E836419"/>
    <w:rsid w:val="0E855450"/>
    <w:rsid w:val="0E8854FB"/>
    <w:rsid w:val="0E947A66"/>
    <w:rsid w:val="0E9833E6"/>
    <w:rsid w:val="0EA77ADD"/>
    <w:rsid w:val="0EC37076"/>
    <w:rsid w:val="0EC37A24"/>
    <w:rsid w:val="0ECC12D1"/>
    <w:rsid w:val="0ED41EEF"/>
    <w:rsid w:val="0ED7095E"/>
    <w:rsid w:val="0EDF39F1"/>
    <w:rsid w:val="0EEF3211"/>
    <w:rsid w:val="0EF034AB"/>
    <w:rsid w:val="0EF453C6"/>
    <w:rsid w:val="0F1E70E7"/>
    <w:rsid w:val="0F293DB0"/>
    <w:rsid w:val="0F392121"/>
    <w:rsid w:val="0F500AAD"/>
    <w:rsid w:val="0F5838F2"/>
    <w:rsid w:val="0F760726"/>
    <w:rsid w:val="0FA1184A"/>
    <w:rsid w:val="0FA96591"/>
    <w:rsid w:val="0FAA1800"/>
    <w:rsid w:val="0FAD455E"/>
    <w:rsid w:val="0FB94A66"/>
    <w:rsid w:val="0FCF6175"/>
    <w:rsid w:val="0FDE179C"/>
    <w:rsid w:val="0FE81C1D"/>
    <w:rsid w:val="0FEA0C5A"/>
    <w:rsid w:val="0FF87DD2"/>
    <w:rsid w:val="10077BBA"/>
    <w:rsid w:val="101629EB"/>
    <w:rsid w:val="101F3682"/>
    <w:rsid w:val="102736D0"/>
    <w:rsid w:val="102C7D44"/>
    <w:rsid w:val="10350AA9"/>
    <w:rsid w:val="106344F9"/>
    <w:rsid w:val="106E7C51"/>
    <w:rsid w:val="10700194"/>
    <w:rsid w:val="107B3173"/>
    <w:rsid w:val="10964624"/>
    <w:rsid w:val="10A73812"/>
    <w:rsid w:val="10AF05A0"/>
    <w:rsid w:val="10B21301"/>
    <w:rsid w:val="10B75631"/>
    <w:rsid w:val="110B2FB0"/>
    <w:rsid w:val="11315402"/>
    <w:rsid w:val="114749A4"/>
    <w:rsid w:val="116537E5"/>
    <w:rsid w:val="1169450A"/>
    <w:rsid w:val="11786B55"/>
    <w:rsid w:val="118F3035"/>
    <w:rsid w:val="11902D52"/>
    <w:rsid w:val="11A113D2"/>
    <w:rsid w:val="11A337C2"/>
    <w:rsid w:val="11C01717"/>
    <w:rsid w:val="11D53A3D"/>
    <w:rsid w:val="11DE26F6"/>
    <w:rsid w:val="12080C76"/>
    <w:rsid w:val="120F0E58"/>
    <w:rsid w:val="122A006C"/>
    <w:rsid w:val="12307B5E"/>
    <w:rsid w:val="1238707D"/>
    <w:rsid w:val="123F43B0"/>
    <w:rsid w:val="123F7018"/>
    <w:rsid w:val="125D54CB"/>
    <w:rsid w:val="126A535E"/>
    <w:rsid w:val="12761A96"/>
    <w:rsid w:val="12822265"/>
    <w:rsid w:val="129B148F"/>
    <w:rsid w:val="129F0AAB"/>
    <w:rsid w:val="12A24799"/>
    <w:rsid w:val="12AB56A1"/>
    <w:rsid w:val="12AF73DE"/>
    <w:rsid w:val="12B76B0D"/>
    <w:rsid w:val="12C27C02"/>
    <w:rsid w:val="12D562FA"/>
    <w:rsid w:val="12D82A7F"/>
    <w:rsid w:val="12DA7F5C"/>
    <w:rsid w:val="12E332FA"/>
    <w:rsid w:val="12F12F9E"/>
    <w:rsid w:val="12F75FF5"/>
    <w:rsid w:val="132D7A2F"/>
    <w:rsid w:val="13492B62"/>
    <w:rsid w:val="13684C7A"/>
    <w:rsid w:val="136E7CAF"/>
    <w:rsid w:val="139522A0"/>
    <w:rsid w:val="13B72832"/>
    <w:rsid w:val="13BA0BEB"/>
    <w:rsid w:val="13C63A51"/>
    <w:rsid w:val="13CD08B6"/>
    <w:rsid w:val="13D56B53"/>
    <w:rsid w:val="13E30590"/>
    <w:rsid w:val="13E843A1"/>
    <w:rsid w:val="13FB3D98"/>
    <w:rsid w:val="1403644B"/>
    <w:rsid w:val="141731A4"/>
    <w:rsid w:val="14342245"/>
    <w:rsid w:val="143A501D"/>
    <w:rsid w:val="143A694A"/>
    <w:rsid w:val="143C398A"/>
    <w:rsid w:val="14540FBC"/>
    <w:rsid w:val="147036BF"/>
    <w:rsid w:val="14776FC2"/>
    <w:rsid w:val="14A27F30"/>
    <w:rsid w:val="14A763BF"/>
    <w:rsid w:val="14C4150D"/>
    <w:rsid w:val="14D83D18"/>
    <w:rsid w:val="14E94451"/>
    <w:rsid w:val="14FD7E50"/>
    <w:rsid w:val="152557F8"/>
    <w:rsid w:val="15283F85"/>
    <w:rsid w:val="152E4435"/>
    <w:rsid w:val="15421D14"/>
    <w:rsid w:val="154C1133"/>
    <w:rsid w:val="1550122B"/>
    <w:rsid w:val="15697744"/>
    <w:rsid w:val="159D64B9"/>
    <w:rsid w:val="159F4AC2"/>
    <w:rsid w:val="15B2020C"/>
    <w:rsid w:val="15B27B74"/>
    <w:rsid w:val="15C1538F"/>
    <w:rsid w:val="15D905AC"/>
    <w:rsid w:val="15DD5FFB"/>
    <w:rsid w:val="15EF268F"/>
    <w:rsid w:val="15F020C0"/>
    <w:rsid w:val="15F250DF"/>
    <w:rsid w:val="15F77F8C"/>
    <w:rsid w:val="16053AF1"/>
    <w:rsid w:val="160D7966"/>
    <w:rsid w:val="16335803"/>
    <w:rsid w:val="1633604B"/>
    <w:rsid w:val="16365169"/>
    <w:rsid w:val="163F67DF"/>
    <w:rsid w:val="164A4609"/>
    <w:rsid w:val="164B037A"/>
    <w:rsid w:val="164F1BD6"/>
    <w:rsid w:val="165916AA"/>
    <w:rsid w:val="1659625E"/>
    <w:rsid w:val="16596D58"/>
    <w:rsid w:val="166B0AFE"/>
    <w:rsid w:val="16755FAF"/>
    <w:rsid w:val="16867800"/>
    <w:rsid w:val="16893C88"/>
    <w:rsid w:val="168B753F"/>
    <w:rsid w:val="169556B0"/>
    <w:rsid w:val="16A22220"/>
    <w:rsid w:val="16AB4A01"/>
    <w:rsid w:val="16C96D7D"/>
    <w:rsid w:val="16D62CF8"/>
    <w:rsid w:val="16DC62F6"/>
    <w:rsid w:val="16F7709F"/>
    <w:rsid w:val="17032F48"/>
    <w:rsid w:val="170B670F"/>
    <w:rsid w:val="170C5D38"/>
    <w:rsid w:val="1723380C"/>
    <w:rsid w:val="1733456F"/>
    <w:rsid w:val="17412155"/>
    <w:rsid w:val="17560404"/>
    <w:rsid w:val="17574A29"/>
    <w:rsid w:val="177C3F5A"/>
    <w:rsid w:val="17884203"/>
    <w:rsid w:val="17B2462D"/>
    <w:rsid w:val="17B374D2"/>
    <w:rsid w:val="17C07725"/>
    <w:rsid w:val="17CD000B"/>
    <w:rsid w:val="17D2179B"/>
    <w:rsid w:val="17D81ED7"/>
    <w:rsid w:val="17E70A1A"/>
    <w:rsid w:val="17F5409B"/>
    <w:rsid w:val="17F730B7"/>
    <w:rsid w:val="18026C7F"/>
    <w:rsid w:val="18046E47"/>
    <w:rsid w:val="18095209"/>
    <w:rsid w:val="1823219C"/>
    <w:rsid w:val="18283386"/>
    <w:rsid w:val="183C6202"/>
    <w:rsid w:val="185C0435"/>
    <w:rsid w:val="186F6AE2"/>
    <w:rsid w:val="18763CB0"/>
    <w:rsid w:val="188432FC"/>
    <w:rsid w:val="188C54E8"/>
    <w:rsid w:val="189B4117"/>
    <w:rsid w:val="18A312F5"/>
    <w:rsid w:val="18A46D85"/>
    <w:rsid w:val="18AC32DE"/>
    <w:rsid w:val="18B01839"/>
    <w:rsid w:val="18B12E63"/>
    <w:rsid w:val="18B57E8E"/>
    <w:rsid w:val="18C30476"/>
    <w:rsid w:val="18CB084B"/>
    <w:rsid w:val="18DF39A8"/>
    <w:rsid w:val="18E20D53"/>
    <w:rsid w:val="18E6739D"/>
    <w:rsid w:val="18E73DF2"/>
    <w:rsid w:val="18F32BB1"/>
    <w:rsid w:val="18F80BD4"/>
    <w:rsid w:val="18F84666"/>
    <w:rsid w:val="19213107"/>
    <w:rsid w:val="192E43BC"/>
    <w:rsid w:val="19326E77"/>
    <w:rsid w:val="194145A5"/>
    <w:rsid w:val="19425C10"/>
    <w:rsid w:val="195327C0"/>
    <w:rsid w:val="196C749E"/>
    <w:rsid w:val="19831126"/>
    <w:rsid w:val="19957A1E"/>
    <w:rsid w:val="1996146A"/>
    <w:rsid w:val="19AC5BAE"/>
    <w:rsid w:val="19C91205"/>
    <w:rsid w:val="19F54655"/>
    <w:rsid w:val="19FA7004"/>
    <w:rsid w:val="1A0C0B39"/>
    <w:rsid w:val="1A1D0BAD"/>
    <w:rsid w:val="1A20002B"/>
    <w:rsid w:val="1A202464"/>
    <w:rsid w:val="1A211D5E"/>
    <w:rsid w:val="1A281080"/>
    <w:rsid w:val="1A3167A7"/>
    <w:rsid w:val="1A3E7639"/>
    <w:rsid w:val="1A4268EB"/>
    <w:rsid w:val="1A7E3697"/>
    <w:rsid w:val="1A83598B"/>
    <w:rsid w:val="1A8B0436"/>
    <w:rsid w:val="1A9433BA"/>
    <w:rsid w:val="1AA822FA"/>
    <w:rsid w:val="1AB5371D"/>
    <w:rsid w:val="1AB556B6"/>
    <w:rsid w:val="1ABB4B98"/>
    <w:rsid w:val="1AD01DA7"/>
    <w:rsid w:val="1AD70E60"/>
    <w:rsid w:val="1AD75236"/>
    <w:rsid w:val="1ADC4DC3"/>
    <w:rsid w:val="1AF30AA9"/>
    <w:rsid w:val="1B0874E2"/>
    <w:rsid w:val="1B2D779D"/>
    <w:rsid w:val="1B39458C"/>
    <w:rsid w:val="1B396A1A"/>
    <w:rsid w:val="1B490950"/>
    <w:rsid w:val="1B5D0D89"/>
    <w:rsid w:val="1B6A35DB"/>
    <w:rsid w:val="1B724FAE"/>
    <w:rsid w:val="1B782C3F"/>
    <w:rsid w:val="1B7D7C38"/>
    <w:rsid w:val="1B8A7FBC"/>
    <w:rsid w:val="1B9423A4"/>
    <w:rsid w:val="1BA50FCC"/>
    <w:rsid w:val="1BA9250B"/>
    <w:rsid w:val="1BAF77A5"/>
    <w:rsid w:val="1BB719B2"/>
    <w:rsid w:val="1BBB2CBB"/>
    <w:rsid w:val="1BBC7041"/>
    <w:rsid w:val="1BC06BF9"/>
    <w:rsid w:val="1BC449CF"/>
    <w:rsid w:val="1BCA5234"/>
    <w:rsid w:val="1BDA7F06"/>
    <w:rsid w:val="1BEA1165"/>
    <w:rsid w:val="1BED0AD9"/>
    <w:rsid w:val="1BF520EC"/>
    <w:rsid w:val="1C167B0B"/>
    <w:rsid w:val="1C1A20C8"/>
    <w:rsid w:val="1C2771EF"/>
    <w:rsid w:val="1C401C28"/>
    <w:rsid w:val="1C4667B9"/>
    <w:rsid w:val="1C6243A3"/>
    <w:rsid w:val="1C7865F4"/>
    <w:rsid w:val="1C797C46"/>
    <w:rsid w:val="1C7E350E"/>
    <w:rsid w:val="1C8454F9"/>
    <w:rsid w:val="1C954279"/>
    <w:rsid w:val="1CA51B07"/>
    <w:rsid w:val="1CB415D1"/>
    <w:rsid w:val="1CBC6385"/>
    <w:rsid w:val="1CBD2332"/>
    <w:rsid w:val="1CC7091E"/>
    <w:rsid w:val="1CCB392B"/>
    <w:rsid w:val="1CE14E51"/>
    <w:rsid w:val="1CE32E87"/>
    <w:rsid w:val="1CF56275"/>
    <w:rsid w:val="1CF86CEC"/>
    <w:rsid w:val="1CFB5568"/>
    <w:rsid w:val="1D202CCC"/>
    <w:rsid w:val="1D226B51"/>
    <w:rsid w:val="1D253B83"/>
    <w:rsid w:val="1D2B7B0B"/>
    <w:rsid w:val="1D33733A"/>
    <w:rsid w:val="1D370DB7"/>
    <w:rsid w:val="1D387DEA"/>
    <w:rsid w:val="1D3A6321"/>
    <w:rsid w:val="1D4E2A7B"/>
    <w:rsid w:val="1D5A5F8D"/>
    <w:rsid w:val="1D753D60"/>
    <w:rsid w:val="1D917AB3"/>
    <w:rsid w:val="1DA52FDB"/>
    <w:rsid w:val="1DB064E6"/>
    <w:rsid w:val="1DB827E5"/>
    <w:rsid w:val="1DE351BB"/>
    <w:rsid w:val="1DF84BBF"/>
    <w:rsid w:val="1DF87C16"/>
    <w:rsid w:val="1DFE7449"/>
    <w:rsid w:val="1E0C08E5"/>
    <w:rsid w:val="1E2F362A"/>
    <w:rsid w:val="1E351288"/>
    <w:rsid w:val="1E377E8A"/>
    <w:rsid w:val="1E4A36CA"/>
    <w:rsid w:val="1E682698"/>
    <w:rsid w:val="1E725C5C"/>
    <w:rsid w:val="1E7E4039"/>
    <w:rsid w:val="1E85149C"/>
    <w:rsid w:val="1E8E345A"/>
    <w:rsid w:val="1E901FEE"/>
    <w:rsid w:val="1E9442E7"/>
    <w:rsid w:val="1E994219"/>
    <w:rsid w:val="1EA078AE"/>
    <w:rsid w:val="1EA45EC1"/>
    <w:rsid w:val="1EB40283"/>
    <w:rsid w:val="1ED02528"/>
    <w:rsid w:val="1ED45CAE"/>
    <w:rsid w:val="1F424DC2"/>
    <w:rsid w:val="1F4A49DF"/>
    <w:rsid w:val="1F59199D"/>
    <w:rsid w:val="1F6669AD"/>
    <w:rsid w:val="1F684DF5"/>
    <w:rsid w:val="1F9C0838"/>
    <w:rsid w:val="1FAD03A2"/>
    <w:rsid w:val="1FB05B86"/>
    <w:rsid w:val="1FB63256"/>
    <w:rsid w:val="1FC55FFD"/>
    <w:rsid w:val="1FC619C3"/>
    <w:rsid w:val="1FCF29CF"/>
    <w:rsid w:val="1FF0410F"/>
    <w:rsid w:val="1FF34102"/>
    <w:rsid w:val="200E2178"/>
    <w:rsid w:val="20102412"/>
    <w:rsid w:val="20210770"/>
    <w:rsid w:val="20360CA0"/>
    <w:rsid w:val="204228BF"/>
    <w:rsid w:val="20614265"/>
    <w:rsid w:val="209C0EB3"/>
    <w:rsid w:val="20A07A3E"/>
    <w:rsid w:val="20A6660B"/>
    <w:rsid w:val="20A7119D"/>
    <w:rsid w:val="20AA51EA"/>
    <w:rsid w:val="20B77808"/>
    <w:rsid w:val="20C26B79"/>
    <w:rsid w:val="20CC3B78"/>
    <w:rsid w:val="20E52835"/>
    <w:rsid w:val="21013D59"/>
    <w:rsid w:val="211B1C44"/>
    <w:rsid w:val="211B39F2"/>
    <w:rsid w:val="2130504F"/>
    <w:rsid w:val="21382F0C"/>
    <w:rsid w:val="214106E3"/>
    <w:rsid w:val="214A05AE"/>
    <w:rsid w:val="214B28B3"/>
    <w:rsid w:val="215E2C87"/>
    <w:rsid w:val="216800C8"/>
    <w:rsid w:val="216B68D1"/>
    <w:rsid w:val="21776EE9"/>
    <w:rsid w:val="217B3E84"/>
    <w:rsid w:val="217B6C76"/>
    <w:rsid w:val="218108F4"/>
    <w:rsid w:val="218D4CC7"/>
    <w:rsid w:val="21934972"/>
    <w:rsid w:val="21CE76F6"/>
    <w:rsid w:val="21DB4941"/>
    <w:rsid w:val="21DE7C36"/>
    <w:rsid w:val="21DF3A01"/>
    <w:rsid w:val="21E257BE"/>
    <w:rsid w:val="21F25BFC"/>
    <w:rsid w:val="220A5EF5"/>
    <w:rsid w:val="220F3C1A"/>
    <w:rsid w:val="22197D89"/>
    <w:rsid w:val="221E6F53"/>
    <w:rsid w:val="22313D2D"/>
    <w:rsid w:val="22333947"/>
    <w:rsid w:val="224D398A"/>
    <w:rsid w:val="224E2203"/>
    <w:rsid w:val="22585F0F"/>
    <w:rsid w:val="225F0503"/>
    <w:rsid w:val="226B5CC4"/>
    <w:rsid w:val="226D7641"/>
    <w:rsid w:val="22717890"/>
    <w:rsid w:val="2288155B"/>
    <w:rsid w:val="228B0CE6"/>
    <w:rsid w:val="22941CAE"/>
    <w:rsid w:val="22965A26"/>
    <w:rsid w:val="229C5EDB"/>
    <w:rsid w:val="229E2B2D"/>
    <w:rsid w:val="229F2CD5"/>
    <w:rsid w:val="22AB3A42"/>
    <w:rsid w:val="22AF2482"/>
    <w:rsid w:val="22B44D35"/>
    <w:rsid w:val="22B8500B"/>
    <w:rsid w:val="22CB52CD"/>
    <w:rsid w:val="22D52DCF"/>
    <w:rsid w:val="230F3C1C"/>
    <w:rsid w:val="23173330"/>
    <w:rsid w:val="23241284"/>
    <w:rsid w:val="23287AA7"/>
    <w:rsid w:val="23305F0F"/>
    <w:rsid w:val="23357659"/>
    <w:rsid w:val="233905CD"/>
    <w:rsid w:val="235718E1"/>
    <w:rsid w:val="23616034"/>
    <w:rsid w:val="23694959"/>
    <w:rsid w:val="236C4F12"/>
    <w:rsid w:val="237E4C0E"/>
    <w:rsid w:val="23925F3C"/>
    <w:rsid w:val="239B7E76"/>
    <w:rsid w:val="23A4229C"/>
    <w:rsid w:val="23A80914"/>
    <w:rsid w:val="23AE55A9"/>
    <w:rsid w:val="23B118CE"/>
    <w:rsid w:val="23B6003B"/>
    <w:rsid w:val="23B80D83"/>
    <w:rsid w:val="23E6337C"/>
    <w:rsid w:val="23F36F4D"/>
    <w:rsid w:val="23F46D82"/>
    <w:rsid w:val="24034D8D"/>
    <w:rsid w:val="24296431"/>
    <w:rsid w:val="24316E6F"/>
    <w:rsid w:val="24340869"/>
    <w:rsid w:val="24425E0D"/>
    <w:rsid w:val="246117FE"/>
    <w:rsid w:val="24631FE8"/>
    <w:rsid w:val="24680378"/>
    <w:rsid w:val="246F2E99"/>
    <w:rsid w:val="246F652F"/>
    <w:rsid w:val="24885273"/>
    <w:rsid w:val="24913210"/>
    <w:rsid w:val="249B7324"/>
    <w:rsid w:val="24C8071E"/>
    <w:rsid w:val="24C91FF8"/>
    <w:rsid w:val="24D01D21"/>
    <w:rsid w:val="24D22D5D"/>
    <w:rsid w:val="24EA59AA"/>
    <w:rsid w:val="24FE13C2"/>
    <w:rsid w:val="25070E5D"/>
    <w:rsid w:val="251B6945"/>
    <w:rsid w:val="251F5695"/>
    <w:rsid w:val="252140E8"/>
    <w:rsid w:val="25230953"/>
    <w:rsid w:val="252C0FEC"/>
    <w:rsid w:val="254870C0"/>
    <w:rsid w:val="254A4A2E"/>
    <w:rsid w:val="25551B8C"/>
    <w:rsid w:val="2555250E"/>
    <w:rsid w:val="25595001"/>
    <w:rsid w:val="25657932"/>
    <w:rsid w:val="25661A5A"/>
    <w:rsid w:val="25690ABE"/>
    <w:rsid w:val="25996888"/>
    <w:rsid w:val="259B6168"/>
    <w:rsid w:val="259F79AE"/>
    <w:rsid w:val="25A01A43"/>
    <w:rsid w:val="25BF42A8"/>
    <w:rsid w:val="25C962B2"/>
    <w:rsid w:val="25CB4857"/>
    <w:rsid w:val="25CC59DE"/>
    <w:rsid w:val="25D83187"/>
    <w:rsid w:val="25D907CC"/>
    <w:rsid w:val="25E655C8"/>
    <w:rsid w:val="26045771"/>
    <w:rsid w:val="26196CB2"/>
    <w:rsid w:val="263C3E80"/>
    <w:rsid w:val="265A6D6B"/>
    <w:rsid w:val="26753D2C"/>
    <w:rsid w:val="267611D3"/>
    <w:rsid w:val="26835127"/>
    <w:rsid w:val="268E4BBA"/>
    <w:rsid w:val="26A257DB"/>
    <w:rsid w:val="26B90F8E"/>
    <w:rsid w:val="26C05A32"/>
    <w:rsid w:val="26C54E27"/>
    <w:rsid w:val="26CC3C07"/>
    <w:rsid w:val="26DE7854"/>
    <w:rsid w:val="26E70BC5"/>
    <w:rsid w:val="27062C4A"/>
    <w:rsid w:val="27074D3E"/>
    <w:rsid w:val="271116DB"/>
    <w:rsid w:val="27113F6C"/>
    <w:rsid w:val="271251B0"/>
    <w:rsid w:val="271A51DA"/>
    <w:rsid w:val="27254946"/>
    <w:rsid w:val="274A08FC"/>
    <w:rsid w:val="274C0DA9"/>
    <w:rsid w:val="274C764E"/>
    <w:rsid w:val="2756302F"/>
    <w:rsid w:val="276026EB"/>
    <w:rsid w:val="276250D7"/>
    <w:rsid w:val="27632DDC"/>
    <w:rsid w:val="2772471C"/>
    <w:rsid w:val="278664F1"/>
    <w:rsid w:val="2789575F"/>
    <w:rsid w:val="27A74434"/>
    <w:rsid w:val="27AE734E"/>
    <w:rsid w:val="27B23F45"/>
    <w:rsid w:val="27B85561"/>
    <w:rsid w:val="27BC3987"/>
    <w:rsid w:val="27BD611A"/>
    <w:rsid w:val="27C63211"/>
    <w:rsid w:val="27C71330"/>
    <w:rsid w:val="27E269CB"/>
    <w:rsid w:val="27E91A8C"/>
    <w:rsid w:val="27EC7DE5"/>
    <w:rsid w:val="28013A27"/>
    <w:rsid w:val="280D0EB8"/>
    <w:rsid w:val="28126C32"/>
    <w:rsid w:val="2829733C"/>
    <w:rsid w:val="282D1E68"/>
    <w:rsid w:val="283137EF"/>
    <w:rsid w:val="28574C9E"/>
    <w:rsid w:val="287439A8"/>
    <w:rsid w:val="287823EF"/>
    <w:rsid w:val="287A594C"/>
    <w:rsid w:val="28864F06"/>
    <w:rsid w:val="288E24C6"/>
    <w:rsid w:val="289567A3"/>
    <w:rsid w:val="28A120BA"/>
    <w:rsid w:val="28A526C6"/>
    <w:rsid w:val="28A74DCB"/>
    <w:rsid w:val="28B77749"/>
    <w:rsid w:val="28C73484"/>
    <w:rsid w:val="28D53B72"/>
    <w:rsid w:val="28EF1B17"/>
    <w:rsid w:val="29010E8F"/>
    <w:rsid w:val="29030E83"/>
    <w:rsid w:val="29175D2F"/>
    <w:rsid w:val="29226060"/>
    <w:rsid w:val="294A3E5A"/>
    <w:rsid w:val="29583A9F"/>
    <w:rsid w:val="29690D03"/>
    <w:rsid w:val="29702606"/>
    <w:rsid w:val="298B3C64"/>
    <w:rsid w:val="29956E43"/>
    <w:rsid w:val="29982FE8"/>
    <w:rsid w:val="299B61C1"/>
    <w:rsid w:val="29A43C12"/>
    <w:rsid w:val="29AA7CF7"/>
    <w:rsid w:val="29B5574C"/>
    <w:rsid w:val="29B8457E"/>
    <w:rsid w:val="29BD744E"/>
    <w:rsid w:val="29C954AC"/>
    <w:rsid w:val="29D43999"/>
    <w:rsid w:val="29D65CF5"/>
    <w:rsid w:val="29E03A2B"/>
    <w:rsid w:val="2A19034C"/>
    <w:rsid w:val="2A386EBD"/>
    <w:rsid w:val="2A4C1250"/>
    <w:rsid w:val="2A58670E"/>
    <w:rsid w:val="2A5B4E7F"/>
    <w:rsid w:val="2A5D212B"/>
    <w:rsid w:val="2A6E0E4E"/>
    <w:rsid w:val="2A7108CA"/>
    <w:rsid w:val="2A7A6E34"/>
    <w:rsid w:val="2A832D34"/>
    <w:rsid w:val="2A846AAC"/>
    <w:rsid w:val="2A904695"/>
    <w:rsid w:val="2AA147F9"/>
    <w:rsid w:val="2AA50BDA"/>
    <w:rsid w:val="2ABA0D7B"/>
    <w:rsid w:val="2AC0397D"/>
    <w:rsid w:val="2AC564FC"/>
    <w:rsid w:val="2ADA4DFF"/>
    <w:rsid w:val="2AE150F8"/>
    <w:rsid w:val="2AF46D91"/>
    <w:rsid w:val="2AF86B85"/>
    <w:rsid w:val="2AFC41F1"/>
    <w:rsid w:val="2B011FE4"/>
    <w:rsid w:val="2B0702E2"/>
    <w:rsid w:val="2B5D39BA"/>
    <w:rsid w:val="2B635D2B"/>
    <w:rsid w:val="2B6D1A08"/>
    <w:rsid w:val="2B753C76"/>
    <w:rsid w:val="2B785630"/>
    <w:rsid w:val="2B793974"/>
    <w:rsid w:val="2B86355C"/>
    <w:rsid w:val="2BB7608B"/>
    <w:rsid w:val="2BC41B44"/>
    <w:rsid w:val="2BCC4805"/>
    <w:rsid w:val="2BDE14EC"/>
    <w:rsid w:val="2BEA5A56"/>
    <w:rsid w:val="2BF84D8E"/>
    <w:rsid w:val="2C033ABC"/>
    <w:rsid w:val="2C034AC1"/>
    <w:rsid w:val="2C047B3A"/>
    <w:rsid w:val="2C1305B1"/>
    <w:rsid w:val="2C1758CF"/>
    <w:rsid w:val="2C1A354E"/>
    <w:rsid w:val="2C1F3B79"/>
    <w:rsid w:val="2C271951"/>
    <w:rsid w:val="2C452B2D"/>
    <w:rsid w:val="2C492C36"/>
    <w:rsid w:val="2C557053"/>
    <w:rsid w:val="2C60237D"/>
    <w:rsid w:val="2C6A57CD"/>
    <w:rsid w:val="2C6D71F8"/>
    <w:rsid w:val="2C6E6FCD"/>
    <w:rsid w:val="2C72135B"/>
    <w:rsid w:val="2C83572D"/>
    <w:rsid w:val="2C8B5E21"/>
    <w:rsid w:val="2C8B6CA4"/>
    <w:rsid w:val="2C8C5A7E"/>
    <w:rsid w:val="2C8D55AD"/>
    <w:rsid w:val="2C9248BA"/>
    <w:rsid w:val="2CB47549"/>
    <w:rsid w:val="2CBE3246"/>
    <w:rsid w:val="2CBF3DCB"/>
    <w:rsid w:val="2CC802D9"/>
    <w:rsid w:val="2CDF4F09"/>
    <w:rsid w:val="2CE27524"/>
    <w:rsid w:val="2CEB0142"/>
    <w:rsid w:val="2CF320D2"/>
    <w:rsid w:val="2CF83F53"/>
    <w:rsid w:val="2D0460BD"/>
    <w:rsid w:val="2D1E33D5"/>
    <w:rsid w:val="2D271B8F"/>
    <w:rsid w:val="2D336006"/>
    <w:rsid w:val="2D4935AD"/>
    <w:rsid w:val="2DA26D95"/>
    <w:rsid w:val="2DA413CA"/>
    <w:rsid w:val="2DA56EB7"/>
    <w:rsid w:val="2DC05192"/>
    <w:rsid w:val="2DE805FC"/>
    <w:rsid w:val="2DF53BEC"/>
    <w:rsid w:val="2DF964A0"/>
    <w:rsid w:val="2E095D5C"/>
    <w:rsid w:val="2E0C6F3E"/>
    <w:rsid w:val="2E0F2B6F"/>
    <w:rsid w:val="2E1977B8"/>
    <w:rsid w:val="2E2200F6"/>
    <w:rsid w:val="2E3C0D78"/>
    <w:rsid w:val="2E411BEF"/>
    <w:rsid w:val="2E516CA5"/>
    <w:rsid w:val="2E570AA3"/>
    <w:rsid w:val="2E594CED"/>
    <w:rsid w:val="2E7B61FD"/>
    <w:rsid w:val="2E7F48C7"/>
    <w:rsid w:val="2E883F4F"/>
    <w:rsid w:val="2E8E7EF9"/>
    <w:rsid w:val="2E9818BC"/>
    <w:rsid w:val="2E995B75"/>
    <w:rsid w:val="2E9A38AB"/>
    <w:rsid w:val="2E9F7ACE"/>
    <w:rsid w:val="2EA035D3"/>
    <w:rsid w:val="2EB00084"/>
    <w:rsid w:val="2EBC0113"/>
    <w:rsid w:val="2EBC74B9"/>
    <w:rsid w:val="2EC15360"/>
    <w:rsid w:val="2EC974E3"/>
    <w:rsid w:val="2ED7075B"/>
    <w:rsid w:val="2EFE397A"/>
    <w:rsid w:val="2F000491"/>
    <w:rsid w:val="2F0050ED"/>
    <w:rsid w:val="2F0322BF"/>
    <w:rsid w:val="2F1D4987"/>
    <w:rsid w:val="2F397E65"/>
    <w:rsid w:val="2F485232"/>
    <w:rsid w:val="2F5000A2"/>
    <w:rsid w:val="2F540C31"/>
    <w:rsid w:val="2F574071"/>
    <w:rsid w:val="2F5E2555"/>
    <w:rsid w:val="2F5E3090"/>
    <w:rsid w:val="2F6B2E0E"/>
    <w:rsid w:val="2F6E14A3"/>
    <w:rsid w:val="2F9835CF"/>
    <w:rsid w:val="2FB151D3"/>
    <w:rsid w:val="2FB944E5"/>
    <w:rsid w:val="2FC871E6"/>
    <w:rsid w:val="2FDC472D"/>
    <w:rsid w:val="2FDE5F50"/>
    <w:rsid w:val="2FEC4EBA"/>
    <w:rsid w:val="2FEE3B1C"/>
    <w:rsid w:val="300D33B1"/>
    <w:rsid w:val="300E7796"/>
    <w:rsid w:val="301E5143"/>
    <w:rsid w:val="302C3DCE"/>
    <w:rsid w:val="303E1D0E"/>
    <w:rsid w:val="30424964"/>
    <w:rsid w:val="30576568"/>
    <w:rsid w:val="30695D27"/>
    <w:rsid w:val="309A44F4"/>
    <w:rsid w:val="309C57CB"/>
    <w:rsid w:val="30A309C3"/>
    <w:rsid w:val="30B059A2"/>
    <w:rsid w:val="30B67543"/>
    <w:rsid w:val="30B77036"/>
    <w:rsid w:val="30BA3015"/>
    <w:rsid w:val="310137B1"/>
    <w:rsid w:val="3106476B"/>
    <w:rsid w:val="31102DE7"/>
    <w:rsid w:val="31295F61"/>
    <w:rsid w:val="31323F94"/>
    <w:rsid w:val="313E524F"/>
    <w:rsid w:val="3154270A"/>
    <w:rsid w:val="315A64D4"/>
    <w:rsid w:val="31607574"/>
    <w:rsid w:val="31671616"/>
    <w:rsid w:val="3189428A"/>
    <w:rsid w:val="318D37BB"/>
    <w:rsid w:val="31973A57"/>
    <w:rsid w:val="31983637"/>
    <w:rsid w:val="319B556B"/>
    <w:rsid w:val="31A04336"/>
    <w:rsid w:val="31AE341C"/>
    <w:rsid w:val="31B22405"/>
    <w:rsid w:val="31B30043"/>
    <w:rsid w:val="31B64C69"/>
    <w:rsid w:val="31B82294"/>
    <w:rsid w:val="31BA1F94"/>
    <w:rsid w:val="31BF264E"/>
    <w:rsid w:val="31C262F6"/>
    <w:rsid w:val="31C75D39"/>
    <w:rsid w:val="31D9148B"/>
    <w:rsid w:val="31DA0183"/>
    <w:rsid w:val="31E10BE3"/>
    <w:rsid w:val="31EA1749"/>
    <w:rsid w:val="31FD1227"/>
    <w:rsid w:val="320A243D"/>
    <w:rsid w:val="32191252"/>
    <w:rsid w:val="32495110"/>
    <w:rsid w:val="325D07E4"/>
    <w:rsid w:val="32682E98"/>
    <w:rsid w:val="327556FE"/>
    <w:rsid w:val="32884F63"/>
    <w:rsid w:val="328A49FA"/>
    <w:rsid w:val="32A0085F"/>
    <w:rsid w:val="32A12652"/>
    <w:rsid w:val="32B73DE5"/>
    <w:rsid w:val="32BE200C"/>
    <w:rsid w:val="32C56718"/>
    <w:rsid w:val="32E419E9"/>
    <w:rsid w:val="32E905BA"/>
    <w:rsid w:val="32EA5881"/>
    <w:rsid w:val="32ED0BAC"/>
    <w:rsid w:val="32F73699"/>
    <w:rsid w:val="32F75A72"/>
    <w:rsid w:val="33010417"/>
    <w:rsid w:val="330B57AE"/>
    <w:rsid w:val="33160B51"/>
    <w:rsid w:val="33174961"/>
    <w:rsid w:val="33260492"/>
    <w:rsid w:val="332A12B8"/>
    <w:rsid w:val="33304E4D"/>
    <w:rsid w:val="333155AA"/>
    <w:rsid w:val="33444067"/>
    <w:rsid w:val="334D06E6"/>
    <w:rsid w:val="33560AA5"/>
    <w:rsid w:val="336456CD"/>
    <w:rsid w:val="33A2330C"/>
    <w:rsid w:val="33AA3D46"/>
    <w:rsid w:val="33AA7294"/>
    <w:rsid w:val="33AB4C42"/>
    <w:rsid w:val="33B57D19"/>
    <w:rsid w:val="33C55A7A"/>
    <w:rsid w:val="33EA7F6D"/>
    <w:rsid w:val="33EF0E80"/>
    <w:rsid w:val="33F2465D"/>
    <w:rsid w:val="33F455F9"/>
    <w:rsid w:val="33F92E29"/>
    <w:rsid w:val="34056924"/>
    <w:rsid w:val="341A5E32"/>
    <w:rsid w:val="34385041"/>
    <w:rsid w:val="34442C19"/>
    <w:rsid w:val="344472CD"/>
    <w:rsid w:val="345327B1"/>
    <w:rsid w:val="346511A8"/>
    <w:rsid w:val="347A77AC"/>
    <w:rsid w:val="34825E5D"/>
    <w:rsid w:val="34877CE8"/>
    <w:rsid w:val="34A769E4"/>
    <w:rsid w:val="34A94D04"/>
    <w:rsid w:val="34B0402D"/>
    <w:rsid w:val="34B9357A"/>
    <w:rsid w:val="34CA38A2"/>
    <w:rsid w:val="34CD29A6"/>
    <w:rsid w:val="34CD7521"/>
    <w:rsid w:val="34EB1C02"/>
    <w:rsid w:val="34EC124D"/>
    <w:rsid w:val="34F55E2F"/>
    <w:rsid w:val="34F713E3"/>
    <w:rsid w:val="3502519D"/>
    <w:rsid w:val="35105594"/>
    <w:rsid w:val="35292FF1"/>
    <w:rsid w:val="35327B80"/>
    <w:rsid w:val="35394C91"/>
    <w:rsid w:val="35515F95"/>
    <w:rsid w:val="35543640"/>
    <w:rsid w:val="3561044A"/>
    <w:rsid w:val="35623B07"/>
    <w:rsid w:val="359F2ED6"/>
    <w:rsid w:val="35A235B9"/>
    <w:rsid w:val="35A564CA"/>
    <w:rsid w:val="35A61997"/>
    <w:rsid w:val="35A86BDE"/>
    <w:rsid w:val="35B00899"/>
    <w:rsid w:val="35B56676"/>
    <w:rsid w:val="35BF4704"/>
    <w:rsid w:val="35C215F3"/>
    <w:rsid w:val="35D43977"/>
    <w:rsid w:val="35E13599"/>
    <w:rsid w:val="360416D1"/>
    <w:rsid w:val="36043EF2"/>
    <w:rsid w:val="360945C3"/>
    <w:rsid w:val="361F1924"/>
    <w:rsid w:val="36280C33"/>
    <w:rsid w:val="363D550A"/>
    <w:rsid w:val="363F5B8C"/>
    <w:rsid w:val="36411A34"/>
    <w:rsid w:val="36420F4B"/>
    <w:rsid w:val="364C34D5"/>
    <w:rsid w:val="3650452F"/>
    <w:rsid w:val="36543066"/>
    <w:rsid w:val="36552BC1"/>
    <w:rsid w:val="36565AF9"/>
    <w:rsid w:val="365D7E36"/>
    <w:rsid w:val="36743964"/>
    <w:rsid w:val="36760927"/>
    <w:rsid w:val="368C04FF"/>
    <w:rsid w:val="3692120B"/>
    <w:rsid w:val="36935DFC"/>
    <w:rsid w:val="36A6785C"/>
    <w:rsid w:val="36C16F69"/>
    <w:rsid w:val="36E8025C"/>
    <w:rsid w:val="36EB13E7"/>
    <w:rsid w:val="36ED061B"/>
    <w:rsid w:val="371D7C59"/>
    <w:rsid w:val="371F2C21"/>
    <w:rsid w:val="37386315"/>
    <w:rsid w:val="373966BF"/>
    <w:rsid w:val="37550392"/>
    <w:rsid w:val="376B6698"/>
    <w:rsid w:val="37791338"/>
    <w:rsid w:val="3784033C"/>
    <w:rsid w:val="37873001"/>
    <w:rsid w:val="37881941"/>
    <w:rsid w:val="37893954"/>
    <w:rsid w:val="37AD19A5"/>
    <w:rsid w:val="37AD4051"/>
    <w:rsid w:val="37AE2C70"/>
    <w:rsid w:val="37AE3D4F"/>
    <w:rsid w:val="37D77088"/>
    <w:rsid w:val="37DC7264"/>
    <w:rsid w:val="37DE75A6"/>
    <w:rsid w:val="37E45736"/>
    <w:rsid w:val="37EF21FA"/>
    <w:rsid w:val="380D1DF8"/>
    <w:rsid w:val="38177104"/>
    <w:rsid w:val="38343CF8"/>
    <w:rsid w:val="383C1156"/>
    <w:rsid w:val="38511657"/>
    <w:rsid w:val="38573E77"/>
    <w:rsid w:val="38851852"/>
    <w:rsid w:val="38855EC9"/>
    <w:rsid w:val="388B6152"/>
    <w:rsid w:val="38B251EF"/>
    <w:rsid w:val="38B94B3B"/>
    <w:rsid w:val="38C4306E"/>
    <w:rsid w:val="38CD6301"/>
    <w:rsid w:val="38D52C5C"/>
    <w:rsid w:val="38DF0452"/>
    <w:rsid w:val="38EF420E"/>
    <w:rsid w:val="38FB1D5E"/>
    <w:rsid w:val="38FB582C"/>
    <w:rsid w:val="38FF2E1A"/>
    <w:rsid w:val="390013A5"/>
    <w:rsid w:val="390C5C90"/>
    <w:rsid w:val="3915321F"/>
    <w:rsid w:val="3922354B"/>
    <w:rsid w:val="39261DF9"/>
    <w:rsid w:val="39380364"/>
    <w:rsid w:val="394C6803"/>
    <w:rsid w:val="39614166"/>
    <w:rsid w:val="398D796F"/>
    <w:rsid w:val="399145CA"/>
    <w:rsid w:val="39970FB4"/>
    <w:rsid w:val="399A3A79"/>
    <w:rsid w:val="39A51CE0"/>
    <w:rsid w:val="39A65D00"/>
    <w:rsid w:val="39B027BA"/>
    <w:rsid w:val="39B723E4"/>
    <w:rsid w:val="39C50DE6"/>
    <w:rsid w:val="39CB7A87"/>
    <w:rsid w:val="39FC7488"/>
    <w:rsid w:val="39FF472A"/>
    <w:rsid w:val="3A011023"/>
    <w:rsid w:val="3A0B3E07"/>
    <w:rsid w:val="3A14138F"/>
    <w:rsid w:val="3A3877A1"/>
    <w:rsid w:val="3A4701AF"/>
    <w:rsid w:val="3A527966"/>
    <w:rsid w:val="3A581FA4"/>
    <w:rsid w:val="3A5C08D3"/>
    <w:rsid w:val="3A616393"/>
    <w:rsid w:val="3A6C67A5"/>
    <w:rsid w:val="3AD3124F"/>
    <w:rsid w:val="3AF05A2B"/>
    <w:rsid w:val="3AFA227D"/>
    <w:rsid w:val="3B074C1B"/>
    <w:rsid w:val="3B10564F"/>
    <w:rsid w:val="3B173BFD"/>
    <w:rsid w:val="3B1D03BA"/>
    <w:rsid w:val="3B36176B"/>
    <w:rsid w:val="3B387052"/>
    <w:rsid w:val="3B3E4F61"/>
    <w:rsid w:val="3B457FCA"/>
    <w:rsid w:val="3B5A188F"/>
    <w:rsid w:val="3B662BC0"/>
    <w:rsid w:val="3B664C36"/>
    <w:rsid w:val="3B6A75F8"/>
    <w:rsid w:val="3B7D6F6A"/>
    <w:rsid w:val="3B7F30A4"/>
    <w:rsid w:val="3B8D5A02"/>
    <w:rsid w:val="3B9725CA"/>
    <w:rsid w:val="3BA672A9"/>
    <w:rsid w:val="3BB3668C"/>
    <w:rsid w:val="3BC51E5E"/>
    <w:rsid w:val="3BC81B99"/>
    <w:rsid w:val="3BD176FB"/>
    <w:rsid w:val="3BDA4E48"/>
    <w:rsid w:val="3BE24B60"/>
    <w:rsid w:val="3C005505"/>
    <w:rsid w:val="3C0F3747"/>
    <w:rsid w:val="3C0F6E42"/>
    <w:rsid w:val="3C13580F"/>
    <w:rsid w:val="3C177613"/>
    <w:rsid w:val="3C2900DB"/>
    <w:rsid w:val="3C2F42C7"/>
    <w:rsid w:val="3C385639"/>
    <w:rsid w:val="3C3A59BA"/>
    <w:rsid w:val="3C434BD1"/>
    <w:rsid w:val="3C4A49AD"/>
    <w:rsid w:val="3C511290"/>
    <w:rsid w:val="3C672C14"/>
    <w:rsid w:val="3C734CC5"/>
    <w:rsid w:val="3C7700E4"/>
    <w:rsid w:val="3C8A61A4"/>
    <w:rsid w:val="3C8D47B1"/>
    <w:rsid w:val="3CA7096C"/>
    <w:rsid w:val="3CAE0A5F"/>
    <w:rsid w:val="3CB61674"/>
    <w:rsid w:val="3CBA14E0"/>
    <w:rsid w:val="3CBA4266"/>
    <w:rsid w:val="3CD2281C"/>
    <w:rsid w:val="3CEE1FB3"/>
    <w:rsid w:val="3CF8576A"/>
    <w:rsid w:val="3CFF4D03"/>
    <w:rsid w:val="3D08650E"/>
    <w:rsid w:val="3D1D679D"/>
    <w:rsid w:val="3D353732"/>
    <w:rsid w:val="3D482113"/>
    <w:rsid w:val="3D5237A1"/>
    <w:rsid w:val="3D695658"/>
    <w:rsid w:val="3D6C1CB7"/>
    <w:rsid w:val="3D7048F2"/>
    <w:rsid w:val="3D74592B"/>
    <w:rsid w:val="3D760D32"/>
    <w:rsid w:val="3D8262BA"/>
    <w:rsid w:val="3D897263"/>
    <w:rsid w:val="3DC2371B"/>
    <w:rsid w:val="3DD45235"/>
    <w:rsid w:val="3DE95026"/>
    <w:rsid w:val="3DEA5B44"/>
    <w:rsid w:val="3DF81119"/>
    <w:rsid w:val="3DFE00AC"/>
    <w:rsid w:val="3E0006CE"/>
    <w:rsid w:val="3E0223A7"/>
    <w:rsid w:val="3E117CD5"/>
    <w:rsid w:val="3E162874"/>
    <w:rsid w:val="3E2823FC"/>
    <w:rsid w:val="3E3667C6"/>
    <w:rsid w:val="3E4501C0"/>
    <w:rsid w:val="3E4E515B"/>
    <w:rsid w:val="3E6BB673"/>
    <w:rsid w:val="3E750542"/>
    <w:rsid w:val="3E8566C7"/>
    <w:rsid w:val="3E8F0CD4"/>
    <w:rsid w:val="3EA411C3"/>
    <w:rsid w:val="3EB97976"/>
    <w:rsid w:val="3EC06511"/>
    <w:rsid w:val="3EC86A2B"/>
    <w:rsid w:val="3ECA3DB3"/>
    <w:rsid w:val="3ECC5C19"/>
    <w:rsid w:val="3ECD49ED"/>
    <w:rsid w:val="3ED02D59"/>
    <w:rsid w:val="3ED16010"/>
    <w:rsid w:val="3ED94336"/>
    <w:rsid w:val="3EDE6AE7"/>
    <w:rsid w:val="3EE43DF4"/>
    <w:rsid w:val="3EF142B8"/>
    <w:rsid w:val="3EF577E2"/>
    <w:rsid w:val="3EFD5398"/>
    <w:rsid w:val="3F1039ED"/>
    <w:rsid w:val="3F1228ED"/>
    <w:rsid w:val="3F333A22"/>
    <w:rsid w:val="3F417614"/>
    <w:rsid w:val="3F59568A"/>
    <w:rsid w:val="3F6842F2"/>
    <w:rsid w:val="3F6B4F2C"/>
    <w:rsid w:val="3F77070A"/>
    <w:rsid w:val="3F797999"/>
    <w:rsid w:val="3F846153"/>
    <w:rsid w:val="3F877B3E"/>
    <w:rsid w:val="3F8E351D"/>
    <w:rsid w:val="3FB97A7C"/>
    <w:rsid w:val="3FBE4111"/>
    <w:rsid w:val="3FC7C282"/>
    <w:rsid w:val="3FDD5EE3"/>
    <w:rsid w:val="3FE54875"/>
    <w:rsid w:val="3FEA4EC1"/>
    <w:rsid w:val="3FF913F8"/>
    <w:rsid w:val="3FF951A1"/>
    <w:rsid w:val="402079EC"/>
    <w:rsid w:val="40380746"/>
    <w:rsid w:val="403A3A3D"/>
    <w:rsid w:val="40403FAF"/>
    <w:rsid w:val="40465640"/>
    <w:rsid w:val="4061642F"/>
    <w:rsid w:val="406C0EDE"/>
    <w:rsid w:val="406C5052"/>
    <w:rsid w:val="4071077E"/>
    <w:rsid w:val="4075728F"/>
    <w:rsid w:val="40857C93"/>
    <w:rsid w:val="409022B4"/>
    <w:rsid w:val="40986D02"/>
    <w:rsid w:val="40A23CC4"/>
    <w:rsid w:val="40CA3AF7"/>
    <w:rsid w:val="40D64733"/>
    <w:rsid w:val="40D77348"/>
    <w:rsid w:val="40E0015D"/>
    <w:rsid w:val="40E045E4"/>
    <w:rsid w:val="40E859D9"/>
    <w:rsid w:val="40EA717A"/>
    <w:rsid w:val="40ED7524"/>
    <w:rsid w:val="40F305CF"/>
    <w:rsid w:val="41063807"/>
    <w:rsid w:val="410D5848"/>
    <w:rsid w:val="4121689F"/>
    <w:rsid w:val="41302438"/>
    <w:rsid w:val="41313092"/>
    <w:rsid w:val="4132477C"/>
    <w:rsid w:val="41347F62"/>
    <w:rsid w:val="41373AA9"/>
    <w:rsid w:val="415D4EF9"/>
    <w:rsid w:val="415E01D3"/>
    <w:rsid w:val="416A48C8"/>
    <w:rsid w:val="41765BEF"/>
    <w:rsid w:val="417D7544"/>
    <w:rsid w:val="41836E09"/>
    <w:rsid w:val="418732F8"/>
    <w:rsid w:val="41915C07"/>
    <w:rsid w:val="419D25D7"/>
    <w:rsid w:val="419E0E65"/>
    <w:rsid w:val="41BD7E87"/>
    <w:rsid w:val="41CF16CA"/>
    <w:rsid w:val="41DF5A9C"/>
    <w:rsid w:val="41E415CD"/>
    <w:rsid w:val="41F07F56"/>
    <w:rsid w:val="41FA6B62"/>
    <w:rsid w:val="41FC26E4"/>
    <w:rsid w:val="4206132D"/>
    <w:rsid w:val="421A053C"/>
    <w:rsid w:val="421E2360"/>
    <w:rsid w:val="422159F0"/>
    <w:rsid w:val="422E2E99"/>
    <w:rsid w:val="422E73E6"/>
    <w:rsid w:val="42313CAB"/>
    <w:rsid w:val="425E5134"/>
    <w:rsid w:val="427916F6"/>
    <w:rsid w:val="42842DCA"/>
    <w:rsid w:val="428C3511"/>
    <w:rsid w:val="42947140"/>
    <w:rsid w:val="429E6289"/>
    <w:rsid w:val="42BB04D5"/>
    <w:rsid w:val="42BF1F59"/>
    <w:rsid w:val="42C137D3"/>
    <w:rsid w:val="42D431E7"/>
    <w:rsid w:val="42DD3C7C"/>
    <w:rsid w:val="42E06D3F"/>
    <w:rsid w:val="42E47497"/>
    <w:rsid w:val="42EB703C"/>
    <w:rsid w:val="42EC78E6"/>
    <w:rsid w:val="42F44809"/>
    <w:rsid w:val="42F6791F"/>
    <w:rsid w:val="43105D77"/>
    <w:rsid w:val="4311783D"/>
    <w:rsid w:val="431A0A7B"/>
    <w:rsid w:val="432604B9"/>
    <w:rsid w:val="434F5A51"/>
    <w:rsid w:val="436F4138"/>
    <w:rsid w:val="4376192C"/>
    <w:rsid w:val="43825D5B"/>
    <w:rsid w:val="43826334"/>
    <w:rsid w:val="438274D6"/>
    <w:rsid w:val="43A63197"/>
    <w:rsid w:val="43AE09CA"/>
    <w:rsid w:val="43CA7F97"/>
    <w:rsid w:val="43D527A2"/>
    <w:rsid w:val="43E443EC"/>
    <w:rsid w:val="43E5117C"/>
    <w:rsid w:val="43E75C8A"/>
    <w:rsid w:val="43EF46DE"/>
    <w:rsid w:val="441F0428"/>
    <w:rsid w:val="44316DCA"/>
    <w:rsid w:val="443609BF"/>
    <w:rsid w:val="4451500F"/>
    <w:rsid w:val="44567BE7"/>
    <w:rsid w:val="445A043F"/>
    <w:rsid w:val="445A645C"/>
    <w:rsid w:val="445D1C18"/>
    <w:rsid w:val="44686728"/>
    <w:rsid w:val="448630B3"/>
    <w:rsid w:val="448B156B"/>
    <w:rsid w:val="448D21B3"/>
    <w:rsid w:val="44AD3C60"/>
    <w:rsid w:val="44B46CE9"/>
    <w:rsid w:val="44B622C6"/>
    <w:rsid w:val="44C1122D"/>
    <w:rsid w:val="44CB1108"/>
    <w:rsid w:val="44DB3BAD"/>
    <w:rsid w:val="44EF7556"/>
    <w:rsid w:val="45073435"/>
    <w:rsid w:val="45161D33"/>
    <w:rsid w:val="452269D1"/>
    <w:rsid w:val="452913B3"/>
    <w:rsid w:val="454C27BA"/>
    <w:rsid w:val="454E4D92"/>
    <w:rsid w:val="45521D98"/>
    <w:rsid w:val="455519C6"/>
    <w:rsid w:val="459021C4"/>
    <w:rsid w:val="45982CA1"/>
    <w:rsid w:val="45A603D9"/>
    <w:rsid w:val="45B1654F"/>
    <w:rsid w:val="45C81AEB"/>
    <w:rsid w:val="45D33AEA"/>
    <w:rsid w:val="45D945AF"/>
    <w:rsid w:val="45D9497A"/>
    <w:rsid w:val="45DC6E49"/>
    <w:rsid w:val="45E3750C"/>
    <w:rsid w:val="45E44109"/>
    <w:rsid w:val="45E72D80"/>
    <w:rsid w:val="45E73807"/>
    <w:rsid w:val="45F22D41"/>
    <w:rsid w:val="460923E7"/>
    <w:rsid w:val="46267B8D"/>
    <w:rsid w:val="46296CFD"/>
    <w:rsid w:val="464E3D9E"/>
    <w:rsid w:val="4672561E"/>
    <w:rsid w:val="46813229"/>
    <w:rsid w:val="46832CE2"/>
    <w:rsid w:val="46886B3E"/>
    <w:rsid w:val="469F5BC1"/>
    <w:rsid w:val="46A86972"/>
    <w:rsid w:val="46B12A0C"/>
    <w:rsid w:val="46B22AFA"/>
    <w:rsid w:val="46B31897"/>
    <w:rsid w:val="46BF4928"/>
    <w:rsid w:val="46C430AB"/>
    <w:rsid w:val="46E75FA1"/>
    <w:rsid w:val="46EB5A91"/>
    <w:rsid w:val="46EE50CD"/>
    <w:rsid w:val="47095803"/>
    <w:rsid w:val="47141B39"/>
    <w:rsid w:val="47200D37"/>
    <w:rsid w:val="47215D02"/>
    <w:rsid w:val="472D14AC"/>
    <w:rsid w:val="47370ABA"/>
    <w:rsid w:val="474F47DA"/>
    <w:rsid w:val="475C05A1"/>
    <w:rsid w:val="47621DD1"/>
    <w:rsid w:val="47672A3E"/>
    <w:rsid w:val="47711B0E"/>
    <w:rsid w:val="477B1305"/>
    <w:rsid w:val="4790353E"/>
    <w:rsid w:val="4794500D"/>
    <w:rsid w:val="4797719D"/>
    <w:rsid w:val="47A002F6"/>
    <w:rsid w:val="47B90B7F"/>
    <w:rsid w:val="47C57F01"/>
    <w:rsid w:val="47E45A99"/>
    <w:rsid w:val="47F907C5"/>
    <w:rsid w:val="480C0168"/>
    <w:rsid w:val="480D0453"/>
    <w:rsid w:val="48274B6C"/>
    <w:rsid w:val="48310949"/>
    <w:rsid w:val="483551AB"/>
    <w:rsid w:val="483D22CC"/>
    <w:rsid w:val="486B00BB"/>
    <w:rsid w:val="488127A7"/>
    <w:rsid w:val="48991076"/>
    <w:rsid w:val="489B0AD4"/>
    <w:rsid w:val="489C0E7C"/>
    <w:rsid w:val="48C22C2E"/>
    <w:rsid w:val="48C5646E"/>
    <w:rsid w:val="48D662CD"/>
    <w:rsid w:val="48E15FB7"/>
    <w:rsid w:val="490A36DF"/>
    <w:rsid w:val="490F06E0"/>
    <w:rsid w:val="49112F05"/>
    <w:rsid w:val="49255DFC"/>
    <w:rsid w:val="492C2F96"/>
    <w:rsid w:val="493F20C4"/>
    <w:rsid w:val="49447356"/>
    <w:rsid w:val="494576F1"/>
    <w:rsid w:val="494C493D"/>
    <w:rsid w:val="49570857"/>
    <w:rsid w:val="495C287A"/>
    <w:rsid w:val="496B42DA"/>
    <w:rsid w:val="49777D4C"/>
    <w:rsid w:val="49831760"/>
    <w:rsid w:val="498755F1"/>
    <w:rsid w:val="49881965"/>
    <w:rsid w:val="498979C8"/>
    <w:rsid w:val="498F3A3D"/>
    <w:rsid w:val="49A21823"/>
    <w:rsid w:val="49A27191"/>
    <w:rsid w:val="49A642F4"/>
    <w:rsid w:val="49A935D9"/>
    <w:rsid w:val="49C97224"/>
    <w:rsid w:val="49E26DC6"/>
    <w:rsid w:val="49ED0C94"/>
    <w:rsid w:val="49FC1D3A"/>
    <w:rsid w:val="49FC288D"/>
    <w:rsid w:val="4A11777F"/>
    <w:rsid w:val="4A161077"/>
    <w:rsid w:val="4A317D5F"/>
    <w:rsid w:val="4A4B730C"/>
    <w:rsid w:val="4A4F5B0A"/>
    <w:rsid w:val="4A50523D"/>
    <w:rsid w:val="4A5E0308"/>
    <w:rsid w:val="4A637E0D"/>
    <w:rsid w:val="4A6B6A74"/>
    <w:rsid w:val="4A776CD1"/>
    <w:rsid w:val="4A7E3750"/>
    <w:rsid w:val="4A806DBF"/>
    <w:rsid w:val="4AA002B4"/>
    <w:rsid w:val="4AA065F5"/>
    <w:rsid w:val="4AB23C03"/>
    <w:rsid w:val="4ABD4294"/>
    <w:rsid w:val="4ACA3C0F"/>
    <w:rsid w:val="4ACD23D6"/>
    <w:rsid w:val="4AD15731"/>
    <w:rsid w:val="4AD16930"/>
    <w:rsid w:val="4AD62DA1"/>
    <w:rsid w:val="4AE276BC"/>
    <w:rsid w:val="4AF6508E"/>
    <w:rsid w:val="4B00283F"/>
    <w:rsid w:val="4B0870AC"/>
    <w:rsid w:val="4B0E4511"/>
    <w:rsid w:val="4B127154"/>
    <w:rsid w:val="4B1371CB"/>
    <w:rsid w:val="4B197687"/>
    <w:rsid w:val="4B1C0B28"/>
    <w:rsid w:val="4B242613"/>
    <w:rsid w:val="4B465A2F"/>
    <w:rsid w:val="4B5144C4"/>
    <w:rsid w:val="4B5538D6"/>
    <w:rsid w:val="4B581620"/>
    <w:rsid w:val="4B5A3F7D"/>
    <w:rsid w:val="4B5E121D"/>
    <w:rsid w:val="4B88462C"/>
    <w:rsid w:val="4B897671"/>
    <w:rsid w:val="4B982CC0"/>
    <w:rsid w:val="4B9B0EA7"/>
    <w:rsid w:val="4B9C58D4"/>
    <w:rsid w:val="4B9D7435"/>
    <w:rsid w:val="4B9E042B"/>
    <w:rsid w:val="4BB15DD7"/>
    <w:rsid w:val="4BB673BE"/>
    <w:rsid w:val="4BD72A7F"/>
    <w:rsid w:val="4BE84AD9"/>
    <w:rsid w:val="4BEB3A83"/>
    <w:rsid w:val="4BF43354"/>
    <w:rsid w:val="4BFF4460"/>
    <w:rsid w:val="4C070F38"/>
    <w:rsid w:val="4C1106C3"/>
    <w:rsid w:val="4C19280C"/>
    <w:rsid w:val="4C217FD6"/>
    <w:rsid w:val="4C2E7741"/>
    <w:rsid w:val="4C3E2CC4"/>
    <w:rsid w:val="4C4307E7"/>
    <w:rsid w:val="4C471FD7"/>
    <w:rsid w:val="4C4E6B2B"/>
    <w:rsid w:val="4C5D6314"/>
    <w:rsid w:val="4C6B25BB"/>
    <w:rsid w:val="4C8F52A1"/>
    <w:rsid w:val="4C99297E"/>
    <w:rsid w:val="4C9F4318"/>
    <w:rsid w:val="4CA472A7"/>
    <w:rsid w:val="4CA62864"/>
    <w:rsid w:val="4CAA0BC2"/>
    <w:rsid w:val="4CAC32BC"/>
    <w:rsid w:val="4CB437F6"/>
    <w:rsid w:val="4CB52377"/>
    <w:rsid w:val="4CC46FA7"/>
    <w:rsid w:val="4CCF0B8F"/>
    <w:rsid w:val="4CD1167C"/>
    <w:rsid w:val="4CDE3827"/>
    <w:rsid w:val="4CF91D35"/>
    <w:rsid w:val="4CFD2BF9"/>
    <w:rsid w:val="4D034783"/>
    <w:rsid w:val="4D0A751E"/>
    <w:rsid w:val="4D114845"/>
    <w:rsid w:val="4D191AD4"/>
    <w:rsid w:val="4D1A0E7E"/>
    <w:rsid w:val="4D2668B3"/>
    <w:rsid w:val="4D473501"/>
    <w:rsid w:val="4D570277"/>
    <w:rsid w:val="4D595B24"/>
    <w:rsid w:val="4D641BDB"/>
    <w:rsid w:val="4D6D5452"/>
    <w:rsid w:val="4D7D5612"/>
    <w:rsid w:val="4D812938"/>
    <w:rsid w:val="4D852885"/>
    <w:rsid w:val="4DA24D1C"/>
    <w:rsid w:val="4DBA0D0F"/>
    <w:rsid w:val="4DBB3186"/>
    <w:rsid w:val="4DC746DC"/>
    <w:rsid w:val="4DD13B44"/>
    <w:rsid w:val="4DD27265"/>
    <w:rsid w:val="4DD752A2"/>
    <w:rsid w:val="4DE624DA"/>
    <w:rsid w:val="4DE86678"/>
    <w:rsid w:val="4DF2276D"/>
    <w:rsid w:val="4DFC67D6"/>
    <w:rsid w:val="4E0975E7"/>
    <w:rsid w:val="4E0C1A56"/>
    <w:rsid w:val="4E191EAF"/>
    <w:rsid w:val="4E1E674C"/>
    <w:rsid w:val="4E4241EE"/>
    <w:rsid w:val="4E4F1AF9"/>
    <w:rsid w:val="4E524648"/>
    <w:rsid w:val="4E5E2FEC"/>
    <w:rsid w:val="4E664701"/>
    <w:rsid w:val="4E6A4CF1"/>
    <w:rsid w:val="4E6E0343"/>
    <w:rsid w:val="4E6F6FA8"/>
    <w:rsid w:val="4E771F3E"/>
    <w:rsid w:val="4E803FA8"/>
    <w:rsid w:val="4E814E30"/>
    <w:rsid w:val="4E8B2588"/>
    <w:rsid w:val="4E9E3C23"/>
    <w:rsid w:val="4EAA2BA6"/>
    <w:rsid w:val="4EEF578A"/>
    <w:rsid w:val="4EF0515A"/>
    <w:rsid w:val="4EFA6DC1"/>
    <w:rsid w:val="4F026AD9"/>
    <w:rsid w:val="4F0B2582"/>
    <w:rsid w:val="4F0F2B70"/>
    <w:rsid w:val="4F212A01"/>
    <w:rsid w:val="4F241B17"/>
    <w:rsid w:val="4F257073"/>
    <w:rsid w:val="4F617220"/>
    <w:rsid w:val="4F6B6C90"/>
    <w:rsid w:val="4F7A1E4D"/>
    <w:rsid w:val="4F844786"/>
    <w:rsid w:val="4F8B3E56"/>
    <w:rsid w:val="4F8B78F2"/>
    <w:rsid w:val="4F910446"/>
    <w:rsid w:val="4F9A7AF4"/>
    <w:rsid w:val="4FA87C71"/>
    <w:rsid w:val="4FAD6B06"/>
    <w:rsid w:val="4FD572DE"/>
    <w:rsid w:val="4FF26A8A"/>
    <w:rsid w:val="500E2189"/>
    <w:rsid w:val="501C5F4C"/>
    <w:rsid w:val="50242873"/>
    <w:rsid w:val="503B680E"/>
    <w:rsid w:val="50594100"/>
    <w:rsid w:val="50666784"/>
    <w:rsid w:val="5067531C"/>
    <w:rsid w:val="50794F72"/>
    <w:rsid w:val="507C21F5"/>
    <w:rsid w:val="507D0CA9"/>
    <w:rsid w:val="50852AB2"/>
    <w:rsid w:val="509141B6"/>
    <w:rsid w:val="50AC6F1B"/>
    <w:rsid w:val="50BF076D"/>
    <w:rsid w:val="50C11560"/>
    <w:rsid w:val="50C7364E"/>
    <w:rsid w:val="50EB753F"/>
    <w:rsid w:val="50F3057B"/>
    <w:rsid w:val="51033E28"/>
    <w:rsid w:val="51094825"/>
    <w:rsid w:val="51194A6B"/>
    <w:rsid w:val="512460B3"/>
    <w:rsid w:val="512D7670"/>
    <w:rsid w:val="512E7C5E"/>
    <w:rsid w:val="5130772D"/>
    <w:rsid w:val="513D5554"/>
    <w:rsid w:val="51433A26"/>
    <w:rsid w:val="51435AD8"/>
    <w:rsid w:val="514E026B"/>
    <w:rsid w:val="515E027B"/>
    <w:rsid w:val="518746DA"/>
    <w:rsid w:val="51A14AB5"/>
    <w:rsid w:val="51B72D2A"/>
    <w:rsid w:val="51BA29E1"/>
    <w:rsid w:val="51BF35FD"/>
    <w:rsid w:val="51C8796C"/>
    <w:rsid w:val="51CA1D55"/>
    <w:rsid w:val="51D3518D"/>
    <w:rsid w:val="51D51773"/>
    <w:rsid w:val="51EC7E84"/>
    <w:rsid w:val="51F02ACF"/>
    <w:rsid w:val="51FA7F99"/>
    <w:rsid w:val="52036385"/>
    <w:rsid w:val="520720D4"/>
    <w:rsid w:val="520D307D"/>
    <w:rsid w:val="520E4894"/>
    <w:rsid w:val="52106F7E"/>
    <w:rsid w:val="52124AA4"/>
    <w:rsid w:val="522A551E"/>
    <w:rsid w:val="522F264F"/>
    <w:rsid w:val="523909B7"/>
    <w:rsid w:val="524C35A0"/>
    <w:rsid w:val="525A6760"/>
    <w:rsid w:val="52644A8E"/>
    <w:rsid w:val="52693783"/>
    <w:rsid w:val="526D567F"/>
    <w:rsid w:val="52765DE3"/>
    <w:rsid w:val="52860304"/>
    <w:rsid w:val="528909E8"/>
    <w:rsid w:val="528F0266"/>
    <w:rsid w:val="529C2335"/>
    <w:rsid w:val="52A42843"/>
    <w:rsid w:val="52A44B1D"/>
    <w:rsid w:val="52A606BB"/>
    <w:rsid w:val="52BE70DE"/>
    <w:rsid w:val="52BF2AF6"/>
    <w:rsid w:val="52C67421"/>
    <w:rsid w:val="52D72187"/>
    <w:rsid w:val="52DF6103"/>
    <w:rsid w:val="52EE408A"/>
    <w:rsid w:val="52F43DE1"/>
    <w:rsid w:val="52FC482C"/>
    <w:rsid w:val="530410BC"/>
    <w:rsid w:val="530D4BDD"/>
    <w:rsid w:val="53106487"/>
    <w:rsid w:val="532A36C6"/>
    <w:rsid w:val="53395347"/>
    <w:rsid w:val="535B00EA"/>
    <w:rsid w:val="535D7F64"/>
    <w:rsid w:val="536D0B73"/>
    <w:rsid w:val="536E77DF"/>
    <w:rsid w:val="538542B6"/>
    <w:rsid w:val="53A7310B"/>
    <w:rsid w:val="53AD61E2"/>
    <w:rsid w:val="53AE6E89"/>
    <w:rsid w:val="53BD55C2"/>
    <w:rsid w:val="53BE4E00"/>
    <w:rsid w:val="53D73D1F"/>
    <w:rsid w:val="53EA12F8"/>
    <w:rsid w:val="53FD3203"/>
    <w:rsid w:val="540F471F"/>
    <w:rsid w:val="5416113B"/>
    <w:rsid w:val="541B565F"/>
    <w:rsid w:val="541F2266"/>
    <w:rsid w:val="54375424"/>
    <w:rsid w:val="54383F56"/>
    <w:rsid w:val="54511490"/>
    <w:rsid w:val="54567CF8"/>
    <w:rsid w:val="54660A34"/>
    <w:rsid w:val="54705FA3"/>
    <w:rsid w:val="54871C34"/>
    <w:rsid w:val="54A569C8"/>
    <w:rsid w:val="54A9350D"/>
    <w:rsid w:val="54AE3555"/>
    <w:rsid w:val="54B44F3E"/>
    <w:rsid w:val="54C6239B"/>
    <w:rsid w:val="54CD2C7A"/>
    <w:rsid w:val="54D21FF4"/>
    <w:rsid w:val="54D22C63"/>
    <w:rsid w:val="54D51D92"/>
    <w:rsid w:val="54E33E07"/>
    <w:rsid w:val="54EB509D"/>
    <w:rsid w:val="550020CC"/>
    <w:rsid w:val="55053FB1"/>
    <w:rsid w:val="550F738D"/>
    <w:rsid w:val="55105D67"/>
    <w:rsid w:val="551F2EF6"/>
    <w:rsid w:val="552E42B1"/>
    <w:rsid w:val="552F2073"/>
    <w:rsid w:val="55320D2F"/>
    <w:rsid w:val="5533296C"/>
    <w:rsid w:val="553C0B0B"/>
    <w:rsid w:val="555B3708"/>
    <w:rsid w:val="555C1021"/>
    <w:rsid w:val="55650DD4"/>
    <w:rsid w:val="559544A1"/>
    <w:rsid w:val="559D1B18"/>
    <w:rsid w:val="55A73683"/>
    <w:rsid w:val="55A86518"/>
    <w:rsid w:val="55B45E9B"/>
    <w:rsid w:val="55B5218C"/>
    <w:rsid w:val="55BA16AD"/>
    <w:rsid w:val="55BB2305"/>
    <w:rsid w:val="55C84E61"/>
    <w:rsid w:val="55CD530D"/>
    <w:rsid w:val="55CF199A"/>
    <w:rsid w:val="55CF2C93"/>
    <w:rsid w:val="55D2103B"/>
    <w:rsid w:val="55E768E8"/>
    <w:rsid w:val="55EE2853"/>
    <w:rsid w:val="55FA0B6B"/>
    <w:rsid w:val="55FF0040"/>
    <w:rsid w:val="560E1DBD"/>
    <w:rsid w:val="563E5808"/>
    <w:rsid w:val="56487C06"/>
    <w:rsid w:val="564F2FD6"/>
    <w:rsid w:val="564F4A1A"/>
    <w:rsid w:val="56520BF9"/>
    <w:rsid w:val="56574EF1"/>
    <w:rsid w:val="566400FB"/>
    <w:rsid w:val="566E51D6"/>
    <w:rsid w:val="56775267"/>
    <w:rsid w:val="56931F37"/>
    <w:rsid w:val="56932322"/>
    <w:rsid w:val="569C5EA6"/>
    <w:rsid w:val="569E3EE6"/>
    <w:rsid w:val="56CB403F"/>
    <w:rsid w:val="56D11496"/>
    <w:rsid w:val="56E270E9"/>
    <w:rsid w:val="57071F4E"/>
    <w:rsid w:val="570D730A"/>
    <w:rsid w:val="571B01F2"/>
    <w:rsid w:val="572D0C7B"/>
    <w:rsid w:val="57342B3C"/>
    <w:rsid w:val="57435475"/>
    <w:rsid w:val="574E4E5E"/>
    <w:rsid w:val="57572CCF"/>
    <w:rsid w:val="57710B44"/>
    <w:rsid w:val="57797801"/>
    <w:rsid w:val="577A1F44"/>
    <w:rsid w:val="57823EDB"/>
    <w:rsid w:val="57971AFC"/>
    <w:rsid w:val="57996E2C"/>
    <w:rsid w:val="57B1418D"/>
    <w:rsid w:val="57B3566A"/>
    <w:rsid w:val="57B83882"/>
    <w:rsid w:val="57C72719"/>
    <w:rsid w:val="57CE1ADE"/>
    <w:rsid w:val="57D11333"/>
    <w:rsid w:val="57E87254"/>
    <w:rsid w:val="57EC2FBD"/>
    <w:rsid w:val="57F24692"/>
    <w:rsid w:val="57F51934"/>
    <w:rsid w:val="57F9109C"/>
    <w:rsid w:val="57FD0454"/>
    <w:rsid w:val="580526F5"/>
    <w:rsid w:val="580B1B5D"/>
    <w:rsid w:val="580F52DD"/>
    <w:rsid w:val="583D28C6"/>
    <w:rsid w:val="58446D2E"/>
    <w:rsid w:val="58447EEA"/>
    <w:rsid w:val="58560FBA"/>
    <w:rsid w:val="585710E6"/>
    <w:rsid w:val="585B630B"/>
    <w:rsid w:val="58621F05"/>
    <w:rsid w:val="58707502"/>
    <w:rsid w:val="58723FE4"/>
    <w:rsid w:val="5888199F"/>
    <w:rsid w:val="5889510A"/>
    <w:rsid w:val="58A9755A"/>
    <w:rsid w:val="58AB7AD4"/>
    <w:rsid w:val="58BD7BC2"/>
    <w:rsid w:val="58C12364"/>
    <w:rsid w:val="58CC3FD5"/>
    <w:rsid w:val="58E312F5"/>
    <w:rsid w:val="58EB0BCA"/>
    <w:rsid w:val="58F51F77"/>
    <w:rsid w:val="58FC29EF"/>
    <w:rsid w:val="59025B0D"/>
    <w:rsid w:val="59055CCE"/>
    <w:rsid w:val="590E638E"/>
    <w:rsid w:val="59170A87"/>
    <w:rsid w:val="59184160"/>
    <w:rsid w:val="59254E33"/>
    <w:rsid w:val="59335C0C"/>
    <w:rsid w:val="593C6EC8"/>
    <w:rsid w:val="593F4B78"/>
    <w:rsid w:val="59442859"/>
    <w:rsid w:val="5956265F"/>
    <w:rsid w:val="595A36C1"/>
    <w:rsid w:val="595B3C40"/>
    <w:rsid w:val="596C7A31"/>
    <w:rsid w:val="5970339B"/>
    <w:rsid w:val="597C4916"/>
    <w:rsid w:val="598F4F95"/>
    <w:rsid w:val="5999739E"/>
    <w:rsid w:val="59A1284D"/>
    <w:rsid w:val="59A41164"/>
    <w:rsid w:val="59B12B6A"/>
    <w:rsid w:val="59B569AB"/>
    <w:rsid w:val="59C254A5"/>
    <w:rsid w:val="59E06376"/>
    <w:rsid w:val="59E142DC"/>
    <w:rsid w:val="59FF75BE"/>
    <w:rsid w:val="5A0111E2"/>
    <w:rsid w:val="5A0176D1"/>
    <w:rsid w:val="5A1D4EFE"/>
    <w:rsid w:val="5A1F1046"/>
    <w:rsid w:val="5A394566"/>
    <w:rsid w:val="5A3A2204"/>
    <w:rsid w:val="5A427F8C"/>
    <w:rsid w:val="5A472CEC"/>
    <w:rsid w:val="5A666518"/>
    <w:rsid w:val="5A782AA3"/>
    <w:rsid w:val="5A7F24C0"/>
    <w:rsid w:val="5A891532"/>
    <w:rsid w:val="5A97782C"/>
    <w:rsid w:val="5A982B0C"/>
    <w:rsid w:val="5A9B1124"/>
    <w:rsid w:val="5A9E5948"/>
    <w:rsid w:val="5AA669DF"/>
    <w:rsid w:val="5ABB7EBA"/>
    <w:rsid w:val="5ABD5EDB"/>
    <w:rsid w:val="5ACD4C19"/>
    <w:rsid w:val="5AD32AD3"/>
    <w:rsid w:val="5AD61301"/>
    <w:rsid w:val="5ADA0571"/>
    <w:rsid w:val="5AEF6BF7"/>
    <w:rsid w:val="5AFF59AA"/>
    <w:rsid w:val="5B0C1D95"/>
    <w:rsid w:val="5B0D1838"/>
    <w:rsid w:val="5B224E28"/>
    <w:rsid w:val="5B28184F"/>
    <w:rsid w:val="5B4C6EFE"/>
    <w:rsid w:val="5B7222F3"/>
    <w:rsid w:val="5B725324"/>
    <w:rsid w:val="5B751975"/>
    <w:rsid w:val="5B755477"/>
    <w:rsid w:val="5B7A74E3"/>
    <w:rsid w:val="5B7F07D5"/>
    <w:rsid w:val="5B826FBC"/>
    <w:rsid w:val="5B8526E3"/>
    <w:rsid w:val="5BB3092C"/>
    <w:rsid w:val="5BB93F58"/>
    <w:rsid w:val="5BBD57F6"/>
    <w:rsid w:val="5BC540D1"/>
    <w:rsid w:val="5BCF7A15"/>
    <w:rsid w:val="5BD74746"/>
    <w:rsid w:val="5BDE576D"/>
    <w:rsid w:val="5BE077E3"/>
    <w:rsid w:val="5BF758DA"/>
    <w:rsid w:val="5BFA5443"/>
    <w:rsid w:val="5C0033F1"/>
    <w:rsid w:val="5C022EEB"/>
    <w:rsid w:val="5C3E030B"/>
    <w:rsid w:val="5C451D6A"/>
    <w:rsid w:val="5C515F3F"/>
    <w:rsid w:val="5C647285"/>
    <w:rsid w:val="5C7A19BD"/>
    <w:rsid w:val="5C7F214A"/>
    <w:rsid w:val="5C89057D"/>
    <w:rsid w:val="5C9A394F"/>
    <w:rsid w:val="5CA249EC"/>
    <w:rsid w:val="5CAC6FC5"/>
    <w:rsid w:val="5CB53A34"/>
    <w:rsid w:val="5CB77667"/>
    <w:rsid w:val="5CB96D6F"/>
    <w:rsid w:val="5CC16D8D"/>
    <w:rsid w:val="5CC95D32"/>
    <w:rsid w:val="5CD03307"/>
    <w:rsid w:val="5CDC179B"/>
    <w:rsid w:val="5CF05758"/>
    <w:rsid w:val="5CF073E9"/>
    <w:rsid w:val="5CFA0384"/>
    <w:rsid w:val="5CFF6E54"/>
    <w:rsid w:val="5D0120B0"/>
    <w:rsid w:val="5D0F2892"/>
    <w:rsid w:val="5D1F047E"/>
    <w:rsid w:val="5D26311B"/>
    <w:rsid w:val="5D2B2C34"/>
    <w:rsid w:val="5D577A94"/>
    <w:rsid w:val="5D697D79"/>
    <w:rsid w:val="5D7520B0"/>
    <w:rsid w:val="5D7D2CD6"/>
    <w:rsid w:val="5D8C2F31"/>
    <w:rsid w:val="5D94650F"/>
    <w:rsid w:val="5D96561B"/>
    <w:rsid w:val="5DA05548"/>
    <w:rsid w:val="5DA4679E"/>
    <w:rsid w:val="5DB76275"/>
    <w:rsid w:val="5DC2282B"/>
    <w:rsid w:val="5DD3264E"/>
    <w:rsid w:val="5E041265"/>
    <w:rsid w:val="5E2B7697"/>
    <w:rsid w:val="5E330A47"/>
    <w:rsid w:val="5E3B36FA"/>
    <w:rsid w:val="5E4C0F3D"/>
    <w:rsid w:val="5E4D2A9C"/>
    <w:rsid w:val="5E521E1C"/>
    <w:rsid w:val="5E5571A4"/>
    <w:rsid w:val="5E5576F3"/>
    <w:rsid w:val="5E723EB4"/>
    <w:rsid w:val="5E8720EC"/>
    <w:rsid w:val="5E912F6A"/>
    <w:rsid w:val="5EA23921"/>
    <w:rsid w:val="5EBD58FA"/>
    <w:rsid w:val="5EC46CBD"/>
    <w:rsid w:val="5EC9488F"/>
    <w:rsid w:val="5ECE5F2E"/>
    <w:rsid w:val="5ED12060"/>
    <w:rsid w:val="5EDE5C89"/>
    <w:rsid w:val="5EE64AAF"/>
    <w:rsid w:val="5EEB267A"/>
    <w:rsid w:val="5EEF1885"/>
    <w:rsid w:val="5EF47E31"/>
    <w:rsid w:val="5EFB4BF2"/>
    <w:rsid w:val="5F1E58A2"/>
    <w:rsid w:val="5F1F2B83"/>
    <w:rsid w:val="5F215050"/>
    <w:rsid w:val="5F2931A3"/>
    <w:rsid w:val="5F2D4A41"/>
    <w:rsid w:val="5F2E659A"/>
    <w:rsid w:val="5F3E073F"/>
    <w:rsid w:val="5F474BFF"/>
    <w:rsid w:val="5F526781"/>
    <w:rsid w:val="5F623276"/>
    <w:rsid w:val="5F6A0409"/>
    <w:rsid w:val="5F6C2068"/>
    <w:rsid w:val="5F6C31C7"/>
    <w:rsid w:val="5F733EF1"/>
    <w:rsid w:val="5F743B13"/>
    <w:rsid w:val="5F786A3F"/>
    <w:rsid w:val="5F7F46FC"/>
    <w:rsid w:val="5F7FE304"/>
    <w:rsid w:val="5F874FBF"/>
    <w:rsid w:val="5F9B0D23"/>
    <w:rsid w:val="5F9D4C85"/>
    <w:rsid w:val="5F9F8873"/>
    <w:rsid w:val="5FB51FCB"/>
    <w:rsid w:val="5FC2688A"/>
    <w:rsid w:val="5FDC7CD6"/>
    <w:rsid w:val="5FE1547F"/>
    <w:rsid w:val="5FEE3BCE"/>
    <w:rsid w:val="600153BE"/>
    <w:rsid w:val="60094F35"/>
    <w:rsid w:val="600D4CEE"/>
    <w:rsid w:val="60113E2C"/>
    <w:rsid w:val="60116111"/>
    <w:rsid w:val="601609A8"/>
    <w:rsid w:val="602C7C48"/>
    <w:rsid w:val="6035284E"/>
    <w:rsid w:val="604343F0"/>
    <w:rsid w:val="60437DE9"/>
    <w:rsid w:val="6046318F"/>
    <w:rsid w:val="60463EC6"/>
    <w:rsid w:val="604B6CCB"/>
    <w:rsid w:val="6070442A"/>
    <w:rsid w:val="60750165"/>
    <w:rsid w:val="60B9239F"/>
    <w:rsid w:val="60BF5B6D"/>
    <w:rsid w:val="60C645AB"/>
    <w:rsid w:val="60E20DAE"/>
    <w:rsid w:val="60E27E53"/>
    <w:rsid w:val="60F4180C"/>
    <w:rsid w:val="61206F49"/>
    <w:rsid w:val="613D6BAA"/>
    <w:rsid w:val="61410D80"/>
    <w:rsid w:val="61611A0B"/>
    <w:rsid w:val="61621D97"/>
    <w:rsid w:val="6167427F"/>
    <w:rsid w:val="616A3192"/>
    <w:rsid w:val="61812597"/>
    <w:rsid w:val="618755C4"/>
    <w:rsid w:val="61953350"/>
    <w:rsid w:val="619E139C"/>
    <w:rsid w:val="61B62B7A"/>
    <w:rsid w:val="61BE5377"/>
    <w:rsid w:val="61D0398A"/>
    <w:rsid w:val="61DE71DE"/>
    <w:rsid w:val="61EA4E6B"/>
    <w:rsid w:val="61EE7897"/>
    <w:rsid w:val="61F05A3D"/>
    <w:rsid w:val="620D33E1"/>
    <w:rsid w:val="621259F7"/>
    <w:rsid w:val="62127C3C"/>
    <w:rsid w:val="622214DA"/>
    <w:rsid w:val="6224730C"/>
    <w:rsid w:val="622567A5"/>
    <w:rsid w:val="622977EA"/>
    <w:rsid w:val="622B010A"/>
    <w:rsid w:val="622C73DE"/>
    <w:rsid w:val="624645AC"/>
    <w:rsid w:val="62577D9F"/>
    <w:rsid w:val="625937AE"/>
    <w:rsid w:val="626C7A15"/>
    <w:rsid w:val="626F3F92"/>
    <w:rsid w:val="6287216F"/>
    <w:rsid w:val="62892A53"/>
    <w:rsid w:val="62935DB1"/>
    <w:rsid w:val="629831F9"/>
    <w:rsid w:val="62BC5DE9"/>
    <w:rsid w:val="62BD2580"/>
    <w:rsid w:val="62C10FD0"/>
    <w:rsid w:val="62C76F5B"/>
    <w:rsid w:val="62E41E7C"/>
    <w:rsid w:val="62E8190E"/>
    <w:rsid w:val="62EC74FF"/>
    <w:rsid w:val="62EE30D2"/>
    <w:rsid w:val="62FA10DE"/>
    <w:rsid w:val="62FC541B"/>
    <w:rsid w:val="630006BE"/>
    <w:rsid w:val="6300634C"/>
    <w:rsid w:val="630E03BD"/>
    <w:rsid w:val="63114765"/>
    <w:rsid w:val="631550FC"/>
    <w:rsid w:val="63382085"/>
    <w:rsid w:val="63422B24"/>
    <w:rsid w:val="63471E94"/>
    <w:rsid w:val="636607F7"/>
    <w:rsid w:val="636965D4"/>
    <w:rsid w:val="637029F7"/>
    <w:rsid w:val="63726B6C"/>
    <w:rsid w:val="637B7A06"/>
    <w:rsid w:val="63835232"/>
    <w:rsid w:val="63965A29"/>
    <w:rsid w:val="63A044C9"/>
    <w:rsid w:val="63A50EBA"/>
    <w:rsid w:val="63AE2B07"/>
    <w:rsid w:val="63AE435F"/>
    <w:rsid w:val="63B14BC4"/>
    <w:rsid w:val="63BB7AF9"/>
    <w:rsid w:val="63BD1501"/>
    <w:rsid w:val="63F041DC"/>
    <w:rsid w:val="63F86267"/>
    <w:rsid w:val="640E3B92"/>
    <w:rsid w:val="643D2511"/>
    <w:rsid w:val="644A5D7B"/>
    <w:rsid w:val="647A3430"/>
    <w:rsid w:val="647B624F"/>
    <w:rsid w:val="648B159F"/>
    <w:rsid w:val="64A13515"/>
    <w:rsid w:val="64A137DB"/>
    <w:rsid w:val="64BA302E"/>
    <w:rsid w:val="64BB2F3B"/>
    <w:rsid w:val="64BF61CB"/>
    <w:rsid w:val="64C93DE9"/>
    <w:rsid w:val="64DA6181"/>
    <w:rsid w:val="64DF2A44"/>
    <w:rsid w:val="64FA5B55"/>
    <w:rsid w:val="650C50F9"/>
    <w:rsid w:val="651C0482"/>
    <w:rsid w:val="653D1756"/>
    <w:rsid w:val="657E46FF"/>
    <w:rsid w:val="658E1E84"/>
    <w:rsid w:val="65BF551B"/>
    <w:rsid w:val="65C437BF"/>
    <w:rsid w:val="65C601F6"/>
    <w:rsid w:val="65C72292"/>
    <w:rsid w:val="65D117B7"/>
    <w:rsid w:val="65D200F0"/>
    <w:rsid w:val="65DC5DBF"/>
    <w:rsid w:val="65F1617E"/>
    <w:rsid w:val="65F5223C"/>
    <w:rsid w:val="660245B8"/>
    <w:rsid w:val="661829F8"/>
    <w:rsid w:val="661B4BCF"/>
    <w:rsid w:val="665C4E79"/>
    <w:rsid w:val="66717E3F"/>
    <w:rsid w:val="66802ADE"/>
    <w:rsid w:val="66821FD7"/>
    <w:rsid w:val="66975803"/>
    <w:rsid w:val="66B132A5"/>
    <w:rsid w:val="66C306A0"/>
    <w:rsid w:val="66D52CAC"/>
    <w:rsid w:val="66E717C1"/>
    <w:rsid w:val="66E757AC"/>
    <w:rsid w:val="66F276B6"/>
    <w:rsid w:val="66FB2125"/>
    <w:rsid w:val="672A5A8A"/>
    <w:rsid w:val="672B6BEF"/>
    <w:rsid w:val="672F287A"/>
    <w:rsid w:val="67340A23"/>
    <w:rsid w:val="674D79C1"/>
    <w:rsid w:val="67574DE2"/>
    <w:rsid w:val="675F6FD0"/>
    <w:rsid w:val="67684F26"/>
    <w:rsid w:val="67717EA6"/>
    <w:rsid w:val="67753D45"/>
    <w:rsid w:val="677E7AB0"/>
    <w:rsid w:val="678C66BD"/>
    <w:rsid w:val="67A55390"/>
    <w:rsid w:val="67BF6452"/>
    <w:rsid w:val="67CB0668"/>
    <w:rsid w:val="67D03E67"/>
    <w:rsid w:val="67D33548"/>
    <w:rsid w:val="67D7565F"/>
    <w:rsid w:val="67E633C8"/>
    <w:rsid w:val="67E86292"/>
    <w:rsid w:val="67F72C98"/>
    <w:rsid w:val="68174EC4"/>
    <w:rsid w:val="683706DE"/>
    <w:rsid w:val="68450B54"/>
    <w:rsid w:val="68475BAD"/>
    <w:rsid w:val="6853226F"/>
    <w:rsid w:val="68534AC8"/>
    <w:rsid w:val="68557724"/>
    <w:rsid w:val="685D0462"/>
    <w:rsid w:val="686B0388"/>
    <w:rsid w:val="687B613E"/>
    <w:rsid w:val="68830BF5"/>
    <w:rsid w:val="689D7887"/>
    <w:rsid w:val="689F7918"/>
    <w:rsid w:val="68B411EB"/>
    <w:rsid w:val="68B42E9C"/>
    <w:rsid w:val="68C53CF8"/>
    <w:rsid w:val="68CE059F"/>
    <w:rsid w:val="68DE3B49"/>
    <w:rsid w:val="68DF04D4"/>
    <w:rsid w:val="68E02C65"/>
    <w:rsid w:val="68F7727E"/>
    <w:rsid w:val="68FF3B24"/>
    <w:rsid w:val="69025553"/>
    <w:rsid w:val="69032A8F"/>
    <w:rsid w:val="690E397F"/>
    <w:rsid w:val="691471F2"/>
    <w:rsid w:val="69161412"/>
    <w:rsid w:val="691B0000"/>
    <w:rsid w:val="691B0859"/>
    <w:rsid w:val="69462667"/>
    <w:rsid w:val="69694AED"/>
    <w:rsid w:val="69884761"/>
    <w:rsid w:val="699613C0"/>
    <w:rsid w:val="699F0AC7"/>
    <w:rsid w:val="69AC3CF3"/>
    <w:rsid w:val="69B25257"/>
    <w:rsid w:val="69C1601A"/>
    <w:rsid w:val="69DE523F"/>
    <w:rsid w:val="69E45415"/>
    <w:rsid w:val="69EF0BEC"/>
    <w:rsid w:val="69F467C3"/>
    <w:rsid w:val="69F56FAC"/>
    <w:rsid w:val="69F878CA"/>
    <w:rsid w:val="69FD21F7"/>
    <w:rsid w:val="6A01114C"/>
    <w:rsid w:val="6A03117B"/>
    <w:rsid w:val="6A18692A"/>
    <w:rsid w:val="6A1B663F"/>
    <w:rsid w:val="6A2B11BD"/>
    <w:rsid w:val="6A354F27"/>
    <w:rsid w:val="6A5748C3"/>
    <w:rsid w:val="6A5A4712"/>
    <w:rsid w:val="6A5D229E"/>
    <w:rsid w:val="6A6661F0"/>
    <w:rsid w:val="6A6A2073"/>
    <w:rsid w:val="6A7933E7"/>
    <w:rsid w:val="6A9B4E64"/>
    <w:rsid w:val="6A9B7C73"/>
    <w:rsid w:val="6AB0509A"/>
    <w:rsid w:val="6ABB571C"/>
    <w:rsid w:val="6ACC4257"/>
    <w:rsid w:val="6ACE1E05"/>
    <w:rsid w:val="6ACE6EC4"/>
    <w:rsid w:val="6AD54ECE"/>
    <w:rsid w:val="6AE32434"/>
    <w:rsid w:val="6AF4202E"/>
    <w:rsid w:val="6AF81E4E"/>
    <w:rsid w:val="6B0E0FF6"/>
    <w:rsid w:val="6B185226"/>
    <w:rsid w:val="6B1A13F6"/>
    <w:rsid w:val="6B1A1DDB"/>
    <w:rsid w:val="6B2B5C9F"/>
    <w:rsid w:val="6B33535D"/>
    <w:rsid w:val="6B337530"/>
    <w:rsid w:val="6B341A7A"/>
    <w:rsid w:val="6B3A377F"/>
    <w:rsid w:val="6B3D63CA"/>
    <w:rsid w:val="6B3E3544"/>
    <w:rsid w:val="6B425B21"/>
    <w:rsid w:val="6B4B3AC8"/>
    <w:rsid w:val="6B5D26B4"/>
    <w:rsid w:val="6B6F17F0"/>
    <w:rsid w:val="6B712827"/>
    <w:rsid w:val="6B8C5E66"/>
    <w:rsid w:val="6B972271"/>
    <w:rsid w:val="6B974310"/>
    <w:rsid w:val="6BA12924"/>
    <w:rsid w:val="6BA31786"/>
    <w:rsid w:val="6BE2471A"/>
    <w:rsid w:val="6C0A106D"/>
    <w:rsid w:val="6C0E5F6E"/>
    <w:rsid w:val="6C127E8F"/>
    <w:rsid w:val="6C152258"/>
    <w:rsid w:val="6C1949C8"/>
    <w:rsid w:val="6C2643D1"/>
    <w:rsid w:val="6C3239D1"/>
    <w:rsid w:val="6C367D5D"/>
    <w:rsid w:val="6C371E8E"/>
    <w:rsid w:val="6C4707FB"/>
    <w:rsid w:val="6C507FC1"/>
    <w:rsid w:val="6C5F0204"/>
    <w:rsid w:val="6C626635"/>
    <w:rsid w:val="6C6D191B"/>
    <w:rsid w:val="6C6D3F0B"/>
    <w:rsid w:val="6C8F5271"/>
    <w:rsid w:val="6CA43E69"/>
    <w:rsid w:val="6CAA75A0"/>
    <w:rsid w:val="6CAD2B5D"/>
    <w:rsid w:val="6CB2557D"/>
    <w:rsid w:val="6CB565B0"/>
    <w:rsid w:val="6CB7686A"/>
    <w:rsid w:val="6CC57732"/>
    <w:rsid w:val="6CC60283"/>
    <w:rsid w:val="6CDF5053"/>
    <w:rsid w:val="6CEB4287"/>
    <w:rsid w:val="6CFB0FDE"/>
    <w:rsid w:val="6D0B3E55"/>
    <w:rsid w:val="6D0E128B"/>
    <w:rsid w:val="6D1E1EB0"/>
    <w:rsid w:val="6D231B03"/>
    <w:rsid w:val="6D245DF6"/>
    <w:rsid w:val="6D2C0992"/>
    <w:rsid w:val="6D3276C6"/>
    <w:rsid w:val="6D3C4065"/>
    <w:rsid w:val="6D4D6E7A"/>
    <w:rsid w:val="6D5A180E"/>
    <w:rsid w:val="6D695CED"/>
    <w:rsid w:val="6D6A50B2"/>
    <w:rsid w:val="6D733879"/>
    <w:rsid w:val="6D857D9D"/>
    <w:rsid w:val="6D8F032A"/>
    <w:rsid w:val="6D910891"/>
    <w:rsid w:val="6D93510E"/>
    <w:rsid w:val="6DAA6069"/>
    <w:rsid w:val="6DB5289F"/>
    <w:rsid w:val="6DBA4C07"/>
    <w:rsid w:val="6DD975D8"/>
    <w:rsid w:val="6DDF631C"/>
    <w:rsid w:val="6DF73529"/>
    <w:rsid w:val="6E032FC2"/>
    <w:rsid w:val="6E090563"/>
    <w:rsid w:val="6E1F6A55"/>
    <w:rsid w:val="6E285408"/>
    <w:rsid w:val="6E317E32"/>
    <w:rsid w:val="6E3877ED"/>
    <w:rsid w:val="6E433EAF"/>
    <w:rsid w:val="6E5340CB"/>
    <w:rsid w:val="6E56640B"/>
    <w:rsid w:val="6E711527"/>
    <w:rsid w:val="6E8346BC"/>
    <w:rsid w:val="6E851BF4"/>
    <w:rsid w:val="6E943958"/>
    <w:rsid w:val="6E953AA3"/>
    <w:rsid w:val="6EAF3A57"/>
    <w:rsid w:val="6ED011FC"/>
    <w:rsid w:val="6ED770CD"/>
    <w:rsid w:val="6EDF77F5"/>
    <w:rsid w:val="6F076F7D"/>
    <w:rsid w:val="6F1144A4"/>
    <w:rsid w:val="6F14532D"/>
    <w:rsid w:val="6F2968A7"/>
    <w:rsid w:val="6F323167"/>
    <w:rsid w:val="6F3444B6"/>
    <w:rsid w:val="6F364A08"/>
    <w:rsid w:val="6F5E1BD4"/>
    <w:rsid w:val="6F754641"/>
    <w:rsid w:val="6F814C70"/>
    <w:rsid w:val="6F85563F"/>
    <w:rsid w:val="6FA32C33"/>
    <w:rsid w:val="6FAF4FFE"/>
    <w:rsid w:val="6FB73240"/>
    <w:rsid w:val="6FB93B4D"/>
    <w:rsid w:val="6FBF0D34"/>
    <w:rsid w:val="6FC162FA"/>
    <w:rsid w:val="6FC8175F"/>
    <w:rsid w:val="6FC92DA9"/>
    <w:rsid w:val="6FD93B73"/>
    <w:rsid w:val="6FDB2329"/>
    <w:rsid w:val="6FDFDB66"/>
    <w:rsid w:val="6FE90101"/>
    <w:rsid w:val="6FEA6E69"/>
    <w:rsid w:val="6FF31452"/>
    <w:rsid w:val="70027159"/>
    <w:rsid w:val="70185CDC"/>
    <w:rsid w:val="703A551C"/>
    <w:rsid w:val="703C2781"/>
    <w:rsid w:val="70563559"/>
    <w:rsid w:val="706436BB"/>
    <w:rsid w:val="706C2EEF"/>
    <w:rsid w:val="708345E6"/>
    <w:rsid w:val="70993EC9"/>
    <w:rsid w:val="70A0604E"/>
    <w:rsid w:val="70A30D27"/>
    <w:rsid w:val="70AC3D7A"/>
    <w:rsid w:val="70AE7F6F"/>
    <w:rsid w:val="70C2536F"/>
    <w:rsid w:val="70C76C10"/>
    <w:rsid w:val="70CC526B"/>
    <w:rsid w:val="70FE0A22"/>
    <w:rsid w:val="70FE78F0"/>
    <w:rsid w:val="710F4243"/>
    <w:rsid w:val="71184E25"/>
    <w:rsid w:val="712269D3"/>
    <w:rsid w:val="713573F8"/>
    <w:rsid w:val="71550DEF"/>
    <w:rsid w:val="715B625B"/>
    <w:rsid w:val="71607246"/>
    <w:rsid w:val="71667BAE"/>
    <w:rsid w:val="71743D65"/>
    <w:rsid w:val="718E2962"/>
    <w:rsid w:val="719152B5"/>
    <w:rsid w:val="719438CB"/>
    <w:rsid w:val="71997EB8"/>
    <w:rsid w:val="71A20DB3"/>
    <w:rsid w:val="71A42F48"/>
    <w:rsid w:val="71A517D9"/>
    <w:rsid w:val="71A61A92"/>
    <w:rsid w:val="71AB0D1E"/>
    <w:rsid w:val="71BD1FA1"/>
    <w:rsid w:val="71C21F5C"/>
    <w:rsid w:val="71CC32AB"/>
    <w:rsid w:val="71EE5087"/>
    <w:rsid w:val="72057567"/>
    <w:rsid w:val="72104CF8"/>
    <w:rsid w:val="721C106B"/>
    <w:rsid w:val="721D12AF"/>
    <w:rsid w:val="721D3A01"/>
    <w:rsid w:val="7226152F"/>
    <w:rsid w:val="722E2629"/>
    <w:rsid w:val="722E3D50"/>
    <w:rsid w:val="723830FF"/>
    <w:rsid w:val="723F518D"/>
    <w:rsid w:val="72581DED"/>
    <w:rsid w:val="725A4ECA"/>
    <w:rsid w:val="725D58A8"/>
    <w:rsid w:val="72924221"/>
    <w:rsid w:val="72931016"/>
    <w:rsid w:val="72AF7364"/>
    <w:rsid w:val="72B50674"/>
    <w:rsid w:val="72C216C0"/>
    <w:rsid w:val="72C7190D"/>
    <w:rsid w:val="72E07EB3"/>
    <w:rsid w:val="72EC7E3D"/>
    <w:rsid w:val="72F04094"/>
    <w:rsid w:val="72F21EB4"/>
    <w:rsid w:val="730E3420"/>
    <w:rsid w:val="73165D05"/>
    <w:rsid w:val="731960AC"/>
    <w:rsid w:val="731A52E5"/>
    <w:rsid w:val="731D71E7"/>
    <w:rsid w:val="731F249B"/>
    <w:rsid w:val="73203209"/>
    <w:rsid w:val="73217FC1"/>
    <w:rsid w:val="732A6D4F"/>
    <w:rsid w:val="73361B37"/>
    <w:rsid w:val="733621AF"/>
    <w:rsid w:val="733A1A9C"/>
    <w:rsid w:val="733E66FD"/>
    <w:rsid w:val="734165F8"/>
    <w:rsid w:val="73464E3A"/>
    <w:rsid w:val="734F3909"/>
    <w:rsid w:val="734F6B4A"/>
    <w:rsid w:val="735341A2"/>
    <w:rsid w:val="73664BC7"/>
    <w:rsid w:val="736C1B8C"/>
    <w:rsid w:val="73734EE4"/>
    <w:rsid w:val="737E1D9A"/>
    <w:rsid w:val="738B0393"/>
    <w:rsid w:val="739978C7"/>
    <w:rsid w:val="73A56453"/>
    <w:rsid w:val="73AB798B"/>
    <w:rsid w:val="73C1186E"/>
    <w:rsid w:val="73CD3AF9"/>
    <w:rsid w:val="73CF05A7"/>
    <w:rsid w:val="73CF470B"/>
    <w:rsid w:val="74082529"/>
    <w:rsid w:val="741D2018"/>
    <w:rsid w:val="741F35DB"/>
    <w:rsid w:val="74235FBB"/>
    <w:rsid w:val="742A7931"/>
    <w:rsid w:val="742F4960"/>
    <w:rsid w:val="74330594"/>
    <w:rsid w:val="7439521B"/>
    <w:rsid w:val="743B15E2"/>
    <w:rsid w:val="743C03B7"/>
    <w:rsid w:val="744864FF"/>
    <w:rsid w:val="74487C11"/>
    <w:rsid w:val="74512B28"/>
    <w:rsid w:val="745C1CA8"/>
    <w:rsid w:val="746304B0"/>
    <w:rsid w:val="747B5226"/>
    <w:rsid w:val="74836A59"/>
    <w:rsid w:val="748816E2"/>
    <w:rsid w:val="748C3F4B"/>
    <w:rsid w:val="74D114D6"/>
    <w:rsid w:val="74D12E4B"/>
    <w:rsid w:val="74D25EEE"/>
    <w:rsid w:val="74F93B59"/>
    <w:rsid w:val="750937B8"/>
    <w:rsid w:val="750B48FC"/>
    <w:rsid w:val="750D3415"/>
    <w:rsid w:val="754760B8"/>
    <w:rsid w:val="754A13BD"/>
    <w:rsid w:val="754C091C"/>
    <w:rsid w:val="754C13F7"/>
    <w:rsid w:val="755802BF"/>
    <w:rsid w:val="756C070F"/>
    <w:rsid w:val="757E66CB"/>
    <w:rsid w:val="758950A4"/>
    <w:rsid w:val="758F6AE1"/>
    <w:rsid w:val="75923DAC"/>
    <w:rsid w:val="75945B8C"/>
    <w:rsid w:val="75986915"/>
    <w:rsid w:val="759D2392"/>
    <w:rsid w:val="75A7573B"/>
    <w:rsid w:val="75AD4F0B"/>
    <w:rsid w:val="75BA5D24"/>
    <w:rsid w:val="75BD268A"/>
    <w:rsid w:val="75D30E1D"/>
    <w:rsid w:val="75D31876"/>
    <w:rsid w:val="75ED2EA7"/>
    <w:rsid w:val="75F638C4"/>
    <w:rsid w:val="7603234A"/>
    <w:rsid w:val="760A5CDB"/>
    <w:rsid w:val="76202E19"/>
    <w:rsid w:val="7634632A"/>
    <w:rsid w:val="763738F1"/>
    <w:rsid w:val="76385E60"/>
    <w:rsid w:val="766065AD"/>
    <w:rsid w:val="76790F36"/>
    <w:rsid w:val="767A6BDE"/>
    <w:rsid w:val="767B0CC7"/>
    <w:rsid w:val="7694751B"/>
    <w:rsid w:val="769D5DA7"/>
    <w:rsid w:val="76AE4EC8"/>
    <w:rsid w:val="76B714B3"/>
    <w:rsid w:val="76B850E0"/>
    <w:rsid w:val="76C73C9A"/>
    <w:rsid w:val="76CC293A"/>
    <w:rsid w:val="76D70271"/>
    <w:rsid w:val="76FB0B73"/>
    <w:rsid w:val="77017347"/>
    <w:rsid w:val="771468CF"/>
    <w:rsid w:val="771522A2"/>
    <w:rsid w:val="77377037"/>
    <w:rsid w:val="773B615A"/>
    <w:rsid w:val="77534D32"/>
    <w:rsid w:val="775929E7"/>
    <w:rsid w:val="775C4878"/>
    <w:rsid w:val="775F6F8F"/>
    <w:rsid w:val="77764D81"/>
    <w:rsid w:val="77793034"/>
    <w:rsid w:val="77983F25"/>
    <w:rsid w:val="77A36F11"/>
    <w:rsid w:val="77B5746C"/>
    <w:rsid w:val="77BA3B1C"/>
    <w:rsid w:val="77BF57C7"/>
    <w:rsid w:val="77CA7A19"/>
    <w:rsid w:val="77D870BC"/>
    <w:rsid w:val="77DF3E51"/>
    <w:rsid w:val="77DF47F4"/>
    <w:rsid w:val="77E83F2A"/>
    <w:rsid w:val="77EA5752"/>
    <w:rsid w:val="7803223D"/>
    <w:rsid w:val="780A45ED"/>
    <w:rsid w:val="78157CF7"/>
    <w:rsid w:val="78301DAE"/>
    <w:rsid w:val="784F56DF"/>
    <w:rsid w:val="78520D00"/>
    <w:rsid w:val="78526FC2"/>
    <w:rsid w:val="7857629B"/>
    <w:rsid w:val="78650950"/>
    <w:rsid w:val="786E0F9C"/>
    <w:rsid w:val="787C3EEC"/>
    <w:rsid w:val="788437FF"/>
    <w:rsid w:val="78857C89"/>
    <w:rsid w:val="788D5D18"/>
    <w:rsid w:val="78A97A27"/>
    <w:rsid w:val="78BB2564"/>
    <w:rsid w:val="78CC0DC3"/>
    <w:rsid w:val="78D07FF5"/>
    <w:rsid w:val="78D37FAF"/>
    <w:rsid w:val="78D4689D"/>
    <w:rsid w:val="78E440AD"/>
    <w:rsid w:val="78E44E4A"/>
    <w:rsid w:val="78E56CA1"/>
    <w:rsid w:val="78F149EE"/>
    <w:rsid w:val="791902A3"/>
    <w:rsid w:val="79190FA2"/>
    <w:rsid w:val="79446284"/>
    <w:rsid w:val="79482F61"/>
    <w:rsid w:val="79653DE6"/>
    <w:rsid w:val="79654FCF"/>
    <w:rsid w:val="79782A0A"/>
    <w:rsid w:val="7994314C"/>
    <w:rsid w:val="79952599"/>
    <w:rsid w:val="79D85272"/>
    <w:rsid w:val="79E06189"/>
    <w:rsid w:val="79E06CEF"/>
    <w:rsid w:val="79EA62EB"/>
    <w:rsid w:val="79EB45A1"/>
    <w:rsid w:val="79ED12C9"/>
    <w:rsid w:val="79F5466D"/>
    <w:rsid w:val="79FD76E9"/>
    <w:rsid w:val="7A163118"/>
    <w:rsid w:val="7A215C00"/>
    <w:rsid w:val="7A290DC0"/>
    <w:rsid w:val="7A296EFF"/>
    <w:rsid w:val="7A3053BF"/>
    <w:rsid w:val="7A41719B"/>
    <w:rsid w:val="7A4B51FA"/>
    <w:rsid w:val="7A5252C7"/>
    <w:rsid w:val="7A531C9F"/>
    <w:rsid w:val="7A5F6682"/>
    <w:rsid w:val="7A680BCB"/>
    <w:rsid w:val="7A8A2F3D"/>
    <w:rsid w:val="7A921AE4"/>
    <w:rsid w:val="7A940832"/>
    <w:rsid w:val="7AA9530D"/>
    <w:rsid w:val="7AB20E79"/>
    <w:rsid w:val="7AB32860"/>
    <w:rsid w:val="7AD85D51"/>
    <w:rsid w:val="7AE70572"/>
    <w:rsid w:val="7AE815FC"/>
    <w:rsid w:val="7AF05A27"/>
    <w:rsid w:val="7AF37A02"/>
    <w:rsid w:val="7AF406B1"/>
    <w:rsid w:val="7AF44D2F"/>
    <w:rsid w:val="7B0B455A"/>
    <w:rsid w:val="7B0D3738"/>
    <w:rsid w:val="7B347486"/>
    <w:rsid w:val="7B5C2D8B"/>
    <w:rsid w:val="7B5F5CEE"/>
    <w:rsid w:val="7B6C7089"/>
    <w:rsid w:val="7BB70782"/>
    <w:rsid w:val="7BBA5E68"/>
    <w:rsid w:val="7BC7163F"/>
    <w:rsid w:val="7BC96C5E"/>
    <w:rsid w:val="7BCA02B2"/>
    <w:rsid w:val="7BCF19A0"/>
    <w:rsid w:val="7BD01566"/>
    <w:rsid w:val="7BE307E7"/>
    <w:rsid w:val="7C0C39B6"/>
    <w:rsid w:val="7C1928FC"/>
    <w:rsid w:val="7C2C6E3A"/>
    <w:rsid w:val="7C30326B"/>
    <w:rsid w:val="7C33006F"/>
    <w:rsid w:val="7C411BDF"/>
    <w:rsid w:val="7C56302C"/>
    <w:rsid w:val="7C5E5C42"/>
    <w:rsid w:val="7C6F071E"/>
    <w:rsid w:val="7C714B7A"/>
    <w:rsid w:val="7C7C6A3F"/>
    <w:rsid w:val="7C8D0E31"/>
    <w:rsid w:val="7C9567F4"/>
    <w:rsid w:val="7C961F7D"/>
    <w:rsid w:val="7C9E14D5"/>
    <w:rsid w:val="7CA13E1C"/>
    <w:rsid w:val="7CB56D7D"/>
    <w:rsid w:val="7CBB76D8"/>
    <w:rsid w:val="7CC916E8"/>
    <w:rsid w:val="7CC92BE4"/>
    <w:rsid w:val="7CDD0BF8"/>
    <w:rsid w:val="7CEA7FE5"/>
    <w:rsid w:val="7CEE536B"/>
    <w:rsid w:val="7CFFEFA1"/>
    <w:rsid w:val="7D00284C"/>
    <w:rsid w:val="7D035950"/>
    <w:rsid w:val="7D0A7401"/>
    <w:rsid w:val="7D0E042B"/>
    <w:rsid w:val="7D1E3FBC"/>
    <w:rsid w:val="7D2021D2"/>
    <w:rsid w:val="7D342C2D"/>
    <w:rsid w:val="7D346302"/>
    <w:rsid w:val="7D3A2130"/>
    <w:rsid w:val="7D3A7495"/>
    <w:rsid w:val="7D4338A3"/>
    <w:rsid w:val="7D5C2AB9"/>
    <w:rsid w:val="7D5E1AB7"/>
    <w:rsid w:val="7D647FD3"/>
    <w:rsid w:val="7D65430E"/>
    <w:rsid w:val="7D7F7019"/>
    <w:rsid w:val="7D80622C"/>
    <w:rsid w:val="7D8852F8"/>
    <w:rsid w:val="7D94398B"/>
    <w:rsid w:val="7D9865FF"/>
    <w:rsid w:val="7DA036B4"/>
    <w:rsid w:val="7DA77C5D"/>
    <w:rsid w:val="7DB614BB"/>
    <w:rsid w:val="7DB61D01"/>
    <w:rsid w:val="7DC720AD"/>
    <w:rsid w:val="7DD85480"/>
    <w:rsid w:val="7DDDCE29"/>
    <w:rsid w:val="7DF616D0"/>
    <w:rsid w:val="7DF804B8"/>
    <w:rsid w:val="7E0607C0"/>
    <w:rsid w:val="7E097B7D"/>
    <w:rsid w:val="7E0A3645"/>
    <w:rsid w:val="7E0B1F99"/>
    <w:rsid w:val="7E261F2C"/>
    <w:rsid w:val="7E3056E0"/>
    <w:rsid w:val="7E305AC4"/>
    <w:rsid w:val="7E327D9E"/>
    <w:rsid w:val="7E6063D6"/>
    <w:rsid w:val="7E64706F"/>
    <w:rsid w:val="7E7C1973"/>
    <w:rsid w:val="7E7D317B"/>
    <w:rsid w:val="7E8D3214"/>
    <w:rsid w:val="7E915650"/>
    <w:rsid w:val="7E952976"/>
    <w:rsid w:val="7E9674C8"/>
    <w:rsid w:val="7EB73BF1"/>
    <w:rsid w:val="7EB75F10"/>
    <w:rsid w:val="7EB80529"/>
    <w:rsid w:val="7EB92E8B"/>
    <w:rsid w:val="7ECA4256"/>
    <w:rsid w:val="7ECF5F7A"/>
    <w:rsid w:val="7ED04D1C"/>
    <w:rsid w:val="7ED752CD"/>
    <w:rsid w:val="7EE0213B"/>
    <w:rsid w:val="7EEC1096"/>
    <w:rsid w:val="7EFC0461"/>
    <w:rsid w:val="7EFD0070"/>
    <w:rsid w:val="7F063030"/>
    <w:rsid w:val="7F09779F"/>
    <w:rsid w:val="7F1B05FD"/>
    <w:rsid w:val="7F1D0A11"/>
    <w:rsid w:val="7F337199"/>
    <w:rsid w:val="7F3B4439"/>
    <w:rsid w:val="7F40213C"/>
    <w:rsid w:val="7F4C0ED5"/>
    <w:rsid w:val="7F5C3BF7"/>
    <w:rsid w:val="7F76D771"/>
    <w:rsid w:val="7F8440CB"/>
    <w:rsid w:val="7F943F09"/>
    <w:rsid w:val="7F9A1937"/>
    <w:rsid w:val="7F9B559F"/>
    <w:rsid w:val="7FA00957"/>
    <w:rsid w:val="7FA072B5"/>
    <w:rsid w:val="7FA62219"/>
    <w:rsid w:val="7FAE0F58"/>
    <w:rsid w:val="7FB76872"/>
    <w:rsid w:val="7FBF9542"/>
    <w:rsid w:val="7FE93226"/>
    <w:rsid w:val="7FF10123"/>
    <w:rsid w:val="7FF35F6F"/>
    <w:rsid w:val="7FF739AB"/>
    <w:rsid w:val="7FF847B0"/>
    <w:rsid w:val="7FFF55D0"/>
    <w:rsid w:val="9ECF4E12"/>
    <w:rsid w:val="A3FD840D"/>
    <w:rsid w:val="B6F56A9A"/>
    <w:rsid w:val="B7FDAA39"/>
    <w:rsid w:val="BBEF4418"/>
    <w:rsid w:val="BFCF897A"/>
    <w:rsid w:val="BFE6DD2C"/>
    <w:rsid w:val="C0F64476"/>
    <w:rsid w:val="CBEF6EF8"/>
    <w:rsid w:val="DE7D76AF"/>
    <w:rsid w:val="DFEFA6F6"/>
    <w:rsid w:val="E9D6DDAA"/>
    <w:rsid w:val="EEAF5766"/>
    <w:rsid w:val="EFAEFBD7"/>
    <w:rsid w:val="EFFEADF8"/>
    <w:rsid w:val="F1F3E90F"/>
    <w:rsid w:val="F8FAD7A1"/>
    <w:rsid w:val="FAEFD0B4"/>
    <w:rsid w:val="FC7D4D40"/>
    <w:rsid w:val="FC7F8352"/>
    <w:rsid w:val="FDD34B8F"/>
    <w:rsid w:val="FE7DFF5C"/>
    <w:rsid w:val="FFDFC374"/>
    <w:rsid w:val="FFFE368D"/>
    <w:rsid w:val="FFFEFB3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 w:semiHidden="0" w:name="heading 2"/>
    <w:lsdException w:qFormat="1" w:unhideWhenUsed="0" w:uiPriority="0" w:semiHidden="0" w:name="heading 3"/>
    <w:lsdException w:qFormat="1" w:unhideWhenUsed="0" w:uiPriority="0" w:semiHidden="0" w:name="heading 4"/>
    <w:lsdException w:qFormat="1" w:uiPriority="0" w:name="heading 5"/>
    <w:lsdException w:qFormat="1" w:unhideWhenUsed="0" w:uiPriority="0" w:semiHidden="0" w:name="heading 6"/>
    <w:lsdException w:qFormat="1" w:uiPriority="0" w:name="heading 7"/>
    <w:lsdException w:qFormat="1" w:unhideWhenUsed="0" w:uiPriority="1" w:semiHidden="0" w:name="heading 8"/>
    <w:lsdException w:qFormat="1" w:unhideWhenUsed="0" w:uiPriority="1"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0" w:semiHidden="0" w:name="toc 3"/>
    <w:lsdException w:unhideWhenUsed="0" w:uiPriority="0" w:semiHidden="0" w:name="toc 4"/>
    <w:lsdException w:unhideWhenUsed="0" w:uiPriority="0" w:semiHidden="0" w:name="toc 5"/>
    <w:lsdException w:qFormat="1" w:uiPriority="39"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qFormat="1" w:unhideWhenUsed="0" w:uiPriority="0" w:semiHidden="0" w:name="endnote reference"/>
    <w:lsdException w:qFormat="1"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qFormat="1" w:unhideWhenUsed="0" w:uiPriority="0" w:semiHidden="0" w:name="List Number"/>
    <w:lsdException w:qFormat="1"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1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iPriority="99"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5">
    <w:name w:val="heading 1"/>
    <w:basedOn w:val="1"/>
    <w:next w:val="1"/>
    <w:link w:val="82"/>
    <w:autoRedefine/>
    <w:qFormat/>
    <w:uiPriority w:val="0"/>
    <w:pPr>
      <w:keepNext/>
      <w:keepLines/>
      <w:spacing w:before="340" w:after="330" w:line="578" w:lineRule="auto"/>
      <w:outlineLvl w:val="0"/>
    </w:pPr>
    <w:rPr>
      <w:b/>
      <w:bCs/>
      <w:kern w:val="44"/>
      <w:sz w:val="44"/>
      <w:szCs w:val="44"/>
    </w:rPr>
  </w:style>
  <w:style w:type="paragraph" w:styleId="6">
    <w:name w:val="heading 2"/>
    <w:basedOn w:val="1"/>
    <w:next w:val="1"/>
    <w:link w:val="67"/>
    <w:autoRedefine/>
    <w:qFormat/>
    <w:uiPriority w:val="9"/>
    <w:pPr>
      <w:keepNext/>
      <w:keepLines/>
      <w:spacing w:before="260" w:after="260" w:line="416" w:lineRule="auto"/>
      <w:outlineLvl w:val="1"/>
    </w:pPr>
    <w:rPr>
      <w:rFonts w:ascii="Arial" w:hAnsi="Arial" w:eastAsia="黑体"/>
      <w:b/>
      <w:bCs/>
      <w:sz w:val="32"/>
      <w:szCs w:val="32"/>
    </w:rPr>
  </w:style>
  <w:style w:type="paragraph" w:styleId="7">
    <w:name w:val="heading 3"/>
    <w:basedOn w:val="1"/>
    <w:next w:val="1"/>
    <w:link w:val="60"/>
    <w:autoRedefine/>
    <w:qFormat/>
    <w:uiPriority w:val="0"/>
    <w:pPr>
      <w:keepNext/>
      <w:keepLines/>
      <w:spacing w:before="260" w:after="260" w:line="413" w:lineRule="auto"/>
      <w:outlineLvl w:val="2"/>
    </w:pPr>
    <w:rPr>
      <w:b/>
      <w:bCs/>
      <w:sz w:val="32"/>
      <w:szCs w:val="32"/>
    </w:rPr>
  </w:style>
  <w:style w:type="paragraph" w:styleId="8">
    <w:name w:val="heading 4"/>
    <w:basedOn w:val="1"/>
    <w:next w:val="1"/>
    <w:autoRedefine/>
    <w:qFormat/>
    <w:uiPriority w:val="0"/>
    <w:pPr>
      <w:keepNext/>
      <w:keepLines/>
      <w:spacing w:before="280" w:after="290" w:line="372" w:lineRule="auto"/>
      <w:outlineLvl w:val="3"/>
    </w:pPr>
    <w:rPr>
      <w:rFonts w:ascii="Arial" w:hAnsi="Arial" w:eastAsia="黑体"/>
      <w:b/>
      <w:sz w:val="28"/>
    </w:rPr>
  </w:style>
  <w:style w:type="paragraph" w:styleId="9">
    <w:name w:val="heading 6"/>
    <w:basedOn w:val="1"/>
    <w:next w:val="1"/>
    <w:link w:val="61"/>
    <w:autoRedefine/>
    <w:qFormat/>
    <w:uiPriority w:val="0"/>
    <w:pPr>
      <w:keepNext/>
      <w:keepLines/>
      <w:spacing w:before="240" w:after="64" w:line="320" w:lineRule="auto"/>
      <w:outlineLvl w:val="5"/>
    </w:pPr>
    <w:rPr>
      <w:rFonts w:ascii="Cambria" w:hAnsi="Cambria"/>
      <w:b/>
      <w:bCs/>
      <w:sz w:val="24"/>
    </w:rPr>
  </w:style>
  <w:style w:type="paragraph" w:styleId="10">
    <w:name w:val="heading 8"/>
    <w:basedOn w:val="1"/>
    <w:next w:val="1"/>
    <w:autoRedefine/>
    <w:qFormat/>
    <w:uiPriority w:val="1"/>
    <w:pPr>
      <w:ind w:left="220" w:hanging="223"/>
      <w:outlineLvl w:val="7"/>
    </w:pPr>
    <w:rPr>
      <w:rFonts w:ascii="宋体" w:hAnsi="宋体" w:cs="宋体"/>
      <w:sz w:val="22"/>
      <w:szCs w:val="22"/>
      <w:lang w:val="zh-CN" w:bidi="zh-CN"/>
    </w:rPr>
  </w:style>
  <w:style w:type="paragraph" w:styleId="11">
    <w:name w:val="heading 9"/>
    <w:basedOn w:val="1"/>
    <w:next w:val="1"/>
    <w:autoRedefine/>
    <w:qFormat/>
    <w:uiPriority w:val="1"/>
    <w:pPr>
      <w:ind w:left="640"/>
      <w:outlineLvl w:val="8"/>
    </w:pPr>
    <w:rPr>
      <w:rFonts w:ascii="宋体" w:hAnsi="宋体" w:cs="宋体"/>
      <w:b/>
      <w:bCs/>
      <w:szCs w:val="21"/>
      <w:lang w:val="zh-CN" w:bidi="zh-CN"/>
    </w:rPr>
  </w:style>
  <w:style w:type="character" w:default="1" w:styleId="42">
    <w:name w:val="Default Paragraph Font"/>
    <w:autoRedefine/>
    <w:semiHidden/>
    <w:unhideWhenUsed/>
    <w:qFormat/>
    <w:uiPriority w:val="1"/>
  </w:style>
  <w:style w:type="table" w:default="1" w:styleId="40">
    <w:name w:val="Normal Table"/>
    <w:autoRedefine/>
    <w:semiHidden/>
    <w:unhideWhenUsed/>
    <w:qFormat/>
    <w:uiPriority w:val="99"/>
    <w:tblPr>
      <w:tblCellMar>
        <w:top w:w="0" w:type="dxa"/>
        <w:left w:w="108" w:type="dxa"/>
        <w:bottom w:w="0" w:type="dxa"/>
        <w:right w:w="108" w:type="dxa"/>
      </w:tblCellMar>
    </w:tblPr>
  </w:style>
  <w:style w:type="paragraph" w:customStyle="1" w:styleId="2">
    <w:name w:val="BodyText1I"/>
    <w:basedOn w:val="3"/>
    <w:next w:val="1"/>
    <w:autoRedefine/>
    <w:qFormat/>
    <w:uiPriority w:val="0"/>
    <w:pPr>
      <w:ind w:firstLine="420" w:firstLineChars="100"/>
    </w:pPr>
  </w:style>
  <w:style w:type="paragraph" w:customStyle="1" w:styleId="3">
    <w:name w:val="BodyText"/>
    <w:basedOn w:val="1"/>
    <w:next w:val="4"/>
    <w:autoRedefine/>
    <w:qFormat/>
    <w:uiPriority w:val="0"/>
    <w:pPr>
      <w:textAlignment w:val="baseline"/>
    </w:pPr>
    <w:rPr>
      <w:rFonts w:ascii="宋体" w:hAnsi="宋体"/>
      <w:szCs w:val="21"/>
      <w:lang w:val="zh-CN" w:bidi="zh-CN"/>
    </w:rPr>
  </w:style>
  <w:style w:type="paragraph" w:customStyle="1" w:styleId="4">
    <w:name w:val="TOC2"/>
    <w:basedOn w:val="1"/>
    <w:next w:val="1"/>
    <w:autoRedefine/>
    <w:qFormat/>
    <w:uiPriority w:val="0"/>
    <w:pPr>
      <w:ind w:left="420" w:leftChars="200"/>
      <w:textAlignment w:val="baseline"/>
    </w:pPr>
  </w:style>
  <w:style w:type="paragraph" w:styleId="12">
    <w:name w:val="List Number"/>
    <w:basedOn w:val="1"/>
    <w:autoRedefine/>
    <w:qFormat/>
    <w:uiPriority w:val="0"/>
    <w:pPr>
      <w:widowControl/>
      <w:numPr>
        <w:ilvl w:val="0"/>
        <w:numId w:val="1"/>
      </w:numPr>
      <w:tabs>
        <w:tab w:val="left" w:pos="454"/>
        <w:tab w:val="left" w:pos="720"/>
      </w:tabs>
      <w:spacing w:afterLines="50"/>
      <w:jc w:val="left"/>
    </w:pPr>
    <w:rPr>
      <w:kern w:val="0"/>
      <w:sz w:val="24"/>
      <w:szCs w:val="20"/>
    </w:rPr>
  </w:style>
  <w:style w:type="paragraph" w:styleId="13">
    <w:name w:val="Normal Indent"/>
    <w:basedOn w:val="1"/>
    <w:next w:val="14"/>
    <w:link w:val="86"/>
    <w:autoRedefine/>
    <w:qFormat/>
    <w:uiPriority w:val="0"/>
    <w:pPr>
      <w:ind w:firstLine="420"/>
    </w:pPr>
    <w:rPr>
      <w:szCs w:val="20"/>
    </w:rPr>
  </w:style>
  <w:style w:type="paragraph" w:styleId="14">
    <w:name w:val="Body Text Indent"/>
    <w:basedOn w:val="1"/>
    <w:autoRedefine/>
    <w:qFormat/>
    <w:uiPriority w:val="0"/>
    <w:pPr>
      <w:spacing w:after="120"/>
      <w:ind w:left="420" w:leftChars="200"/>
    </w:pPr>
  </w:style>
  <w:style w:type="paragraph" w:styleId="15">
    <w:name w:val="caption"/>
    <w:basedOn w:val="1"/>
    <w:next w:val="1"/>
    <w:autoRedefine/>
    <w:qFormat/>
    <w:uiPriority w:val="0"/>
    <w:pPr>
      <w:spacing w:before="152" w:after="160"/>
    </w:pPr>
    <w:rPr>
      <w:rFonts w:ascii="Arial" w:hAnsi="Arial" w:eastAsia="黑体" w:cs="Arial"/>
      <w:sz w:val="20"/>
      <w:szCs w:val="20"/>
    </w:rPr>
  </w:style>
  <w:style w:type="paragraph" w:styleId="16">
    <w:name w:val="Document Map"/>
    <w:basedOn w:val="1"/>
    <w:link w:val="69"/>
    <w:autoRedefine/>
    <w:qFormat/>
    <w:uiPriority w:val="0"/>
    <w:rPr>
      <w:rFonts w:ascii="Helvetica" w:hAnsi="Helvetica"/>
      <w:sz w:val="24"/>
    </w:rPr>
  </w:style>
  <w:style w:type="paragraph" w:styleId="17">
    <w:name w:val="annotation text"/>
    <w:basedOn w:val="1"/>
    <w:link w:val="71"/>
    <w:autoRedefine/>
    <w:qFormat/>
    <w:uiPriority w:val="0"/>
    <w:pPr>
      <w:jc w:val="left"/>
    </w:pPr>
  </w:style>
  <w:style w:type="paragraph" w:styleId="18">
    <w:name w:val="Body Text 3"/>
    <w:basedOn w:val="1"/>
    <w:link w:val="56"/>
    <w:autoRedefine/>
    <w:qFormat/>
    <w:uiPriority w:val="0"/>
    <w:pPr>
      <w:spacing w:after="120"/>
    </w:pPr>
    <w:rPr>
      <w:sz w:val="16"/>
      <w:szCs w:val="16"/>
    </w:rPr>
  </w:style>
  <w:style w:type="paragraph" w:styleId="19">
    <w:name w:val="Body Text"/>
    <w:basedOn w:val="1"/>
    <w:next w:val="1"/>
    <w:link w:val="58"/>
    <w:autoRedefine/>
    <w:qFormat/>
    <w:uiPriority w:val="0"/>
    <w:pPr>
      <w:spacing w:after="120"/>
    </w:pPr>
  </w:style>
  <w:style w:type="paragraph" w:styleId="20">
    <w:name w:val="List 2"/>
    <w:basedOn w:val="1"/>
    <w:autoRedefine/>
    <w:qFormat/>
    <w:uiPriority w:val="0"/>
    <w:pPr>
      <w:ind w:left="100" w:leftChars="200" w:hanging="200" w:hangingChars="200"/>
    </w:pPr>
  </w:style>
  <w:style w:type="paragraph" w:styleId="21">
    <w:name w:val="toc 3"/>
    <w:basedOn w:val="1"/>
    <w:next w:val="1"/>
    <w:autoRedefine/>
    <w:qFormat/>
    <w:uiPriority w:val="0"/>
    <w:pPr>
      <w:ind w:left="840" w:leftChars="400"/>
    </w:pPr>
  </w:style>
  <w:style w:type="paragraph" w:styleId="22">
    <w:name w:val="Plain Text"/>
    <w:basedOn w:val="1"/>
    <w:next w:val="23"/>
    <w:link w:val="64"/>
    <w:autoRedefine/>
    <w:qFormat/>
    <w:uiPriority w:val="0"/>
    <w:rPr>
      <w:sz w:val="24"/>
      <w:szCs w:val="20"/>
    </w:rPr>
  </w:style>
  <w:style w:type="paragraph" w:styleId="23">
    <w:name w:val="toc 2"/>
    <w:basedOn w:val="1"/>
    <w:next w:val="1"/>
    <w:autoRedefine/>
    <w:qFormat/>
    <w:uiPriority w:val="39"/>
    <w:pPr>
      <w:ind w:left="420" w:leftChars="200"/>
    </w:pPr>
  </w:style>
  <w:style w:type="paragraph" w:styleId="24">
    <w:name w:val="Date"/>
    <w:basedOn w:val="1"/>
    <w:next w:val="1"/>
    <w:link w:val="74"/>
    <w:autoRedefine/>
    <w:qFormat/>
    <w:uiPriority w:val="0"/>
    <w:pPr>
      <w:ind w:left="2500" w:leftChars="2500"/>
    </w:pPr>
    <w:rPr>
      <w:rFonts w:eastAsia="楷体_GB2312"/>
      <w:sz w:val="32"/>
      <w:szCs w:val="20"/>
    </w:rPr>
  </w:style>
  <w:style w:type="paragraph" w:styleId="25">
    <w:name w:val="Body Text Indent 2"/>
    <w:basedOn w:val="1"/>
    <w:link w:val="68"/>
    <w:autoRedefine/>
    <w:qFormat/>
    <w:uiPriority w:val="0"/>
    <w:pPr>
      <w:spacing w:after="120" w:line="480" w:lineRule="auto"/>
      <w:ind w:left="420" w:leftChars="200"/>
    </w:pPr>
  </w:style>
  <w:style w:type="paragraph" w:styleId="26">
    <w:name w:val="endnote text"/>
    <w:basedOn w:val="1"/>
    <w:link w:val="57"/>
    <w:autoRedefine/>
    <w:qFormat/>
    <w:uiPriority w:val="0"/>
    <w:pPr>
      <w:snapToGrid w:val="0"/>
      <w:jc w:val="left"/>
    </w:pPr>
  </w:style>
  <w:style w:type="paragraph" w:styleId="27">
    <w:name w:val="Balloon Text"/>
    <w:basedOn w:val="1"/>
    <w:link w:val="77"/>
    <w:autoRedefine/>
    <w:qFormat/>
    <w:uiPriority w:val="0"/>
    <w:rPr>
      <w:sz w:val="18"/>
      <w:szCs w:val="18"/>
    </w:rPr>
  </w:style>
  <w:style w:type="paragraph" w:styleId="28">
    <w:name w:val="footer"/>
    <w:basedOn w:val="1"/>
    <w:next w:val="23"/>
    <w:link w:val="72"/>
    <w:autoRedefine/>
    <w:qFormat/>
    <w:uiPriority w:val="99"/>
    <w:pPr>
      <w:tabs>
        <w:tab w:val="center" w:pos="4153"/>
        <w:tab w:val="right" w:pos="8306"/>
      </w:tabs>
      <w:snapToGrid w:val="0"/>
      <w:jc w:val="left"/>
    </w:pPr>
    <w:rPr>
      <w:sz w:val="18"/>
      <w:szCs w:val="18"/>
    </w:rPr>
  </w:style>
  <w:style w:type="paragraph" w:styleId="29">
    <w:name w:val="header"/>
    <w:basedOn w:val="1"/>
    <w:link w:val="83"/>
    <w:autoRedefine/>
    <w:qFormat/>
    <w:uiPriority w:val="99"/>
    <w:pPr>
      <w:pBdr>
        <w:bottom w:val="single" w:color="auto" w:sz="6" w:space="1"/>
      </w:pBdr>
      <w:tabs>
        <w:tab w:val="center" w:pos="4153"/>
        <w:tab w:val="right" w:pos="8306"/>
      </w:tabs>
      <w:snapToGrid w:val="0"/>
      <w:jc w:val="center"/>
    </w:pPr>
    <w:rPr>
      <w:sz w:val="18"/>
      <w:szCs w:val="18"/>
    </w:rPr>
  </w:style>
  <w:style w:type="paragraph" w:styleId="30">
    <w:name w:val="toc 1"/>
    <w:basedOn w:val="1"/>
    <w:next w:val="1"/>
    <w:autoRedefine/>
    <w:qFormat/>
    <w:uiPriority w:val="39"/>
  </w:style>
  <w:style w:type="paragraph" w:styleId="31">
    <w:name w:val="List"/>
    <w:basedOn w:val="1"/>
    <w:autoRedefine/>
    <w:qFormat/>
    <w:uiPriority w:val="0"/>
    <w:pPr>
      <w:ind w:left="200" w:hanging="200" w:hangingChars="200"/>
    </w:pPr>
  </w:style>
  <w:style w:type="paragraph" w:styleId="32">
    <w:name w:val="toc 6"/>
    <w:basedOn w:val="1"/>
    <w:next w:val="1"/>
    <w:autoRedefine/>
    <w:unhideWhenUsed/>
    <w:qFormat/>
    <w:uiPriority w:val="39"/>
    <w:pPr>
      <w:ind w:left="2100" w:leftChars="1000"/>
    </w:pPr>
  </w:style>
  <w:style w:type="paragraph" w:styleId="33">
    <w:name w:val="Body Text Indent 3"/>
    <w:basedOn w:val="1"/>
    <w:link w:val="62"/>
    <w:autoRedefine/>
    <w:qFormat/>
    <w:uiPriority w:val="0"/>
    <w:pPr>
      <w:ind w:firstLine="435"/>
    </w:pPr>
  </w:style>
  <w:style w:type="paragraph" w:styleId="34">
    <w:name w:val="Body Text 2"/>
    <w:basedOn w:val="1"/>
    <w:link w:val="63"/>
    <w:autoRedefine/>
    <w:qFormat/>
    <w:uiPriority w:val="0"/>
    <w:pPr>
      <w:spacing w:after="120" w:line="480" w:lineRule="auto"/>
    </w:pPr>
  </w:style>
  <w:style w:type="paragraph" w:styleId="35">
    <w:name w:val="Normal (Web)"/>
    <w:basedOn w:val="1"/>
    <w:next w:val="1"/>
    <w:autoRedefine/>
    <w:unhideWhenUsed/>
    <w:qFormat/>
    <w:uiPriority w:val="0"/>
    <w:pPr>
      <w:widowControl/>
      <w:spacing w:before="240" w:after="240"/>
      <w:jc w:val="left"/>
    </w:pPr>
    <w:rPr>
      <w:rFonts w:ascii="宋体" w:hAnsi="宋体" w:cs="宋体"/>
      <w:kern w:val="0"/>
      <w:sz w:val="24"/>
    </w:rPr>
  </w:style>
  <w:style w:type="paragraph" w:styleId="36">
    <w:name w:val="Title"/>
    <w:basedOn w:val="1"/>
    <w:next w:val="1"/>
    <w:link w:val="85"/>
    <w:autoRedefine/>
    <w:qFormat/>
    <w:uiPriority w:val="10"/>
    <w:pPr>
      <w:spacing w:before="240" w:after="60"/>
      <w:jc w:val="center"/>
      <w:outlineLvl w:val="0"/>
    </w:pPr>
    <w:rPr>
      <w:rFonts w:ascii="Cambria" w:hAnsi="Cambria"/>
      <w:b/>
      <w:bCs/>
      <w:sz w:val="32"/>
      <w:szCs w:val="32"/>
    </w:rPr>
  </w:style>
  <w:style w:type="paragraph" w:styleId="37">
    <w:name w:val="annotation subject"/>
    <w:basedOn w:val="17"/>
    <w:next w:val="17"/>
    <w:link w:val="76"/>
    <w:autoRedefine/>
    <w:qFormat/>
    <w:uiPriority w:val="0"/>
    <w:rPr>
      <w:b/>
      <w:bCs/>
    </w:rPr>
  </w:style>
  <w:style w:type="paragraph" w:styleId="38">
    <w:name w:val="Body Text First Indent"/>
    <w:basedOn w:val="19"/>
    <w:next w:val="1"/>
    <w:autoRedefine/>
    <w:unhideWhenUsed/>
    <w:qFormat/>
    <w:uiPriority w:val="99"/>
    <w:pPr>
      <w:spacing w:line="360" w:lineRule="auto"/>
      <w:ind w:firstLine="200" w:firstLineChars="200"/>
    </w:pPr>
    <w:rPr>
      <w:rFonts w:ascii="仿宋_GB2312" w:eastAsia="仿宋_GB2312"/>
      <w:bCs/>
      <w:sz w:val="30"/>
    </w:rPr>
  </w:style>
  <w:style w:type="paragraph" w:styleId="39">
    <w:name w:val="Body Text First Indent 2"/>
    <w:basedOn w:val="14"/>
    <w:autoRedefine/>
    <w:qFormat/>
    <w:uiPriority w:val="0"/>
    <w:pPr>
      <w:autoSpaceDE w:val="0"/>
      <w:autoSpaceDN w:val="0"/>
      <w:adjustRightInd w:val="0"/>
      <w:ind w:firstLine="420" w:firstLineChars="200"/>
      <w:jc w:val="left"/>
    </w:pPr>
  </w:style>
  <w:style w:type="table" w:styleId="41">
    <w:name w:val="Table Grid"/>
    <w:basedOn w:val="40"/>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43">
    <w:name w:val="Strong"/>
    <w:autoRedefine/>
    <w:qFormat/>
    <w:uiPriority w:val="22"/>
    <w:rPr>
      <w:b/>
    </w:rPr>
  </w:style>
  <w:style w:type="character" w:styleId="44">
    <w:name w:val="endnote reference"/>
    <w:autoRedefine/>
    <w:qFormat/>
    <w:uiPriority w:val="0"/>
    <w:rPr>
      <w:vertAlign w:val="superscript"/>
    </w:rPr>
  </w:style>
  <w:style w:type="character" w:styleId="45">
    <w:name w:val="page number"/>
    <w:basedOn w:val="42"/>
    <w:autoRedefine/>
    <w:qFormat/>
    <w:uiPriority w:val="0"/>
  </w:style>
  <w:style w:type="character" w:styleId="46">
    <w:name w:val="FollowedHyperlink"/>
    <w:autoRedefine/>
    <w:qFormat/>
    <w:uiPriority w:val="0"/>
    <w:rPr>
      <w:color w:val="800080"/>
      <w:u w:val="single"/>
    </w:rPr>
  </w:style>
  <w:style w:type="character" w:styleId="47">
    <w:name w:val="Hyperlink"/>
    <w:autoRedefine/>
    <w:qFormat/>
    <w:uiPriority w:val="99"/>
    <w:rPr>
      <w:color w:val="0000FF"/>
      <w:u w:val="single"/>
    </w:rPr>
  </w:style>
  <w:style w:type="character" w:styleId="48">
    <w:name w:val="annotation reference"/>
    <w:autoRedefine/>
    <w:qFormat/>
    <w:uiPriority w:val="0"/>
    <w:rPr>
      <w:sz w:val="21"/>
      <w:szCs w:val="21"/>
    </w:rPr>
  </w:style>
  <w:style w:type="paragraph" w:customStyle="1" w:styleId="49">
    <w:name w:val="正文首行缩进1"/>
    <w:basedOn w:val="19"/>
    <w:autoRedefine/>
    <w:qFormat/>
    <w:uiPriority w:val="0"/>
    <w:pPr>
      <w:ind w:firstLine="420" w:firstLineChars="100"/>
    </w:pPr>
    <w:rPr>
      <w:rFonts w:ascii="Calibri" w:hAnsi="Calibri"/>
      <w:szCs w:val="22"/>
    </w:rPr>
  </w:style>
  <w:style w:type="paragraph" w:customStyle="1" w:styleId="50">
    <w:name w:val="正文1"/>
    <w:basedOn w:val="1"/>
    <w:autoRedefine/>
    <w:qFormat/>
    <w:uiPriority w:val="0"/>
    <w:pPr>
      <w:adjustRightInd w:val="0"/>
      <w:spacing w:line="318" w:lineRule="atLeast"/>
      <w:ind w:left="369" w:firstLine="369"/>
      <w:textAlignment w:val="baseline"/>
    </w:pPr>
    <w:rPr>
      <w:rFonts w:ascii="宋体"/>
      <w:szCs w:val="20"/>
    </w:rPr>
  </w:style>
  <w:style w:type="paragraph" w:customStyle="1" w:styleId="51">
    <w:name w:val="Default"/>
    <w:next w:val="28"/>
    <w:autoRedefine/>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paragraph" w:customStyle="1" w:styleId="52">
    <w:name w:val="表格文字"/>
    <w:next w:val="19"/>
    <w:link w:val="81"/>
    <w:autoRedefine/>
    <w:qFormat/>
    <w:locked/>
    <w:uiPriority w:val="0"/>
    <w:pPr>
      <w:spacing w:beforeLines="25" w:afterLines="25"/>
      <w:jc w:val="center"/>
    </w:pPr>
    <w:rPr>
      <w:rFonts w:ascii="Times New Roman" w:hAnsi="Times New Roman" w:eastAsia="宋体" w:cs="Times New Roman"/>
      <w:kern w:val="2"/>
      <w:sz w:val="24"/>
      <w:szCs w:val="28"/>
      <w:lang w:val="en-US" w:eastAsia="zh-CN" w:bidi="ar-SA"/>
    </w:rPr>
  </w:style>
  <w:style w:type="character" w:customStyle="1" w:styleId="53">
    <w:name w:val="NormalCharacter"/>
    <w:autoRedefine/>
    <w:qFormat/>
    <w:uiPriority w:val="0"/>
    <w:rPr>
      <w:rFonts w:ascii="Times New Roman" w:hAnsi="Times New Roman" w:eastAsia="宋体" w:cs="Times New Roman"/>
    </w:rPr>
  </w:style>
  <w:style w:type="character" w:customStyle="1" w:styleId="54">
    <w:name w:val="标3 Char"/>
    <w:link w:val="55"/>
    <w:autoRedefine/>
    <w:qFormat/>
    <w:uiPriority w:val="0"/>
    <w:rPr>
      <w:rFonts w:ascii="Arial Narrow" w:hAnsi="Arial Narrow" w:eastAsia="仿宋_GB2312"/>
      <w:sz w:val="32"/>
      <w:szCs w:val="32"/>
    </w:rPr>
  </w:style>
  <w:style w:type="paragraph" w:customStyle="1" w:styleId="55">
    <w:name w:val="标3"/>
    <w:basedOn w:val="1"/>
    <w:link w:val="54"/>
    <w:autoRedefine/>
    <w:qFormat/>
    <w:uiPriority w:val="0"/>
    <w:pPr>
      <w:numPr>
        <w:ilvl w:val="2"/>
        <w:numId w:val="2"/>
      </w:numPr>
      <w:adjustRightInd w:val="0"/>
      <w:snapToGrid w:val="0"/>
      <w:spacing w:beforeLines="50"/>
      <w:outlineLvl w:val="2"/>
    </w:pPr>
    <w:rPr>
      <w:rFonts w:ascii="Arial Narrow" w:hAnsi="Arial Narrow" w:eastAsia="仿宋_GB2312"/>
      <w:kern w:val="0"/>
      <w:sz w:val="32"/>
      <w:szCs w:val="32"/>
    </w:rPr>
  </w:style>
  <w:style w:type="character" w:customStyle="1" w:styleId="56">
    <w:name w:val="正文文本 3 Char"/>
    <w:link w:val="18"/>
    <w:autoRedefine/>
    <w:qFormat/>
    <w:uiPriority w:val="0"/>
    <w:rPr>
      <w:kern w:val="2"/>
      <w:sz w:val="16"/>
      <w:szCs w:val="16"/>
    </w:rPr>
  </w:style>
  <w:style w:type="character" w:customStyle="1" w:styleId="57">
    <w:name w:val="尾注文本 Char"/>
    <w:link w:val="26"/>
    <w:autoRedefine/>
    <w:qFormat/>
    <w:uiPriority w:val="0"/>
    <w:rPr>
      <w:kern w:val="2"/>
      <w:sz w:val="21"/>
      <w:szCs w:val="24"/>
    </w:rPr>
  </w:style>
  <w:style w:type="character" w:customStyle="1" w:styleId="58">
    <w:name w:val="正文文本 Char"/>
    <w:link w:val="19"/>
    <w:autoRedefine/>
    <w:qFormat/>
    <w:uiPriority w:val="0"/>
    <w:rPr>
      <w:kern w:val="2"/>
      <w:sz w:val="21"/>
      <w:szCs w:val="24"/>
    </w:rPr>
  </w:style>
  <w:style w:type="character" w:customStyle="1" w:styleId="59">
    <w:name w:val="font31"/>
    <w:autoRedefine/>
    <w:qFormat/>
    <w:uiPriority w:val="0"/>
    <w:rPr>
      <w:rFonts w:hint="eastAsia" w:ascii="宋体" w:hAnsi="宋体" w:eastAsia="宋体" w:cs="宋体"/>
      <w:color w:val="000000"/>
      <w:sz w:val="24"/>
      <w:szCs w:val="24"/>
      <w:u w:val="none"/>
    </w:rPr>
  </w:style>
  <w:style w:type="character" w:customStyle="1" w:styleId="60">
    <w:name w:val="标题 3 Char"/>
    <w:link w:val="7"/>
    <w:autoRedefine/>
    <w:qFormat/>
    <w:uiPriority w:val="0"/>
    <w:rPr>
      <w:b/>
      <w:bCs/>
      <w:kern w:val="2"/>
      <w:sz w:val="32"/>
      <w:szCs w:val="32"/>
    </w:rPr>
  </w:style>
  <w:style w:type="character" w:customStyle="1" w:styleId="61">
    <w:name w:val="标题 6 Char"/>
    <w:link w:val="9"/>
    <w:autoRedefine/>
    <w:semiHidden/>
    <w:qFormat/>
    <w:uiPriority w:val="0"/>
    <w:rPr>
      <w:rFonts w:ascii="Cambria" w:hAnsi="Cambria" w:eastAsia="宋体" w:cs="Times New Roman"/>
      <w:b/>
      <w:bCs/>
      <w:kern w:val="2"/>
      <w:sz w:val="24"/>
      <w:szCs w:val="24"/>
    </w:rPr>
  </w:style>
  <w:style w:type="character" w:customStyle="1" w:styleId="62">
    <w:name w:val="正文文本缩进 3 Char"/>
    <w:link w:val="33"/>
    <w:autoRedefine/>
    <w:qFormat/>
    <w:uiPriority w:val="0"/>
    <w:rPr>
      <w:kern w:val="2"/>
      <w:sz w:val="21"/>
      <w:szCs w:val="24"/>
    </w:rPr>
  </w:style>
  <w:style w:type="character" w:customStyle="1" w:styleId="63">
    <w:name w:val="正文文本 2 Char"/>
    <w:link w:val="34"/>
    <w:autoRedefine/>
    <w:qFormat/>
    <w:uiPriority w:val="0"/>
    <w:rPr>
      <w:kern w:val="2"/>
      <w:sz w:val="21"/>
      <w:szCs w:val="24"/>
    </w:rPr>
  </w:style>
  <w:style w:type="character" w:customStyle="1" w:styleId="64">
    <w:name w:val="纯文本 Char"/>
    <w:link w:val="22"/>
    <w:autoRedefine/>
    <w:qFormat/>
    <w:uiPriority w:val="0"/>
    <w:rPr>
      <w:rFonts w:eastAsia="宋体"/>
      <w:kern w:val="2"/>
      <w:sz w:val="24"/>
      <w:lang w:val="en-US" w:eastAsia="zh-CN" w:bidi="ar-SA"/>
    </w:rPr>
  </w:style>
  <w:style w:type="character" w:customStyle="1" w:styleId="65">
    <w:name w:val="标题 1字符"/>
    <w:autoRedefine/>
    <w:qFormat/>
    <w:uiPriority w:val="0"/>
    <w:rPr>
      <w:b/>
      <w:bCs/>
      <w:kern w:val="44"/>
      <w:sz w:val="44"/>
      <w:szCs w:val="44"/>
    </w:rPr>
  </w:style>
  <w:style w:type="character" w:customStyle="1" w:styleId="66">
    <w:name w:val="无"/>
    <w:autoRedefine/>
    <w:qFormat/>
    <w:uiPriority w:val="99"/>
  </w:style>
  <w:style w:type="character" w:customStyle="1" w:styleId="67">
    <w:name w:val="标题 2 Char"/>
    <w:link w:val="6"/>
    <w:autoRedefine/>
    <w:qFormat/>
    <w:uiPriority w:val="9"/>
    <w:rPr>
      <w:rFonts w:ascii="Arial" w:hAnsi="Arial" w:eastAsia="黑体"/>
      <w:b/>
      <w:bCs/>
      <w:kern w:val="2"/>
      <w:sz w:val="32"/>
      <w:szCs w:val="32"/>
    </w:rPr>
  </w:style>
  <w:style w:type="character" w:customStyle="1" w:styleId="68">
    <w:name w:val="正文文本缩进 2 Char"/>
    <w:link w:val="25"/>
    <w:autoRedefine/>
    <w:qFormat/>
    <w:uiPriority w:val="0"/>
    <w:rPr>
      <w:kern w:val="2"/>
      <w:sz w:val="21"/>
      <w:szCs w:val="24"/>
    </w:rPr>
  </w:style>
  <w:style w:type="character" w:customStyle="1" w:styleId="69">
    <w:name w:val="文档结构图 Char"/>
    <w:link w:val="16"/>
    <w:autoRedefine/>
    <w:qFormat/>
    <w:uiPriority w:val="0"/>
    <w:rPr>
      <w:rFonts w:ascii="Helvetica" w:hAnsi="Helvetica"/>
      <w:kern w:val="2"/>
      <w:sz w:val="24"/>
      <w:szCs w:val="24"/>
    </w:rPr>
  </w:style>
  <w:style w:type="character" w:customStyle="1" w:styleId="70">
    <w:name w:val="Char Char Char"/>
    <w:autoRedefine/>
    <w:qFormat/>
    <w:uiPriority w:val="0"/>
    <w:rPr>
      <w:rFonts w:ascii="宋体" w:hAnsi="Courier New" w:eastAsia="宋体"/>
      <w:kern w:val="2"/>
      <w:sz w:val="24"/>
      <w:szCs w:val="24"/>
      <w:lang w:val="en-US" w:eastAsia="zh-CN" w:bidi="ar-SA"/>
    </w:rPr>
  </w:style>
  <w:style w:type="character" w:customStyle="1" w:styleId="71">
    <w:name w:val="批注文字 Char"/>
    <w:link w:val="17"/>
    <w:autoRedefine/>
    <w:qFormat/>
    <w:uiPriority w:val="0"/>
    <w:rPr>
      <w:kern w:val="2"/>
      <w:sz w:val="21"/>
      <w:szCs w:val="24"/>
    </w:rPr>
  </w:style>
  <w:style w:type="character" w:customStyle="1" w:styleId="72">
    <w:name w:val="页脚 Char"/>
    <w:link w:val="28"/>
    <w:autoRedefine/>
    <w:qFormat/>
    <w:uiPriority w:val="99"/>
    <w:rPr>
      <w:kern w:val="2"/>
      <w:sz w:val="18"/>
      <w:szCs w:val="18"/>
    </w:rPr>
  </w:style>
  <w:style w:type="character" w:customStyle="1" w:styleId="73">
    <w:name w:val="纯文本 Char1"/>
    <w:autoRedefine/>
    <w:qFormat/>
    <w:locked/>
    <w:uiPriority w:val="0"/>
    <w:rPr>
      <w:rFonts w:ascii="宋体" w:hAnsi="Courier New" w:eastAsia="宋体" w:cs="Times New Roman"/>
      <w:szCs w:val="21"/>
    </w:rPr>
  </w:style>
  <w:style w:type="character" w:customStyle="1" w:styleId="74">
    <w:name w:val="日期 Char"/>
    <w:link w:val="24"/>
    <w:autoRedefine/>
    <w:qFormat/>
    <w:uiPriority w:val="0"/>
    <w:rPr>
      <w:rFonts w:eastAsia="楷体_GB2312"/>
      <w:kern w:val="2"/>
      <w:sz w:val="32"/>
    </w:rPr>
  </w:style>
  <w:style w:type="character" w:customStyle="1" w:styleId="75">
    <w:name w:val="Char Char"/>
    <w:autoRedefine/>
    <w:qFormat/>
    <w:uiPriority w:val="0"/>
    <w:rPr>
      <w:rFonts w:ascii="宋体" w:hAnsi="Courier New" w:eastAsia="宋体"/>
      <w:kern w:val="2"/>
      <w:sz w:val="24"/>
      <w:szCs w:val="24"/>
      <w:lang w:val="en-US" w:eastAsia="zh-CN" w:bidi="ar-SA"/>
    </w:rPr>
  </w:style>
  <w:style w:type="character" w:customStyle="1" w:styleId="76">
    <w:name w:val="批注主题 Char"/>
    <w:link w:val="37"/>
    <w:autoRedefine/>
    <w:qFormat/>
    <w:uiPriority w:val="0"/>
    <w:rPr>
      <w:b/>
      <w:bCs/>
      <w:kern w:val="2"/>
      <w:sz w:val="21"/>
      <w:szCs w:val="24"/>
    </w:rPr>
  </w:style>
  <w:style w:type="character" w:customStyle="1" w:styleId="77">
    <w:name w:val="批注框文本 Char"/>
    <w:link w:val="27"/>
    <w:autoRedefine/>
    <w:qFormat/>
    <w:uiPriority w:val="0"/>
    <w:rPr>
      <w:kern w:val="2"/>
      <w:sz w:val="18"/>
      <w:szCs w:val="18"/>
    </w:rPr>
  </w:style>
  <w:style w:type="character" w:customStyle="1" w:styleId="78">
    <w:name w:val="font01"/>
    <w:autoRedefine/>
    <w:qFormat/>
    <w:uiPriority w:val="0"/>
    <w:rPr>
      <w:rFonts w:hint="default" w:ascii="Arial" w:hAnsi="Arial" w:cs="Arial"/>
      <w:color w:val="000000"/>
      <w:sz w:val="24"/>
      <w:szCs w:val="24"/>
      <w:u w:val="none"/>
    </w:rPr>
  </w:style>
  <w:style w:type="character" w:customStyle="1" w:styleId="79">
    <w:name w:val="font11"/>
    <w:autoRedefine/>
    <w:qFormat/>
    <w:uiPriority w:val="0"/>
    <w:rPr>
      <w:rFonts w:hint="eastAsia" w:ascii="宋体" w:hAnsi="宋体" w:eastAsia="宋体" w:cs="宋体"/>
      <w:b/>
      <w:color w:val="000000"/>
      <w:sz w:val="24"/>
      <w:szCs w:val="24"/>
      <w:u w:val="none"/>
    </w:rPr>
  </w:style>
  <w:style w:type="character" w:customStyle="1" w:styleId="80">
    <w:name w:val="apple-converted-space"/>
    <w:autoRedefine/>
    <w:qFormat/>
    <w:uiPriority w:val="0"/>
  </w:style>
  <w:style w:type="character" w:customStyle="1" w:styleId="81">
    <w:name w:val="表格文字 Char Char"/>
    <w:link w:val="52"/>
    <w:autoRedefine/>
    <w:qFormat/>
    <w:locked/>
    <w:uiPriority w:val="0"/>
    <w:rPr>
      <w:kern w:val="2"/>
      <w:sz w:val="24"/>
      <w:szCs w:val="28"/>
      <w:lang w:val="en-US" w:eastAsia="zh-CN" w:bidi="ar-SA"/>
    </w:rPr>
  </w:style>
  <w:style w:type="character" w:customStyle="1" w:styleId="82">
    <w:name w:val="标题 1 Char"/>
    <w:link w:val="5"/>
    <w:autoRedefine/>
    <w:qFormat/>
    <w:uiPriority w:val="0"/>
    <w:rPr>
      <w:rFonts w:ascii="Times New Roman" w:hAnsi="Times New Roman" w:eastAsia="宋体"/>
      <w:b/>
      <w:bCs/>
      <w:kern w:val="44"/>
      <w:sz w:val="44"/>
      <w:szCs w:val="44"/>
      <w:lang w:val="en-US" w:eastAsia="zh-CN" w:bidi="ar-SA"/>
    </w:rPr>
  </w:style>
  <w:style w:type="character" w:customStyle="1" w:styleId="83">
    <w:name w:val="页眉 Char"/>
    <w:link w:val="29"/>
    <w:autoRedefine/>
    <w:qFormat/>
    <w:uiPriority w:val="99"/>
    <w:rPr>
      <w:kern w:val="2"/>
      <w:sz w:val="18"/>
      <w:szCs w:val="18"/>
    </w:rPr>
  </w:style>
  <w:style w:type="character" w:customStyle="1" w:styleId="84">
    <w:name w:val="标题 1 Char1"/>
    <w:autoRedefine/>
    <w:qFormat/>
    <w:uiPriority w:val="0"/>
    <w:rPr>
      <w:rFonts w:ascii="Times New Roman" w:hAnsi="Times New Roman" w:eastAsia="宋体"/>
      <w:b/>
      <w:bCs/>
      <w:kern w:val="44"/>
      <w:sz w:val="44"/>
      <w:szCs w:val="44"/>
      <w:lang w:val="en-US" w:eastAsia="zh-CN" w:bidi="ar-SA"/>
    </w:rPr>
  </w:style>
  <w:style w:type="character" w:customStyle="1" w:styleId="85">
    <w:name w:val="标题 Char"/>
    <w:link w:val="36"/>
    <w:autoRedefine/>
    <w:qFormat/>
    <w:uiPriority w:val="10"/>
    <w:rPr>
      <w:rFonts w:ascii="Cambria" w:hAnsi="Cambria"/>
      <w:b/>
      <w:bCs/>
      <w:kern w:val="2"/>
      <w:sz w:val="32"/>
      <w:szCs w:val="32"/>
    </w:rPr>
  </w:style>
  <w:style w:type="character" w:customStyle="1" w:styleId="86">
    <w:name w:val="正文缩进 Char"/>
    <w:link w:val="13"/>
    <w:autoRedefine/>
    <w:qFormat/>
    <w:uiPriority w:val="0"/>
    <w:rPr>
      <w:kern w:val="2"/>
      <w:sz w:val="21"/>
    </w:rPr>
  </w:style>
  <w:style w:type="character" w:customStyle="1" w:styleId="87">
    <w:name w:val="font21"/>
    <w:autoRedefine/>
    <w:qFormat/>
    <w:uiPriority w:val="0"/>
    <w:rPr>
      <w:rFonts w:ascii="幼圆" w:hAnsi="幼圆" w:eastAsia="幼圆" w:cs="幼圆"/>
      <w:color w:val="000000"/>
      <w:sz w:val="20"/>
      <w:szCs w:val="20"/>
      <w:u w:val="none"/>
    </w:rPr>
  </w:style>
  <w:style w:type="paragraph" w:customStyle="1" w:styleId="88">
    <w:name w:val="章正文"/>
    <w:basedOn w:val="1"/>
    <w:autoRedefine/>
    <w:qFormat/>
    <w:uiPriority w:val="99"/>
    <w:pPr>
      <w:spacing w:beforeLines="50" w:after="120" w:line="300" w:lineRule="auto"/>
      <w:ind w:firstLine="480"/>
    </w:pPr>
    <w:rPr>
      <w:rFonts w:ascii="Helvetica" w:hAnsi="Helvetica"/>
      <w:kern w:val="0"/>
      <w:sz w:val="24"/>
    </w:rPr>
  </w:style>
  <w:style w:type="paragraph" w:customStyle="1" w:styleId="89">
    <w:name w:val="Char Char3"/>
    <w:basedOn w:val="1"/>
    <w:autoRedefine/>
    <w:qFormat/>
    <w:uiPriority w:val="0"/>
  </w:style>
  <w:style w:type="paragraph" w:customStyle="1" w:styleId="90">
    <w:name w:val="样式 表格正文 + 两端对齐"/>
    <w:basedOn w:val="1"/>
    <w:next w:val="91"/>
    <w:autoRedefine/>
    <w:qFormat/>
    <w:uiPriority w:val="0"/>
    <w:pPr>
      <w:spacing w:line="300" w:lineRule="auto"/>
    </w:pPr>
  </w:style>
  <w:style w:type="paragraph" w:customStyle="1" w:styleId="91">
    <w:name w:val="正文11"/>
    <w:basedOn w:val="16"/>
    <w:next w:val="1"/>
    <w:autoRedefine/>
    <w:qFormat/>
    <w:uiPriority w:val="99"/>
    <w:pPr>
      <w:widowControl/>
      <w:overflowPunct w:val="0"/>
      <w:autoSpaceDE w:val="0"/>
      <w:autoSpaceDN w:val="0"/>
      <w:adjustRightInd w:val="0"/>
      <w:spacing w:line="400" w:lineRule="exact"/>
      <w:textAlignment w:val="baseline"/>
    </w:pPr>
    <w:rPr>
      <w:kern w:val="0"/>
      <w:szCs w:val="20"/>
    </w:rPr>
  </w:style>
  <w:style w:type="paragraph" w:customStyle="1" w:styleId="92">
    <w:name w:val="彩色列表1"/>
    <w:basedOn w:val="1"/>
    <w:autoRedefine/>
    <w:qFormat/>
    <w:uiPriority w:val="34"/>
    <w:pPr>
      <w:ind w:firstLine="420" w:firstLineChars="200"/>
    </w:pPr>
    <w:rPr>
      <w:rFonts w:ascii="Verdana" w:hAnsi="Verdana" w:eastAsia="微软雅黑"/>
      <w:szCs w:val="22"/>
    </w:rPr>
  </w:style>
  <w:style w:type="paragraph" w:customStyle="1" w:styleId="93">
    <w:name w:val="Char Char Char Char Char Char Char Char Char Char Char Char Char Char Char"/>
    <w:basedOn w:val="1"/>
    <w:autoRedefine/>
    <w:qFormat/>
    <w:uiPriority w:val="0"/>
    <w:pPr>
      <w:widowControl/>
      <w:spacing w:line="400" w:lineRule="exact"/>
      <w:jc w:val="center"/>
    </w:pPr>
    <w:rPr>
      <w:rFonts w:ascii="Verdana" w:hAnsi="Verdana"/>
      <w:kern w:val="0"/>
      <w:szCs w:val="20"/>
      <w:lang w:eastAsia="en-US"/>
    </w:rPr>
  </w:style>
  <w:style w:type="paragraph" w:customStyle="1" w:styleId="94">
    <w:name w:val="p0"/>
    <w:basedOn w:val="1"/>
    <w:autoRedefine/>
    <w:qFormat/>
    <w:uiPriority w:val="0"/>
    <w:pPr>
      <w:widowControl/>
    </w:pPr>
    <w:rPr>
      <w:rFonts w:ascii="Calibri" w:hAnsi="Calibri"/>
      <w:kern w:val="0"/>
      <w:szCs w:val="21"/>
    </w:rPr>
  </w:style>
  <w:style w:type="paragraph" w:customStyle="1" w:styleId="95">
    <w:name w:val="正文样式"/>
    <w:basedOn w:val="1"/>
    <w:autoRedefine/>
    <w:unhideWhenUsed/>
    <w:qFormat/>
    <w:uiPriority w:val="7"/>
    <w:pPr>
      <w:spacing w:line="360" w:lineRule="auto"/>
      <w:ind w:firstLine="480" w:firstLineChars="200"/>
    </w:pPr>
    <w:rPr>
      <w:rFonts w:hAnsi="Calibri"/>
      <w:sz w:val="24"/>
      <w:szCs w:val="20"/>
    </w:rPr>
  </w:style>
  <w:style w:type="paragraph" w:customStyle="1" w:styleId="96">
    <w:name w:val="样式 宋体 黑色 行距: 1.5 倍行距"/>
    <w:basedOn w:val="1"/>
    <w:autoRedefine/>
    <w:qFormat/>
    <w:uiPriority w:val="0"/>
    <w:pPr>
      <w:spacing w:line="360" w:lineRule="auto"/>
    </w:pPr>
    <w:rPr>
      <w:rFonts w:ascii="宋体" w:hAnsi="宋体" w:cs="宋体"/>
      <w:color w:val="000000"/>
      <w:sz w:val="24"/>
      <w:szCs w:val="20"/>
    </w:rPr>
  </w:style>
  <w:style w:type="paragraph" w:customStyle="1" w:styleId="97">
    <w:name w:val="_Style 3"/>
    <w:autoRedefine/>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98">
    <w:name w:val="_Style 1"/>
    <w:autoRedefine/>
    <w:qFormat/>
    <w:uiPriority w:val="0"/>
    <w:rPr>
      <w:rFonts w:ascii="Times New Roman" w:hAnsi="Times New Roman" w:eastAsia="宋体" w:cs="Times New Roman"/>
      <w:kern w:val="2"/>
      <w:sz w:val="28"/>
      <w:szCs w:val="22"/>
      <w:lang w:val="en-US" w:eastAsia="zh-CN" w:bidi="ar-SA"/>
    </w:rPr>
  </w:style>
  <w:style w:type="paragraph" w:customStyle="1" w:styleId="99">
    <w:name w:val="_Style 40"/>
    <w:basedOn w:val="1"/>
    <w:autoRedefine/>
    <w:qFormat/>
    <w:uiPriority w:val="0"/>
  </w:style>
  <w:style w:type="paragraph" w:customStyle="1" w:styleId="100">
    <w:name w:val="Char Char5"/>
    <w:basedOn w:val="1"/>
    <w:autoRedefine/>
    <w:qFormat/>
    <w:uiPriority w:val="0"/>
  </w:style>
  <w:style w:type="paragraph" w:customStyle="1" w:styleId="101">
    <w:name w:val="Table Paragraph"/>
    <w:basedOn w:val="1"/>
    <w:autoRedefine/>
    <w:qFormat/>
    <w:uiPriority w:val="1"/>
  </w:style>
  <w:style w:type="paragraph" w:customStyle="1" w:styleId="102">
    <w:name w:val="xl49"/>
    <w:basedOn w:val="1"/>
    <w:autoRedefine/>
    <w:qFormat/>
    <w:uiPriority w:val="0"/>
    <w:pPr>
      <w:widowControl/>
      <w:spacing w:before="100" w:beforeAutospacing="1" w:after="100" w:afterAutospacing="1"/>
      <w:jc w:val="center"/>
      <w:textAlignment w:val="center"/>
    </w:pPr>
    <w:rPr>
      <w:rFonts w:ascii="宋体" w:hAnsi="宋体"/>
      <w:kern w:val="0"/>
      <w:sz w:val="24"/>
    </w:rPr>
  </w:style>
  <w:style w:type="paragraph" w:customStyle="1" w:styleId="103">
    <w:name w:val="List Paragraph1"/>
    <w:basedOn w:val="1"/>
    <w:autoRedefine/>
    <w:qFormat/>
    <w:uiPriority w:val="99"/>
    <w:pPr>
      <w:widowControl/>
      <w:spacing w:after="200" w:line="276" w:lineRule="auto"/>
      <w:ind w:left="720"/>
      <w:jc w:val="left"/>
    </w:pPr>
    <w:rPr>
      <w:kern w:val="0"/>
      <w:sz w:val="22"/>
      <w:szCs w:val="22"/>
      <w:lang w:eastAsia="zh-TW"/>
    </w:rPr>
  </w:style>
  <w:style w:type="paragraph" w:customStyle="1" w:styleId="104">
    <w:name w:val="彩色列表 - 强调文字颜色 11"/>
    <w:basedOn w:val="1"/>
    <w:autoRedefine/>
    <w:qFormat/>
    <w:uiPriority w:val="34"/>
    <w:pPr>
      <w:ind w:firstLine="420" w:firstLineChars="200"/>
    </w:pPr>
    <w:rPr>
      <w:rFonts w:ascii="Calibri" w:hAnsi="Calibri"/>
      <w:szCs w:val="22"/>
    </w:rPr>
  </w:style>
  <w:style w:type="paragraph" w:customStyle="1" w:styleId="105">
    <w:name w:val="_Style 23"/>
    <w:basedOn w:val="1"/>
    <w:autoRedefine/>
    <w:qFormat/>
    <w:uiPriority w:val="0"/>
  </w:style>
  <w:style w:type="paragraph" w:customStyle="1" w:styleId="106">
    <w:name w:val="_Style 10"/>
    <w:basedOn w:val="1"/>
    <w:autoRedefine/>
    <w:qFormat/>
    <w:uiPriority w:val="0"/>
    <w:rPr>
      <w:rFonts w:ascii="仿宋_GB2312" w:eastAsia="仿宋_GB2312"/>
      <w:b/>
      <w:sz w:val="32"/>
      <w:szCs w:val="32"/>
    </w:rPr>
  </w:style>
  <w:style w:type="paragraph" w:customStyle="1" w:styleId="107">
    <w:name w:val="列出段落1"/>
    <w:basedOn w:val="1"/>
    <w:autoRedefine/>
    <w:qFormat/>
    <w:uiPriority w:val="0"/>
    <w:pPr>
      <w:ind w:firstLine="420" w:firstLineChars="200"/>
    </w:pPr>
    <w:rPr>
      <w:rFonts w:ascii="Calibri" w:hAnsi="Calibri"/>
      <w:szCs w:val="22"/>
    </w:rPr>
  </w:style>
  <w:style w:type="paragraph" w:customStyle="1" w:styleId="108">
    <w:name w:val="Char Char Char Char Char Char Char"/>
    <w:basedOn w:val="1"/>
    <w:autoRedefine/>
    <w:qFormat/>
    <w:uiPriority w:val="0"/>
  </w:style>
  <w:style w:type="paragraph" w:customStyle="1" w:styleId="109">
    <w:name w:val="正文 A"/>
    <w:autoRedefine/>
    <w:qFormat/>
    <w:uiPriority w:val="99"/>
    <w:pPr>
      <w:widowControl w:val="0"/>
      <w:pBdr>
        <w:top w:val="none" w:color="FFFFFF" w:sz="0" w:space="31"/>
        <w:left w:val="none" w:color="FFFFFF" w:sz="0" w:space="31"/>
        <w:bottom w:val="none" w:color="FFFFFF" w:sz="0" w:space="31"/>
        <w:right w:val="none" w:color="FFFFFF" w:sz="0" w:space="31"/>
      </w:pBdr>
      <w:jc w:val="both"/>
    </w:pPr>
    <w:rPr>
      <w:rFonts w:ascii="Arial Unicode MS" w:hAnsi="Arial Unicode MS" w:eastAsia="Times New Roman" w:cs="Arial Unicode MS"/>
      <w:color w:val="000000"/>
      <w:sz w:val="24"/>
      <w:szCs w:val="24"/>
      <w:u w:color="000000"/>
      <w:lang w:val="en-US" w:eastAsia="zh-CN" w:bidi="ar-SA"/>
    </w:rPr>
  </w:style>
  <w:style w:type="paragraph" w:customStyle="1" w:styleId="110">
    <w:name w:val="★章标题"/>
    <w:basedOn w:val="1"/>
    <w:autoRedefine/>
    <w:qFormat/>
    <w:uiPriority w:val="99"/>
    <w:pPr>
      <w:spacing w:before="120" w:after="120" w:line="360" w:lineRule="auto"/>
      <w:ind w:firstLine="200" w:firstLineChars="200"/>
      <w:jc w:val="center"/>
      <w:outlineLvl w:val="0"/>
    </w:pPr>
    <w:rPr>
      <w:rFonts w:eastAsia="黑体" w:cs="宋体"/>
      <w:b/>
      <w:bCs/>
      <w:color w:val="000000"/>
      <w:kern w:val="44"/>
      <w:sz w:val="44"/>
      <w:szCs w:val="20"/>
    </w:rPr>
  </w:style>
  <w:style w:type="paragraph" w:customStyle="1" w:styleId="111">
    <w:name w:val="正文2"/>
    <w:basedOn w:val="1"/>
    <w:autoRedefine/>
    <w:qFormat/>
    <w:uiPriority w:val="0"/>
    <w:pPr>
      <w:spacing w:before="156" w:line="360" w:lineRule="auto"/>
      <w:ind w:firstLine="510" w:firstLineChars="200"/>
    </w:pPr>
    <w:rPr>
      <w:sz w:val="24"/>
      <w:szCs w:val="20"/>
    </w:rPr>
  </w:style>
  <w:style w:type="paragraph" w:customStyle="1" w:styleId="112">
    <w:name w:val="彩色列表2"/>
    <w:basedOn w:val="1"/>
    <w:autoRedefine/>
    <w:qFormat/>
    <w:uiPriority w:val="34"/>
    <w:pPr>
      <w:ind w:firstLine="420" w:firstLineChars="200"/>
    </w:pPr>
  </w:style>
  <w:style w:type="paragraph" w:customStyle="1" w:styleId="113">
    <w:name w:val="样式1"/>
    <w:autoRedefine/>
    <w:qFormat/>
    <w:uiPriority w:val="0"/>
    <w:pPr>
      <w:numPr>
        <w:ilvl w:val="2"/>
        <w:numId w:val="3"/>
      </w:numPr>
      <w:tabs>
        <w:tab w:val="left" w:pos="735"/>
      </w:tabs>
      <w:adjustRightInd w:val="0"/>
      <w:snapToGrid w:val="0"/>
      <w:spacing w:line="360" w:lineRule="auto"/>
      <w:jc w:val="both"/>
    </w:pPr>
    <w:rPr>
      <w:rFonts w:ascii="Times New Roman" w:hAnsi="Times New Roman" w:eastAsia="宋体" w:cs="Times New Roman"/>
      <w:bCs/>
      <w:kern w:val="2"/>
      <w:sz w:val="24"/>
      <w:szCs w:val="32"/>
      <w:lang w:val="en-US" w:eastAsia="zh-CN" w:bidi="ar-SA"/>
    </w:rPr>
  </w:style>
  <w:style w:type="paragraph" w:customStyle="1" w:styleId="114">
    <w:name w:val="表内文字"/>
    <w:basedOn w:val="1"/>
    <w:autoRedefine/>
    <w:qFormat/>
    <w:uiPriority w:val="0"/>
    <w:pPr>
      <w:tabs>
        <w:tab w:val="left" w:pos="1418"/>
      </w:tabs>
      <w:spacing w:line="360" w:lineRule="auto"/>
      <w:jc w:val="center"/>
    </w:pPr>
    <w:rPr>
      <w:rFonts w:ascii="仿宋_GB2312" w:eastAsia="仿宋_GB2312"/>
      <w:spacing w:val="-20"/>
      <w:kern w:val="0"/>
      <w:sz w:val="24"/>
    </w:rPr>
  </w:style>
  <w:style w:type="paragraph" w:customStyle="1" w:styleId="115">
    <w:name w:val="首行缩进"/>
    <w:basedOn w:val="1"/>
    <w:autoRedefine/>
    <w:qFormat/>
    <w:uiPriority w:val="0"/>
    <w:pPr>
      <w:spacing w:line="360" w:lineRule="auto"/>
      <w:ind w:firstLine="480" w:firstLineChars="200"/>
    </w:pPr>
    <w:rPr>
      <w:sz w:val="24"/>
      <w:szCs w:val="22"/>
      <w:lang w:val="zh-CN"/>
    </w:rPr>
  </w:style>
  <w:style w:type="paragraph" w:customStyle="1" w:styleId="116">
    <w:name w:val="默认段落字体 Para Char Char Char Char Char Char Char Char Char1 Char Char Char Char"/>
    <w:basedOn w:val="1"/>
    <w:autoRedefine/>
    <w:qFormat/>
    <w:uiPriority w:val="0"/>
    <w:rPr>
      <w:rFonts w:ascii="Tahoma" w:hAnsi="Tahoma"/>
      <w:sz w:val="24"/>
      <w:szCs w:val="20"/>
    </w:rPr>
  </w:style>
  <w:style w:type="paragraph" w:customStyle="1" w:styleId="117">
    <w:name w:val="彩色列表11"/>
    <w:basedOn w:val="1"/>
    <w:autoRedefine/>
    <w:qFormat/>
    <w:uiPriority w:val="34"/>
    <w:pPr>
      <w:ind w:firstLine="420" w:firstLineChars="200"/>
    </w:pPr>
  </w:style>
  <w:style w:type="character" w:customStyle="1" w:styleId="118">
    <w:name w:val="bjh-p"/>
    <w:basedOn w:val="42"/>
    <w:autoRedefine/>
    <w:qFormat/>
    <w:uiPriority w:val="0"/>
  </w:style>
  <w:style w:type="character" w:customStyle="1" w:styleId="119">
    <w:name w:val="font12"/>
    <w:basedOn w:val="42"/>
    <w:autoRedefine/>
    <w:qFormat/>
    <w:uiPriority w:val="0"/>
    <w:rPr>
      <w:rFonts w:hint="eastAsia" w:ascii="宋体" w:hAnsi="宋体" w:eastAsia="宋体" w:cs="宋体"/>
      <w:color w:val="000000"/>
      <w:sz w:val="20"/>
      <w:szCs w:val="20"/>
      <w:u w:val="none"/>
    </w:rPr>
  </w:style>
  <w:style w:type="character" w:customStyle="1" w:styleId="120">
    <w:name w:val="font41"/>
    <w:basedOn w:val="42"/>
    <w:autoRedefine/>
    <w:qFormat/>
    <w:uiPriority w:val="0"/>
    <w:rPr>
      <w:rFonts w:hint="eastAsia" w:ascii="宋体" w:hAnsi="宋体" w:eastAsia="宋体" w:cs="宋体"/>
      <w:b/>
      <w:bCs/>
      <w:color w:val="000000"/>
      <w:sz w:val="22"/>
      <w:szCs w:val="22"/>
      <w:u w:val="none"/>
    </w:rPr>
  </w:style>
  <w:style w:type="character" w:customStyle="1" w:styleId="121">
    <w:name w:val="font81"/>
    <w:basedOn w:val="42"/>
    <w:autoRedefine/>
    <w:qFormat/>
    <w:uiPriority w:val="0"/>
    <w:rPr>
      <w:rFonts w:ascii="Calibri" w:hAnsi="Calibri" w:cs="Calibri"/>
      <w:b/>
      <w:bCs/>
      <w:color w:val="000000"/>
      <w:sz w:val="22"/>
      <w:szCs w:val="22"/>
      <w:u w:val="none"/>
    </w:rPr>
  </w:style>
  <w:style w:type="character" w:customStyle="1" w:styleId="122">
    <w:name w:val="font71"/>
    <w:basedOn w:val="42"/>
    <w:autoRedefine/>
    <w:qFormat/>
    <w:uiPriority w:val="0"/>
    <w:rPr>
      <w:rFonts w:hint="eastAsia" w:ascii="宋体" w:hAnsi="宋体" w:eastAsia="宋体" w:cs="宋体"/>
      <w:b/>
      <w:bCs/>
      <w:color w:val="000000"/>
      <w:sz w:val="30"/>
      <w:szCs w:val="30"/>
      <w:u w:val="none"/>
      <w:vertAlign w:val="superscript"/>
    </w:rPr>
  </w:style>
  <w:style w:type="character" w:customStyle="1" w:styleId="123">
    <w:name w:val="font112"/>
    <w:basedOn w:val="42"/>
    <w:autoRedefine/>
    <w:qFormat/>
    <w:uiPriority w:val="0"/>
    <w:rPr>
      <w:rFonts w:hint="eastAsia" w:ascii="宋体" w:hAnsi="宋体" w:eastAsia="宋体" w:cs="宋体"/>
      <w:color w:val="000000"/>
      <w:sz w:val="20"/>
      <w:szCs w:val="20"/>
      <w:u w:val="none"/>
    </w:rPr>
  </w:style>
  <w:style w:type="paragraph" w:styleId="124">
    <w:name w:val="List Paragraph"/>
    <w:basedOn w:val="1"/>
    <w:autoRedefine/>
    <w:qFormat/>
    <w:uiPriority w:val="34"/>
    <w:pPr>
      <w:ind w:firstLine="420" w:firstLineChars="200"/>
    </w:pPr>
    <w:rPr>
      <w:rFonts w:asciiTheme="minorHAnsi" w:hAnsiTheme="minorHAnsi" w:eastAsiaTheme="minorEastAsia" w:cstheme="minorBidi"/>
      <w:szCs w:val="22"/>
    </w:rPr>
  </w:style>
  <w:style w:type="paragraph" w:customStyle="1" w:styleId="125">
    <w:name w:val="TOC 标题1"/>
    <w:basedOn w:val="5"/>
    <w:next w:val="1"/>
    <w:autoRedefine/>
    <w:unhideWhenUsed/>
    <w:qFormat/>
    <w:uiPriority w:val="39"/>
    <w:pPr>
      <w:keepNext w:val="0"/>
      <w:keepLines w:val="0"/>
      <w:widowControl/>
      <w:spacing w:before="480" w:after="0" w:line="276" w:lineRule="auto"/>
      <w:jc w:val="left"/>
      <w:outlineLvl w:val="9"/>
    </w:pPr>
    <w:rPr>
      <w:rFonts w:asciiTheme="majorHAnsi" w:hAnsiTheme="majorHAnsi" w:eastAsiaTheme="majorEastAsia" w:cstheme="majorBidi"/>
      <w:bCs w:val="0"/>
      <w:color w:val="2E75B6" w:themeColor="accent1" w:themeShade="BF"/>
      <w:kern w:val="0"/>
      <w:sz w:val="28"/>
      <w:szCs w:val="28"/>
    </w:rPr>
  </w:style>
  <w:style w:type="character" w:customStyle="1" w:styleId="126">
    <w:name w:val="font131"/>
    <w:basedOn w:val="42"/>
    <w:autoRedefine/>
    <w:qFormat/>
    <w:uiPriority w:val="0"/>
    <w:rPr>
      <w:rFonts w:hint="eastAsia" w:ascii="宋体" w:hAnsi="宋体" w:eastAsia="宋体" w:cs="宋体"/>
      <w:strike/>
      <w:color w:val="FF0000"/>
      <w:sz w:val="22"/>
      <w:szCs w:val="22"/>
    </w:rPr>
  </w:style>
  <w:style w:type="character" w:customStyle="1" w:styleId="127">
    <w:name w:val="font91"/>
    <w:basedOn w:val="42"/>
    <w:autoRedefine/>
    <w:qFormat/>
    <w:uiPriority w:val="0"/>
    <w:rPr>
      <w:rFonts w:hint="eastAsia" w:ascii="宋体" w:hAnsi="宋体" w:eastAsia="宋体" w:cs="宋体"/>
      <w:color w:val="000000"/>
      <w:sz w:val="22"/>
      <w:szCs w:val="22"/>
      <w:u w:val="none"/>
    </w:rPr>
  </w:style>
  <w:style w:type="character" w:customStyle="1" w:styleId="128">
    <w:name w:val="font151"/>
    <w:basedOn w:val="42"/>
    <w:autoRedefine/>
    <w:qFormat/>
    <w:uiPriority w:val="0"/>
    <w:rPr>
      <w:rFonts w:hint="eastAsia" w:ascii="宋体" w:hAnsi="宋体" w:eastAsia="宋体" w:cs="宋体"/>
      <w:color w:val="FF0000"/>
      <w:sz w:val="22"/>
      <w:szCs w:val="22"/>
      <w:u w:val="none"/>
    </w:rPr>
  </w:style>
  <w:style w:type="character" w:customStyle="1" w:styleId="129">
    <w:name w:val="font191"/>
    <w:basedOn w:val="42"/>
    <w:autoRedefine/>
    <w:qFormat/>
    <w:uiPriority w:val="0"/>
    <w:rPr>
      <w:rFonts w:hint="eastAsia" w:ascii="宋体" w:hAnsi="宋体" w:eastAsia="宋体" w:cs="宋体"/>
      <w:strike/>
      <w:color w:val="000000"/>
      <w:sz w:val="22"/>
      <w:szCs w:val="22"/>
    </w:rPr>
  </w:style>
  <w:style w:type="character" w:customStyle="1" w:styleId="130">
    <w:name w:val="font171"/>
    <w:basedOn w:val="42"/>
    <w:autoRedefine/>
    <w:qFormat/>
    <w:uiPriority w:val="0"/>
    <w:rPr>
      <w:rFonts w:hint="eastAsia" w:ascii="宋体" w:hAnsi="宋体" w:eastAsia="宋体" w:cs="宋体"/>
      <w:color w:val="FF0000"/>
      <w:sz w:val="22"/>
      <w:szCs w:val="22"/>
      <w:u w:val="none"/>
    </w:rPr>
  </w:style>
</w:styles>
</file>

<file path=word/_rels/document.xml.rels><?xml version="1.0" encoding="UTF-8" standalone="yes"?>
<Relationships xmlns="http://schemas.openxmlformats.org/package/2006/relationships"><Relationship Id="rId99" Type="http://schemas.openxmlformats.org/officeDocument/2006/relationships/image" Target="media/image88.jpeg"/><Relationship Id="rId98" Type="http://schemas.openxmlformats.org/officeDocument/2006/relationships/image" Target="media/image87.jpeg"/><Relationship Id="rId97" Type="http://schemas.openxmlformats.org/officeDocument/2006/relationships/image" Target="media/image86.jpeg"/><Relationship Id="rId96" Type="http://schemas.openxmlformats.org/officeDocument/2006/relationships/image" Target="media/image85.jpeg"/><Relationship Id="rId95" Type="http://schemas.openxmlformats.org/officeDocument/2006/relationships/image" Target="media/image84.jpeg"/><Relationship Id="rId94" Type="http://schemas.openxmlformats.org/officeDocument/2006/relationships/image" Target="media/image83.jpeg"/><Relationship Id="rId93" Type="http://schemas.openxmlformats.org/officeDocument/2006/relationships/image" Target="media/image82.jpeg"/><Relationship Id="rId92" Type="http://schemas.openxmlformats.org/officeDocument/2006/relationships/image" Target="media/image81.jpeg"/><Relationship Id="rId91" Type="http://schemas.openxmlformats.org/officeDocument/2006/relationships/image" Target="media/image80.jpeg"/><Relationship Id="rId90" Type="http://schemas.openxmlformats.org/officeDocument/2006/relationships/image" Target="media/image79.jpeg"/><Relationship Id="rId9" Type="http://schemas.openxmlformats.org/officeDocument/2006/relationships/footer" Target="footer3.xml"/><Relationship Id="rId89" Type="http://schemas.openxmlformats.org/officeDocument/2006/relationships/image" Target="media/image78.jpeg"/><Relationship Id="rId88" Type="http://schemas.openxmlformats.org/officeDocument/2006/relationships/image" Target="media/image77.jpeg"/><Relationship Id="rId87" Type="http://schemas.openxmlformats.org/officeDocument/2006/relationships/image" Target="media/image76.jpeg"/><Relationship Id="rId86" Type="http://schemas.openxmlformats.org/officeDocument/2006/relationships/image" Target="media/image75.jpeg"/><Relationship Id="rId85" Type="http://schemas.openxmlformats.org/officeDocument/2006/relationships/image" Target="media/image74.jpeg"/><Relationship Id="rId84" Type="http://schemas.openxmlformats.org/officeDocument/2006/relationships/image" Target="media/image73.jpeg"/><Relationship Id="rId83" Type="http://schemas.openxmlformats.org/officeDocument/2006/relationships/image" Target="media/image72.jpeg"/><Relationship Id="rId82" Type="http://schemas.openxmlformats.org/officeDocument/2006/relationships/image" Target="media/image71.jpeg"/><Relationship Id="rId81" Type="http://schemas.openxmlformats.org/officeDocument/2006/relationships/image" Target="media/image70.jpeg"/><Relationship Id="rId80" Type="http://schemas.openxmlformats.org/officeDocument/2006/relationships/image" Target="media/image69.jpeg"/><Relationship Id="rId8" Type="http://schemas.openxmlformats.org/officeDocument/2006/relationships/header" Target="header4.xml"/><Relationship Id="rId79" Type="http://schemas.openxmlformats.org/officeDocument/2006/relationships/image" Target="media/image68.jpeg"/><Relationship Id="rId78" Type="http://schemas.openxmlformats.org/officeDocument/2006/relationships/image" Target="media/image67.jpeg"/><Relationship Id="rId77" Type="http://schemas.openxmlformats.org/officeDocument/2006/relationships/image" Target="media/image66.jpeg"/><Relationship Id="rId76" Type="http://schemas.openxmlformats.org/officeDocument/2006/relationships/image" Target="media/image65.jpeg"/><Relationship Id="rId75" Type="http://schemas.openxmlformats.org/officeDocument/2006/relationships/image" Target="media/image64.jpeg"/><Relationship Id="rId74" Type="http://schemas.openxmlformats.org/officeDocument/2006/relationships/image" Target="media/image63.jpeg"/><Relationship Id="rId73" Type="http://schemas.openxmlformats.org/officeDocument/2006/relationships/image" Target="media/image62.jpeg"/><Relationship Id="rId72" Type="http://schemas.openxmlformats.org/officeDocument/2006/relationships/image" Target="media/image61.jpeg"/><Relationship Id="rId71" Type="http://schemas.openxmlformats.org/officeDocument/2006/relationships/image" Target="media/image60.jpeg"/><Relationship Id="rId70" Type="http://schemas.openxmlformats.org/officeDocument/2006/relationships/image" Target="media/image59.jpeg"/><Relationship Id="rId7" Type="http://schemas.openxmlformats.org/officeDocument/2006/relationships/header" Target="header3.xml"/><Relationship Id="rId69" Type="http://schemas.openxmlformats.org/officeDocument/2006/relationships/image" Target="media/image58.jpeg"/><Relationship Id="rId68" Type="http://schemas.openxmlformats.org/officeDocument/2006/relationships/image" Target="media/image57.jpeg"/><Relationship Id="rId67" Type="http://schemas.openxmlformats.org/officeDocument/2006/relationships/image" Target="media/image56.jpeg"/><Relationship Id="rId66" Type="http://schemas.openxmlformats.org/officeDocument/2006/relationships/image" Target="media/image55.jpeg"/><Relationship Id="rId65" Type="http://schemas.openxmlformats.org/officeDocument/2006/relationships/image" Target="media/image54.jpeg"/><Relationship Id="rId64" Type="http://schemas.openxmlformats.org/officeDocument/2006/relationships/image" Target="media/image53.jpeg"/><Relationship Id="rId63" Type="http://schemas.openxmlformats.org/officeDocument/2006/relationships/image" Target="media/image52.jpeg"/><Relationship Id="rId62" Type="http://schemas.openxmlformats.org/officeDocument/2006/relationships/image" Target="media/image51.jpeg"/><Relationship Id="rId61" Type="http://schemas.openxmlformats.org/officeDocument/2006/relationships/image" Target="media/image50.jpeg"/><Relationship Id="rId60" Type="http://schemas.openxmlformats.org/officeDocument/2006/relationships/image" Target="media/image49.jpeg"/><Relationship Id="rId6" Type="http://schemas.openxmlformats.org/officeDocument/2006/relationships/footer" Target="footer2.xml"/><Relationship Id="rId59" Type="http://schemas.openxmlformats.org/officeDocument/2006/relationships/image" Target="media/image48.jpeg"/><Relationship Id="rId58" Type="http://schemas.openxmlformats.org/officeDocument/2006/relationships/image" Target="media/image47.jpeg"/><Relationship Id="rId57" Type="http://schemas.openxmlformats.org/officeDocument/2006/relationships/image" Target="media/image46.jpeg"/><Relationship Id="rId56" Type="http://schemas.openxmlformats.org/officeDocument/2006/relationships/image" Target="media/image45.jpeg"/><Relationship Id="rId55" Type="http://schemas.openxmlformats.org/officeDocument/2006/relationships/image" Target="media/image44.jpeg"/><Relationship Id="rId54" Type="http://schemas.openxmlformats.org/officeDocument/2006/relationships/image" Target="media/image43.jpeg"/><Relationship Id="rId53" Type="http://schemas.openxmlformats.org/officeDocument/2006/relationships/image" Target="media/image42.jpeg"/><Relationship Id="rId52" Type="http://schemas.openxmlformats.org/officeDocument/2006/relationships/image" Target="media/image41.jpeg"/><Relationship Id="rId51" Type="http://schemas.openxmlformats.org/officeDocument/2006/relationships/image" Target="media/image40.jpeg"/><Relationship Id="rId50" Type="http://schemas.openxmlformats.org/officeDocument/2006/relationships/image" Target="media/image39.jpeg"/><Relationship Id="rId5" Type="http://schemas.openxmlformats.org/officeDocument/2006/relationships/footer" Target="footer1.xml"/><Relationship Id="rId49" Type="http://schemas.openxmlformats.org/officeDocument/2006/relationships/image" Target="media/image38.jpeg"/><Relationship Id="rId48" Type="http://schemas.openxmlformats.org/officeDocument/2006/relationships/image" Target="media/image37.jpeg"/><Relationship Id="rId47" Type="http://schemas.openxmlformats.org/officeDocument/2006/relationships/image" Target="media/image36.jpeg"/><Relationship Id="rId46" Type="http://schemas.openxmlformats.org/officeDocument/2006/relationships/image" Target="media/image35.jpeg"/><Relationship Id="rId45" Type="http://schemas.openxmlformats.org/officeDocument/2006/relationships/image" Target="media/image34.jpeg"/><Relationship Id="rId44" Type="http://schemas.openxmlformats.org/officeDocument/2006/relationships/image" Target="media/image33.jpeg"/><Relationship Id="rId43" Type="http://schemas.openxmlformats.org/officeDocument/2006/relationships/image" Target="media/image32.jpeg"/><Relationship Id="rId42" Type="http://schemas.openxmlformats.org/officeDocument/2006/relationships/image" Target="media/image31.jpeg"/><Relationship Id="rId41" Type="http://schemas.openxmlformats.org/officeDocument/2006/relationships/image" Target="media/image30.jpeg"/><Relationship Id="rId40" Type="http://schemas.openxmlformats.org/officeDocument/2006/relationships/image" Target="media/image29.jpeg"/><Relationship Id="rId4" Type="http://schemas.openxmlformats.org/officeDocument/2006/relationships/header" Target="header2.xml"/><Relationship Id="rId39" Type="http://schemas.openxmlformats.org/officeDocument/2006/relationships/image" Target="media/image28.jpeg"/><Relationship Id="rId38" Type="http://schemas.openxmlformats.org/officeDocument/2006/relationships/image" Target="media/image27.jpeg"/><Relationship Id="rId37" Type="http://schemas.openxmlformats.org/officeDocument/2006/relationships/image" Target="media/image26.jpeg"/><Relationship Id="rId36" Type="http://schemas.openxmlformats.org/officeDocument/2006/relationships/image" Target="media/image25.jpeg"/><Relationship Id="rId35" Type="http://schemas.openxmlformats.org/officeDocument/2006/relationships/image" Target="media/image24.jpeg"/><Relationship Id="rId34" Type="http://schemas.openxmlformats.org/officeDocument/2006/relationships/image" Target="media/image23.jpeg"/><Relationship Id="rId33" Type="http://schemas.openxmlformats.org/officeDocument/2006/relationships/image" Target="media/image22.jpeg"/><Relationship Id="rId32" Type="http://schemas.openxmlformats.org/officeDocument/2006/relationships/image" Target="media/image21.jpeg"/><Relationship Id="rId31" Type="http://schemas.openxmlformats.org/officeDocument/2006/relationships/image" Target="media/image20.jpeg"/><Relationship Id="rId30" Type="http://schemas.openxmlformats.org/officeDocument/2006/relationships/image" Target="media/image19.jpeg"/><Relationship Id="rId3" Type="http://schemas.openxmlformats.org/officeDocument/2006/relationships/header" Target="header1.xml"/><Relationship Id="rId29" Type="http://schemas.openxmlformats.org/officeDocument/2006/relationships/image" Target="media/image18.jpeg"/><Relationship Id="rId28" Type="http://schemas.openxmlformats.org/officeDocument/2006/relationships/image" Target="media/image17.jpeg"/><Relationship Id="rId27" Type="http://schemas.openxmlformats.org/officeDocument/2006/relationships/image" Target="media/image16.jpeg"/><Relationship Id="rId26" Type="http://schemas.openxmlformats.org/officeDocument/2006/relationships/image" Target="media/image15.jpeg"/><Relationship Id="rId25" Type="http://schemas.openxmlformats.org/officeDocument/2006/relationships/image" Target="media/image14.jpeg"/><Relationship Id="rId24" Type="http://schemas.openxmlformats.org/officeDocument/2006/relationships/image" Target="media/image13.jpeg"/><Relationship Id="rId23" Type="http://schemas.openxmlformats.org/officeDocument/2006/relationships/image" Target="media/image12.jpeg"/><Relationship Id="rId22" Type="http://schemas.openxmlformats.org/officeDocument/2006/relationships/image" Target="media/image11.jpeg"/><Relationship Id="rId21" Type="http://schemas.openxmlformats.org/officeDocument/2006/relationships/image" Target="media/image10.jpeg"/><Relationship Id="rId20" Type="http://schemas.openxmlformats.org/officeDocument/2006/relationships/image" Target="media/image9.jpeg"/><Relationship Id="rId2" Type="http://schemas.openxmlformats.org/officeDocument/2006/relationships/settings" Target="settings.xml"/><Relationship Id="rId19" Type="http://schemas.openxmlformats.org/officeDocument/2006/relationships/image" Target="media/image8.jpeg"/><Relationship Id="rId181" Type="http://schemas.openxmlformats.org/officeDocument/2006/relationships/fontTable" Target="fontTable.xml"/><Relationship Id="rId180" Type="http://schemas.openxmlformats.org/officeDocument/2006/relationships/customXml" Target="../customXml/item2.xml"/><Relationship Id="rId18" Type="http://schemas.openxmlformats.org/officeDocument/2006/relationships/image" Target="media/image7.jpeg"/><Relationship Id="rId179" Type="http://schemas.openxmlformats.org/officeDocument/2006/relationships/numbering" Target="numbering.xml"/><Relationship Id="rId178" Type="http://schemas.openxmlformats.org/officeDocument/2006/relationships/customXml" Target="../customXml/item1.xml"/><Relationship Id="rId177" Type="http://schemas.openxmlformats.org/officeDocument/2006/relationships/image" Target="media/image166.png"/><Relationship Id="rId176" Type="http://schemas.openxmlformats.org/officeDocument/2006/relationships/image" Target="media/image165.png"/><Relationship Id="rId175" Type="http://schemas.openxmlformats.org/officeDocument/2006/relationships/image" Target="media/image164.png"/><Relationship Id="rId174" Type="http://schemas.openxmlformats.org/officeDocument/2006/relationships/image" Target="media/image163.png"/><Relationship Id="rId173" Type="http://schemas.openxmlformats.org/officeDocument/2006/relationships/image" Target="media/image162.png"/><Relationship Id="rId172" Type="http://schemas.openxmlformats.org/officeDocument/2006/relationships/image" Target="media/image161.png"/><Relationship Id="rId171" Type="http://schemas.openxmlformats.org/officeDocument/2006/relationships/image" Target="media/image160.png"/><Relationship Id="rId170" Type="http://schemas.openxmlformats.org/officeDocument/2006/relationships/image" Target="media/image159.png"/><Relationship Id="rId17" Type="http://schemas.openxmlformats.org/officeDocument/2006/relationships/image" Target="media/image6.jpeg"/><Relationship Id="rId169" Type="http://schemas.openxmlformats.org/officeDocument/2006/relationships/image" Target="media/image158.png"/><Relationship Id="rId168" Type="http://schemas.openxmlformats.org/officeDocument/2006/relationships/image" Target="media/image157.png"/><Relationship Id="rId167" Type="http://schemas.openxmlformats.org/officeDocument/2006/relationships/image" Target="media/image156.png"/><Relationship Id="rId166" Type="http://schemas.openxmlformats.org/officeDocument/2006/relationships/image" Target="media/image155.png"/><Relationship Id="rId165" Type="http://schemas.openxmlformats.org/officeDocument/2006/relationships/image" Target="media/image154.png"/><Relationship Id="rId164" Type="http://schemas.openxmlformats.org/officeDocument/2006/relationships/image" Target="media/image153.png"/><Relationship Id="rId163" Type="http://schemas.openxmlformats.org/officeDocument/2006/relationships/image" Target="media/image152.png"/><Relationship Id="rId162" Type="http://schemas.openxmlformats.org/officeDocument/2006/relationships/image" Target="media/image151.png"/><Relationship Id="rId161" Type="http://schemas.openxmlformats.org/officeDocument/2006/relationships/image" Target="media/image150.png"/><Relationship Id="rId160" Type="http://schemas.openxmlformats.org/officeDocument/2006/relationships/image" Target="media/image149.png"/><Relationship Id="rId16" Type="http://schemas.openxmlformats.org/officeDocument/2006/relationships/image" Target="media/image5.jpeg"/><Relationship Id="rId159" Type="http://schemas.openxmlformats.org/officeDocument/2006/relationships/image" Target="media/image148.png"/><Relationship Id="rId158" Type="http://schemas.openxmlformats.org/officeDocument/2006/relationships/image" Target="media/image147.jpeg"/><Relationship Id="rId157" Type="http://schemas.openxmlformats.org/officeDocument/2006/relationships/image" Target="media/image146.jpeg"/><Relationship Id="rId156" Type="http://schemas.openxmlformats.org/officeDocument/2006/relationships/image" Target="media/image145.jpeg"/><Relationship Id="rId155" Type="http://schemas.openxmlformats.org/officeDocument/2006/relationships/image" Target="media/image144.jpeg"/><Relationship Id="rId154" Type="http://schemas.openxmlformats.org/officeDocument/2006/relationships/image" Target="media/image143.jpeg"/><Relationship Id="rId153" Type="http://schemas.openxmlformats.org/officeDocument/2006/relationships/image" Target="media/image142.jpeg"/><Relationship Id="rId152" Type="http://schemas.openxmlformats.org/officeDocument/2006/relationships/image" Target="media/image141.jpeg"/><Relationship Id="rId151" Type="http://schemas.openxmlformats.org/officeDocument/2006/relationships/image" Target="media/image140.jpeg"/><Relationship Id="rId150" Type="http://schemas.openxmlformats.org/officeDocument/2006/relationships/image" Target="media/image139.jpeg"/><Relationship Id="rId15" Type="http://schemas.openxmlformats.org/officeDocument/2006/relationships/image" Target="media/image4.jpeg"/><Relationship Id="rId149" Type="http://schemas.openxmlformats.org/officeDocument/2006/relationships/image" Target="media/image138.jpeg"/><Relationship Id="rId148" Type="http://schemas.openxmlformats.org/officeDocument/2006/relationships/image" Target="media/image137.jpeg"/><Relationship Id="rId147" Type="http://schemas.openxmlformats.org/officeDocument/2006/relationships/image" Target="media/image136.jpeg"/><Relationship Id="rId146" Type="http://schemas.openxmlformats.org/officeDocument/2006/relationships/image" Target="media/image135.jpeg"/><Relationship Id="rId145" Type="http://schemas.openxmlformats.org/officeDocument/2006/relationships/image" Target="media/image134.jpeg"/><Relationship Id="rId144" Type="http://schemas.openxmlformats.org/officeDocument/2006/relationships/image" Target="media/image133.jpeg"/><Relationship Id="rId143" Type="http://schemas.openxmlformats.org/officeDocument/2006/relationships/image" Target="media/image132.jpeg"/><Relationship Id="rId142" Type="http://schemas.openxmlformats.org/officeDocument/2006/relationships/image" Target="media/image131.jpeg"/><Relationship Id="rId141" Type="http://schemas.openxmlformats.org/officeDocument/2006/relationships/image" Target="media/image130.jpeg"/><Relationship Id="rId140" Type="http://schemas.openxmlformats.org/officeDocument/2006/relationships/image" Target="media/image129.jpeg"/><Relationship Id="rId14" Type="http://schemas.openxmlformats.org/officeDocument/2006/relationships/image" Target="media/image3.jpeg"/><Relationship Id="rId139" Type="http://schemas.openxmlformats.org/officeDocument/2006/relationships/image" Target="media/image128.jpeg"/><Relationship Id="rId138" Type="http://schemas.openxmlformats.org/officeDocument/2006/relationships/image" Target="media/image127.jpeg"/><Relationship Id="rId137" Type="http://schemas.openxmlformats.org/officeDocument/2006/relationships/image" Target="media/image126.jpeg"/><Relationship Id="rId136" Type="http://schemas.openxmlformats.org/officeDocument/2006/relationships/image" Target="media/image125.jpeg"/><Relationship Id="rId135" Type="http://schemas.openxmlformats.org/officeDocument/2006/relationships/image" Target="media/image124.jpeg"/><Relationship Id="rId134" Type="http://schemas.openxmlformats.org/officeDocument/2006/relationships/image" Target="media/image123.jpeg"/><Relationship Id="rId133" Type="http://schemas.openxmlformats.org/officeDocument/2006/relationships/image" Target="media/image122.jpeg"/><Relationship Id="rId132" Type="http://schemas.openxmlformats.org/officeDocument/2006/relationships/image" Target="media/image121.jpeg"/><Relationship Id="rId131" Type="http://schemas.openxmlformats.org/officeDocument/2006/relationships/image" Target="media/image120.jpeg"/><Relationship Id="rId130" Type="http://schemas.openxmlformats.org/officeDocument/2006/relationships/image" Target="media/image119.jpeg"/><Relationship Id="rId13" Type="http://schemas.openxmlformats.org/officeDocument/2006/relationships/image" Target="media/image2.jpeg"/><Relationship Id="rId129" Type="http://schemas.openxmlformats.org/officeDocument/2006/relationships/image" Target="media/image118.jpeg"/><Relationship Id="rId128" Type="http://schemas.openxmlformats.org/officeDocument/2006/relationships/image" Target="media/image117.jpeg"/><Relationship Id="rId127" Type="http://schemas.openxmlformats.org/officeDocument/2006/relationships/image" Target="media/image116.jpeg"/><Relationship Id="rId126" Type="http://schemas.openxmlformats.org/officeDocument/2006/relationships/image" Target="media/image115.jpeg"/><Relationship Id="rId125" Type="http://schemas.openxmlformats.org/officeDocument/2006/relationships/image" Target="media/image114.jpeg"/><Relationship Id="rId124" Type="http://schemas.openxmlformats.org/officeDocument/2006/relationships/image" Target="media/image113.jpeg"/><Relationship Id="rId123" Type="http://schemas.openxmlformats.org/officeDocument/2006/relationships/image" Target="media/image112.jpeg"/><Relationship Id="rId122" Type="http://schemas.openxmlformats.org/officeDocument/2006/relationships/image" Target="media/image111.jpeg"/><Relationship Id="rId121" Type="http://schemas.openxmlformats.org/officeDocument/2006/relationships/image" Target="media/image110.jpeg"/><Relationship Id="rId120" Type="http://schemas.openxmlformats.org/officeDocument/2006/relationships/image" Target="media/image109.jpeg"/><Relationship Id="rId12" Type="http://schemas.openxmlformats.org/officeDocument/2006/relationships/image" Target="media/image1.jpeg"/><Relationship Id="rId119" Type="http://schemas.openxmlformats.org/officeDocument/2006/relationships/image" Target="media/image108.jpeg"/><Relationship Id="rId118" Type="http://schemas.openxmlformats.org/officeDocument/2006/relationships/image" Target="media/image107.jpeg"/><Relationship Id="rId117" Type="http://schemas.openxmlformats.org/officeDocument/2006/relationships/image" Target="media/image106.jpeg"/><Relationship Id="rId116" Type="http://schemas.openxmlformats.org/officeDocument/2006/relationships/image" Target="media/image105.jpeg"/><Relationship Id="rId115" Type="http://schemas.openxmlformats.org/officeDocument/2006/relationships/image" Target="media/image104.jpeg"/><Relationship Id="rId114" Type="http://schemas.openxmlformats.org/officeDocument/2006/relationships/image" Target="media/image103.jpeg"/><Relationship Id="rId113" Type="http://schemas.openxmlformats.org/officeDocument/2006/relationships/image" Target="media/image102.jpeg"/><Relationship Id="rId112" Type="http://schemas.openxmlformats.org/officeDocument/2006/relationships/image" Target="media/image101.jpeg"/><Relationship Id="rId111" Type="http://schemas.openxmlformats.org/officeDocument/2006/relationships/image" Target="media/image100.jpeg"/><Relationship Id="rId110" Type="http://schemas.openxmlformats.org/officeDocument/2006/relationships/image" Target="media/image99.jpeg"/><Relationship Id="rId11" Type="http://schemas.openxmlformats.org/officeDocument/2006/relationships/theme" Target="theme/theme1.xml"/><Relationship Id="rId109" Type="http://schemas.openxmlformats.org/officeDocument/2006/relationships/image" Target="media/image98.jpeg"/><Relationship Id="rId108" Type="http://schemas.openxmlformats.org/officeDocument/2006/relationships/image" Target="media/image97.jpeg"/><Relationship Id="rId107" Type="http://schemas.openxmlformats.org/officeDocument/2006/relationships/image" Target="media/image96.jpeg"/><Relationship Id="rId106" Type="http://schemas.openxmlformats.org/officeDocument/2006/relationships/image" Target="media/image95.jpeg"/><Relationship Id="rId105" Type="http://schemas.openxmlformats.org/officeDocument/2006/relationships/image" Target="media/image94.jpeg"/><Relationship Id="rId104" Type="http://schemas.openxmlformats.org/officeDocument/2006/relationships/image" Target="media/image93.jpeg"/><Relationship Id="rId103" Type="http://schemas.openxmlformats.org/officeDocument/2006/relationships/image" Target="media/image92.jpeg"/><Relationship Id="rId102" Type="http://schemas.openxmlformats.org/officeDocument/2006/relationships/image" Target="media/image91.jpeg"/><Relationship Id="rId101" Type="http://schemas.openxmlformats.org/officeDocument/2006/relationships/image" Target="media/image90.jpeg"/><Relationship Id="rId100" Type="http://schemas.openxmlformats.org/officeDocument/2006/relationships/image" Target="media/image89.jpeg"/><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97236A7-1F65-4159-B2FC-E4A20B60C806}">
  <ds:schemaRefs/>
</ds:datastoreItem>
</file>

<file path=docProps/app.xml><?xml version="1.0" encoding="utf-8"?>
<Properties xmlns="http://schemas.openxmlformats.org/officeDocument/2006/extended-properties" xmlns:vt="http://schemas.openxmlformats.org/officeDocument/2006/docPropsVTypes">
  <Template>Normal</Template>
  <Pages>127</Pages>
  <Words>55142</Words>
  <Characters>65209</Characters>
  <Lines>578</Lines>
  <Paragraphs>162</Paragraphs>
  <TotalTime>13</TotalTime>
  <ScaleCrop>false</ScaleCrop>
  <LinksUpToDate>false</LinksUpToDate>
  <CharactersWithSpaces>72087</CharactersWithSpaces>
  <Application>WPS Office_12.1.0.16417_F1E327BC-269C-435d-A152-05C5408002CA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2021-03-01T07:14:00Z</dcterms:created>
  <dc:creator>Administrator</dc:creator>
  <cp:lastModifiedBy>韦亮</cp:lastModifiedBy>
  <cp:lastPrinted>2024-03-28T01:00:00Z</cp:lastPrinted>
  <dcterms:modified xsi:type="dcterms:W3CDTF">2024-03-28T07:28:33Z</dcterms:modified>
  <dc:title>东阳市鑫盛工程咨询有限公司关于东阳市广福路以南、望江路以西地块-上王公寓</dc:title>
  <cp:revision>19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2052-12.1.0.16417</vt:lpwstr>
  </property>
  <property fmtid="{D5CDD505-2E9C-101B-9397-08002B2CF9AE}" pid="3" name="ICV">
    <vt:lpwstr>E9D56DA03E5B49A1871E977B3AD12171_13</vt:lpwstr>
  </property>
</Properties>
</file>