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1060" w:lineRule="exact"/>
        <w:jc w:val="center"/>
        <w:textAlignment w:val="auto"/>
        <w:rPr>
          <w:rFonts w:hint="eastAsia" w:ascii="宋体" w:hAnsi="宋体" w:cs="宋体"/>
          <w:b/>
          <w:color w:val="auto"/>
          <w:sz w:val="56"/>
          <w:szCs w:val="56"/>
          <w:highlight w:val="none"/>
        </w:rPr>
      </w:pPr>
      <w:r>
        <w:rPr>
          <w:rFonts w:hint="eastAsia" w:ascii="宋体" w:hAnsi="宋体" w:cs="宋体"/>
          <w:b/>
          <w:color w:val="auto"/>
          <w:sz w:val="56"/>
          <w:szCs w:val="56"/>
          <w:highlight w:val="none"/>
        </w:rPr>
        <w:t>东阳市鑫盛工程咨询有限公司关于</w:t>
      </w:r>
    </w:p>
    <w:p>
      <w:pPr>
        <w:keepNext w:val="0"/>
        <w:keepLines w:val="0"/>
        <w:pageBreakBefore w:val="0"/>
        <w:widowControl w:val="0"/>
        <w:kinsoku/>
        <w:wordWrap/>
        <w:overflowPunct/>
        <w:topLinePunct w:val="0"/>
        <w:autoSpaceDE/>
        <w:autoSpaceDN/>
        <w:bidi w:val="0"/>
        <w:adjustRightInd/>
        <w:snapToGrid/>
        <w:spacing w:line="1060" w:lineRule="exact"/>
        <w:jc w:val="center"/>
        <w:textAlignment w:val="auto"/>
        <w:rPr>
          <w:rFonts w:hint="eastAsia" w:ascii="宋体" w:hAnsi="宋体" w:cs="宋体"/>
          <w:b/>
          <w:color w:val="auto"/>
          <w:sz w:val="56"/>
          <w:szCs w:val="56"/>
          <w:highlight w:val="none"/>
          <w:lang w:eastAsia="zh-CN"/>
        </w:rPr>
      </w:pPr>
      <w:r>
        <w:rPr>
          <w:rFonts w:hint="eastAsia" w:ascii="宋体" w:hAnsi="宋体" w:cs="宋体"/>
          <w:b/>
          <w:color w:val="auto"/>
          <w:sz w:val="56"/>
          <w:szCs w:val="56"/>
          <w:highlight w:val="none"/>
          <w:lang w:eastAsia="zh-CN"/>
        </w:rPr>
        <w:t>东阳市部分乡镇“多规合一”实用性</w:t>
      </w:r>
    </w:p>
    <w:p>
      <w:pPr>
        <w:keepNext w:val="0"/>
        <w:keepLines w:val="0"/>
        <w:pageBreakBefore w:val="0"/>
        <w:widowControl w:val="0"/>
        <w:kinsoku/>
        <w:wordWrap/>
        <w:overflowPunct/>
        <w:topLinePunct w:val="0"/>
        <w:autoSpaceDE/>
        <w:autoSpaceDN/>
        <w:bidi w:val="0"/>
        <w:adjustRightInd/>
        <w:snapToGrid/>
        <w:spacing w:line="1060" w:lineRule="exact"/>
        <w:jc w:val="center"/>
        <w:textAlignment w:val="auto"/>
        <w:rPr>
          <w:rFonts w:hint="eastAsia" w:ascii="宋体" w:hAnsi="宋体" w:eastAsia="宋体" w:cs="宋体"/>
          <w:b/>
          <w:color w:val="auto"/>
          <w:sz w:val="72"/>
          <w:szCs w:val="72"/>
          <w:highlight w:val="none"/>
          <w:lang w:eastAsia="zh-CN"/>
        </w:rPr>
      </w:pPr>
      <w:r>
        <w:rPr>
          <w:rFonts w:hint="eastAsia" w:ascii="宋体" w:hAnsi="宋体" w:cs="宋体"/>
          <w:b/>
          <w:color w:val="auto"/>
          <w:sz w:val="56"/>
          <w:szCs w:val="56"/>
          <w:highlight w:val="none"/>
          <w:lang w:eastAsia="zh-CN"/>
        </w:rPr>
        <w:t>村庄规划编制项目</w:t>
      </w:r>
    </w:p>
    <w:p>
      <w:pPr>
        <w:spacing w:line="360" w:lineRule="auto"/>
        <w:rPr>
          <w:color w:val="auto"/>
          <w:highlight w:val="none"/>
        </w:rPr>
      </w:pPr>
      <w:r>
        <w:rPr>
          <w:rFonts w:hint="eastAsia" w:ascii="宋体" w:hAnsi="宋体" w:cs="宋体"/>
          <w:color w:val="auto"/>
          <w:highlight w:val="none"/>
        </w:rPr>
        <w:tab/>
      </w:r>
    </w:p>
    <w:p>
      <w:pPr>
        <w:rPr>
          <w:color w:val="auto"/>
          <w:highlight w:val="none"/>
        </w:rPr>
      </w:pPr>
    </w:p>
    <w:p>
      <w:pPr>
        <w:rPr>
          <w:color w:val="auto"/>
          <w:highlight w:val="none"/>
        </w:rPr>
      </w:pPr>
    </w:p>
    <w:p>
      <w:pPr>
        <w:pStyle w:val="5"/>
        <w:rPr>
          <w:color w:val="auto"/>
          <w:highlight w:val="none"/>
        </w:rPr>
      </w:pPr>
    </w:p>
    <w:p>
      <w:pPr>
        <w:rPr>
          <w:color w:val="auto"/>
          <w:highlight w:val="none"/>
        </w:rPr>
      </w:pPr>
    </w:p>
    <w:p>
      <w:pPr>
        <w:pStyle w:val="10"/>
        <w:rPr>
          <w:color w:val="auto"/>
          <w:highlight w:val="none"/>
        </w:rPr>
      </w:pPr>
    </w:p>
    <w:p>
      <w:pPr>
        <w:pStyle w:val="33"/>
        <w:ind w:firstLine="210"/>
        <w:rPr>
          <w:color w:val="auto"/>
          <w:highlight w:val="none"/>
          <w:lang w:val="en-US"/>
        </w:rPr>
      </w:pPr>
    </w:p>
    <w:p>
      <w:pPr>
        <w:rPr>
          <w:color w:val="auto"/>
          <w:highlight w:val="none"/>
        </w:rPr>
      </w:pPr>
    </w:p>
    <w:p>
      <w:pPr>
        <w:jc w:val="center"/>
        <w:rPr>
          <w:color w:val="auto"/>
          <w:highlight w:val="none"/>
        </w:rPr>
      </w:pPr>
      <w:r>
        <w:rPr>
          <w:rFonts w:hint="eastAsia" w:ascii="宋体" w:hAnsi="宋体" w:cs="宋体"/>
          <w:b/>
          <w:color w:val="auto"/>
          <w:kern w:val="0"/>
          <w:sz w:val="72"/>
          <w:szCs w:val="72"/>
          <w:highlight w:val="none"/>
          <w:lang w:val="en-US" w:eastAsia="zh-CN"/>
        </w:rPr>
        <w:t>公开招标文件</w:t>
      </w:r>
    </w:p>
    <w:p>
      <w:pPr>
        <w:pStyle w:val="19"/>
        <w:rPr>
          <w:color w:val="auto"/>
          <w:highlight w:val="none"/>
        </w:rPr>
      </w:pPr>
    </w:p>
    <w:p>
      <w:pPr>
        <w:rPr>
          <w:color w:val="auto"/>
          <w:highlight w:val="none"/>
        </w:rPr>
      </w:pPr>
    </w:p>
    <w:p>
      <w:pPr>
        <w:rPr>
          <w:color w:val="auto"/>
          <w:highlight w:val="none"/>
        </w:rPr>
      </w:pPr>
    </w:p>
    <w:p>
      <w:pPr>
        <w:pStyle w:val="19"/>
        <w:rPr>
          <w:color w:val="auto"/>
          <w:highlight w:val="none"/>
        </w:rPr>
      </w:pPr>
    </w:p>
    <w:p>
      <w:pPr>
        <w:pStyle w:val="5"/>
        <w:ind w:left="0" w:leftChars="0" w:firstLine="0" w:firstLineChars="0"/>
        <w:rPr>
          <w:color w:val="auto"/>
          <w:highlight w:val="none"/>
        </w:rPr>
      </w:pPr>
    </w:p>
    <w:p>
      <w:pPr>
        <w:pStyle w:val="6"/>
        <w:rPr>
          <w:color w:val="auto"/>
          <w:highlight w:val="none"/>
        </w:rPr>
      </w:pPr>
    </w:p>
    <w:p>
      <w:pPr>
        <w:keepNext w:val="0"/>
        <w:keepLines w:val="0"/>
        <w:widowControl w:val="0"/>
        <w:kinsoku/>
        <w:wordWrap/>
        <w:overflowPunct/>
        <w:topLinePunct w:val="0"/>
        <w:autoSpaceDE/>
        <w:autoSpaceDN/>
        <w:bidi w:val="0"/>
        <w:adjustRightInd/>
        <w:snapToGrid/>
        <w:spacing w:line="780" w:lineRule="exact"/>
        <w:textAlignment w:val="auto"/>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项目名称：</w:t>
      </w:r>
      <w:r>
        <w:rPr>
          <w:rFonts w:hint="eastAsia" w:ascii="宋体" w:hAnsi="宋体" w:cs="宋体"/>
          <w:b/>
          <w:color w:val="auto"/>
          <w:kern w:val="0"/>
          <w:sz w:val="32"/>
          <w:szCs w:val="32"/>
          <w:highlight w:val="none"/>
          <w:lang w:eastAsia="zh-CN"/>
        </w:rPr>
        <w:t>东阳市部分乡镇“多规合一”实用性村庄规划编制项目</w:t>
      </w:r>
    </w:p>
    <w:p>
      <w:pPr>
        <w:keepNext w:val="0"/>
        <w:keepLines w:val="0"/>
        <w:widowControl w:val="0"/>
        <w:kinsoku/>
        <w:wordWrap/>
        <w:overflowPunct/>
        <w:topLinePunct w:val="0"/>
        <w:autoSpaceDE/>
        <w:autoSpaceDN/>
        <w:bidi w:val="0"/>
        <w:adjustRightInd/>
        <w:snapToGrid/>
        <w:spacing w:line="780" w:lineRule="exact"/>
        <w:textAlignment w:val="auto"/>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项目编号：</w:t>
      </w:r>
      <w:r>
        <w:rPr>
          <w:rFonts w:hint="eastAsia" w:ascii="宋体" w:hAnsi="宋体" w:cs="宋体"/>
          <w:b/>
          <w:color w:val="auto"/>
          <w:kern w:val="0"/>
          <w:sz w:val="32"/>
          <w:szCs w:val="32"/>
          <w:highlight w:val="none"/>
          <w:lang w:eastAsia="zh-CN"/>
        </w:rPr>
        <w:t>XSZFCGDZ2023-110</w:t>
      </w:r>
      <w:bookmarkStart w:id="136" w:name="_GoBack"/>
      <w:bookmarkEnd w:id="136"/>
    </w:p>
    <w:p>
      <w:pPr>
        <w:keepNext w:val="0"/>
        <w:keepLines w:val="0"/>
        <w:widowControl w:val="0"/>
        <w:kinsoku/>
        <w:wordWrap/>
        <w:overflowPunct/>
        <w:topLinePunct w:val="0"/>
        <w:autoSpaceDE/>
        <w:autoSpaceDN/>
        <w:bidi w:val="0"/>
        <w:adjustRightInd/>
        <w:snapToGrid/>
        <w:spacing w:line="780" w:lineRule="exact"/>
        <w:textAlignment w:val="auto"/>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采购单位：</w:t>
      </w:r>
      <w:r>
        <w:rPr>
          <w:rFonts w:hint="eastAsia" w:ascii="宋体" w:hAnsi="宋体" w:cs="宋体"/>
          <w:b/>
          <w:color w:val="auto"/>
          <w:kern w:val="0"/>
          <w:sz w:val="32"/>
          <w:szCs w:val="32"/>
          <w:highlight w:val="none"/>
          <w:lang w:eastAsia="zh-CN"/>
        </w:rPr>
        <w:t xml:space="preserve">东阳市自然资源和规划局 </w:t>
      </w:r>
    </w:p>
    <w:p>
      <w:pPr>
        <w:keepNext w:val="0"/>
        <w:keepLines w:val="0"/>
        <w:widowControl w:val="0"/>
        <w:kinsoku/>
        <w:wordWrap/>
        <w:overflowPunct/>
        <w:topLinePunct w:val="0"/>
        <w:autoSpaceDE/>
        <w:autoSpaceDN/>
        <w:bidi w:val="0"/>
        <w:adjustRightInd/>
        <w:snapToGrid/>
        <w:spacing w:line="780" w:lineRule="exact"/>
        <w:textAlignment w:val="auto"/>
        <w:rPr>
          <w:color w:val="auto"/>
          <w:highlight w:val="none"/>
        </w:rPr>
      </w:pPr>
      <w:r>
        <w:rPr>
          <w:rFonts w:hint="eastAsia" w:ascii="宋体" w:hAnsi="宋体" w:cs="宋体"/>
          <w:b/>
          <w:color w:val="auto"/>
          <w:kern w:val="0"/>
          <w:sz w:val="32"/>
          <w:szCs w:val="32"/>
          <w:highlight w:val="none"/>
        </w:rPr>
        <w:t>招标机构：东阳市鑫盛工程咨询有限公司</w:t>
      </w:r>
    </w:p>
    <w:p>
      <w:pPr>
        <w:pStyle w:val="14"/>
        <w:keepNext w:val="0"/>
        <w:keepLines w:val="0"/>
        <w:widowControl w:val="0"/>
        <w:kinsoku/>
        <w:wordWrap/>
        <w:overflowPunct/>
        <w:topLinePunct w:val="0"/>
        <w:autoSpaceDE/>
        <w:autoSpaceDN/>
        <w:bidi w:val="0"/>
        <w:adjustRightInd/>
        <w:snapToGrid/>
        <w:spacing w:line="780" w:lineRule="exact"/>
        <w:jc w:val="center"/>
        <w:textAlignment w:val="auto"/>
        <w:rPr>
          <w:rFonts w:ascii="宋体" w:hAnsi="宋体" w:cs="宋体"/>
          <w:b/>
          <w:color w:val="auto"/>
          <w:sz w:val="28"/>
          <w:szCs w:val="28"/>
          <w:highlight w:val="none"/>
        </w:rPr>
      </w:pPr>
      <w:r>
        <w:rPr>
          <w:rFonts w:hint="eastAsia" w:ascii="宋体" w:hAnsi="宋体" w:cs="宋体"/>
          <w:b/>
          <w:color w:val="auto"/>
          <w:sz w:val="28"/>
          <w:szCs w:val="28"/>
          <w:highlight w:val="none"/>
        </w:rPr>
        <w:t>202</w:t>
      </w:r>
      <w:r>
        <w:rPr>
          <w:rFonts w:hint="eastAsia" w:ascii="宋体" w:hAnsi="宋体" w:cs="宋体"/>
          <w:b/>
          <w:color w:val="auto"/>
          <w:sz w:val="28"/>
          <w:szCs w:val="28"/>
          <w:highlight w:val="none"/>
          <w:lang w:val="en-US" w:eastAsia="zh-CN"/>
        </w:rPr>
        <w:t>3</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月</w:t>
      </w:r>
    </w:p>
    <w:p>
      <w:pPr>
        <w:pStyle w:val="14"/>
        <w:keepNext w:val="0"/>
        <w:keepLines w:val="0"/>
        <w:pageBreakBefore/>
        <w:widowControl w:val="0"/>
        <w:kinsoku/>
        <w:wordWrap/>
        <w:overflowPunct/>
        <w:topLinePunct w:val="0"/>
        <w:autoSpaceDE/>
        <w:autoSpaceDN/>
        <w:bidi w:val="0"/>
        <w:adjustRightInd/>
        <w:snapToGrid/>
        <w:spacing w:line="780" w:lineRule="exact"/>
        <w:jc w:val="center"/>
        <w:textAlignment w:val="auto"/>
        <w:rPr>
          <w:rFonts w:ascii="宋体" w:hAnsi="宋体" w:cs="宋体"/>
          <w:b/>
          <w:color w:val="auto"/>
          <w:szCs w:val="24"/>
          <w:highlight w:val="none"/>
        </w:rPr>
        <w:sectPr>
          <w:headerReference r:id="rId3" w:type="default"/>
          <w:pgSz w:w="11906" w:h="16838"/>
          <w:pgMar w:top="1060" w:right="1174" w:bottom="1060" w:left="1174" w:header="851" w:footer="992" w:gutter="0"/>
          <w:cols w:space="425" w:num="1"/>
          <w:docGrid w:type="lines" w:linePitch="312" w:charSpace="0"/>
        </w:sectPr>
      </w:pPr>
    </w:p>
    <w:p>
      <w:pPr>
        <w:pStyle w:val="14"/>
        <w:pageBreakBefore/>
        <w:spacing w:line="276" w:lineRule="auto"/>
        <w:jc w:val="center"/>
        <w:rPr>
          <w:rFonts w:ascii="宋体" w:hAnsi="宋体" w:cs="宋体"/>
          <w:b/>
          <w:color w:val="auto"/>
          <w:szCs w:val="24"/>
          <w:highlight w:val="none"/>
        </w:rPr>
      </w:pPr>
      <w:r>
        <w:rPr>
          <w:rFonts w:hint="eastAsia" w:ascii="宋体" w:hAnsi="宋体" w:cs="宋体"/>
          <w:b/>
          <w:color w:val="auto"/>
          <w:szCs w:val="24"/>
          <w:highlight w:val="none"/>
        </w:rPr>
        <w:t>目    录</w:t>
      </w:r>
    </w:p>
    <w:p>
      <w:pPr>
        <w:pStyle w:val="19"/>
        <w:tabs>
          <w:tab w:val="right" w:leader="dot" w:pos="9127"/>
        </w:tabs>
        <w:rPr>
          <w:color w:val="auto"/>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"1-2" \h \z \u </w:instrText>
      </w:r>
      <w:r>
        <w:rPr>
          <w:rFonts w:hint="eastAsia" w:ascii="宋体" w:hAnsi="宋体" w:cs="宋体"/>
          <w:color w:val="auto"/>
          <w:sz w:val="24"/>
          <w:highlight w:val="none"/>
        </w:rPr>
        <w:fldChar w:fldCharType="separate"/>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_Toc8275 </w:instrText>
      </w:r>
      <w:r>
        <w:rPr>
          <w:rFonts w:hint="eastAsia" w:ascii="宋体" w:hAnsi="宋体" w:cs="宋体"/>
          <w:color w:val="auto"/>
          <w:highlight w:val="none"/>
        </w:rPr>
        <w:fldChar w:fldCharType="separate"/>
      </w:r>
      <w:r>
        <w:rPr>
          <w:rFonts w:hint="eastAsia" w:ascii="宋体" w:hAnsi="宋体" w:cs="宋体"/>
          <w:color w:val="auto"/>
          <w:szCs w:val="28"/>
          <w:highlight w:val="none"/>
        </w:rPr>
        <w:t>第一章  公开招标采购公告</w:t>
      </w:r>
      <w:r>
        <w:rPr>
          <w:color w:val="auto"/>
          <w:highlight w:val="none"/>
        </w:rPr>
        <w:tab/>
      </w:r>
      <w:r>
        <w:rPr>
          <w:color w:val="auto"/>
          <w:highlight w:val="none"/>
        </w:rPr>
        <w:fldChar w:fldCharType="begin"/>
      </w:r>
      <w:r>
        <w:rPr>
          <w:color w:val="auto"/>
          <w:highlight w:val="none"/>
        </w:rPr>
        <w:instrText xml:space="preserve"> PAGEREF _Toc8275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宋体"/>
          <w:color w:val="auto"/>
          <w:highlight w:val="none"/>
        </w:rPr>
        <w:fldChar w:fldCharType="end"/>
      </w:r>
    </w:p>
    <w:p>
      <w:pPr>
        <w:pStyle w:val="19"/>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_Toc30303 </w:instrText>
      </w:r>
      <w:r>
        <w:rPr>
          <w:rFonts w:hint="eastAsia" w:ascii="宋体" w:hAnsi="宋体" w:cs="宋体"/>
          <w:color w:val="auto"/>
          <w:highlight w:val="none"/>
        </w:rPr>
        <w:fldChar w:fldCharType="separate"/>
      </w:r>
      <w:r>
        <w:rPr>
          <w:rFonts w:hint="eastAsia" w:ascii="宋体" w:hAnsi="宋体" w:cs="宋体"/>
          <w:color w:val="auto"/>
          <w:szCs w:val="24"/>
          <w:highlight w:val="none"/>
        </w:rPr>
        <w:t>第二章  招标需求</w:t>
      </w:r>
      <w:r>
        <w:rPr>
          <w:color w:val="auto"/>
          <w:highlight w:val="none"/>
        </w:rPr>
        <w:tab/>
      </w:r>
      <w:r>
        <w:rPr>
          <w:color w:val="auto"/>
          <w:highlight w:val="none"/>
        </w:rPr>
        <w:fldChar w:fldCharType="begin"/>
      </w:r>
      <w:r>
        <w:rPr>
          <w:color w:val="auto"/>
          <w:highlight w:val="none"/>
        </w:rPr>
        <w:instrText xml:space="preserve"> PAGEREF _Toc30303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s="宋体"/>
          <w:color w:val="auto"/>
          <w:highlight w:val="none"/>
        </w:rPr>
        <w:fldChar w:fldCharType="end"/>
      </w:r>
    </w:p>
    <w:p>
      <w:pPr>
        <w:pStyle w:val="19"/>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_Toc29559 </w:instrText>
      </w:r>
      <w:r>
        <w:rPr>
          <w:rFonts w:hint="eastAsia" w:ascii="宋体" w:hAnsi="宋体" w:cs="宋体"/>
          <w:color w:val="auto"/>
          <w:highlight w:val="none"/>
        </w:rPr>
        <w:fldChar w:fldCharType="separate"/>
      </w:r>
      <w:r>
        <w:rPr>
          <w:rFonts w:hint="eastAsia" w:ascii="宋体" w:hAnsi="宋体" w:cs="宋体"/>
          <w:color w:val="auto"/>
          <w:szCs w:val="2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_Toc29559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_Toc12904 </w:instrText>
      </w:r>
      <w:r>
        <w:rPr>
          <w:rFonts w:hint="eastAsia" w:ascii="宋体" w:hAnsi="宋体" w:cs="宋体"/>
          <w:color w:val="auto"/>
          <w:highlight w:val="none"/>
        </w:rPr>
        <w:fldChar w:fldCharType="separate"/>
      </w:r>
      <w:r>
        <w:rPr>
          <w:rFonts w:hint="eastAsia" w:ascii="宋体" w:hAnsi="宋体" w:cs="宋体"/>
          <w:color w:val="auto"/>
          <w:szCs w:val="24"/>
          <w:highlight w:val="none"/>
        </w:rPr>
        <w:t>前附表</w:t>
      </w:r>
      <w:r>
        <w:rPr>
          <w:color w:val="auto"/>
          <w:highlight w:val="none"/>
        </w:rPr>
        <w:tab/>
      </w:r>
      <w:r>
        <w:rPr>
          <w:color w:val="auto"/>
          <w:highlight w:val="none"/>
        </w:rPr>
        <w:fldChar w:fldCharType="begin"/>
      </w:r>
      <w:r>
        <w:rPr>
          <w:color w:val="auto"/>
          <w:highlight w:val="none"/>
        </w:rPr>
        <w:instrText xml:space="preserve"> PAGEREF _Toc12904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_Toc30484 </w:instrText>
      </w:r>
      <w:r>
        <w:rPr>
          <w:rFonts w:hint="eastAsia" w:ascii="宋体" w:hAnsi="宋体" w:cs="宋体"/>
          <w:color w:val="auto"/>
          <w:highlight w:val="none"/>
        </w:rPr>
        <w:fldChar w:fldCharType="separate"/>
      </w:r>
      <w:r>
        <w:rPr>
          <w:rFonts w:hint="default" w:ascii="宋体" w:hAnsi="宋体" w:cs="宋体"/>
          <w:color w:val="auto"/>
          <w:szCs w:val="24"/>
          <w:highlight w:val="none"/>
        </w:rPr>
        <w:t xml:space="preserve">一、 </w:t>
      </w:r>
      <w:r>
        <w:rPr>
          <w:rFonts w:hint="eastAsia" w:ascii="宋体" w:hAnsi="宋体" w:cs="宋体"/>
          <w:color w:val="auto"/>
          <w:szCs w:val="24"/>
          <w:highlight w:val="none"/>
        </w:rPr>
        <w:t>总则</w:t>
      </w:r>
      <w:r>
        <w:rPr>
          <w:color w:val="auto"/>
          <w:highlight w:val="none"/>
        </w:rPr>
        <w:tab/>
      </w:r>
      <w:r>
        <w:rPr>
          <w:color w:val="auto"/>
          <w:highlight w:val="none"/>
        </w:rPr>
        <w:fldChar w:fldCharType="begin"/>
      </w:r>
      <w:r>
        <w:rPr>
          <w:color w:val="auto"/>
          <w:highlight w:val="none"/>
        </w:rPr>
        <w:instrText xml:space="preserve"> PAGEREF _Toc30484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_Toc30726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二、招标文件</w:t>
      </w:r>
      <w:r>
        <w:rPr>
          <w:color w:val="auto"/>
          <w:highlight w:val="none"/>
        </w:rPr>
        <w:tab/>
      </w:r>
      <w:r>
        <w:rPr>
          <w:color w:val="auto"/>
          <w:highlight w:val="none"/>
        </w:rPr>
        <w:fldChar w:fldCharType="begin"/>
      </w:r>
      <w:r>
        <w:rPr>
          <w:color w:val="auto"/>
          <w:highlight w:val="none"/>
        </w:rPr>
        <w:instrText xml:space="preserve"> PAGEREF _Toc30726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_Toc19968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_Toc19968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_Toc12436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四、开标</w:t>
      </w:r>
      <w:r>
        <w:rPr>
          <w:color w:val="auto"/>
          <w:highlight w:val="none"/>
        </w:rPr>
        <w:tab/>
      </w:r>
      <w:r>
        <w:rPr>
          <w:color w:val="auto"/>
          <w:highlight w:val="none"/>
        </w:rPr>
        <w:fldChar w:fldCharType="begin"/>
      </w:r>
      <w:r>
        <w:rPr>
          <w:color w:val="auto"/>
          <w:highlight w:val="none"/>
        </w:rPr>
        <w:instrText xml:space="preserve"> PAGEREF _Toc12436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_Toc20095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五、评标</w:t>
      </w:r>
      <w:r>
        <w:rPr>
          <w:color w:val="auto"/>
          <w:highlight w:val="none"/>
        </w:rPr>
        <w:tab/>
      </w:r>
      <w:r>
        <w:rPr>
          <w:color w:val="auto"/>
          <w:highlight w:val="none"/>
        </w:rPr>
        <w:fldChar w:fldCharType="begin"/>
      </w:r>
      <w:r>
        <w:rPr>
          <w:color w:val="auto"/>
          <w:highlight w:val="none"/>
        </w:rPr>
        <w:instrText xml:space="preserve"> PAGEREF _Toc20095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_Toc2619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六、定标</w:t>
      </w:r>
      <w:r>
        <w:rPr>
          <w:color w:val="auto"/>
          <w:highlight w:val="none"/>
        </w:rPr>
        <w:tab/>
      </w:r>
      <w:r>
        <w:rPr>
          <w:color w:val="auto"/>
          <w:highlight w:val="none"/>
        </w:rPr>
        <w:fldChar w:fldCharType="begin"/>
      </w:r>
      <w:r>
        <w:rPr>
          <w:color w:val="auto"/>
          <w:highlight w:val="none"/>
        </w:rPr>
        <w:instrText xml:space="preserve"> PAGEREF _Toc2619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_Toc9028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七、合同授予</w:t>
      </w:r>
      <w:r>
        <w:rPr>
          <w:color w:val="auto"/>
          <w:highlight w:val="none"/>
        </w:rPr>
        <w:tab/>
      </w:r>
      <w:r>
        <w:rPr>
          <w:color w:val="auto"/>
          <w:highlight w:val="none"/>
        </w:rPr>
        <w:fldChar w:fldCharType="begin"/>
      </w:r>
      <w:r>
        <w:rPr>
          <w:color w:val="auto"/>
          <w:highlight w:val="none"/>
        </w:rPr>
        <w:instrText xml:space="preserve"> PAGEREF _Toc9028 \h </w:instrText>
      </w:r>
      <w:r>
        <w:rPr>
          <w:color w:val="auto"/>
          <w:highlight w:val="none"/>
        </w:rPr>
        <w:fldChar w:fldCharType="separate"/>
      </w:r>
      <w:r>
        <w:rPr>
          <w:color w:val="auto"/>
          <w:highlight w:val="none"/>
        </w:rPr>
        <w:t>42</w:t>
      </w:r>
      <w:r>
        <w:rPr>
          <w:color w:val="auto"/>
          <w:highlight w:val="none"/>
        </w:rPr>
        <w:fldChar w:fldCharType="end"/>
      </w:r>
      <w:r>
        <w:rPr>
          <w:rFonts w:hint="eastAsia" w:ascii="宋体" w:hAnsi="宋体" w:cs="宋体"/>
          <w:color w:val="auto"/>
          <w:highlight w:val="none"/>
        </w:rPr>
        <w:fldChar w:fldCharType="end"/>
      </w:r>
    </w:p>
    <w:p>
      <w:pPr>
        <w:pStyle w:val="19"/>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_Toc3423 </w:instrText>
      </w:r>
      <w:r>
        <w:rPr>
          <w:rFonts w:hint="eastAsia" w:ascii="宋体" w:hAnsi="宋体" w:cs="宋体"/>
          <w:color w:val="auto"/>
          <w:highlight w:val="none"/>
        </w:rPr>
        <w:fldChar w:fldCharType="separate"/>
      </w:r>
      <w:r>
        <w:rPr>
          <w:rFonts w:hint="eastAsia" w:ascii="宋体" w:hAnsi="宋体" w:cs="宋体"/>
          <w:color w:val="auto"/>
          <w:szCs w:val="2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_Toc3423 \h </w:instrText>
      </w:r>
      <w:r>
        <w:rPr>
          <w:color w:val="auto"/>
          <w:highlight w:val="none"/>
        </w:rPr>
        <w:fldChar w:fldCharType="separate"/>
      </w:r>
      <w:r>
        <w:rPr>
          <w:color w:val="auto"/>
          <w:highlight w:val="none"/>
        </w:rPr>
        <w:t>43</w:t>
      </w:r>
      <w:r>
        <w:rPr>
          <w:color w:val="auto"/>
          <w:highlight w:val="none"/>
        </w:rPr>
        <w:fldChar w:fldCharType="end"/>
      </w:r>
      <w:r>
        <w:rPr>
          <w:rFonts w:hint="eastAsia" w:ascii="宋体" w:hAnsi="宋体" w:cs="宋体"/>
          <w:color w:val="auto"/>
          <w:highlight w:val="none"/>
        </w:rPr>
        <w:fldChar w:fldCharType="end"/>
      </w:r>
    </w:p>
    <w:p>
      <w:pPr>
        <w:pStyle w:val="19"/>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_Toc8603 </w:instrText>
      </w:r>
      <w:r>
        <w:rPr>
          <w:rFonts w:hint="eastAsia" w:ascii="宋体" w:hAnsi="宋体" w:cs="宋体"/>
          <w:color w:val="auto"/>
          <w:highlight w:val="none"/>
        </w:rPr>
        <w:fldChar w:fldCharType="separate"/>
      </w:r>
      <w:r>
        <w:rPr>
          <w:rFonts w:hint="eastAsia" w:ascii="宋体" w:hAnsi="宋体" w:cs="宋体"/>
          <w:bCs w:val="0"/>
          <w:color w:val="auto"/>
          <w:szCs w:val="32"/>
          <w:highlight w:val="none"/>
        </w:rPr>
        <w:t>第五章 合同主要条款</w:t>
      </w:r>
      <w:r>
        <w:rPr>
          <w:color w:val="auto"/>
          <w:highlight w:val="none"/>
        </w:rPr>
        <w:tab/>
      </w:r>
      <w:r>
        <w:rPr>
          <w:color w:val="auto"/>
          <w:highlight w:val="none"/>
        </w:rPr>
        <w:fldChar w:fldCharType="begin"/>
      </w:r>
      <w:r>
        <w:rPr>
          <w:color w:val="auto"/>
          <w:highlight w:val="none"/>
        </w:rPr>
        <w:instrText xml:space="preserve"> PAGEREF _Toc8603 \h </w:instrText>
      </w:r>
      <w:r>
        <w:rPr>
          <w:color w:val="auto"/>
          <w:highlight w:val="none"/>
        </w:rPr>
        <w:fldChar w:fldCharType="separate"/>
      </w:r>
      <w:r>
        <w:rPr>
          <w:color w:val="auto"/>
          <w:highlight w:val="none"/>
        </w:rPr>
        <w:t>47</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_Toc22196 </w:instrText>
      </w:r>
      <w:r>
        <w:rPr>
          <w:rFonts w:hint="eastAsia" w:ascii="宋体" w:hAnsi="宋体" w:cs="宋体"/>
          <w:color w:val="auto"/>
          <w:highlight w:val="none"/>
        </w:rPr>
        <w:fldChar w:fldCharType="separate"/>
      </w:r>
      <w:r>
        <w:rPr>
          <w:rFonts w:hint="eastAsia" w:ascii="宋体" w:hAnsi="宋体"/>
          <w:color w:val="auto"/>
          <w:szCs w:val="32"/>
          <w:highlight w:val="none"/>
        </w:rPr>
        <w:t>东阳市政府采购合同（样本）</w:t>
      </w:r>
      <w:r>
        <w:rPr>
          <w:color w:val="auto"/>
          <w:highlight w:val="none"/>
        </w:rPr>
        <w:tab/>
      </w:r>
      <w:r>
        <w:rPr>
          <w:color w:val="auto"/>
          <w:highlight w:val="none"/>
        </w:rPr>
        <w:fldChar w:fldCharType="begin"/>
      </w:r>
      <w:r>
        <w:rPr>
          <w:color w:val="auto"/>
          <w:highlight w:val="none"/>
        </w:rPr>
        <w:instrText xml:space="preserve"> PAGEREF _Toc22196 \h </w:instrText>
      </w:r>
      <w:r>
        <w:rPr>
          <w:color w:val="auto"/>
          <w:highlight w:val="none"/>
        </w:rPr>
        <w:fldChar w:fldCharType="separate"/>
      </w:r>
      <w:r>
        <w:rPr>
          <w:color w:val="auto"/>
          <w:highlight w:val="none"/>
        </w:rPr>
        <w:t>47</w:t>
      </w:r>
      <w:r>
        <w:rPr>
          <w:color w:val="auto"/>
          <w:highlight w:val="none"/>
        </w:rPr>
        <w:fldChar w:fldCharType="end"/>
      </w:r>
      <w:r>
        <w:rPr>
          <w:rFonts w:hint="eastAsia" w:ascii="宋体" w:hAnsi="宋体" w:cs="宋体"/>
          <w:color w:val="auto"/>
          <w:highlight w:val="none"/>
        </w:rPr>
        <w:fldChar w:fldCharType="end"/>
      </w:r>
    </w:p>
    <w:p>
      <w:pPr>
        <w:pStyle w:val="19"/>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_Toc26032 </w:instrText>
      </w:r>
      <w:r>
        <w:rPr>
          <w:rFonts w:hint="eastAsia" w:ascii="宋体" w:hAnsi="宋体" w:cs="宋体"/>
          <w:color w:val="auto"/>
          <w:highlight w:val="none"/>
        </w:rPr>
        <w:fldChar w:fldCharType="separate"/>
      </w:r>
      <w:r>
        <w:rPr>
          <w:rFonts w:hint="eastAsia" w:ascii="宋体" w:hAnsi="宋体" w:cs="宋体"/>
          <w:color w:val="auto"/>
          <w:szCs w:val="24"/>
          <w:highlight w:val="none"/>
        </w:rPr>
        <w:t>第六章　投标文件组成内容及格式</w:t>
      </w:r>
      <w:r>
        <w:rPr>
          <w:color w:val="auto"/>
          <w:highlight w:val="none"/>
        </w:rPr>
        <w:tab/>
      </w:r>
      <w:r>
        <w:rPr>
          <w:color w:val="auto"/>
          <w:highlight w:val="none"/>
        </w:rPr>
        <w:fldChar w:fldCharType="begin"/>
      </w:r>
      <w:r>
        <w:rPr>
          <w:color w:val="auto"/>
          <w:highlight w:val="none"/>
        </w:rPr>
        <w:instrText xml:space="preserve"> PAGEREF _Toc26032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_Toc25299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附件一：投标声明书</w:t>
      </w:r>
      <w:r>
        <w:rPr>
          <w:color w:val="auto"/>
          <w:highlight w:val="none"/>
        </w:rPr>
        <w:tab/>
      </w:r>
      <w:r>
        <w:rPr>
          <w:color w:val="auto"/>
          <w:highlight w:val="none"/>
        </w:rPr>
        <w:fldChar w:fldCharType="begin"/>
      </w:r>
      <w:r>
        <w:rPr>
          <w:color w:val="auto"/>
          <w:highlight w:val="none"/>
        </w:rPr>
        <w:instrText xml:space="preserve"> PAGEREF _Toc25299 \h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_Toc3669 </w:instrText>
      </w:r>
      <w:r>
        <w:rPr>
          <w:rFonts w:hint="eastAsia" w:ascii="宋体" w:hAnsi="宋体" w:cs="宋体"/>
          <w:color w:val="auto"/>
          <w:highlight w:val="none"/>
        </w:rPr>
        <w:fldChar w:fldCharType="separate"/>
      </w:r>
      <w:r>
        <w:rPr>
          <w:rFonts w:hint="eastAsia" w:ascii="宋体" w:hAnsi="宋体" w:eastAsia="宋体" w:cs="宋体"/>
          <w:bCs w:val="0"/>
          <w:color w:val="auto"/>
          <w:szCs w:val="24"/>
          <w:highlight w:val="none"/>
        </w:rPr>
        <w:t>附件二：符合参加政府采购活动应当具备的一般条件的承诺函</w:t>
      </w:r>
      <w:r>
        <w:rPr>
          <w:color w:val="auto"/>
          <w:highlight w:val="none"/>
        </w:rPr>
        <w:tab/>
      </w:r>
      <w:r>
        <w:rPr>
          <w:color w:val="auto"/>
          <w:highlight w:val="none"/>
        </w:rPr>
        <w:fldChar w:fldCharType="begin"/>
      </w:r>
      <w:r>
        <w:rPr>
          <w:color w:val="auto"/>
          <w:highlight w:val="none"/>
        </w:rPr>
        <w:instrText xml:space="preserve"> PAGEREF _Toc3669 \h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_Toc32636 </w:instrText>
      </w:r>
      <w:r>
        <w:rPr>
          <w:rFonts w:hint="eastAsia" w:ascii="宋体" w:hAnsi="宋体" w:cs="宋体"/>
          <w:color w:val="auto"/>
          <w:highlight w:val="none"/>
        </w:rPr>
        <w:fldChar w:fldCharType="separate"/>
      </w:r>
      <w:r>
        <w:rPr>
          <w:rFonts w:hint="eastAsia" w:ascii="宋体" w:hAnsi="宋体" w:eastAsia="宋体" w:cs="宋体"/>
          <w:bCs w:val="0"/>
          <w:color w:val="auto"/>
          <w:szCs w:val="24"/>
          <w:highlight w:val="none"/>
        </w:rPr>
        <w:t>附件三：政府采购活动现场确认声明书</w:t>
      </w:r>
      <w:r>
        <w:rPr>
          <w:color w:val="auto"/>
          <w:highlight w:val="none"/>
        </w:rPr>
        <w:tab/>
      </w:r>
      <w:r>
        <w:rPr>
          <w:color w:val="auto"/>
          <w:highlight w:val="none"/>
        </w:rPr>
        <w:fldChar w:fldCharType="begin"/>
      </w:r>
      <w:r>
        <w:rPr>
          <w:color w:val="auto"/>
          <w:highlight w:val="none"/>
        </w:rPr>
        <w:instrText xml:space="preserve"> PAGEREF _Toc32636 \h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_Toc31669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附件四：法定代表人授权委托书</w:t>
      </w:r>
      <w:r>
        <w:rPr>
          <w:color w:val="auto"/>
          <w:highlight w:val="none"/>
        </w:rPr>
        <w:tab/>
      </w:r>
      <w:r>
        <w:rPr>
          <w:color w:val="auto"/>
          <w:highlight w:val="none"/>
        </w:rPr>
        <w:fldChar w:fldCharType="begin"/>
      </w:r>
      <w:r>
        <w:rPr>
          <w:color w:val="auto"/>
          <w:highlight w:val="none"/>
        </w:rPr>
        <w:instrText xml:space="preserve"> PAGEREF _Toc31669 \h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_Toc22508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附件五：联合体协议</w:t>
      </w:r>
      <w:r>
        <w:rPr>
          <w:color w:val="auto"/>
          <w:highlight w:val="none"/>
        </w:rPr>
        <w:tab/>
      </w:r>
      <w:r>
        <w:rPr>
          <w:color w:val="auto"/>
          <w:highlight w:val="none"/>
        </w:rPr>
        <w:fldChar w:fldCharType="begin"/>
      </w:r>
      <w:r>
        <w:rPr>
          <w:color w:val="auto"/>
          <w:highlight w:val="none"/>
        </w:rPr>
        <w:instrText xml:space="preserve"> PAGEREF _Toc22508 \h </w:instrText>
      </w:r>
      <w:r>
        <w:rPr>
          <w:color w:val="auto"/>
          <w:highlight w:val="none"/>
        </w:rPr>
        <w:fldChar w:fldCharType="separate"/>
      </w:r>
      <w:r>
        <w:rPr>
          <w:color w:val="auto"/>
          <w:highlight w:val="none"/>
        </w:rPr>
        <w:t>58</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_Toc20690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附件六：分包意向协议</w:t>
      </w:r>
      <w:r>
        <w:rPr>
          <w:color w:val="auto"/>
          <w:highlight w:val="none"/>
        </w:rPr>
        <w:tab/>
      </w:r>
      <w:r>
        <w:rPr>
          <w:color w:val="auto"/>
          <w:highlight w:val="none"/>
        </w:rPr>
        <w:fldChar w:fldCharType="begin"/>
      </w:r>
      <w:r>
        <w:rPr>
          <w:color w:val="auto"/>
          <w:highlight w:val="none"/>
        </w:rPr>
        <w:instrText xml:space="preserve"> PAGEREF _Toc20690 \h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_Toc31987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附件七：投标人资信商务、技术自评得分表</w:t>
      </w:r>
      <w:r>
        <w:rPr>
          <w:color w:val="auto"/>
          <w:highlight w:val="none"/>
        </w:rPr>
        <w:tab/>
      </w:r>
      <w:r>
        <w:rPr>
          <w:color w:val="auto"/>
          <w:highlight w:val="none"/>
        </w:rPr>
        <w:fldChar w:fldCharType="begin"/>
      </w:r>
      <w:r>
        <w:rPr>
          <w:color w:val="auto"/>
          <w:highlight w:val="none"/>
        </w:rPr>
        <w:instrText xml:space="preserve"> PAGEREF _Toc31987 \h </w:instrText>
      </w:r>
      <w:r>
        <w:rPr>
          <w:color w:val="auto"/>
          <w:highlight w:val="none"/>
        </w:rPr>
        <w:fldChar w:fldCharType="separate"/>
      </w:r>
      <w:r>
        <w:rPr>
          <w:color w:val="auto"/>
          <w:highlight w:val="none"/>
        </w:rPr>
        <w:t>60</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_Toc13761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附件八：商务响应表</w:t>
      </w:r>
      <w:r>
        <w:rPr>
          <w:color w:val="auto"/>
          <w:highlight w:val="none"/>
        </w:rPr>
        <w:tab/>
      </w:r>
      <w:r>
        <w:rPr>
          <w:color w:val="auto"/>
          <w:highlight w:val="none"/>
        </w:rPr>
        <w:fldChar w:fldCharType="begin"/>
      </w:r>
      <w:r>
        <w:rPr>
          <w:color w:val="auto"/>
          <w:highlight w:val="none"/>
        </w:rPr>
        <w:instrText xml:space="preserve"> PAGEREF _Toc13761 \h </w:instrText>
      </w:r>
      <w:r>
        <w:rPr>
          <w:color w:val="auto"/>
          <w:highlight w:val="none"/>
        </w:rPr>
        <w:fldChar w:fldCharType="separate"/>
      </w:r>
      <w:r>
        <w:rPr>
          <w:color w:val="auto"/>
          <w:highlight w:val="none"/>
        </w:rPr>
        <w:t>61</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_Toc3761 </w:instrText>
      </w:r>
      <w:r>
        <w:rPr>
          <w:rFonts w:hint="eastAsia" w:ascii="宋体" w:hAnsi="宋体" w:cs="宋体"/>
          <w:color w:val="auto"/>
          <w:highlight w:val="none"/>
        </w:rPr>
        <w:fldChar w:fldCharType="separate"/>
      </w:r>
      <w:r>
        <w:rPr>
          <w:rFonts w:hint="eastAsia" w:ascii="宋体" w:hAnsi="宋体" w:eastAsia="宋体" w:cs="宋体"/>
          <w:bCs w:val="0"/>
          <w:color w:val="auto"/>
          <w:szCs w:val="24"/>
          <w:highlight w:val="none"/>
        </w:rPr>
        <w:t>附件九：技术响应表</w:t>
      </w:r>
      <w:r>
        <w:rPr>
          <w:color w:val="auto"/>
          <w:highlight w:val="none"/>
        </w:rPr>
        <w:tab/>
      </w:r>
      <w:r>
        <w:rPr>
          <w:color w:val="auto"/>
          <w:highlight w:val="none"/>
        </w:rPr>
        <w:fldChar w:fldCharType="begin"/>
      </w:r>
      <w:r>
        <w:rPr>
          <w:color w:val="auto"/>
          <w:highlight w:val="none"/>
        </w:rPr>
        <w:instrText xml:space="preserve"> PAGEREF _Toc3761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_Toc2308 </w:instrText>
      </w:r>
      <w:r>
        <w:rPr>
          <w:rFonts w:hint="eastAsia" w:ascii="宋体" w:hAnsi="宋体" w:cs="宋体"/>
          <w:color w:val="auto"/>
          <w:highlight w:val="none"/>
        </w:rPr>
        <w:fldChar w:fldCharType="separate"/>
      </w:r>
      <w:r>
        <w:rPr>
          <w:rFonts w:hint="eastAsia" w:ascii="宋体" w:hAnsi="宋体" w:eastAsia="宋体" w:cs="宋体"/>
          <w:bCs w:val="0"/>
          <w:color w:val="auto"/>
          <w:szCs w:val="24"/>
          <w:highlight w:val="none"/>
        </w:rPr>
        <w:t>附件十：服务项目组成员及简介</w:t>
      </w:r>
      <w:r>
        <w:rPr>
          <w:color w:val="auto"/>
          <w:highlight w:val="none"/>
        </w:rPr>
        <w:tab/>
      </w:r>
      <w:r>
        <w:rPr>
          <w:color w:val="auto"/>
          <w:highlight w:val="none"/>
        </w:rPr>
        <w:fldChar w:fldCharType="begin"/>
      </w:r>
      <w:r>
        <w:rPr>
          <w:color w:val="auto"/>
          <w:highlight w:val="none"/>
        </w:rPr>
        <w:instrText xml:space="preserve"> PAGEREF _Toc2308 \h </w:instrText>
      </w:r>
      <w:r>
        <w:rPr>
          <w:color w:val="auto"/>
          <w:highlight w:val="none"/>
        </w:rPr>
        <w:fldChar w:fldCharType="separate"/>
      </w:r>
      <w:r>
        <w:rPr>
          <w:color w:val="auto"/>
          <w:highlight w:val="none"/>
        </w:rPr>
        <w:t>63</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_Toc7447 </w:instrText>
      </w:r>
      <w:r>
        <w:rPr>
          <w:rFonts w:hint="eastAsia" w:ascii="宋体" w:hAnsi="宋体" w:cs="宋体"/>
          <w:color w:val="auto"/>
          <w:highlight w:val="none"/>
        </w:rPr>
        <w:fldChar w:fldCharType="separate"/>
      </w:r>
      <w:r>
        <w:rPr>
          <w:rFonts w:hint="eastAsia" w:ascii="宋体" w:hAnsi="宋体" w:eastAsia="宋体" w:cs="宋体"/>
          <w:color w:val="auto"/>
          <w:kern w:val="0"/>
          <w:szCs w:val="24"/>
          <w:highlight w:val="none"/>
        </w:rPr>
        <w:t>附件十一：同类项目业绩一览表</w:t>
      </w:r>
      <w:r>
        <w:rPr>
          <w:color w:val="auto"/>
          <w:highlight w:val="none"/>
        </w:rPr>
        <w:tab/>
      </w:r>
      <w:r>
        <w:rPr>
          <w:color w:val="auto"/>
          <w:highlight w:val="none"/>
        </w:rPr>
        <w:fldChar w:fldCharType="begin"/>
      </w:r>
      <w:r>
        <w:rPr>
          <w:color w:val="auto"/>
          <w:highlight w:val="none"/>
        </w:rPr>
        <w:instrText xml:space="preserve"> PAGEREF _Toc7447 \h </w:instrText>
      </w:r>
      <w:r>
        <w:rPr>
          <w:color w:val="auto"/>
          <w:highlight w:val="none"/>
        </w:rPr>
        <w:fldChar w:fldCharType="separate"/>
      </w:r>
      <w:r>
        <w:rPr>
          <w:color w:val="auto"/>
          <w:highlight w:val="none"/>
        </w:rPr>
        <w:t>64</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_Toc24687 </w:instrText>
      </w:r>
      <w:r>
        <w:rPr>
          <w:rFonts w:hint="eastAsia" w:ascii="宋体" w:hAnsi="宋体" w:cs="宋体"/>
          <w:color w:val="auto"/>
          <w:highlight w:val="none"/>
        </w:rPr>
        <w:fldChar w:fldCharType="separate"/>
      </w:r>
      <w:r>
        <w:rPr>
          <w:rFonts w:hint="eastAsia" w:ascii="宋体" w:hAnsi="宋体" w:cs="宋体"/>
          <w:bCs/>
          <w:color w:val="auto"/>
          <w:highlight w:val="none"/>
        </w:rPr>
        <w:t>附件十二：服务费承诺书</w:t>
      </w:r>
      <w:r>
        <w:rPr>
          <w:color w:val="auto"/>
          <w:highlight w:val="none"/>
        </w:rPr>
        <w:tab/>
      </w:r>
      <w:r>
        <w:rPr>
          <w:color w:val="auto"/>
          <w:highlight w:val="none"/>
        </w:rPr>
        <w:fldChar w:fldCharType="begin"/>
      </w:r>
      <w:r>
        <w:rPr>
          <w:color w:val="auto"/>
          <w:highlight w:val="none"/>
        </w:rPr>
        <w:instrText xml:space="preserve"> PAGEREF _Toc24687 \h </w:instrText>
      </w:r>
      <w:r>
        <w:rPr>
          <w:color w:val="auto"/>
          <w:highlight w:val="none"/>
        </w:rPr>
        <w:fldChar w:fldCharType="separate"/>
      </w:r>
      <w:r>
        <w:rPr>
          <w:color w:val="auto"/>
          <w:highlight w:val="none"/>
        </w:rPr>
        <w:t>65</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_Toc15780 </w:instrText>
      </w:r>
      <w:r>
        <w:rPr>
          <w:rFonts w:hint="eastAsia" w:ascii="宋体" w:hAnsi="宋体" w:cs="宋体"/>
          <w:color w:val="auto"/>
          <w:highlight w:val="none"/>
        </w:rPr>
        <w:fldChar w:fldCharType="separate"/>
      </w:r>
      <w:r>
        <w:rPr>
          <w:rFonts w:hint="eastAsia" w:ascii="宋体" w:hAnsi="宋体" w:cs="宋体"/>
          <w:bCs/>
          <w:color w:val="auto"/>
          <w:highlight w:val="none"/>
        </w:rPr>
        <w:t>附件十三: 投标函</w:t>
      </w:r>
      <w:r>
        <w:rPr>
          <w:color w:val="auto"/>
          <w:highlight w:val="none"/>
        </w:rPr>
        <w:tab/>
      </w:r>
      <w:r>
        <w:rPr>
          <w:color w:val="auto"/>
          <w:highlight w:val="none"/>
        </w:rPr>
        <w:fldChar w:fldCharType="begin"/>
      </w:r>
      <w:r>
        <w:rPr>
          <w:color w:val="auto"/>
          <w:highlight w:val="none"/>
        </w:rPr>
        <w:instrText xml:space="preserve"> PAGEREF _Toc15780 \h </w:instrText>
      </w:r>
      <w:r>
        <w:rPr>
          <w:color w:val="auto"/>
          <w:highlight w:val="none"/>
        </w:rPr>
        <w:fldChar w:fldCharType="separate"/>
      </w:r>
      <w:r>
        <w:rPr>
          <w:color w:val="auto"/>
          <w:highlight w:val="none"/>
        </w:rPr>
        <w:t>66</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_Toc32379 </w:instrText>
      </w:r>
      <w:r>
        <w:rPr>
          <w:rFonts w:hint="eastAsia" w:ascii="宋体" w:hAnsi="宋体" w:cs="宋体"/>
          <w:color w:val="auto"/>
          <w:highlight w:val="none"/>
        </w:rPr>
        <w:fldChar w:fldCharType="separate"/>
      </w:r>
      <w:r>
        <w:rPr>
          <w:rFonts w:hint="eastAsia" w:ascii="宋体" w:hAnsi="宋体" w:cs="宋体"/>
          <w:bCs/>
          <w:color w:val="auto"/>
          <w:highlight w:val="none"/>
        </w:rPr>
        <w:t>附件十四：开标一览表</w:t>
      </w:r>
      <w:r>
        <w:rPr>
          <w:color w:val="auto"/>
          <w:highlight w:val="none"/>
        </w:rPr>
        <w:tab/>
      </w:r>
      <w:r>
        <w:rPr>
          <w:color w:val="auto"/>
          <w:highlight w:val="none"/>
        </w:rPr>
        <w:fldChar w:fldCharType="begin"/>
      </w:r>
      <w:r>
        <w:rPr>
          <w:color w:val="auto"/>
          <w:highlight w:val="none"/>
        </w:rPr>
        <w:instrText xml:space="preserve"> PAGEREF _Toc32379 \h </w:instrText>
      </w:r>
      <w:r>
        <w:rPr>
          <w:color w:val="auto"/>
          <w:highlight w:val="none"/>
        </w:rPr>
        <w:fldChar w:fldCharType="separate"/>
      </w:r>
      <w:r>
        <w:rPr>
          <w:color w:val="auto"/>
          <w:highlight w:val="none"/>
        </w:rPr>
        <w:t>67</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_Toc2049 </w:instrText>
      </w:r>
      <w:r>
        <w:rPr>
          <w:rFonts w:hint="eastAsia" w:ascii="宋体" w:hAnsi="宋体" w:cs="宋体"/>
          <w:color w:val="auto"/>
          <w:highlight w:val="none"/>
        </w:rPr>
        <w:fldChar w:fldCharType="separate"/>
      </w:r>
      <w:r>
        <w:rPr>
          <w:rFonts w:hint="eastAsia" w:ascii="宋体" w:hAnsi="宋体" w:cs="宋体"/>
          <w:bCs/>
          <w:color w:val="auto"/>
          <w:highlight w:val="none"/>
        </w:rPr>
        <w:t>附件十五：中小企业声明函（工程、服务）</w:t>
      </w:r>
      <w:r>
        <w:rPr>
          <w:color w:val="auto"/>
          <w:highlight w:val="none"/>
        </w:rPr>
        <w:tab/>
      </w:r>
      <w:r>
        <w:rPr>
          <w:color w:val="auto"/>
          <w:highlight w:val="none"/>
        </w:rPr>
        <w:fldChar w:fldCharType="begin"/>
      </w:r>
      <w:r>
        <w:rPr>
          <w:color w:val="auto"/>
          <w:highlight w:val="none"/>
        </w:rPr>
        <w:instrText xml:space="preserve"> PAGEREF _Toc2049 \h </w:instrText>
      </w:r>
      <w:r>
        <w:rPr>
          <w:color w:val="auto"/>
          <w:highlight w:val="none"/>
        </w:rPr>
        <w:fldChar w:fldCharType="separate"/>
      </w:r>
      <w:r>
        <w:rPr>
          <w:color w:val="auto"/>
          <w:highlight w:val="none"/>
        </w:rPr>
        <w:t>68</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_Toc18171 </w:instrText>
      </w:r>
      <w:r>
        <w:rPr>
          <w:rFonts w:hint="eastAsia" w:ascii="宋体" w:hAnsi="宋体" w:cs="宋体"/>
          <w:color w:val="auto"/>
          <w:highlight w:val="none"/>
        </w:rPr>
        <w:fldChar w:fldCharType="separate"/>
      </w:r>
      <w:r>
        <w:rPr>
          <w:rFonts w:hint="eastAsia" w:ascii="宋体" w:hAnsi="宋体" w:cs="宋体"/>
          <w:bCs/>
          <w:color w:val="auto"/>
          <w:highlight w:val="none"/>
        </w:rPr>
        <w:t>附件十六：东阳市采购项目验收方案</w:t>
      </w:r>
      <w:r>
        <w:rPr>
          <w:color w:val="auto"/>
          <w:highlight w:val="none"/>
        </w:rPr>
        <w:tab/>
      </w:r>
      <w:r>
        <w:rPr>
          <w:color w:val="auto"/>
          <w:highlight w:val="none"/>
        </w:rPr>
        <w:fldChar w:fldCharType="begin"/>
      </w:r>
      <w:r>
        <w:rPr>
          <w:color w:val="auto"/>
          <w:highlight w:val="none"/>
        </w:rPr>
        <w:instrText xml:space="preserve"> PAGEREF _Toc18171 \h </w:instrText>
      </w:r>
      <w:r>
        <w:rPr>
          <w:color w:val="auto"/>
          <w:highlight w:val="none"/>
        </w:rPr>
        <w:fldChar w:fldCharType="separate"/>
      </w:r>
      <w:r>
        <w:rPr>
          <w:color w:val="auto"/>
          <w:highlight w:val="none"/>
        </w:rPr>
        <w:t>69</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_Toc30812 </w:instrText>
      </w:r>
      <w:r>
        <w:rPr>
          <w:rFonts w:hint="eastAsia" w:ascii="宋体" w:hAnsi="宋体" w:cs="宋体"/>
          <w:color w:val="auto"/>
          <w:highlight w:val="none"/>
        </w:rPr>
        <w:fldChar w:fldCharType="separate"/>
      </w:r>
      <w:r>
        <w:rPr>
          <w:rFonts w:hint="eastAsia" w:ascii="宋体" w:hAnsi="宋体" w:cs="宋体"/>
          <w:bCs/>
          <w:color w:val="auto"/>
          <w:highlight w:val="none"/>
        </w:rPr>
        <w:t>附件十七：东阳市政府采购代理机构社会评价表</w:t>
      </w:r>
      <w:r>
        <w:rPr>
          <w:color w:val="auto"/>
          <w:highlight w:val="none"/>
        </w:rPr>
        <w:tab/>
      </w:r>
      <w:r>
        <w:rPr>
          <w:color w:val="auto"/>
          <w:highlight w:val="none"/>
        </w:rPr>
        <w:fldChar w:fldCharType="begin"/>
      </w:r>
      <w:r>
        <w:rPr>
          <w:color w:val="auto"/>
          <w:highlight w:val="none"/>
        </w:rPr>
        <w:instrText xml:space="preserve"> PAGEREF _Toc30812 \h </w:instrText>
      </w:r>
      <w:r>
        <w:rPr>
          <w:color w:val="auto"/>
          <w:highlight w:val="none"/>
        </w:rPr>
        <w:fldChar w:fldCharType="separate"/>
      </w:r>
      <w:r>
        <w:rPr>
          <w:color w:val="auto"/>
          <w:highlight w:val="none"/>
        </w:rPr>
        <w:t>70</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_Toc22142 </w:instrText>
      </w:r>
      <w:r>
        <w:rPr>
          <w:rFonts w:hint="eastAsia" w:ascii="宋体" w:hAnsi="宋体" w:cs="宋体"/>
          <w:color w:val="auto"/>
          <w:highlight w:val="none"/>
        </w:rPr>
        <w:fldChar w:fldCharType="separate"/>
      </w:r>
      <w:r>
        <w:rPr>
          <w:rFonts w:hint="eastAsia" w:ascii="宋体" w:hAnsi="宋体" w:eastAsia="宋体" w:cs="宋体"/>
          <w:color w:val="auto"/>
          <w:szCs w:val="24"/>
          <w:highlight w:val="none"/>
        </w:rPr>
        <w:t>附件十八：办理保函需提供资料</w:t>
      </w:r>
      <w:r>
        <w:rPr>
          <w:color w:val="auto"/>
          <w:highlight w:val="none"/>
        </w:rPr>
        <w:tab/>
      </w:r>
      <w:r>
        <w:rPr>
          <w:color w:val="auto"/>
          <w:highlight w:val="none"/>
        </w:rPr>
        <w:fldChar w:fldCharType="begin"/>
      </w:r>
      <w:r>
        <w:rPr>
          <w:color w:val="auto"/>
          <w:highlight w:val="none"/>
        </w:rPr>
        <w:instrText xml:space="preserve"> PAGEREF _Toc22142 \h </w:instrText>
      </w:r>
      <w:r>
        <w:rPr>
          <w:color w:val="auto"/>
          <w:highlight w:val="none"/>
        </w:rPr>
        <w:fldChar w:fldCharType="separate"/>
      </w:r>
      <w:r>
        <w:rPr>
          <w:color w:val="auto"/>
          <w:highlight w:val="none"/>
        </w:rPr>
        <w:t>71</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_Toc28082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附件十九：质疑函范本</w:t>
      </w:r>
      <w:r>
        <w:rPr>
          <w:color w:val="auto"/>
          <w:highlight w:val="none"/>
        </w:rPr>
        <w:tab/>
      </w:r>
      <w:r>
        <w:rPr>
          <w:color w:val="auto"/>
          <w:highlight w:val="none"/>
        </w:rPr>
        <w:fldChar w:fldCharType="begin"/>
      </w:r>
      <w:r>
        <w:rPr>
          <w:color w:val="auto"/>
          <w:highlight w:val="none"/>
        </w:rPr>
        <w:instrText xml:space="preserve"> PAGEREF _Toc28082 \h </w:instrText>
      </w:r>
      <w:r>
        <w:rPr>
          <w:color w:val="auto"/>
          <w:highlight w:val="none"/>
        </w:rPr>
        <w:fldChar w:fldCharType="separate"/>
      </w:r>
      <w:r>
        <w:rPr>
          <w:color w:val="auto"/>
          <w:highlight w:val="none"/>
        </w:rPr>
        <w:t>73</w:t>
      </w:r>
      <w:r>
        <w:rPr>
          <w:color w:val="auto"/>
          <w:highlight w:val="none"/>
        </w:rPr>
        <w:fldChar w:fldCharType="end"/>
      </w:r>
      <w:r>
        <w:rPr>
          <w:rFonts w:hint="eastAsia" w:ascii="宋体" w:hAnsi="宋体" w:cs="宋体"/>
          <w:color w:val="auto"/>
          <w:highlight w:val="none"/>
        </w:rPr>
        <w:fldChar w:fldCharType="end"/>
      </w:r>
    </w:p>
    <w:p>
      <w:pPr>
        <w:pStyle w:val="23"/>
        <w:tabs>
          <w:tab w:val="right" w:leader="dot" w:pos="912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_Toc14840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附件二十：投诉书范本</w:t>
      </w:r>
      <w:r>
        <w:rPr>
          <w:color w:val="auto"/>
          <w:highlight w:val="none"/>
        </w:rPr>
        <w:tab/>
      </w:r>
      <w:r>
        <w:rPr>
          <w:color w:val="auto"/>
          <w:highlight w:val="none"/>
        </w:rPr>
        <w:fldChar w:fldCharType="begin"/>
      </w:r>
      <w:r>
        <w:rPr>
          <w:color w:val="auto"/>
          <w:highlight w:val="none"/>
        </w:rPr>
        <w:instrText xml:space="preserve"> PAGEREF _Toc14840 \h </w:instrText>
      </w:r>
      <w:r>
        <w:rPr>
          <w:color w:val="auto"/>
          <w:highlight w:val="none"/>
        </w:rPr>
        <w:fldChar w:fldCharType="separate"/>
      </w:r>
      <w:r>
        <w:rPr>
          <w:color w:val="auto"/>
          <w:highlight w:val="none"/>
        </w:rPr>
        <w:t>75</w:t>
      </w:r>
      <w:r>
        <w:rPr>
          <w:color w:val="auto"/>
          <w:highlight w:val="none"/>
        </w:rPr>
        <w:fldChar w:fldCharType="end"/>
      </w:r>
      <w:r>
        <w:rPr>
          <w:rFonts w:hint="eastAsia" w:ascii="宋体" w:hAnsi="宋体" w:cs="宋体"/>
          <w:color w:val="auto"/>
          <w:highlight w:val="none"/>
        </w:rPr>
        <w:fldChar w:fldCharType="end"/>
      </w:r>
    </w:p>
    <w:p>
      <w:pPr>
        <w:pStyle w:val="19"/>
        <w:tabs>
          <w:tab w:val="right" w:leader="dot" w:pos="9402"/>
        </w:tabs>
        <w:spacing w:line="360" w:lineRule="auto"/>
        <w:jc w:val="center"/>
        <w:rPr>
          <w:rFonts w:ascii="宋体" w:hAnsi="宋体" w:cs="宋体"/>
          <w:color w:val="auto"/>
          <w:sz w:val="24"/>
          <w:highlight w:val="none"/>
        </w:rPr>
      </w:pPr>
      <w:r>
        <w:rPr>
          <w:rFonts w:hint="eastAsia" w:ascii="宋体" w:hAnsi="宋体" w:cs="宋体"/>
          <w:color w:val="auto"/>
          <w:highlight w:val="none"/>
        </w:rPr>
        <w:fldChar w:fldCharType="end"/>
      </w:r>
    </w:p>
    <w:p>
      <w:pPr>
        <w:pStyle w:val="19"/>
        <w:pageBreakBefore/>
        <w:tabs>
          <w:tab w:val="right" w:leader="dot" w:pos="9402"/>
        </w:tabs>
        <w:spacing w:line="480" w:lineRule="auto"/>
        <w:jc w:val="center"/>
        <w:outlineLvl w:val="0"/>
        <w:rPr>
          <w:rFonts w:ascii="宋体" w:hAnsi="宋体" w:cs="宋体"/>
          <w:b/>
          <w:color w:val="auto"/>
          <w:sz w:val="28"/>
          <w:szCs w:val="28"/>
          <w:highlight w:val="none"/>
        </w:rPr>
      </w:pPr>
      <w:bookmarkStart w:id="0" w:name="_Toc8275"/>
      <w:r>
        <w:rPr>
          <w:rFonts w:hint="eastAsia" w:ascii="宋体" w:hAnsi="宋体" w:cs="宋体"/>
          <w:b/>
          <w:color w:val="auto"/>
          <w:sz w:val="28"/>
          <w:szCs w:val="28"/>
          <w:highlight w:val="none"/>
        </w:rPr>
        <w:t>第一章  公开招标采购公告</w:t>
      </w:r>
      <w:bookmarkEnd w:id="0"/>
      <w:r>
        <w:rPr>
          <w:rFonts w:hint="eastAsia" w:ascii="宋体" w:hAnsi="宋体" w:cs="宋体"/>
          <w:b/>
          <w:color w:val="auto"/>
          <w:sz w:val="28"/>
          <w:szCs w:val="28"/>
          <w:highlight w:val="none"/>
        </w:rPr>
        <w:t xml:space="preserve"> </w:t>
      </w:r>
    </w:p>
    <w:p>
      <w:pPr>
        <w:pBdr>
          <w:top w:val="single" w:color="auto" w:sz="4" w:space="1"/>
          <w:left w:val="single" w:color="auto" w:sz="4" w:space="4"/>
          <w:bottom w:val="single" w:color="auto" w:sz="4" w:space="1"/>
          <w:right w:val="single" w:color="auto" w:sz="4" w:space="4"/>
        </w:pBd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东阳市部分乡镇“多规合一”实用性村庄规划编制项目</w:t>
      </w:r>
      <w:r>
        <w:rPr>
          <w:rFonts w:hint="eastAsia" w:ascii="宋体" w:hAnsi="宋体" w:cs="宋体"/>
          <w:color w:val="auto"/>
          <w:sz w:val="24"/>
          <w:highlight w:val="none"/>
        </w:rPr>
        <w:t>的潜在投标人应在浙江政府采购网（http://zfcg.czt.zj.gov.cn/）；东阳市公共资源交易网(http://www.dongyang.gov.cn/ggzyjy/index.html)获取（下载）招标文件，并于202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分（北京时间）前递交（上传）电子投标文件。</w:t>
      </w:r>
    </w:p>
    <w:p>
      <w:pPr>
        <w:numPr>
          <w:ilvl w:val="0"/>
          <w:numId w:val="2"/>
        </w:num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项目基本情况</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项目编号：</w:t>
      </w:r>
      <w:r>
        <w:rPr>
          <w:rFonts w:hint="eastAsia" w:ascii="宋体" w:hAnsi="宋体" w:cs="宋体"/>
          <w:b/>
          <w:bCs/>
          <w:color w:val="auto"/>
          <w:sz w:val="24"/>
          <w:highlight w:val="none"/>
          <w:lang w:eastAsia="zh-CN"/>
        </w:rPr>
        <w:t>XSZFCGDZ2023-110</w:t>
      </w:r>
    </w:p>
    <w:p>
      <w:pPr>
        <w:spacing w:line="360" w:lineRule="auto"/>
        <w:ind w:left="1684" w:leftChars="228" w:hanging="1205" w:hangingChars="50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项目名称：</w:t>
      </w:r>
      <w:r>
        <w:rPr>
          <w:rFonts w:hint="eastAsia" w:ascii="宋体" w:hAnsi="宋体" w:cs="宋体"/>
          <w:b/>
          <w:bCs/>
          <w:color w:val="auto"/>
          <w:sz w:val="24"/>
          <w:highlight w:val="none"/>
          <w:lang w:eastAsia="zh-CN"/>
        </w:rPr>
        <w:t>东阳市部分乡镇“多规合一”实用性村庄规划编制项目</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预算金额（元）：</w:t>
      </w:r>
      <w:r>
        <w:rPr>
          <w:rFonts w:hint="eastAsia" w:ascii="宋体" w:hAnsi="宋体" w:cs="宋体"/>
          <w:bCs/>
          <w:color w:val="auto"/>
          <w:sz w:val="24"/>
          <w:highlight w:val="none"/>
          <w:lang w:val="en-US" w:eastAsia="zh-CN"/>
        </w:rPr>
        <w:t>标一：1500000元；标二：1100000元；标三：1000000元；标四：1000000元；标五：1000000元；标六：600000元；</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最高限价（元）：</w:t>
      </w:r>
      <w:r>
        <w:rPr>
          <w:rFonts w:hint="eastAsia" w:ascii="宋体" w:hAnsi="宋体" w:cs="宋体"/>
          <w:bCs/>
          <w:color w:val="auto"/>
          <w:sz w:val="24"/>
          <w:highlight w:val="none"/>
          <w:lang w:val="en-US" w:eastAsia="zh-CN"/>
        </w:rPr>
        <w:t>标一：1500000元；标二：1100000元；标三：1000000元；标四：1000000元；标五：1000000元；标六：600000元；</w:t>
      </w:r>
    </w:p>
    <w:p>
      <w:pPr>
        <w:pStyle w:val="1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采购需求：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left="718" w:leftChars="342"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标项名称：画水镇洪塘村等 “多规合一”实用性村庄规划</w:t>
      </w:r>
    </w:p>
    <w:p>
      <w:pPr>
        <w:pStyle w:val="10"/>
        <w:keepNext w:val="0"/>
        <w:keepLines w:val="0"/>
        <w:pageBreakBefore w:val="0"/>
        <w:kinsoku/>
        <w:wordWrap/>
        <w:overflowPunct/>
        <w:topLinePunct w:val="0"/>
        <w:autoSpaceDE/>
        <w:autoSpaceDN/>
        <w:bidi w:val="0"/>
        <w:adjustRightInd/>
        <w:spacing w:line="360" w:lineRule="auto"/>
        <w:ind w:left="718" w:leftChars="342"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1500000</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标项名称：东阳江镇天山村等 “多规合一”实用性村庄规划</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1100000</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标项名称：</w:t>
      </w:r>
      <w:r>
        <w:rPr>
          <w:rFonts w:hint="eastAsia" w:ascii="宋体" w:hAnsi="宋体" w:cs="宋体"/>
          <w:color w:val="auto"/>
          <w:sz w:val="24"/>
          <w:szCs w:val="24"/>
          <w:highlight w:val="none"/>
          <w:lang w:val="en-US" w:eastAsia="zh-CN"/>
        </w:rPr>
        <w:t>城东街道单良村等 “多规合一”实用性村庄规划</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1000000</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color w:val="auto"/>
          <w:highlight w:val="none"/>
        </w:rPr>
      </w:pPr>
      <w:r>
        <w:rPr>
          <w:rFonts w:hint="eastAsia" w:ascii="宋体" w:hAnsi="宋体" w:cs="宋体"/>
          <w:color w:val="auto"/>
          <w:sz w:val="24"/>
          <w:szCs w:val="24"/>
          <w:highlight w:val="none"/>
        </w:rPr>
        <w:t>备注：</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标项名称：</w:t>
      </w:r>
      <w:r>
        <w:rPr>
          <w:rFonts w:hint="eastAsia" w:ascii="宋体" w:hAnsi="宋体" w:cs="宋体"/>
          <w:color w:val="auto"/>
          <w:sz w:val="24"/>
          <w:szCs w:val="24"/>
          <w:highlight w:val="none"/>
          <w:lang w:val="en-US" w:eastAsia="zh-CN"/>
        </w:rPr>
        <w:t>巍山镇八字墙村等 “多规合一”实用性村庄规划</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1000000</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rPr>
      </w:pP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标项名称：湖溪镇八里湾等 “多规合一”实用性村庄规划</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1000000</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标</w:t>
      </w: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标项名称：</w:t>
      </w:r>
      <w:r>
        <w:rPr>
          <w:rFonts w:hint="eastAsia" w:ascii="宋体" w:hAnsi="宋体" w:cs="宋体"/>
          <w:color w:val="auto"/>
          <w:sz w:val="24"/>
          <w:szCs w:val="24"/>
          <w:highlight w:val="none"/>
          <w:lang w:val="en-US" w:eastAsia="zh-CN"/>
        </w:rPr>
        <w:t>城东街道寀卢村“多规合一”实用性村庄规划</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600000</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合同履约期限：详见招标文件</w:t>
      </w:r>
    </w:p>
    <w:p>
      <w:pPr>
        <w:pStyle w:val="10"/>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本项目接受联合体投标</w:t>
      </w:r>
    </w:p>
    <w:p>
      <w:pPr>
        <w:snapToGrid w:val="0"/>
        <w:spacing w:line="360" w:lineRule="auto"/>
        <w:rPr>
          <w:rFonts w:ascii="宋体" w:hAnsi="宋体" w:cs="宋体"/>
          <w:b/>
          <w:bCs/>
          <w:strike/>
          <w:color w:val="auto"/>
          <w:sz w:val="24"/>
          <w:highlight w:val="none"/>
        </w:rPr>
      </w:pPr>
      <w:r>
        <w:rPr>
          <w:rFonts w:hint="eastAsia" w:ascii="宋体" w:hAnsi="宋体" w:cs="宋体"/>
          <w:b/>
          <w:bCs/>
          <w:color w:val="auto"/>
          <w:sz w:val="24"/>
          <w:highlight w:val="none"/>
        </w:rPr>
        <w:t xml:space="preserve">▲二、申请人的资格要求：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w:t>
      </w:r>
      <w:r>
        <w:rPr>
          <w:rFonts w:hint="eastAsia" w:ascii="宋体" w:hAnsi="宋体" w:cs="宋体"/>
          <w:strike w:val="0"/>
          <w:dstrike w:val="0"/>
          <w:color w:val="auto"/>
          <w:sz w:val="24"/>
          <w:highlight w:val="none"/>
        </w:rPr>
        <w:t>根据《政府采购促进中小企业发展管理办法》有关规定，本项目仅面向中小型及以下企业响应投标。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hint="eastAsia" w:ascii="宋体" w:hAnsi="宋体" w:cs="宋体"/>
          <w:strike/>
          <w:dstrike w:val="0"/>
          <w:color w:val="auto"/>
          <w:sz w:val="24"/>
          <w:highlight w:val="none"/>
        </w:rPr>
      </w:pPr>
      <w:r>
        <w:rPr>
          <w:rFonts w:hint="eastAsia" w:ascii="宋体" w:hAnsi="宋体" w:cs="宋体"/>
          <w:color w:val="auto"/>
          <w:sz w:val="24"/>
          <w:highlight w:val="none"/>
        </w:rPr>
        <w:t>（1）投标人具备城乡规划乙级及以上资质或土地规划乙级及以上资质。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）投标人须为浙江政府采购网注册的正式供应商或承诺中标后30天内注册为浙江政府采购网正式供应商。</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▲三、获取招标文件： </w:t>
      </w:r>
    </w:p>
    <w:p>
      <w:pPr>
        <w:spacing w:line="360" w:lineRule="auto"/>
        <w:ind w:firstLine="640"/>
        <w:rPr>
          <w:rFonts w:ascii="宋体" w:hAnsi="宋体" w:cs="宋体"/>
          <w:color w:val="auto"/>
          <w:sz w:val="24"/>
          <w:highlight w:val="none"/>
        </w:rPr>
      </w:pPr>
      <w:r>
        <w:rPr>
          <w:rFonts w:hint="eastAsia" w:ascii="宋体" w:hAnsi="宋体" w:cs="宋体"/>
          <w:color w:val="auto"/>
          <w:sz w:val="24"/>
          <w:highlight w:val="none"/>
        </w:rPr>
        <w:t>时间：/至202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分，每天上午00：00至12:00，下午12:00至23:59（北京时间，线上获取法定节假日均可，线下获取文件法定节假日除外）</w:t>
      </w:r>
    </w:p>
    <w:p>
      <w:pPr>
        <w:spacing w:line="360" w:lineRule="auto"/>
        <w:ind w:firstLine="640"/>
        <w:rPr>
          <w:rFonts w:ascii="宋体" w:hAnsi="宋体" w:cs="宋体"/>
          <w:color w:val="auto"/>
          <w:sz w:val="24"/>
          <w:highlight w:val="none"/>
        </w:rPr>
      </w:pPr>
      <w:r>
        <w:rPr>
          <w:rFonts w:hint="eastAsia" w:ascii="宋体" w:hAnsi="宋体" w:cs="宋体"/>
          <w:color w:val="auto"/>
          <w:sz w:val="24"/>
          <w:highlight w:val="none"/>
        </w:rPr>
        <w:t>地点（网址）：浙江政府采购网（http://zfcg.czt.zj.gov.cn/）； 东阳市公共资源交易网(http://www.dongyang.gov.cn/ggzyjy/index.html)</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http://zfcg.czt.zj.gov.cn/register/2017-07-24/6728.html?_=2017-11-13%2011:10:28）；</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2、招标文件获取流程：浙江政府采购网-政采云用户登录-用户中心-项目采购-获取采购文件管理。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3、浙江政府采购网上以“游客”身份获取的采购文件仅供阅览；潜在供应商应按上述方式获取采购文件；未按上述方式获取采购文件的，不得对采购文件提起质疑投诉。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售价（元）：0</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四、提交投标文件截止时间、开标时间和地点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提交投标文件截止时间：202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分（北京时间）</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投标地点（网址）：政采云平台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开标时间：202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p>
      <w:pPr>
        <w:snapToGrid w:val="0"/>
        <w:spacing w:line="360" w:lineRule="auto"/>
        <w:ind w:firstLine="481"/>
        <w:rPr>
          <w:rFonts w:ascii="宋体" w:hAnsi="宋体" w:cs="宋体"/>
          <w:b/>
          <w:bCs/>
          <w:color w:val="auto"/>
          <w:sz w:val="24"/>
          <w:highlight w:val="none"/>
        </w:rPr>
      </w:pPr>
      <w:r>
        <w:rPr>
          <w:rFonts w:hint="eastAsia" w:ascii="宋体" w:hAnsi="宋体" w:cs="宋体"/>
          <w:color w:val="auto"/>
          <w:sz w:val="24"/>
          <w:highlight w:val="none"/>
        </w:rPr>
        <w:t>开标地点（网址）：政采云平台</w:t>
      </w:r>
    </w:p>
    <w:p>
      <w:pPr>
        <w:numPr>
          <w:ilvl w:val="0"/>
          <w:numId w:val="3"/>
        </w:num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采购意向公开链接</w:t>
      </w:r>
    </w:p>
    <w:p>
      <w:pPr>
        <w:snapToGrid w:val="0"/>
        <w:spacing w:line="360" w:lineRule="auto"/>
        <w:jc w:val="left"/>
        <w:rPr>
          <w:rFonts w:hint="eastAsia" w:ascii="宋体" w:hAnsi="宋体" w:cs="宋体"/>
          <w:b/>
          <w:bCs/>
          <w:color w:val="auto"/>
          <w:sz w:val="24"/>
          <w:highlight w:val="none"/>
        </w:rPr>
      </w:pPr>
      <w:r>
        <w:rPr>
          <w:rFonts w:hint="eastAsia" w:ascii="宋体" w:hAnsi="宋体" w:cs="宋体"/>
          <w:b/>
          <w:bCs/>
          <w:color w:val="auto"/>
          <w:sz w:val="24"/>
          <w:highlight w:val="none"/>
        </w:rPr>
        <w:t>https://zfcg.czt.zj.gov.cn/innerUsed_noticeDetails/index.html?noticeId=9278036&amp;utm=web-government-front.2e418808.0.0.4a89ba40cddd11edab6aed7385f1d800</w:t>
      </w:r>
    </w:p>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六、公告期限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七、其他补充事宜</w:t>
      </w:r>
    </w:p>
    <w:p>
      <w:pPr>
        <w:pStyle w:val="24"/>
        <w:adjustRightInd w:val="0"/>
        <w:snapToGrid w:val="0"/>
        <w:spacing w:line="360" w:lineRule="auto"/>
        <w:rPr>
          <w:color w:val="auto"/>
          <w:kern w:val="2"/>
          <w:highlight w:val="none"/>
        </w:rPr>
      </w:pPr>
      <w:r>
        <w:rPr>
          <w:rFonts w:hint="eastAsia"/>
          <w:color w:val="auto"/>
          <w:highlight w:val="none"/>
        </w:rPr>
        <w:t xml:space="preserve">   </w:t>
      </w:r>
      <w:r>
        <w:rPr>
          <w:rFonts w:hint="eastAsia"/>
          <w:color w:val="auto"/>
          <w:kern w:val="2"/>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adjustRightInd w:val="0"/>
        <w:snapToGrid w:val="0"/>
        <w:spacing w:line="360" w:lineRule="auto"/>
        <w:ind w:firstLine="480" w:firstLineChars="200"/>
        <w:jc w:val="both"/>
        <w:rPr>
          <w:color w:val="auto"/>
          <w:kern w:val="2"/>
          <w:highlight w:val="none"/>
        </w:rPr>
      </w:pPr>
      <w:r>
        <w:rPr>
          <w:rFonts w:hint="eastAsia"/>
          <w:color w:val="auto"/>
          <w:kern w:val="2"/>
          <w:highlight w:val="none"/>
        </w:rPr>
        <w:t>2、其他事项：1.《浙江省财政厅关于进一步发挥政府采购政策功能全力推动经济稳进提质的通知》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24"/>
        <w:adjustRightInd w:val="0"/>
        <w:snapToGrid w:val="0"/>
        <w:spacing w:line="360" w:lineRule="auto"/>
        <w:ind w:firstLine="480" w:firstLineChars="200"/>
        <w:jc w:val="both"/>
        <w:rPr>
          <w:color w:val="auto"/>
          <w:kern w:val="2"/>
          <w:highlight w:val="none"/>
        </w:rPr>
      </w:pPr>
      <w:r>
        <w:rPr>
          <w:rFonts w:hint="eastAsia"/>
          <w:color w:val="auto"/>
          <w:kern w:val="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企业信用融资: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根据《浙江省财政厅关于进一步加大政府采购支持中小企业力度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 标 人 应 在 开 标 前 完 成 CA 数 字 证 书 办 理 。 （ 办 理 流 程 详 见http://zfcg.czt.zj.gov.cn/bidClientTemplate/2019-05-27/12945.html）。完成 CA 数字证书办理预计一周左右，建议各投标人抓紧时间办理。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7.投标人通过政采云平台电子投标工具制作投标文件，电子投标工具请供应商自行前往浙江省政府采购网下载并安装，（下载网址：http://zfcg.czt.zj.gov.cn/bidClientTemplate/2019-08-30/12975.html），</w:t>
      </w:r>
    </w:p>
    <w:p>
      <w:pPr>
        <w:snapToGrid w:val="0"/>
        <w:spacing w:line="360" w:lineRule="auto"/>
        <w:rPr>
          <w:rStyle w:val="31"/>
          <w:rFonts w:ascii="宋体" w:hAnsi="宋体" w:cs="宋体"/>
          <w:color w:val="auto"/>
          <w:sz w:val="24"/>
          <w:highlight w:val="none"/>
        </w:rPr>
      </w:pPr>
      <w:r>
        <w:rPr>
          <w:rFonts w:hint="eastAsia" w:ascii="宋体" w:hAnsi="宋体" w:cs="宋体"/>
          <w:color w:val="auto"/>
          <w:sz w:val="24"/>
          <w:highlight w:val="none"/>
        </w:rPr>
        <w:t xml:space="preserve">（ 电 子 投 标 相 关 学 习 网 址 ： </w:t>
      </w:r>
      <w:r>
        <w:rPr>
          <w:color w:val="auto"/>
          <w:highlight w:val="none"/>
        </w:rPr>
        <w:fldChar w:fldCharType="begin"/>
      </w:r>
      <w:r>
        <w:rPr>
          <w:color w:val="auto"/>
          <w:highlight w:val="none"/>
        </w:rPr>
        <w:instrText xml:space="preserve"> HYPERLINK "https://edu.zcygov.cn/luban/e-biding?utm=a0004.2ef5001f.0001.0109.2d44db10df9111e9b92b0f36d4889416。）" </w:instrText>
      </w:r>
      <w:r>
        <w:rPr>
          <w:color w:val="auto"/>
          <w:highlight w:val="none"/>
        </w:rPr>
        <w:fldChar w:fldCharType="separate"/>
      </w:r>
      <w:r>
        <w:rPr>
          <w:rStyle w:val="31"/>
          <w:rFonts w:hint="eastAsia" w:ascii="宋体" w:hAnsi="宋体" w:cs="宋体"/>
          <w:color w:val="auto"/>
          <w:sz w:val="24"/>
          <w:highlight w:val="none"/>
        </w:rPr>
        <w:t>https://edu.zcygov.cn/luban/e-biding?utm=a0004.2ef5001f.0001.0109.2d44db10df9111e9b92b0f36d4889416。）</w:t>
      </w:r>
      <w:r>
        <w:rPr>
          <w:rStyle w:val="31"/>
          <w:rFonts w:hint="eastAsia" w:ascii="宋体" w:hAnsi="宋体" w:cs="宋体"/>
          <w:color w:val="auto"/>
          <w:sz w:val="24"/>
          <w:highlight w:val="none"/>
        </w:rPr>
        <w:fldChar w:fldCharType="end"/>
      </w:r>
    </w:p>
    <w:p>
      <w:pPr>
        <w:spacing w:line="360" w:lineRule="auto"/>
        <w:ind w:firstLine="482" w:firstLineChars="200"/>
        <w:rPr>
          <w:rFonts w:ascii="宋体" w:hAnsi="宋体" w:cs="宋体"/>
          <w:b/>
          <w:bCs/>
          <w:color w:val="auto"/>
          <w:sz w:val="24"/>
          <w:highlight w:val="none"/>
        </w:rPr>
      </w:pPr>
      <w:bookmarkStart w:id="1" w:name="_Toc35393627"/>
      <w:bookmarkStart w:id="2" w:name="_Toc35393796"/>
      <w:bookmarkStart w:id="3" w:name="_Toc28359085"/>
      <w:bookmarkStart w:id="4" w:name="_Toc28359008"/>
      <w:r>
        <w:rPr>
          <w:rFonts w:hint="eastAsia" w:ascii="宋体" w:hAnsi="宋体" w:cs="宋体"/>
          <w:b/>
          <w:bCs/>
          <w:color w:val="auto"/>
          <w:sz w:val="24"/>
          <w:highlight w:val="none"/>
        </w:rPr>
        <w:t xml:space="preserve">8.政府采购金融服务提示：为扩大政府采购金融服务面，除政采云网上金融服务合作银行外，东阳市范围内增加浙商银行金华分行东阳支行作为线下合作银行。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浙商银行金华东阳支行  联系人：许燕  联系电话：13967983441  0579-86222992</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w:t>
      </w:r>
      <w:bookmarkEnd w:id="1"/>
      <w:bookmarkEnd w:id="2"/>
      <w:bookmarkEnd w:id="3"/>
      <w:bookmarkEnd w:id="4"/>
      <w:r>
        <w:rPr>
          <w:rFonts w:hint="eastAsia" w:ascii="宋体" w:hAnsi="宋体" w:cs="宋体"/>
          <w:b/>
          <w:color w:val="auto"/>
          <w:sz w:val="24"/>
          <w:highlight w:val="none"/>
        </w:rPr>
        <w:t>对本次采购提出询问、质疑、投诉，请按以下方式联系。</w:t>
      </w:r>
    </w:p>
    <w:p>
      <w:pPr>
        <w:spacing w:line="360" w:lineRule="auto"/>
        <w:ind w:firstLine="723" w:firstLineChars="300"/>
        <w:rPr>
          <w:rFonts w:ascii="宋体" w:hAnsi="宋体" w:cs="宋体"/>
          <w:b/>
          <w:bCs/>
          <w:color w:val="auto"/>
          <w:sz w:val="24"/>
          <w:highlight w:val="none"/>
        </w:rPr>
      </w:pPr>
      <w:r>
        <w:rPr>
          <w:rFonts w:hint="eastAsia" w:ascii="宋体" w:hAnsi="宋体" w:cs="宋体"/>
          <w:b/>
          <w:bCs/>
          <w:color w:val="auto"/>
          <w:sz w:val="24"/>
          <w:highlight w:val="none"/>
        </w:rPr>
        <w:t xml:space="preserve">1.采购人信息  </w:t>
      </w:r>
    </w:p>
    <w:p>
      <w:pPr>
        <w:snapToGrid w:val="0"/>
        <w:spacing w:line="360" w:lineRule="auto"/>
        <w:ind w:firstLine="720" w:firstLineChars="300"/>
        <w:textAlignment w:val="baseline"/>
        <w:rPr>
          <w:rFonts w:ascii="宋体" w:hAnsi="宋体" w:cs="宋体"/>
          <w:color w:val="auto"/>
          <w:sz w:val="24"/>
          <w:highlight w:val="none"/>
        </w:rPr>
      </w:pPr>
      <w:bookmarkStart w:id="5" w:name="_Toc28359009"/>
      <w:bookmarkStart w:id="6" w:name="_Toc28359086"/>
      <w:r>
        <w:rPr>
          <w:rFonts w:hint="eastAsia" w:ascii="宋体" w:hAnsi="宋体" w:cs="宋体"/>
          <w:color w:val="auto"/>
          <w:sz w:val="24"/>
          <w:highlight w:val="none"/>
        </w:rPr>
        <w:t>名称：</w:t>
      </w:r>
      <w:r>
        <w:rPr>
          <w:rFonts w:hint="eastAsia" w:ascii="宋体" w:hAnsi="宋体" w:cs="宋体"/>
          <w:color w:val="auto"/>
          <w:sz w:val="24"/>
          <w:highlight w:val="none"/>
          <w:lang w:eastAsia="zh-CN"/>
        </w:rPr>
        <w:t xml:space="preserve">东阳市自然资源和规划局 </w:t>
      </w:r>
      <w:r>
        <w:rPr>
          <w:rFonts w:hint="eastAsia" w:ascii="宋体" w:hAnsi="宋体" w:cs="宋体"/>
          <w:color w:val="auto"/>
          <w:sz w:val="24"/>
          <w:highlight w:val="none"/>
        </w:rPr>
        <w:t xml:space="preserve">                  </w:t>
      </w:r>
    </w:p>
    <w:p>
      <w:pPr>
        <w:spacing w:line="360" w:lineRule="auto"/>
        <w:ind w:firstLine="720" w:firstLineChars="3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 址：东阳市艺海北路308号</w:t>
      </w:r>
      <w:r>
        <w:rPr>
          <w:rFonts w:hint="eastAsia" w:ascii="宋体" w:hAnsi="宋体" w:cs="宋体"/>
          <w:color w:val="auto"/>
          <w:sz w:val="24"/>
          <w:highlight w:val="none"/>
          <w:lang w:val="en-US" w:eastAsia="zh-CN"/>
        </w:rPr>
        <w:t xml:space="preserve">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项目联系人（询问）：</w:t>
      </w:r>
      <w:r>
        <w:rPr>
          <w:rFonts w:hint="eastAsia" w:ascii="宋体" w:hAnsi="宋体" w:cs="宋体"/>
          <w:color w:val="auto"/>
          <w:sz w:val="24"/>
          <w:szCs w:val="24"/>
          <w:highlight w:val="none"/>
          <w:lang w:val="en-US" w:eastAsia="zh-CN"/>
        </w:rPr>
        <w:t>郭剑锋</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项目联系方式（询问）：</w:t>
      </w:r>
      <w:r>
        <w:rPr>
          <w:rFonts w:hint="eastAsia" w:ascii="宋体" w:hAnsi="宋体" w:cs="宋体"/>
          <w:color w:val="auto"/>
          <w:sz w:val="24"/>
          <w:szCs w:val="24"/>
          <w:highlight w:val="none"/>
          <w:lang w:val="en-US" w:eastAsia="zh-CN"/>
        </w:rPr>
        <w:t>0579-86625230</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质疑联系人：</w:t>
      </w:r>
      <w:r>
        <w:rPr>
          <w:rFonts w:hint="eastAsia" w:ascii="宋体" w:hAnsi="宋体" w:cs="宋体"/>
          <w:color w:val="auto"/>
          <w:sz w:val="24"/>
          <w:szCs w:val="24"/>
          <w:highlight w:val="none"/>
          <w:lang w:val="en-US" w:eastAsia="zh-CN"/>
        </w:rPr>
        <w:t>张丹丽</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质疑联系方式：</w:t>
      </w:r>
      <w:r>
        <w:rPr>
          <w:rFonts w:hint="eastAsia" w:ascii="宋体" w:hAnsi="宋体" w:cs="宋体"/>
          <w:color w:val="auto"/>
          <w:sz w:val="24"/>
          <w:szCs w:val="24"/>
          <w:highlight w:val="none"/>
          <w:lang w:val="en-US" w:eastAsia="zh-CN"/>
        </w:rPr>
        <w:t>0579-86621393</w:t>
      </w:r>
    </w:p>
    <w:p>
      <w:pPr>
        <w:spacing w:line="360" w:lineRule="auto"/>
        <w:ind w:firstLine="723" w:firstLineChars="300"/>
        <w:rPr>
          <w:rFonts w:ascii="宋体" w:hAnsi="宋体" w:cs="宋体"/>
          <w:b/>
          <w:bCs/>
          <w:color w:val="auto"/>
          <w:sz w:val="24"/>
          <w:highlight w:val="none"/>
        </w:rPr>
      </w:pPr>
      <w:r>
        <w:rPr>
          <w:rFonts w:hint="eastAsia" w:ascii="宋体" w:hAnsi="宋体" w:cs="宋体"/>
          <w:b/>
          <w:bCs/>
          <w:color w:val="auto"/>
          <w:sz w:val="24"/>
          <w:highlight w:val="none"/>
        </w:rPr>
        <w:t>2.采购代理机构</w:t>
      </w:r>
      <w:bookmarkEnd w:id="5"/>
      <w:bookmarkEnd w:id="6"/>
      <w:r>
        <w:rPr>
          <w:rFonts w:hint="eastAsia" w:ascii="宋体" w:hAnsi="宋体" w:cs="宋体"/>
          <w:b/>
          <w:bCs/>
          <w:color w:val="auto"/>
          <w:sz w:val="24"/>
          <w:highlight w:val="none"/>
        </w:rPr>
        <w:t>信息</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名 称：东阳市鑫盛工程咨询有限公司 </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地 址：东阳市白云街道八华南路63号     传 真：0579-86633123 </w:t>
      </w:r>
    </w:p>
    <w:p>
      <w:pPr>
        <w:spacing w:line="360" w:lineRule="auto"/>
        <w:ind w:firstLine="720" w:firstLineChars="3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胡丹春</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项目联系方式（询问）：</w:t>
      </w:r>
      <w:r>
        <w:rPr>
          <w:rFonts w:hint="eastAsia" w:ascii="宋体" w:hAnsi="宋体" w:cs="宋体"/>
          <w:color w:val="auto"/>
          <w:sz w:val="24"/>
          <w:highlight w:val="none"/>
          <w:lang w:eastAsia="zh-CN"/>
        </w:rPr>
        <w:t>0579-86633123</w:t>
      </w:r>
    </w:p>
    <w:p>
      <w:pPr>
        <w:spacing w:line="360" w:lineRule="auto"/>
        <w:ind w:firstLine="720" w:firstLineChars="3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王晓菲</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质疑联系方式：</w:t>
      </w:r>
      <w:bookmarkStart w:id="7" w:name="_Toc28359087"/>
      <w:bookmarkStart w:id="8" w:name="_Toc28359010"/>
      <w:r>
        <w:rPr>
          <w:rFonts w:hint="eastAsia" w:ascii="宋体" w:hAnsi="宋体" w:cs="宋体"/>
          <w:color w:val="auto"/>
          <w:sz w:val="24"/>
          <w:highlight w:val="none"/>
          <w:lang w:val="en-US" w:eastAsia="zh-CN"/>
        </w:rPr>
        <w:t>0579-86018280</w:t>
      </w:r>
    </w:p>
    <w:p>
      <w:pPr>
        <w:spacing w:line="360" w:lineRule="auto"/>
        <w:ind w:firstLine="723" w:firstLineChars="300"/>
        <w:rPr>
          <w:rFonts w:ascii="宋体" w:hAnsi="宋体" w:cs="宋体"/>
          <w:color w:val="auto"/>
          <w:sz w:val="24"/>
          <w:highlight w:val="none"/>
          <w:u w:val="single"/>
        </w:rPr>
      </w:pPr>
      <w:r>
        <w:rPr>
          <w:rFonts w:hint="eastAsia" w:ascii="宋体" w:hAnsi="宋体" w:cs="宋体"/>
          <w:b/>
          <w:bCs/>
          <w:color w:val="auto"/>
          <w:sz w:val="24"/>
          <w:highlight w:val="none"/>
        </w:rPr>
        <w:t>3.</w:t>
      </w:r>
      <w:bookmarkEnd w:id="7"/>
      <w:bookmarkEnd w:id="8"/>
      <w:r>
        <w:rPr>
          <w:rFonts w:hint="eastAsia" w:ascii="宋体" w:hAnsi="宋体" w:cs="宋体"/>
          <w:b/>
          <w:bCs/>
          <w:color w:val="auto"/>
          <w:sz w:val="24"/>
          <w:highlight w:val="none"/>
        </w:rPr>
        <w:t>同级政府采购监督管理部门：</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名称：东阳市财政局采监科               地址：东阳市人民路8号</w:t>
      </w:r>
    </w:p>
    <w:p>
      <w:pPr>
        <w:spacing w:line="360" w:lineRule="auto"/>
        <w:ind w:firstLine="720" w:firstLineChars="300"/>
        <w:rPr>
          <w:rFonts w:ascii="宋体" w:hAnsi="宋体" w:cs="宋体"/>
          <w:b/>
          <w:color w:val="auto"/>
          <w:sz w:val="24"/>
          <w:highlight w:val="none"/>
        </w:rPr>
      </w:pPr>
      <w:r>
        <w:rPr>
          <w:rFonts w:hint="eastAsia" w:ascii="宋体" w:hAnsi="宋体" w:cs="宋体"/>
          <w:color w:val="auto"/>
          <w:sz w:val="24"/>
          <w:highlight w:val="none"/>
        </w:rPr>
        <w:t>监督投诉电话：0579-86662677</w:t>
      </w:r>
    </w:p>
    <w:p>
      <w:pPr>
        <w:snapToGrid w:val="0"/>
        <w:spacing w:line="360" w:lineRule="auto"/>
        <w:ind w:left="1441" w:leftChars="342" w:hanging="723" w:hangingChars="300"/>
        <w:rPr>
          <w:color w:val="auto"/>
          <w:highlight w:val="none"/>
        </w:rPr>
      </w:pPr>
      <w:r>
        <w:rPr>
          <w:rFonts w:hint="eastAsia" w:ascii="宋体" w:hAnsi="宋体" w:cs="宋体"/>
          <w:b/>
          <w:color w:val="auto"/>
          <w:sz w:val="24"/>
          <w:highlight w:val="none"/>
        </w:rPr>
        <w:t>附件：</w:t>
      </w:r>
      <w:r>
        <w:rPr>
          <w:rFonts w:hint="eastAsia" w:ascii="宋体" w:hAnsi="宋体" w:cs="宋体"/>
          <w:b/>
          <w:color w:val="auto"/>
          <w:sz w:val="24"/>
          <w:highlight w:val="none"/>
          <w:lang w:eastAsia="zh-CN"/>
        </w:rPr>
        <w:t>东阳市部分乡镇“多规合一”实用性村庄规划编制项目</w:t>
      </w:r>
      <w:r>
        <w:rPr>
          <w:rFonts w:hint="eastAsia" w:ascii="宋体" w:hAnsi="宋体" w:cs="宋体"/>
          <w:b/>
          <w:color w:val="auto"/>
          <w:sz w:val="24"/>
          <w:highlight w:val="none"/>
        </w:rPr>
        <w:t>招标文件</w:t>
      </w:r>
    </w:p>
    <w:p>
      <w:pPr>
        <w:snapToGrid w:val="0"/>
        <w:spacing w:line="360" w:lineRule="auto"/>
        <w:ind w:left="5799" w:leftChars="237" w:right="198" w:hanging="5301" w:hangingChars="2200"/>
        <w:jc w:val="center"/>
        <w:rPr>
          <w:rFonts w:ascii="宋体" w:hAnsi="宋体" w:cs="宋体"/>
          <w:b/>
          <w:color w:val="auto"/>
          <w:sz w:val="24"/>
          <w:highlight w:val="none"/>
        </w:rPr>
      </w:pPr>
      <w:r>
        <w:rPr>
          <w:rFonts w:hint="eastAsia" w:ascii="宋体" w:hAnsi="宋体" w:cs="宋体"/>
          <w:b/>
          <w:color w:val="auto"/>
          <w:sz w:val="24"/>
          <w:highlight w:val="none"/>
        </w:rPr>
        <w:t xml:space="preserve">                                    </w:t>
      </w:r>
    </w:p>
    <w:p>
      <w:pPr>
        <w:snapToGrid w:val="0"/>
        <w:spacing w:line="360" w:lineRule="auto"/>
        <w:ind w:left="5799" w:leftChars="237" w:right="198" w:hanging="5301" w:hangingChars="2200"/>
        <w:jc w:val="center"/>
        <w:rPr>
          <w:rFonts w:ascii="宋体" w:hAnsi="宋体" w:cs="宋体"/>
          <w:b/>
          <w:color w:val="auto"/>
          <w:sz w:val="24"/>
          <w:highlight w:val="none"/>
        </w:rPr>
      </w:pPr>
      <w:r>
        <w:rPr>
          <w:rFonts w:hint="eastAsia" w:ascii="宋体" w:hAnsi="宋体" w:cs="宋体"/>
          <w:b/>
          <w:color w:val="auto"/>
          <w:sz w:val="24"/>
          <w:highlight w:val="none"/>
        </w:rPr>
        <w:t xml:space="preserve">                                           </w:t>
      </w:r>
      <w:r>
        <w:rPr>
          <w:rFonts w:hint="eastAsia" w:ascii="宋体" w:hAnsi="宋体" w:cs="宋体"/>
          <w:b/>
          <w:color w:val="auto"/>
          <w:sz w:val="24"/>
          <w:highlight w:val="none"/>
          <w:lang w:eastAsia="zh-CN"/>
        </w:rPr>
        <w:t xml:space="preserve">东阳市自然资源和规划局 </w:t>
      </w:r>
      <w:r>
        <w:rPr>
          <w:rFonts w:hint="eastAsia" w:ascii="宋体" w:hAnsi="宋体" w:cs="宋体"/>
          <w:b/>
          <w:color w:val="auto"/>
          <w:sz w:val="24"/>
          <w:highlight w:val="none"/>
        </w:rPr>
        <w:t xml:space="preserve">                           </w:t>
      </w:r>
    </w:p>
    <w:p>
      <w:pPr>
        <w:snapToGrid w:val="0"/>
        <w:spacing w:line="360" w:lineRule="auto"/>
        <w:ind w:left="5799" w:leftChars="237" w:right="198" w:hanging="5301" w:hangingChars="2200"/>
        <w:jc w:val="center"/>
        <w:rPr>
          <w:rFonts w:ascii="宋体" w:hAnsi="宋体" w:cs="宋体"/>
          <w:b/>
          <w:color w:val="auto"/>
          <w:sz w:val="24"/>
          <w:highlight w:val="none"/>
        </w:rPr>
      </w:pPr>
      <w:r>
        <w:rPr>
          <w:rFonts w:hint="eastAsia" w:ascii="宋体" w:hAnsi="宋体" w:cs="宋体"/>
          <w:b/>
          <w:color w:val="auto"/>
          <w:sz w:val="24"/>
          <w:highlight w:val="none"/>
        </w:rPr>
        <w:t xml:space="preserve">                                           东阳市鑫盛工程咨询有限公司</w:t>
      </w:r>
    </w:p>
    <w:p>
      <w:pPr>
        <w:snapToGrid w:val="0"/>
        <w:spacing w:line="360" w:lineRule="auto"/>
        <w:ind w:right="198" w:firstLine="6505" w:firstLineChars="2700"/>
        <w:rPr>
          <w:rFonts w:ascii="宋体" w:hAnsi="宋体" w:cs="宋体"/>
          <w:color w:val="auto"/>
          <w:kern w:val="0"/>
          <w:sz w:val="24"/>
          <w:highlight w:val="none"/>
          <w:lang w:bidi="ar"/>
        </w:rPr>
      </w:pPr>
      <w:r>
        <w:rPr>
          <w:rFonts w:hint="eastAsia" w:ascii="宋体" w:hAnsi="宋体" w:cs="宋体"/>
          <w:b/>
          <w:color w:val="auto"/>
          <w:sz w:val="24"/>
          <w:highlight w:val="none"/>
        </w:rPr>
        <w:t>202</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年</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11</w:t>
      </w:r>
      <w:r>
        <w:rPr>
          <w:rFonts w:hint="eastAsia" w:ascii="宋体" w:hAnsi="宋体" w:cs="宋体"/>
          <w:b/>
          <w:color w:val="auto"/>
          <w:sz w:val="24"/>
          <w:highlight w:val="none"/>
        </w:rPr>
        <w:t>日</w:t>
      </w:r>
    </w:p>
    <w:p>
      <w:pPr>
        <w:snapToGrid w:val="0"/>
        <w:spacing w:line="360" w:lineRule="auto"/>
        <w:ind w:right="198"/>
        <w:rPr>
          <w:rFonts w:ascii="宋体" w:hAnsi="宋体" w:cs="宋体"/>
          <w:color w:val="auto"/>
          <w:kern w:val="0"/>
          <w:sz w:val="22"/>
          <w:szCs w:val="22"/>
          <w:highlight w:val="none"/>
          <w:lang w:bidi="ar"/>
        </w:rPr>
      </w:pPr>
    </w:p>
    <w:p>
      <w:pPr>
        <w:snapToGrid w:val="0"/>
        <w:spacing w:line="360" w:lineRule="auto"/>
        <w:ind w:right="198"/>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CA问题联系电话（人工）：汇信CA 400-888-4636；天谷CA 400-087-8198。</w:t>
      </w:r>
    </w:p>
    <w:p>
      <w:pPr>
        <w:pStyle w:val="33"/>
        <w:spacing w:line="360" w:lineRule="auto"/>
        <w:rPr>
          <w:rFonts w:hint="eastAsia" w:ascii="宋体" w:hAnsi="宋体" w:cs="宋体"/>
          <w:color w:val="auto"/>
          <w:kern w:val="0"/>
          <w:sz w:val="22"/>
          <w:szCs w:val="22"/>
          <w:highlight w:val="none"/>
          <w:lang w:bidi="ar"/>
        </w:rPr>
      </w:pPr>
    </w:p>
    <w:p>
      <w:pPr>
        <w:rPr>
          <w:rFonts w:hint="eastAsia" w:ascii="宋体" w:hAnsi="宋体" w:cs="宋体"/>
          <w:color w:val="auto"/>
          <w:kern w:val="0"/>
          <w:sz w:val="22"/>
          <w:szCs w:val="22"/>
          <w:highlight w:val="none"/>
          <w:lang w:bidi="ar"/>
        </w:rPr>
      </w:pPr>
    </w:p>
    <w:p>
      <w:pPr>
        <w:pStyle w:val="33"/>
        <w:rPr>
          <w:rFonts w:hint="eastAsia" w:ascii="宋体" w:hAnsi="宋体" w:cs="宋体"/>
          <w:color w:val="auto"/>
          <w:kern w:val="0"/>
          <w:sz w:val="22"/>
          <w:szCs w:val="22"/>
          <w:highlight w:val="none"/>
          <w:lang w:bidi="ar"/>
        </w:rPr>
      </w:pPr>
    </w:p>
    <w:p>
      <w:pPr>
        <w:rPr>
          <w:color w:val="auto"/>
          <w:highlight w:val="none"/>
        </w:rPr>
      </w:pPr>
    </w:p>
    <w:p>
      <w:pPr>
        <w:pStyle w:val="14"/>
        <w:pageBreakBefore/>
        <w:snapToGrid w:val="0"/>
        <w:spacing w:before="120" w:after="120" w:line="360" w:lineRule="auto"/>
        <w:jc w:val="center"/>
        <w:outlineLvl w:val="0"/>
        <w:rPr>
          <w:rFonts w:hint="eastAsia" w:ascii="宋体" w:hAnsi="宋体" w:eastAsia="宋体" w:cs="宋体"/>
          <w:b/>
          <w:color w:val="auto"/>
          <w:sz w:val="28"/>
          <w:szCs w:val="28"/>
          <w:highlight w:val="none"/>
          <w:lang w:eastAsia="zh-CN"/>
        </w:rPr>
      </w:pPr>
      <w:bookmarkStart w:id="9" w:name="_Toc30303"/>
      <w:bookmarkStart w:id="10" w:name="_Toc18456"/>
      <w:r>
        <w:rPr>
          <w:rFonts w:hint="eastAsia" w:ascii="宋体" w:hAnsi="宋体" w:cs="宋体"/>
          <w:b/>
          <w:color w:val="auto"/>
          <w:szCs w:val="24"/>
          <w:highlight w:val="none"/>
        </w:rPr>
        <w:t>第二章  招标需求</w:t>
      </w:r>
      <w:bookmarkEnd w:id="9"/>
      <w:bookmarkEnd w:id="10"/>
    </w:p>
    <w:p>
      <w:pPr>
        <w:spacing w:line="360" w:lineRule="auto"/>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一、项目编号：</w:t>
      </w:r>
      <w:r>
        <w:rPr>
          <w:rFonts w:hint="eastAsia" w:ascii="宋体" w:hAnsi="宋体" w:cs="宋体"/>
          <w:b/>
          <w:color w:val="auto"/>
          <w:sz w:val="24"/>
          <w:highlight w:val="none"/>
          <w:lang w:eastAsia="zh-CN"/>
        </w:rPr>
        <w:t>XSZFCGDZ2023-110</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二、采购项目名称：</w:t>
      </w:r>
      <w:bookmarkStart w:id="11" w:name="_Toc495926918"/>
      <w:r>
        <w:rPr>
          <w:rFonts w:hint="eastAsia" w:ascii="宋体" w:hAnsi="宋体" w:cs="宋体"/>
          <w:b/>
          <w:color w:val="auto"/>
          <w:sz w:val="24"/>
          <w:highlight w:val="none"/>
          <w:lang w:eastAsia="zh-CN"/>
        </w:rPr>
        <w:t>东阳市部分乡镇“多规合一”实用性村庄规划编制项目</w:t>
      </w:r>
      <w:r>
        <w:rPr>
          <w:rFonts w:hint="eastAsia" w:ascii="宋体" w:hAnsi="宋体" w:cs="宋体"/>
          <w:b/>
          <w:color w:val="auto"/>
          <w:sz w:val="24"/>
          <w:highlight w:val="none"/>
        </w:rPr>
        <w:t xml:space="preserve">   </w:t>
      </w:r>
    </w:p>
    <w:bookmarkEnd w:id="11"/>
    <w:tbl>
      <w:tblPr>
        <w:tblStyle w:val="27"/>
        <w:tblW w:w="9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148"/>
        <w:gridCol w:w="2010"/>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48" w:type="dxa"/>
            <w:vAlign w:val="center"/>
          </w:tcPr>
          <w:p>
            <w:pPr>
              <w:spacing w:line="360" w:lineRule="auto"/>
              <w:jc w:val="center"/>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标项</w:t>
            </w:r>
          </w:p>
        </w:tc>
        <w:tc>
          <w:tcPr>
            <w:tcW w:w="4148" w:type="dxa"/>
            <w:vAlign w:val="center"/>
          </w:tcPr>
          <w:p>
            <w:pPr>
              <w:spacing w:line="360" w:lineRule="auto"/>
              <w:jc w:val="center"/>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采购内容</w:t>
            </w:r>
          </w:p>
        </w:tc>
        <w:tc>
          <w:tcPr>
            <w:tcW w:w="2010" w:type="dxa"/>
            <w:vAlign w:val="center"/>
          </w:tcPr>
          <w:p>
            <w:pPr>
              <w:spacing w:line="360" w:lineRule="auto"/>
              <w:jc w:val="center"/>
              <w:outlineLvl w:val="9"/>
              <w:rPr>
                <w:rFonts w:hint="eastAsia" w:ascii="宋体" w:hAnsi="宋体" w:cs="宋体"/>
                <w:b w:val="0"/>
                <w:bCs/>
                <w:color w:val="auto"/>
                <w:sz w:val="24"/>
                <w:szCs w:val="24"/>
                <w:highlight w:val="none"/>
                <w:lang w:eastAsia="zh-CN"/>
              </w:rPr>
            </w:pPr>
            <w:r>
              <w:rPr>
                <w:rFonts w:hint="eastAsia" w:ascii="宋体" w:hAnsi="宋体" w:cs="宋体"/>
                <w:b/>
                <w:bCs w:val="0"/>
                <w:color w:val="auto"/>
                <w:sz w:val="24"/>
                <w:szCs w:val="24"/>
                <w:highlight w:val="none"/>
                <w:lang w:eastAsia="zh-CN"/>
              </w:rPr>
              <w:t>预算金额</w:t>
            </w:r>
          </w:p>
        </w:tc>
        <w:tc>
          <w:tcPr>
            <w:tcW w:w="2873" w:type="dxa"/>
            <w:vAlign w:val="center"/>
          </w:tcPr>
          <w:p>
            <w:pPr>
              <w:spacing w:line="360" w:lineRule="auto"/>
              <w:jc w:val="center"/>
              <w:outlineLvl w:val="9"/>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48"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w:t>
            </w:r>
          </w:p>
        </w:tc>
        <w:tc>
          <w:tcPr>
            <w:tcW w:w="4148"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画水镇洪塘村等 “多规合一”实用性村庄规划</w:t>
            </w:r>
          </w:p>
        </w:tc>
        <w:tc>
          <w:tcPr>
            <w:tcW w:w="201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150万元</w:t>
            </w:r>
          </w:p>
        </w:tc>
        <w:tc>
          <w:tcPr>
            <w:tcW w:w="2873" w:type="dxa"/>
            <w:vAlign w:val="top"/>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画水镇洪塘村、千祥镇三宝村、马宅镇徐宅村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48"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w:t>
            </w:r>
          </w:p>
        </w:tc>
        <w:tc>
          <w:tcPr>
            <w:tcW w:w="4148"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东阳江镇天山村等 “多规合一”实用性村庄规划</w:t>
            </w:r>
          </w:p>
        </w:tc>
        <w:tc>
          <w:tcPr>
            <w:tcW w:w="201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110万元</w:t>
            </w:r>
          </w:p>
        </w:tc>
        <w:tc>
          <w:tcPr>
            <w:tcW w:w="2873" w:type="dxa"/>
            <w:vAlign w:val="top"/>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东阳江镇天山村及铁店区块、东阳江镇三兴村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48"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w:t>
            </w:r>
          </w:p>
        </w:tc>
        <w:tc>
          <w:tcPr>
            <w:tcW w:w="4148"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城东街道单良村等 “多规合一”实用性村庄规划</w:t>
            </w:r>
          </w:p>
        </w:tc>
        <w:tc>
          <w:tcPr>
            <w:tcW w:w="201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100万元</w:t>
            </w:r>
          </w:p>
        </w:tc>
        <w:tc>
          <w:tcPr>
            <w:tcW w:w="2873" w:type="dxa"/>
            <w:vAlign w:val="top"/>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城东街道单良村</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南市街道大联村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48"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w:t>
            </w:r>
          </w:p>
        </w:tc>
        <w:tc>
          <w:tcPr>
            <w:tcW w:w="4148"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巍山镇八字墙村等 “多规合一”实用性村庄规划</w:t>
            </w:r>
          </w:p>
        </w:tc>
        <w:tc>
          <w:tcPr>
            <w:tcW w:w="201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100万元</w:t>
            </w:r>
          </w:p>
        </w:tc>
        <w:tc>
          <w:tcPr>
            <w:tcW w:w="2873" w:type="dxa"/>
            <w:vAlign w:val="top"/>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巍山镇八字墙村、虎鹿镇葛宅村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48"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五</w:t>
            </w:r>
          </w:p>
        </w:tc>
        <w:tc>
          <w:tcPr>
            <w:tcW w:w="4148"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湖溪镇八里湾等 “多规合一”实用性村庄规划</w:t>
            </w:r>
          </w:p>
        </w:tc>
        <w:tc>
          <w:tcPr>
            <w:tcW w:w="201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100万元</w:t>
            </w:r>
          </w:p>
        </w:tc>
        <w:tc>
          <w:tcPr>
            <w:tcW w:w="2873" w:type="dxa"/>
            <w:vAlign w:val="top"/>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湖溪镇八里湾村、湖溪镇金宅村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48"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六</w:t>
            </w:r>
          </w:p>
        </w:tc>
        <w:tc>
          <w:tcPr>
            <w:tcW w:w="4148"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城东街道寀卢村“多规合一”实用性村庄规划</w:t>
            </w:r>
          </w:p>
        </w:tc>
        <w:tc>
          <w:tcPr>
            <w:tcW w:w="201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60万元</w:t>
            </w:r>
          </w:p>
        </w:tc>
        <w:tc>
          <w:tcPr>
            <w:tcW w:w="2873"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城东街道寀卢村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979" w:type="dxa"/>
            <w:gridSpan w:val="4"/>
            <w:vAlign w:val="center"/>
          </w:tcPr>
          <w:p>
            <w:pPr>
              <w:spacing w:line="360" w:lineRule="auto"/>
              <w:rPr>
                <w:rFonts w:hint="default" w:ascii="宋体" w:hAnsi="宋体" w:eastAsia="宋体" w:cs="宋体"/>
                <w:color w:val="auto"/>
                <w:sz w:val="24"/>
                <w:szCs w:val="24"/>
                <w:highlight w:val="none"/>
                <w:lang w:val="en-US" w:eastAsia="zh-CN"/>
              </w:rPr>
            </w:pPr>
            <w:r>
              <w:rPr>
                <w:rFonts w:hint="eastAsia" w:ascii="宋体" w:hAnsi="宋体" w:cs="宋体"/>
                <w:b/>
                <w:bCs/>
                <w:color w:val="auto"/>
                <w:sz w:val="24"/>
                <w:highlight w:val="none"/>
              </w:rPr>
              <w:t>▲</w:t>
            </w:r>
            <w:r>
              <w:rPr>
                <w:rFonts w:hint="eastAsia" w:ascii="宋体" w:hAnsi="宋体" w:cs="宋体"/>
                <w:b/>
                <w:bCs/>
                <w:color w:val="auto"/>
                <w:sz w:val="24"/>
                <w:szCs w:val="24"/>
                <w:highlight w:val="none"/>
                <w:lang w:eastAsia="zh-CN"/>
              </w:rPr>
              <w:t>本项目共分六个标项，</w:t>
            </w:r>
            <w:r>
              <w:rPr>
                <w:rFonts w:hint="eastAsia" w:ascii="宋体" w:hAnsi="宋体"/>
                <w:b/>
                <w:bCs/>
                <w:color w:val="auto"/>
                <w:sz w:val="24"/>
                <w:highlight w:val="none"/>
              </w:rPr>
              <w:t>从履约能力及服务质量方面考虑，</w:t>
            </w:r>
            <w:r>
              <w:rPr>
                <w:rFonts w:hint="eastAsia" w:ascii="宋体" w:hAnsi="宋体" w:cs="宋体"/>
                <w:b/>
                <w:bCs/>
                <w:color w:val="auto"/>
                <w:sz w:val="24"/>
                <w:szCs w:val="24"/>
                <w:highlight w:val="none"/>
                <w:lang w:eastAsia="zh-CN"/>
              </w:rPr>
              <w:t>每家投标人最多可中1个标项（开标评标顺序为：从标项一至标项六依次进行）</w:t>
            </w:r>
            <w:r>
              <w:rPr>
                <w:rFonts w:hint="eastAsia" w:ascii="宋体" w:hAnsi="宋体"/>
                <w:b/>
                <w:bCs/>
                <w:color w:val="auto"/>
                <w:sz w:val="24"/>
                <w:highlight w:val="none"/>
              </w:rPr>
              <w:t xml:space="preserve">，其余标项得分排名再次为第一名时，视为自动放弃其中标资格。 </w:t>
            </w:r>
            <w:r>
              <w:rPr>
                <w:rFonts w:hint="eastAsia" w:ascii="宋体" w:hAnsi="宋体"/>
                <w:color w:val="auto"/>
                <w:sz w:val="24"/>
                <w:highlight w:val="none"/>
                <w:lang w:val="en-US" w:eastAsia="zh-CN"/>
              </w:rPr>
              <w:t xml:space="preserve">     </w:t>
            </w:r>
          </w:p>
        </w:tc>
      </w:tr>
    </w:tbl>
    <w:p>
      <w:pPr>
        <w:spacing w:line="360" w:lineRule="auto"/>
        <w:rPr>
          <w:rFonts w:hint="eastAsia" w:ascii="宋体" w:hAnsi="宋体" w:cs="宋体"/>
          <w:b/>
          <w:bCs/>
          <w:color w:val="auto"/>
          <w:sz w:val="24"/>
          <w:highlight w:val="none"/>
        </w:rPr>
      </w:pPr>
    </w:p>
    <w:p>
      <w:pPr>
        <w:spacing w:line="400" w:lineRule="exact"/>
        <w:jc w:val="left"/>
        <w:rPr>
          <w:rFonts w:ascii="宋体" w:hAnsi="宋体" w:cs="宋体"/>
          <w:b/>
          <w:color w:val="auto"/>
          <w:sz w:val="24"/>
          <w:highlight w:val="none"/>
        </w:rPr>
      </w:pPr>
      <w:r>
        <w:rPr>
          <w:rFonts w:hint="eastAsia" w:ascii="宋体" w:hAnsi="宋体" w:cs="宋体"/>
          <w:b/>
          <w:color w:val="auto"/>
          <w:sz w:val="24"/>
          <w:highlight w:val="none"/>
        </w:rPr>
        <w:t>三、项目背景</w:t>
      </w:r>
    </w:p>
    <w:p>
      <w:pPr>
        <w:spacing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 xml:space="preserve">为深入贯彻落实《关于建立国土空间规划体系并监督实施的若干意见》，坚持新发展理念，坚持以人民为中心，建立科学高效的国土空间规划体系。村庄规划是国土空间规划体系中乡村地区的详细规划，是法定规划，是开展国土空间开发保护活动、实施国土空间用途管制、核发乡村建设工程规划许可、进行各项建设等的法定依据。根据《自然资源部办公厅关于进一步做好村庄规划工作的意见》（自然资办发[2020]57号）文件精神和浙江省自然资源厅关于印发 《浙江省村庄规划“一评估两覆盖三提升” 专项行动计划》的文件要求以及省厅下发的《浙江省村庄规划编制技术要点（试行）》的技术要求，坚持规划先行，推进乡村高质量发展，在充分征求乡镇（街道）意见基础上，开展部分乡镇（街道）“多规合一”实用性村庄规划编制工作。 </w:t>
      </w:r>
    </w:p>
    <w:p>
      <w:pPr>
        <w:spacing w:line="400" w:lineRule="exact"/>
        <w:rPr>
          <w:rFonts w:ascii="宋体" w:hAnsi="宋体" w:cs="宋体"/>
          <w:b/>
          <w:color w:val="auto"/>
          <w:sz w:val="24"/>
          <w:highlight w:val="none"/>
        </w:rPr>
      </w:pPr>
      <w:r>
        <w:rPr>
          <w:rFonts w:hint="eastAsia" w:ascii="宋体" w:hAnsi="宋体" w:cs="宋体"/>
          <w:b/>
          <w:color w:val="auto"/>
          <w:sz w:val="24"/>
          <w:highlight w:val="none"/>
        </w:rPr>
        <w:t>四、规划范围</w:t>
      </w:r>
    </w:p>
    <w:p>
      <w:pPr>
        <w:spacing w:line="400" w:lineRule="exact"/>
        <w:ind w:firstLine="360" w:firstLineChars="150"/>
        <w:rPr>
          <w:rFonts w:ascii="宋体" w:hAnsi="宋体" w:cs="宋体"/>
          <w:color w:val="auto"/>
          <w:sz w:val="24"/>
          <w:highlight w:val="none"/>
        </w:rPr>
      </w:pPr>
      <w:r>
        <w:rPr>
          <w:rFonts w:hint="eastAsia" w:ascii="宋体" w:hAnsi="宋体" w:cs="宋体"/>
          <w:bCs/>
          <w:color w:val="auto"/>
          <w:sz w:val="24"/>
          <w:highlight w:val="none"/>
        </w:rPr>
        <w:t>标项一：</w:t>
      </w:r>
      <w:r>
        <w:rPr>
          <w:rFonts w:hint="eastAsia" w:ascii="宋体" w:hAnsi="宋体" w:cs="宋体"/>
          <w:color w:val="auto"/>
          <w:sz w:val="24"/>
          <w:highlight w:val="none"/>
        </w:rPr>
        <w:t>画水镇洪塘村等 “多规合一”实用性村庄规划，包括了画水镇洪塘村、千祥镇三宝村、马宅镇徐宅村三个行政村；金额150.00万元。</w:t>
      </w:r>
    </w:p>
    <w:p>
      <w:pPr>
        <w:spacing w:line="400" w:lineRule="exact"/>
        <w:ind w:firstLine="360" w:firstLineChars="150"/>
        <w:rPr>
          <w:rFonts w:ascii="宋体" w:hAnsi="宋体" w:cs="宋体"/>
          <w:color w:val="auto"/>
          <w:sz w:val="24"/>
          <w:highlight w:val="none"/>
        </w:rPr>
      </w:pPr>
      <w:r>
        <w:rPr>
          <w:rFonts w:hint="eastAsia" w:ascii="宋体" w:hAnsi="宋体" w:cs="宋体"/>
          <w:bCs/>
          <w:color w:val="auto"/>
          <w:sz w:val="24"/>
          <w:highlight w:val="none"/>
        </w:rPr>
        <w:t>标项二：</w:t>
      </w:r>
      <w:r>
        <w:rPr>
          <w:rFonts w:hint="eastAsia" w:ascii="宋体" w:hAnsi="宋体" w:cs="宋体"/>
          <w:color w:val="auto"/>
          <w:sz w:val="24"/>
          <w:highlight w:val="none"/>
        </w:rPr>
        <w:t>东阳江镇天山村等 “多规合一”实用性村庄规划，包括了东阳江镇天山村及铁店区块、东阳江镇三兴村；金额110.00万元。</w:t>
      </w:r>
    </w:p>
    <w:p>
      <w:pPr>
        <w:spacing w:line="400" w:lineRule="exact"/>
        <w:ind w:firstLine="360" w:firstLineChars="150"/>
        <w:rPr>
          <w:rFonts w:ascii="宋体" w:hAnsi="宋体" w:cs="宋体"/>
          <w:color w:val="auto"/>
          <w:sz w:val="24"/>
          <w:highlight w:val="none"/>
        </w:rPr>
      </w:pPr>
      <w:r>
        <w:rPr>
          <w:rFonts w:hint="eastAsia" w:ascii="宋体" w:hAnsi="宋体" w:cs="宋体"/>
          <w:bCs/>
          <w:color w:val="auto"/>
          <w:sz w:val="24"/>
          <w:highlight w:val="none"/>
        </w:rPr>
        <w:t>标项三：</w:t>
      </w:r>
      <w:r>
        <w:rPr>
          <w:rFonts w:hint="eastAsia" w:ascii="宋体" w:hAnsi="宋体" w:cs="宋体"/>
          <w:color w:val="auto"/>
          <w:sz w:val="24"/>
          <w:highlight w:val="none"/>
        </w:rPr>
        <w:t>城东街道单良村等 “多规合一”实用性村庄规划，包括了城东街道单良村、南市街道大联村两个行政村；金额100.00万元。</w:t>
      </w:r>
    </w:p>
    <w:p>
      <w:pPr>
        <w:spacing w:line="400" w:lineRule="exact"/>
        <w:ind w:firstLine="360" w:firstLineChars="150"/>
        <w:rPr>
          <w:rFonts w:ascii="宋体" w:hAnsi="宋体" w:cs="宋体"/>
          <w:color w:val="auto"/>
          <w:sz w:val="24"/>
          <w:highlight w:val="none"/>
        </w:rPr>
      </w:pPr>
      <w:r>
        <w:rPr>
          <w:rFonts w:hint="eastAsia" w:ascii="宋体" w:hAnsi="宋体" w:cs="宋体"/>
          <w:bCs/>
          <w:color w:val="auto"/>
          <w:sz w:val="24"/>
          <w:highlight w:val="none"/>
        </w:rPr>
        <w:t>标项四：</w:t>
      </w:r>
      <w:r>
        <w:rPr>
          <w:rFonts w:hint="eastAsia" w:ascii="宋体" w:hAnsi="宋体" w:cs="宋体"/>
          <w:color w:val="auto"/>
          <w:sz w:val="24"/>
          <w:highlight w:val="none"/>
        </w:rPr>
        <w:t>巍山镇八字墙村等 “多规合一”实用性村庄规划，包括了巍山镇八字墙村、虎鹿镇葛宅村两个行政村；金额100.00万元。</w:t>
      </w:r>
    </w:p>
    <w:p>
      <w:pPr>
        <w:spacing w:line="400" w:lineRule="exact"/>
        <w:ind w:firstLine="360" w:firstLineChars="150"/>
        <w:rPr>
          <w:rFonts w:ascii="宋体" w:hAnsi="宋体" w:cs="宋体"/>
          <w:color w:val="auto"/>
          <w:sz w:val="24"/>
          <w:highlight w:val="none"/>
        </w:rPr>
      </w:pPr>
      <w:r>
        <w:rPr>
          <w:rFonts w:hint="eastAsia" w:ascii="宋体" w:hAnsi="宋体" w:cs="宋体"/>
          <w:bCs/>
          <w:color w:val="auto"/>
          <w:sz w:val="24"/>
          <w:highlight w:val="none"/>
        </w:rPr>
        <w:t>标项五：</w:t>
      </w:r>
      <w:r>
        <w:rPr>
          <w:rFonts w:hint="eastAsia" w:ascii="宋体" w:hAnsi="宋体" w:cs="宋体"/>
          <w:color w:val="auto"/>
          <w:sz w:val="24"/>
          <w:highlight w:val="none"/>
        </w:rPr>
        <w:t>湖溪镇八里湾等 “多规合一”实用性村庄规划，包括了湖溪镇八里湾村、湖溪镇金宅村；金额100.00万元。</w:t>
      </w:r>
    </w:p>
    <w:p>
      <w:pPr>
        <w:spacing w:line="400" w:lineRule="exact"/>
        <w:ind w:firstLine="360" w:firstLineChars="150"/>
        <w:rPr>
          <w:rFonts w:ascii="宋体" w:hAnsi="宋体" w:cs="宋体"/>
          <w:color w:val="auto"/>
          <w:sz w:val="24"/>
          <w:highlight w:val="none"/>
        </w:rPr>
      </w:pPr>
      <w:r>
        <w:rPr>
          <w:rFonts w:hint="eastAsia" w:ascii="宋体" w:hAnsi="宋体" w:cs="宋体"/>
          <w:bCs/>
          <w:color w:val="auto"/>
          <w:sz w:val="24"/>
          <w:highlight w:val="none"/>
        </w:rPr>
        <w:t>标项六：</w:t>
      </w:r>
      <w:r>
        <w:rPr>
          <w:rFonts w:hint="eastAsia" w:ascii="宋体" w:hAnsi="宋体" w:cs="宋体"/>
          <w:color w:val="auto"/>
          <w:sz w:val="24"/>
          <w:highlight w:val="none"/>
        </w:rPr>
        <w:t>城东街道寀卢村“多规合一”实用性村庄规划；金额60.00万元。</w:t>
      </w:r>
    </w:p>
    <w:p>
      <w:pPr>
        <w:spacing w:line="400" w:lineRule="exact"/>
        <w:rPr>
          <w:rFonts w:ascii="宋体" w:hAnsi="宋体" w:cs="宋体"/>
          <w:b/>
          <w:color w:val="auto"/>
          <w:sz w:val="24"/>
          <w:highlight w:val="none"/>
        </w:rPr>
      </w:pPr>
      <w:r>
        <w:rPr>
          <w:rFonts w:hint="eastAsia" w:ascii="宋体" w:hAnsi="宋体" w:cs="宋体"/>
          <w:b/>
          <w:color w:val="auto"/>
          <w:sz w:val="24"/>
          <w:highlight w:val="none"/>
        </w:rPr>
        <w:t>五、招标内容</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规划编制主要任务以《浙江省村庄规划编制技术要点（试行）》为依据，并根据自然资源部、省自然资源厅相关要求与东阳市及乡镇发展实际情况，具体如下：</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一）规划内容</w:t>
      </w:r>
    </w:p>
    <w:p>
      <w:pPr>
        <w:spacing w:line="400" w:lineRule="exact"/>
        <w:ind w:firstLine="482" w:firstLineChars="200"/>
        <w:jc w:val="left"/>
        <w:rPr>
          <w:rFonts w:ascii="宋体" w:hAnsi="宋体" w:cs="宋体"/>
          <w:b/>
          <w:bCs/>
          <w:color w:val="auto"/>
          <w:sz w:val="24"/>
          <w:highlight w:val="none"/>
        </w:rPr>
      </w:pPr>
      <w:bookmarkStart w:id="12" w:name="_Toc10087"/>
      <w:bookmarkStart w:id="13" w:name="_Toc19626"/>
      <w:r>
        <w:rPr>
          <w:rFonts w:hint="eastAsia" w:ascii="宋体" w:hAnsi="宋体" w:cs="宋体"/>
          <w:b/>
          <w:bCs/>
          <w:color w:val="auto"/>
          <w:sz w:val="24"/>
          <w:highlight w:val="none"/>
        </w:rPr>
        <w:t>1、目标定位</w:t>
      </w:r>
      <w:bookmarkEnd w:id="12"/>
      <w:bookmarkEnd w:id="13"/>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规划及相关专项规划的各项控制指标和要求，充分考虑人口资源环境条件和经济社会发展、人居环境整治等要求，明确村庄发展定位，研究制定村庄发展目标、国土空间开发保护目标、人居环境整治目标。</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结合上位规划的要求及村规划管控目标，制定村规划控制指标。</w:t>
      </w:r>
    </w:p>
    <w:p>
      <w:pPr>
        <w:spacing w:line="400" w:lineRule="exact"/>
        <w:ind w:firstLine="482" w:firstLineChars="200"/>
        <w:jc w:val="left"/>
        <w:rPr>
          <w:rFonts w:ascii="宋体" w:hAnsi="宋体" w:cs="宋体"/>
          <w:b/>
          <w:bCs/>
          <w:color w:val="auto"/>
          <w:sz w:val="24"/>
          <w:highlight w:val="none"/>
        </w:rPr>
      </w:pPr>
      <w:bookmarkStart w:id="14" w:name="_Toc30009"/>
      <w:bookmarkStart w:id="15" w:name="_Toc24310"/>
      <w:bookmarkStart w:id="16" w:name="_Toc29750"/>
      <w:r>
        <w:rPr>
          <w:rFonts w:hint="eastAsia" w:ascii="宋体" w:hAnsi="宋体" w:cs="宋体"/>
          <w:b/>
          <w:bCs/>
          <w:color w:val="auto"/>
          <w:sz w:val="24"/>
          <w:highlight w:val="none"/>
        </w:rPr>
        <w:t>2、空间控制底线和强制性内容</w:t>
      </w:r>
      <w:bookmarkEnd w:id="14"/>
      <w:bookmarkEnd w:id="15"/>
      <w:bookmarkEnd w:id="16"/>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（1）空间控制底线</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明确本编制单元内生态保护红线、永久基本农田、村庄建设边界、历史文化保护控制线、重要基础设施廊道控制线以及其他重要控制线的空间分布与坐标定位。开展落实生态保护红线、永久基本农田进行划区定界工作。</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（2）强制性内容</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村庄规划中的强制性内容应在规划管理中严格遵守，是对村庄规划实施进行监督检查的重要依据，须在成果中进行明确标识。强制性内容包括：</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上位规划的约束性指标和重要控制线</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重要控制线：村庄建设用地边界线。</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约束性指标：永久基本农田保护面积、生态保护红线面积、耕地保有量、城乡建设用地规模、村庄建设用地规模、补充耕地面积、建设用地复垦面积、生态修复面积等。</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需要控制的用地布局：集体经营性建设用地、农村产业用地的强度、用途和布局；农村宅基地的规模和范围；土地综合整治与修复的范围；道路建设退距；主要市政设施和公共服务设施的规模和范围，尤其是邻避设施和公益性公共服务设施的位置和规模；避灾点的位置和规模、危险品生产仓储用地和通道；村庄居民点范围内的河道、水库、山塘等主要水域的范围。</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历史文化保护：历史文化保护名录、保护范围和保护要求。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村庄风貌管控要求：村庄主要公共建筑的体量、高度、风格；村口、公共活动空间、主要街巷等重要节点的设计要求；村民自建房屋的高度、风格。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区块法定图则和地块法定图则中的强制性内容。</w:t>
      </w:r>
    </w:p>
    <w:p>
      <w:pPr>
        <w:spacing w:line="400" w:lineRule="exact"/>
        <w:ind w:firstLine="482" w:firstLineChars="200"/>
        <w:jc w:val="left"/>
        <w:rPr>
          <w:rFonts w:ascii="宋体" w:hAnsi="宋体" w:cs="宋体"/>
          <w:b/>
          <w:bCs/>
          <w:color w:val="auto"/>
          <w:sz w:val="24"/>
          <w:highlight w:val="none"/>
        </w:rPr>
      </w:pPr>
      <w:bookmarkStart w:id="17" w:name="_Toc4816"/>
      <w:bookmarkStart w:id="18" w:name="_Toc31271"/>
      <w:bookmarkStart w:id="19" w:name="_Toc4217"/>
      <w:r>
        <w:rPr>
          <w:rFonts w:hint="eastAsia" w:ascii="宋体" w:hAnsi="宋体" w:cs="宋体"/>
          <w:b/>
          <w:bCs/>
          <w:color w:val="auto"/>
          <w:sz w:val="24"/>
          <w:highlight w:val="none"/>
        </w:rPr>
        <w:t>3、用地布局</w:t>
      </w:r>
      <w:bookmarkEnd w:id="17"/>
      <w:bookmarkEnd w:id="18"/>
      <w:bookmarkEnd w:id="19"/>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（1）生态用地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林地规划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三区三线”划定成果，明确新增林地面积、空间范围，落实林地保有量指标要求；落实上位（专项）规划确定的生态廊道，强化主要道路、河道两侧的林带建设，开展农田防护林布局，明确位置和宽度；明确林地种类，如生态公益林、商品林等类型；根据村庄林业产业发展潜力和需求，开展林相改造、公益林种植、林地结构调整、空间布局规划、保护与利用方向确定等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湿地和水域</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明确湿地的类型，优化湿地空间布局，落实湿地面积指标要求。结合上位（专项）规划内容，确定规划范围内主要河道的宽度、长度、等级，明确防洪、排涝标准，开展河道整治，包括河道清淤、生态护岸、岸坡绿化、生态湿地建设等；明确湖、库、水塘等水面水体的边界、保护范围界限；明确各水体的水质要求，落实水质达标率指标要求；确定单元内主要的灌溉与排水方式，提出生态沟渠的布置要求，明确位置、宽度和长度。</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（2）农用地布局</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耕地规划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三区三线”划定成果，以耕地资源永续利用为目标，加强耕地保护，提高耕地地力和生产效益，结合上位规划的内容，根据“大稳定，小调整”的原则，将耕地保有量、永久基本农田保护面积、粮食功能区、高标准农田等落实到地块，确保数量不减少、质量不降低，功能有提升，并分别制定保护措施。根据宜耕后备资源潜力调查与分析结果，明确土地整治新增耕地的类型、数量和位置。</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加强对特色农产品、传统农耕文化种植空间的保护，对于具有农业规模经营、特色农产品生产特征的村庄，确定农业主导产业和特色农业精品产业等主题， 明确特色农产品生产空间的位置和面积，提出促进农业产业发展的措施。</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优化园地空间布局，明确园地的空间范围，加强对特色农产品、地理标志农产品、传统农耕文化种植空间的保护，明确其分布位置和面积，提出保护措施。</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（3）建设用地布局</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农村居民点用地</w:t>
      </w:r>
    </w:p>
    <w:p>
      <w:pPr>
        <w:numPr>
          <w:ilvl w:val="0"/>
          <w:numId w:val="4"/>
        </w:numPr>
        <w:spacing w:line="400" w:lineRule="exact"/>
        <w:jc w:val="left"/>
        <w:rPr>
          <w:rFonts w:ascii="宋体" w:hAnsi="宋体" w:cs="宋体"/>
          <w:color w:val="auto"/>
          <w:sz w:val="24"/>
          <w:highlight w:val="none"/>
        </w:rPr>
      </w:pPr>
      <w:r>
        <w:rPr>
          <w:rFonts w:hint="eastAsia" w:ascii="宋体" w:hAnsi="宋体" w:cs="宋体"/>
          <w:color w:val="auto"/>
          <w:sz w:val="24"/>
          <w:highlight w:val="none"/>
        </w:rPr>
        <w:t>村庄宅基地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按照上位规划确定的农村居民点布局和建设用地管控要求，对农村人口进行合理分析，科学预测，严格落实“一户一宅”，合理确定村庄宅基地规模，在村庄建设边界内划定宅基地建设范围。规划应着重考虑无房户、危房户、困难户的住房需求以及因古建筑和传统风貌保护、公益建设和防灾减灾工程带来的安置区新增住宅用地刚性需求，新增宅基地规模应符合省、市及东阳市有关政策要求。</w:t>
      </w:r>
    </w:p>
    <w:p>
      <w:pPr>
        <w:pStyle w:val="62"/>
        <w:numPr>
          <w:ilvl w:val="0"/>
          <w:numId w:val="4"/>
        </w:numPr>
        <w:spacing w:line="4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农村居民点用地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按照城乡基本公共服务均等化要求和乡村生活圈理念，充分结合村民生产生活方式，明确养老设施用地等农村社区服务设施用地、农村公共管理与公共服务用地、农村绿地和开敞空间用地等各类建设用地界线、用地性质、用地规模和控制要求。遵循集约节约用地的原则，公共服务设施宜相对集中布置，充分利用村庄存量建设用地，并考虑混合使用、形成规模，成为村庄的公共活动和景观中心。</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农村产业用地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统筹并合理安排集体经营性建设用地布局、用途和强度，引导优先使用存量集体经营性建设用地，合理确定新增集体经营性建设用地规模，鼓励乡村重点产业和项目使用集体经营性建设用地，合理保障农产品生产、加工、营销、乡村旅游配套等农村新产业新业态发展用地。 </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引导工业向城镇产业空间集聚，规模较大、工业化程度高、分散布局配套设施成本高的产业项目要进产业园区；具有一定规模的农产品加工要向县城或有条件的乡镇城镇开发边界内集聚；直接服务种植养殖业的农产品加工、电子商务、仓储保鲜冷链、产地低温直销配送等产业，原则上应集中在行政村村庄建设边界内。利用农村本地资源开展农产品初加工、发展休闲观光旅游而必须的配套设施建设，可在不占用永久基本农田和生态保护红线、不突破国土空间规划建设用地指标等约束条件、不破坏生态环境和乡村风貌的前提下，在村庄建设边界外安排少量建设用地，实行比例和面积控制。</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农业生产需求，合理配置农业生产设施建设用地、畜禽养殖设施建设用地、水产养殖设施建设用地，明确新增、保留、复垦及改造要求；严格控制其用地范围，明确新增和保留的农业生产用地的规模、布局、建设标准等相关规划内容。应尽量利用荒山荒坡等未利用地和低效闲置土地，严禁占用永久基本农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其他建设用地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明确农村工矿用地、交通设施用地、农村公用设施用地、村庄留白用地、特殊用地等用地的性质、规模、空间范围和控制要求。落实上位规划、专项规划中明确的交通设施、市政设施、水利、能源等项目，在空间布局和规模上做好项目落地的规划衔接。统筹布局各类村级基础设施用地。在摸清村内的矿产资源分布情况的基础上，做好矿地的开发管理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（4）土地综合整治与修复</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生态修复</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落实上位规划确定的国土空间综合整治目标和项目安排，针对矿山、森林、流域（河湖湿地）等各项生态要素现状存在的生态问题，明确各类生态修复的类型、空间范围、修复方式及修复标准。</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农用地整治</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规划确定的国土空间综合整治目标和项目安排，明确各类农用地整治的类型、范围、新增耕地面积和新增高标准农田面积。包括耕地“非粮化”整治、耕地质量提升、整治补充耕地、建设用地复垦和耕地生态建设。</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建设用地整治</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规划确定的国土空间综合整治目标和项目安排，整理清退违法违章建筑、低效闲置的农村建设用地、零散工业用地，提出规划期保留、扩建、改建、新建或拆除等处置方式，明确建设用地整治类型、范围、建设用地减量化指标和新增耕地面积等。</w:t>
      </w:r>
    </w:p>
    <w:p>
      <w:pPr>
        <w:spacing w:line="400" w:lineRule="exact"/>
        <w:ind w:firstLine="482" w:firstLineChars="200"/>
        <w:jc w:val="left"/>
        <w:rPr>
          <w:rFonts w:ascii="宋体" w:hAnsi="宋体" w:cs="宋体"/>
          <w:b/>
          <w:bCs/>
          <w:color w:val="auto"/>
          <w:sz w:val="24"/>
          <w:highlight w:val="none"/>
        </w:rPr>
      </w:pPr>
      <w:bookmarkStart w:id="20" w:name="_Toc29593"/>
      <w:bookmarkStart w:id="21" w:name="_Toc14954"/>
      <w:bookmarkStart w:id="22" w:name="_Toc14361"/>
      <w:r>
        <w:rPr>
          <w:rFonts w:hint="eastAsia" w:ascii="宋体" w:hAnsi="宋体" w:cs="宋体"/>
          <w:b/>
          <w:bCs/>
          <w:color w:val="auto"/>
          <w:sz w:val="24"/>
          <w:highlight w:val="none"/>
        </w:rPr>
        <w:t>4、公共服务设施与基础设施布局</w:t>
      </w:r>
      <w:bookmarkEnd w:id="20"/>
      <w:bookmarkEnd w:id="21"/>
      <w:bookmarkEnd w:id="22"/>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（1）公共服务设施规划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专项）规划对公共服务设施的要求，按照城乡基本公共服务均等化要求和乡村生活圈理念，结合村庄居民点布局以及村民实际需求，梳理村庄现状缺少及配置不达标的公共服务设施项目，合理配置各类村庄公共服务设施，具体包括村委会、文化礼堂、文化活动场所、健身场地、村卫生所、快递服务、农贸市场、养老服务设施、教育设施等。确定公共服务设施配置内容和建设要求，明确各类设施的规模、布局、标准等。暂时无法明确位置、无需独立用地等情形的公共服务设施可采用“点位+清单”的控制方式。</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集聚建设村、整治提升村和特色保护村应根据现状公共服务设施分布、村民住宅布局等情况，在满足建设要求的基础上，采用新建、扩建等多种方式灵活布局。特色保护村应根据村庄特色需求，可重点考虑配置一些与文化旅游相关的公共服务设施。城郊融合村可根据自身区位条件与需要，因地制宜与城镇公共服务设施共享配置，从合理性和避免重复建设出发，适当调整设施配置项目和标准。搬迁撤并村可根据自身实际情况酌情降低设施的配置标准。</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（2）交通设施规划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道路规划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落实上位（专项）规划确定的各类道路交通设施，做好用地预留和布局衔接。根据需要因地制宜制定与过境公路衔接的村道规划方案，细化路网布局，明确各类道路等级、走向和用地安排。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村庄规模和集聚程度，选择相应的村庄内部道路等级与建设标准。规模较大的村庄可按照干路、支路和宅前路进行分级设置，规模较小、用地紧张的村庄可酌情确定道路等级与建设标准，明确各类道路宽度，有需要的可细化断面形式，提出道路沿线廊道控制、建设退距、绿化景观等管控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规划田间道路系统整体格局，确定复垦、新增、改造的田间道路，明确总长度和路网密度，以及各条道路的宽度（含路基）、长度。</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对于乡村产业发展特色的村庄，可因地制宜规划绿道、骑行道、慢行道等旅游特色道路，可结合现有道路设置，也可以单独设置，应明确其布局、长度和建设要求。对于有需求的村庄，还应规划冷链物流通道等保障农业生产的特色通道，明确其布局、长度和建设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交通场所规划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综合考虑农村实际需要，充分结合公共广场、路边等地，因地制宜规划布局公交站场和停车场地。多层住宅停车场地宜集中布置，低层住宅停车可结合农房宅院、宅前路分散布置，鼓励地下空间的使用。有特殊功能（如乡村旅游）的村庄，要考虑停车安全和减少对村民的干扰，可在村口、公共活动中心等附近集中布局一定规模的停车场，鼓励建设地下停车场，也可因地制宜设置用地复合的季节性停车场。</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（3）市政设施规划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专项）规划中给水、排水、供电、通信、燃气、环卫等市政公用设施布局、规模和建设要求，做好用地预留和布局衔接。明确村级市政设施的布局、规模和建设标准，根据需要，明确必要的管线布局，加强相关用地的规划保障落实。</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（4）安全与防灾规划</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落实上位规划对安全和防灾减灾的工作要求，分析村域内地质灾害、洪涝等隐患，划定灾害影响范围和安全防护范围，明确防洪排涝、地质灾害防治、防台抗震、卫生防疫等防灾减灾设施的布局、面积、建设标准和灾害应对措施。</w:t>
      </w:r>
    </w:p>
    <w:p>
      <w:pPr>
        <w:spacing w:line="400" w:lineRule="exact"/>
        <w:ind w:firstLine="482" w:firstLineChars="200"/>
        <w:jc w:val="left"/>
        <w:rPr>
          <w:rFonts w:ascii="宋体" w:hAnsi="宋体" w:cs="宋体"/>
          <w:b/>
          <w:bCs/>
          <w:color w:val="auto"/>
          <w:sz w:val="24"/>
          <w:highlight w:val="none"/>
        </w:rPr>
      </w:pPr>
      <w:bookmarkStart w:id="23" w:name="_Toc23063"/>
      <w:bookmarkStart w:id="24" w:name="_Toc21632"/>
      <w:bookmarkStart w:id="25" w:name="_Toc28641"/>
      <w:r>
        <w:rPr>
          <w:rFonts w:hint="eastAsia" w:ascii="宋体" w:hAnsi="宋体" w:cs="宋体"/>
          <w:b/>
          <w:bCs/>
          <w:color w:val="auto"/>
          <w:sz w:val="24"/>
          <w:highlight w:val="none"/>
        </w:rPr>
        <w:t>5、景观风貌与村庄设计要求</w:t>
      </w:r>
      <w:bookmarkEnd w:id="23"/>
      <w:bookmarkEnd w:id="24"/>
      <w:bookmarkEnd w:id="25"/>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（1）风貌特色保护引导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充分结合地形地貌、山体水系等自然环境条件，传承村庄历史文化，引导村庄形成与自然环境、地域特色相融合的空间形态，提出村庄与周边山水相互依存的规划要求。通过对村庄原有自然水系、街巷格局、建筑群落等空间肌理的研究，提出旧村改造和新村建设中空间肌理保护延续的规划要求。继承和发扬传统文化，适当建设标志性的公共建筑，突出不同地域的特色风貌。特殊管控区域体量高度</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（2）公共空间布局引导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结合生产生活需求，合理布置公共服务设施和住宅，形成公共空间体系化布局；从居民的实际需求出发，充分考虑现代化农业生产和农民生活习惯，形成具有地域文化气息的公共空间场所。对公共空间和标志性公共建筑的规划设计提出要求，引导形成与山水格局、村庄肌理、既有建设相协调的、具有本地特色的建筑风貌。</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（3）绿化景观设计引导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充分考虑村庄与自然的有机融合，合理确定各类绿地的规模和布局，提出村庄环境绿化美化的措施，确定本土绿化植物种类；提出村庄闲置房屋和闲置用地的整治和改造利用措施；提出沟渠水塘、壕沟寨墙、堤坝桥涵、石阶铺地、码头驳岸等的整治措施；提出村口、公共活动空间、主要街巷等重要节点的景观整治措施。</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（4）建筑设计引导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村庄建筑设计应因地制宜，重视对传统民俗文化的继承和利用，体现地方乡土特色；充分考虑农业生产和农民生活习惯的要求，做到“经济实用、就地取材、错落有致、美观大方”，挖掘、梳理、展示东阳民居特色，每村需提供至少一套推荐标准户型；同时提出现状农房、庭院整治措施，并对村民自建房屋的风格、色彩、高度、层数等进行规划引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（5）环境小品设计引导</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对环境设施小品提出设计引导要求，主要包括场地铺装、围栏、花坛、园灯、座椅、雕塑、宣传栏、废物箱等。</w:t>
      </w:r>
    </w:p>
    <w:p>
      <w:pPr>
        <w:pStyle w:val="26"/>
        <w:spacing w:line="400" w:lineRule="exact"/>
        <w:ind w:left="0" w:leftChars="0" w:firstLine="0" w:firstLineChars="0"/>
        <w:rPr>
          <w:rFonts w:ascii="宋体" w:hAnsi="宋体" w:cs="宋体"/>
          <w:color w:val="auto"/>
          <w:sz w:val="24"/>
          <w:highlight w:val="none"/>
        </w:rPr>
      </w:pPr>
      <w:r>
        <w:rPr>
          <w:rFonts w:hint="eastAsia" w:ascii="宋体" w:hAnsi="宋体" w:cs="宋体"/>
          <w:color w:val="auto"/>
          <w:sz w:val="24"/>
          <w:highlight w:val="none"/>
        </w:rPr>
        <w:t>　　（6）乡村设计引导</w:t>
      </w:r>
    </w:p>
    <w:p>
      <w:pPr>
        <w:pStyle w:val="26"/>
        <w:spacing w:line="400" w:lineRule="exact"/>
        <w:ind w:left="0" w:leftChars="0" w:firstLine="0" w:firstLineChars="0"/>
        <w:rPr>
          <w:rFonts w:ascii="宋体" w:hAnsi="宋体" w:cs="宋体"/>
          <w:color w:val="auto"/>
          <w:sz w:val="24"/>
          <w:highlight w:val="none"/>
        </w:rPr>
      </w:pPr>
      <w:r>
        <w:rPr>
          <w:rFonts w:hint="eastAsia" w:ascii="宋体" w:hAnsi="宋体" w:cs="宋体"/>
          <w:color w:val="auto"/>
          <w:sz w:val="24"/>
          <w:highlight w:val="none"/>
        </w:rPr>
        <w:t xml:space="preserve"> 　　需完成重要节点区域的乡村设计。</w:t>
      </w:r>
    </w:p>
    <w:p>
      <w:pPr>
        <w:spacing w:line="400" w:lineRule="exact"/>
        <w:ind w:firstLine="482" w:firstLineChars="200"/>
        <w:jc w:val="left"/>
        <w:rPr>
          <w:rFonts w:ascii="宋体" w:hAnsi="宋体" w:cs="宋体"/>
          <w:b/>
          <w:bCs/>
          <w:color w:val="auto"/>
          <w:sz w:val="24"/>
          <w:highlight w:val="none"/>
        </w:rPr>
      </w:pPr>
      <w:bookmarkStart w:id="26" w:name="_Toc5504"/>
      <w:bookmarkStart w:id="27" w:name="_Toc9251"/>
      <w:bookmarkStart w:id="28" w:name="_Toc1841"/>
      <w:r>
        <w:rPr>
          <w:rFonts w:hint="eastAsia" w:ascii="宋体" w:hAnsi="宋体" w:cs="宋体"/>
          <w:b/>
          <w:bCs/>
          <w:color w:val="auto"/>
          <w:sz w:val="24"/>
          <w:highlight w:val="none"/>
        </w:rPr>
        <w:t>6、区块管控</w:t>
      </w:r>
      <w:bookmarkEnd w:id="26"/>
      <w:bookmarkEnd w:id="27"/>
      <w:bookmarkEnd w:id="28"/>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（1）区块法定图则</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村庄规划应绘制区块法定图则，以行政边界、道路、水系、山体、已经明确的各类项目范围线等具有实际意义的地理边线为界，根据农村居民点建设、集体经营性建设用地建设、土地综合整治和生态修复等主导功能将村庄划分为若干个区块并编制区块法定图则，明确相关控制线和规划控制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其中涉及村庄居民点建设、集体经营性建设用地建设、土地综合整治和生态修复用地的必须编制区块法定图则。其他区块视情况编制区块法定图则，允许分步编制，分步报批。每个区块编制法定图则，应根据区块中涉及的要素情况选择应明确的图示和指标，在符合一定条件的前提下，允许虚位控制的设施、指标等非强制性管控内容在区块范围内进行调整。</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（2）生态保护红线</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涉及到生态保护红线的区块，应明确生态保护红线的边界范围、坐标、面积和责任人，标注生态保护红线涉及到的自然保护地等重要生态功能区的名录、范围和面积。</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（3）生态修复</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涉及到生态修复的区块，应明确区块内生态修复的项目名称、生态修复的类型、空间范围、修复方式、修复标准。</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（4）耕地和永久基本农田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涉及到耕地和永久基本农田的区块，应明确耕地的面积和分布范围；明确永久基本农田的范围、坐标、面积；还应明确区块中涉及的高标准农田、粮食功能区的范围和面积。</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（5）农用地综合整治</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农用地综合整治的区块，应明确各类项目的整治类型、范围、方式和标准，明确新增耕地、新增高标准农田面积和范围，应图示田块的数量、形状与布局，确定水利设施建设的数量、等级和位置，确定区内交通道路、田间道的类型、数量及位置，确定生态防护林的布局、规模、结构、树种和数量。</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（6）村庄居民点</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涉及到农村居民点的区块，应明确农村宅基地、农村社区服务设施用地、农村绿地与开敞空间用地、农村产业用地、交通设施用地等各类用地的空间范围和面积。</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农村宅基地应明确规划期保留、新（扩）建或拆除住宅的位置与规模，明确可安置的人口规模，对新建农村住宅的风貌提出引导要求。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农村社区服务设施用地、农村公共管理与公共服务用地应明确各类服务设施的范围、占地面积、建筑面积和清单列表，没有独立占地的设施可以点位进行明确位置。在此基础上，对各类服务设施集中建设的农村公共中心提出风貌引导要求，有必要也可对服务设施集中建设地块的容积率、建筑限高、出入口位置、建筑退线等提出管控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农村绿地与开敞空间用地应明确公园绿地、防护绿地和广场用地的范围和占地面积，对植被覆盖率提出引导要求。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（7）集体经营性建设用地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到集体经营性建设用地的区块，应明确保留、新（扩）建或拆除集体经营性建设用地的范围、规模和权属；明确规划集体经营性建设用地的用地类型、范围、面积、准入负面清单，有必要也可对集体经营性建设用地的容积率、建筑限高、出入口位置、建筑退线等提出管控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（8）建设用地整治</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到建设用地整治的区块，应明确整治项目的范围、面积和类型，明确建设用地拆旧和建新地块的图斑范围和面积，明确建设用地指标净变化值，明确规划建设用地的用地类型、面积和范围，有必要的区块也可提出环境整治引导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（9）农村产业建设用地</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乡村振兴产业项目发展建设用地的区块，应明确产业项目准入要求，提出负面清单，明确建设用地的规模、类型（更新、新增）、布局（可虚位控制），提出单一地块的用地规模上限、建设强度，有必要也可对建设用地的容积率、建筑限高、出入口位置、建筑退线等提出管控要求。</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（10）历史文化保护</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涉及历史文化保护要素的区块，应明确历史文化保护和控制范围、面积和保护要求，明确历史文化保护要素的名录、保护等级，并对历史文化保护要素周边建设的风貌提出控制引导要求。</w:t>
      </w:r>
    </w:p>
    <w:p>
      <w:pPr>
        <w:spacing w:line="400" w:lineRule="exact"/>
        <w:ind w:firstLine="482" w:firstLineChars="200"/>
        <w:jc w:val="left"/>
        <w:rPr>
          <w:rFonts w:ascii="宋体" w:hAnsi="宋体" w:cs="宋体"/>
          <w:b/>
          <w:bCs/>
          <w:color w:val="auto"/>
          <w:sz w:val="24"/>
          <w:highlight w:val="none"/>
        </w:rPr>
      </w:pPr>
      <w:bookmarkStart w:id="29" w:name="_Toc4445"/>
      <w:bookmarkStart w:id="30" w:name="_Toc9017"/>
      <w:bookmarkStart w:id="31" w:name="_Toc31524"/>
      <w:r>
        <w:rPr>
          <w:rFonts w:hint="eastAsia" w:ascii="宋体" w:hAnsi="宋体" w:cs="宋体"/>
          <w:b/>
          <w:bCs/>
          <w:color w:val="auto"/>
          <w:sz w:val="24"/>
          <w:highlight w:val="none"/>
        </w:rPr>
        <w:t>7、地块法定图则</w:t>
      </w:r>
      <w:bookmarkEnd w:id="29"/>
      <w:bookmarkEnd w:id="30"/>
      <w:bookmarkEnd w:id="31"/>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集体经营性建设用地（包括乡村振兴产业项目发展建设用地）以及在村庄宅基地外的零星建设用地必须编制地块分图则，对建设地块的容积率、建筑限高、出入口位置、建筑退线等提出管控要求。其他建设用地视情况编制地块分图则。</w:t>
      </w:r>
    </w:p>
    <w:p>
      <w:pPr>
        <w:spacing w:line="400" w:lineRule="exact"/>
        <w:ind w:firstLine="482" w:firstLineChars="200"/>
        <w:jc w:val="left"/>
        <w:rPr>
          <w:rFonts w:ascii="宋体" w:hAnsi="宋体" w:cs="宋体"/>
          <w:b/>
          <w:bCs/>
          <w:color w:val="auto"/>
          <w:sz w:val="24"/>
          <w:highlight w:val="none"/>
        </w:rPr>
      </w:pPr>
      <w:bookmarkStart w:id="32" w:name="_Toc3337"/>
      <w:bookmarkStart w:id="33" w:name="_Toc19669"/>
      <w:bookmarkStart w:id="34" w:name="_Toc7758"/>
      <w:r>
        <w:rPr>
          <w:rFonts w:hint="eastAsia" w:ascii="宋体" w:hAnsi="宋体" w:cs="宋体"/>
          <w:b/>
          <w:bCs/>
          <w:color w:val="auto"/>
          <w:sz w:val="24"/>
          <w:highlight w:val="none"/>
        </w:rPr>
        <w:t>8、实施项目</w:t>
      </w:r>
      <w:bookmarkEnd w:id="32"/>
      <w:bookmarkEnd w:id="33"/>
      <w:bookmarkEnd w:id="34"/>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研究提出近期拟实施的生态修复、农用地整治、村庄整治、农村产业发展、交通设施建设、基础设施建设、公共服务设施建设、人居环境整治、农村居民点建设等项目，合理安排实施时序，明确资金规模及筹措方式、建设主体和方式等。</w:t>
      </w:r>
    </w:p>
    <w:p>
      <w:pPr>
        <w:spacing w:line="400" w:lineRule="exact"/>
        <w:ind w:firstLine="482" w:firstLineChars="200"/>
        <w:jc w:val="left"/>
        <w:rPr>
          <w:rFonts w:ascii="宋体" w:hAnsi="宋体" w:cs="宋体"/>
          <w:b/>
          <w:bCs/>
          <w:color w:val="auto"/>
          <w:sz w:val="24"/>
          <w:highlight w:val="none"/>
        </w:rPr>
      </w:pPr>
      <w:bookmarkStart w:id="35" w:name="_Toc32401"/>
      <w:bookmarkStart w:id="36" w:name="_Toc12185"/>
      <w:bookmarkStart w:id="37" w:name="_Toc11291"/>
      <w:r>
        <w:rPr>
          <w:rFonts w:hint="eastAsia" w:ascii="宋体" w:hAnsi="宋体" w:cs="宋体"/>
          <w:b/>
          <w:bCs/>
          <w:color w:val="auto"/>
          <w:sz w:val="24"/>
          <w:highlight w:val="none"/>
        </w:rPr>
        <w:t>9、规划实施保障</w:t>
      </w:r>
      <w:bookmarkEnd w:id="35"/>
      <w:bookmarkEnd w:id="36"/>
      <w:bookmarkEnd w:id="37"/>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（1）加强监督</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严格按照村庄规划进行规划许可。对于涉及到集体经营性建设用地（包括乡村振兴产业项目发展建设用地）以及在村庄宅基地外的零星建设用地的审批应以地块法定图则为许可依据。</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严格按照村庄规划进行项目审批，包括生态修复和土地综合整治项目、农房建设项目、交通设施建设项目、基础设施建设项目、公共服务设施建设项目、产业发展项目等。</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严格按照村庄规划进行监督和责任考核。基于国土空间基础信息平台，将村庄规划纳入到国土空间规划“一张图”实施监督信息系统进行数字化管理，动态更新、实时监测评估预警。在数字化监督的基础上，结合公众监督和和卫片执法监督，开展年度综合评估，并根据评估结果进行责任考核。</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（2）动态调整</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村庄规划的动态调整有规划修改和规划局部调整两种情形。</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（1）规划修改</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有下列情形之一的，村庄规划可按照规定的程序进行规划修改：</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①上位国土空间规划发生变更，提出修改规划要求的；</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②行政区划调整确需修改规划的；</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③因国务院、省、市、县人民政府批准重大建设工程确需修改规划的；</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④经评估确需修改规划的；</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⑤村庄规划的审批机关认为应当修改规划的其他情形。</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（2）规划局部调整</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针对以下两种情形实施村庄规划局部调整：</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①村庄规划在不突破原规划约束性指标、各类空间控制线和分区管制等要求和必选内容及基础上，增加可选内容，进行分步编制的；</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②村庄规划的在不突破原规划约束性指标、各类空间控制线和分区管制等要求的调整。</w:t>
      </w:r>
    </w:p>
    <w:p>
      <w:pPr>
        <w:spacing w:line="400" w:lineRule="exact"/>
        <w:ind w:left="434" w:leftChars="202" w:hanging="10" w:hangingChars="4"/>
        <w:rPr>
          <w:rFonts w:ascii="宋体" w:hAnsi="宋体" w:cs="宋体"/>
          <w:b/>
          <w:bCs/>
          <w:color w:val="auto"/>
          <w:sz w:val="24"/>
          <w:highlight w:val="none"/>
        </w:rPr>
      </w:pPr>
      <w:bookmarkStart w:id="38" w:name="_Toc31754"/>
      <w:bookmarkStart w:id="39" w:name="_Toc19684"/>
      <w:bookmarkStart w:id="40" w:name="_Toc31865"/>
      <w:bookmarkStart w:id="41" w:name="_Toc1371"/>
      <w:bookmarkStart w:id="42" w:name="_Toc31521"/>
      <w:bookmarkStart w:id="43" w:name="_Toc2636"/>
      <w:bookmarkStart w:id="44" w:name="_Toc17774"/>
      <w:r>
        <w:rPr>
          <w:rFonts w:hint="eastAsia" w:ascii="宋体" w:hAnsi="宋体" w:cs="宋体"/>
          <w:b/>
          <w:bCs/>
          <w:color w:val="auto"/>
          <w:sz w:val="24"/>
          <w:highlight w:val="none"/>
        </w:rPr>
        <w:t>六、提交成果</w:t>
      </w:r>
      <w:bookmarkEnd w:id="38"/>
      <w:bookmarkEnd w:id="39"/>
      <w:bookmarkEnd w:id="40"/>
      <w:bookmarkEnd w:id="41"/>
      <w:bookmarkEnd w:id="42"/>
      <w:bookmarkEnd w:id="43"/>
      <w:bookmarkEnd w:id="4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（1）成果规范要求：成果必须符合任务书的有关规定，符合国家规范要求，严格按照浙江省自然资源厅印发的《浙江省村庄规划编制技术要点（试行）》、</w:t>
      </w:r>
      <w:r>
        <w:rPr>
          <w:rFonts w:hint="eastAsia" w:ascii="宋体" w:hAnsi="宋体" w:cs="宋体"/>
          <w:color w:val="auto"/>
          <w:sz w:val="24"/>
          <w:highlight w:val="none"/>
          <w:u w:val="none"/>
        </w:rPr>
        <w:t>《浙江省村庄规划数据库标准（试行）》</w:t>
      </w:r>
      <w:r>
        <w:rPr>
          <w:rFonts w:hint="eastAsia" w:ascii="宋体" w:hAnsi="宋体" w:cs="宋体"/>
          <w:color w:val="auto"/>
          <w:sz w:val="24"/>
          <w:highlight w:val="none"/>
        </w:rPr>
        <w:t>及相关技术标准提交规划成果，并根据实际情况提交成果内容。</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（2）成果内容：</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①文本</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规划文本包括文本条文、附表。应符合本要点要求，内容言简意赅。强制性内容应当以黑体加粗标注。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②管制规则</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管制规则包括村庄各类国土空间管制要求、农房建设管理、村容村貌提升、乡风文明建设、乡村治理措施等内容。管制规则的重点是对生态空间、农业空间、建设空间、历史文化传承和保护空间及其他需管制空间提出管控要求和措施。如实反映村庄规划中关于各类空间及其管制要求、约束性指标、村庄风貌、产业引导等内容。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③数据库</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建立村庄规划成果数据库，纳入国土空间规划“一张图”统一管控。</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④图纸</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根据需要，绘制村庄规划图纸，其中国土空间现状图、国土空间规划图、空间控制线规划图、法定图则是必备的图纸。</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以上成果要求可参照《浙江省村庄规划编制技术要点（试行）》，同时结合实际项目需求，由各投标单位根据对本次规划的理解进行调整。最终要求、数据格式及份数以签订的合同内容为准。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（3）成果形式</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成果应包括以下内容：A）图册规格为A3，包含附图（彩色打印，文本规格为A3版面）；B)电子光盘应包含全部规划设计内容的文本、说明书、技术图纸、附件（附件是对文本、图件的补充解释，包括规划说明、会议纪要、部门意见、专家论证意见、公众参与记录等）、数据库、多媒体汇报材料文件（文字为*.DOC或PDF格式，图纸为*.DWG、*.JPG等格式，数据库为*.SHP、*.MDB等格式，多媒体汇报材料为*.PPT格式）。成果数据采用国家2000大地坐标系、1:2000比例尺。数量以采购方实际需要为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2、提交的成果必须在文本上标注设计单位名称、法定代表人、主要设计人员名单并盖印公章和在方案图纸上加盖公章。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3、协助相关文件的起草、制作；与上级规划单位做好对接工作。</w:t>
      </w:r>
    </w:p>
    <w:p>
      <w:pPr>
        <w:spacing w:line="400" w:lineRule="exact"/>
        <w:ind w:firstLine="361" w:firstLineChars="150"/>
        <w:rPr>
          <w:rFonts w:ascii="宋体" w:hAnsi="宋体" w:cs="宋体"/>
          <w:b/>
          <w:color w:val="auto"/>
          <w:sz w:val="24"/>
          <w:highlight w:val="none"/>
        </w:rPr>
      </w:pPr>
      <w:r>
        <w:rPr>
          <w:rFonts w:hint="eastAsia" w:ascii="宋体" w:hAnsi="宋体" w:cs="宋体"/>
          <w:b/>
          <w:color w:val="auto"/>
          <w:sz w:val="24"/>
          <w:highlight w:val="none"/>
        </w:rPr>
        <w:t>七、履行驻村规划师制度</w:t>
      </w:r>
    </w:p>
    <w:p>
      <w:pPr>
        <w:spacing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　中标设计单位需明确驻村规划师一名，免费提供相关技术服务，主要负责片区规划编制、审查和规划落地等工作。</w:t>
      </w:r>
    </w:p>
    <w:p>
      <w:pPr>
        <w:spacing w:line="400" w:lineRule="exact"/>
        <w:ind w:firstLine="361" w:firstLineChars="150"/>
        <w:rPr>
          <w:rFonts w:ascii="宋体" w:hAnsi="宋体" w:cs="宋体"/>
          <w:b/>
          <w:color w:val="auto"/>
          <w:sz w:val="24"/>
          <w:highlight w:val="none"/>
        </w:rPr>
      </w:pPr>
      <w:r>
        <w:rPr>
          <w:rFonts w:hint="eastAsia" w:ascii="宋体" w:hAnsi="宋体" w:cs="宋体"/>
          <w:b/>
          <w:color w:val="auto"/>
          <w:sz w:val="24"/>
          <w:highlight w:val="none"/>
        </w:rPr>
        <w:t>八、项目验收</w:t>
      </w:r>
    </w:p>
    <w:p>
      <w:pPr>
        <w:spacing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按照采购文件和正式合同确定的技术指标或者服务要求,应当符合国家强制性规定、政策要求、安全标准、行业或企业有关标准等。</w:t>
      </w:r>
    </w:p>
    <w:p>
      <w:pPr>
        <w:spacing w:line="400" w:lineRule="exact"/>
        <w:ind w:firstLine="361" w:firstLineChars="150"/>
        <w:rPr>
          <w:rFonts w:ascii="宋体" w:hAnsi="宋体" w:cs="宋体"/>
          <w:b/>
          <w:color w:val="auto"/>
          <w:sz w:val="24"/>
          <w:highlight w:val="none"/>
        </w:rPr>
      </w:pPr>
      <w:r>
        <w:rPr>
          <w:rFonts w:hint="eastAsia" w:ascii="宋体" w:hAnsi="宋体" w:cs="宋体"/>
          <w:b/>
          <w:color w:val="auto"/>
          <w:sz w:val="24"/>
          <w:highlight w:val="none"/>
        </w:rPr>
        <w:t>九、付款方式</w:t>
      </w:r>
    </w:p>
    <w:p>
      <w:pPr>
        <w:spacing w:line="400" w:lineRule="exact"/>
        <w:ind w:firstLine="480" w:firstLineChars="200"/>
        <w:jc w:val="left"/>
        <w:rPr>
          <w:rStyle w:val="49"/>
          <w:rFonts w:ascii="宋体" w:hAnsi="宋体" w:cs="宋体"/>
          <w:b w:val="0"/>
          <w:bCs w:val="0"/>
          <w:color w:val="auto"/>
          <w:sz w:val="24"/>
          <w:szCs w:val="24"/>
          <w:highlight w:val="none"/>
        </w:rPr>
      </w:pPr>
      <w:r>
        <w:rPr>
          <w:rStyle w:val="49"/>
          <w:rFonts w:hint="eastAsia" w:ascii="宋体" w:hAnsi="宋体" w:cs="宋体"/>
          <w:b w:val="0"/>
          <w:bCs w:val="0"/>
          <w:color w:val="auto"/>
          <w:sz w:val="24"/>
          <w:szCs w:val="24"/>
          <w:highlight w:val="none"/>
        </w:rPr>
        <w:t>1、合同生效以及具备实施条件后7个工作日内，采购人向中标人预付至合同总金额的30% （采购人根据项目特点、供应商诚信等因素，可以要求中标人提交预付款保函）；</w:t>
      </w:r>
    </w:p>
    <w:p>
      <w:pPr>
        <w:spacing w:line="400" w:lineRule="exact"/>
        <w:ind w:firstLine="480" w:firstLineChars="200"/>
        <w:jc w:val="left"/>
        <w:rPr>
          <w:rStyle w:val="49"/>
          <w:rFonts w:ascii="宋体" w:hAnsi="宋体" w:cs="宋体"/>
          <w:b w:val="0"/>
          <w:bCs w:val="0"/>
          <w:color w:val="auto"/>
          <w:sz w:val="24"/>
          <w:szCs w:val="24"/>
          <w:highlight w:val="none"/>
        </w:rPr>
      </w:pPr>
      <w:r>
        <w:rPr>
          <w:rStyle w:val="49"/>
          <w:rFonts w:hint="eastAsia" w:ascii="宋体" w:hAnsi="宋体" w:cs="宋体"/>
          <w:b w:val="0"/>
          <w:bCs w:val="0"/>
          <w:color w:val="auto"/>
          <w:sz w:val="24"/>
          <w:szCs w:val="24"/>
          <w:highlight w:val="none"/>
        </w:rPr>
        <w:t>2、提交规划送审成果后收到中标人正式发票之日起7个工作日内，支付合同总金额的30%；</w:t>
      </w:r>
    </w:p>
    <w:p>
      <w:pPr>
        <w:spacing w:line="400" w:lineRule="exact"/>
        <w:ind w:firstLine="480" w:firstLineChars="200"/>
        <w:jc w:val="left"/>
        <w:rPr>
          <w:rStyle w:val="49"/>
          <w:rFonts w:ascii="宋体" w:hAnsi="宋体" w:cs="宋体"/>
          <w:b w:val="0"/>
          <w:bCs w:val="0"/>
          <w:color w:val="auto"/>
          <w:sz w:val="24"/>
          <w:szCs w:val="24"/>
          <w:highlight w:val="none"/>
        </w:rPr>
      </w:pPr>
      <w:r>
        <w:rPr>
          <w:rStyle w:val="49"/>
          <w:rFonts w:hint="eastAsia" w:ascii="宋体" w:hAnsi="宋体" w:cs="宋体"/>
          <w:b w:val="0"/>
          <w:bCs w:val="0"/>
          <w:color w:val="auto"/>
          <w:sz w:val="24"/>
          <w:szCs w:val="24"/>
          <w:highlight w:val="none"/>
        </w:rPr>
        <w:t>3、规划评审通过后收到中标人正式发票之日起7个工作日内，支付合同总金额的30%；</w:t>
      </w:r>
    </w:p>
    <w:p>
      <w:pPr>
        <w:spacing w:line="400" w:lineRule="exact"/>
        <w:ind w:firstLine="480" w:firstLineChars="200"/>
        <w:jc w:val="left"/>
        <w:rPr>
          <w:rFonts w:ascii="宋体" w:hAnsi="宋体" w:cs="宋体"/>
          <w:b/>
          <w:color w:val="auto"/>
          <w:sz w:val="24"/>
          <w:highlight w:val="none"/>
        </w:rPr>
      </w:pPr>
      <w:r>
        <w:rPr>
          <w:rStyle w:val="49"/>
          <w:rFonts w:hint="eastAsia" w:ascii="宋体" w:hAnsi="宋体" w:cs="宋体"/>
          <w:b w:val="0"/>
          <w:bCs w:val="0"/>
          <w:color w:val="auto"/>
          <w:sz w:val="24"/>
          <w:szCs w:val="24"/>
          <w:highlight w:val="none"/>
        </w:rPr>
        <w:t>4、规划成果取得批复并备案后、收到中标人正式发票之日起7个工作日内，支付合同总金额剩余的10%。</w:t>
      </w:r>
      <w:r>
        <w:rPr>
          <w:rFonts w:hint="eastAsia" w:ascii="宋体" w:hAnsi="宋体" w:cs="宋体"/>
          <w:b/>
          <w:color w:val="auto"/>
          <w:sz w:val="24"/>
          <w:highlight w:val="none"/>
        </w:rPr>
        <w:t>　　</w:t>
      </w:r>
    </w:p>
    <w:p>
      <w:pPr>
        <w:spacing w:line="40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十、完成时间</w:t>
      </w:r>
    </w:p>
    <w:p>
      <w:pPr>
        <w:pStyle w:val="24"/>
        <w:widowControl w:val="0"/>
        <w:spacing w:before="0" w:after="0" w:line="400" w:lineRule="exact"/>
        <w:ind w:firstLine="482" w:firstLineChars="200"/>
        <w:rPr>
          <w:rStyle w:val="49"/>
          <w:rFonts w:ascii="宋体" w:hAnsi="宋体" w:cs="宋体"/>
          <w:color w:val="auto"/>
          <w:kern w:val="2"/>
          <w:sz w:val="24"/>
          <w:szCs w:val="24"/>
          <w:highlight w:val="none"/>
        </w:rPr>
      </w:pPr>
      <w:r>
        <w:rPr>
          <w:rStyle w:val="49"/>
          <w:rFonts w:hint="eastAsia" w:ascii="宋体" w:hAnsi="宋体" w:cs="宋体"/>
          <w:color w:val="auto"/>
          <w:kern w:val="2"/>
          <w:sz w:val="24"/>
          <w:szCs w:val="24"/>
          <w:highlight w:val="none"/>
        </w:rPr>
        <w:t>2023年</w:t>
      </w:r>
      <w:r>
        <w:rPr>
          <w:rStyle w:val="49"/>
          <w:rFonts w:hint="eastAsia" w:cs="宋体"/>
          <w:color w:val="auto"/>
          <w:kern w:val="2"/>
          <w:sz w:val="24"/>
          <w:szCs w:val="24"/>
          <w:highlight w:val="none"/>
        </w:rPr>
        <w:t>8</w:t>
      </w:r>
      <w:r>
        <w:rPr>
          <w:rStyle w:val="49"/>
          <w:rFonts w:hint="eastAsia" w:ascii="宋体" w:hAnsi="宋体" w:cs="宋体"/>
          <w:color w:val="auto"/>
          <w:kern w:val="2"/>
          <w:sz w:val="24"/>
          <w:szCs w:val="24"/>
          <w:highlight w:val="none"/>
        </w:rPr>
        <w:t>月底之前完成。</w:t>
      </w:r>
    </w:p>
    <w:p>
      <w:pPr>
        <w:widowControl/>
        <w:snapToGrid w:val="0"/>
        <w:spacing w:line="400" w:lineRule="exact"/>
        <w:rPr>
          <w:rFonts w:ascii="宋体" w:hAnsi="宋体" w:cs="宋体"/>
          <w:b/>
          <w:bCs/>
          <w:color w:val="auto"/>
          <w:kern w:val="0"/>
          <w:sz w:val="24"/>
          <w:highlight w:val="none"/>
        </w:rPr>
      </w:pPr>
    </w:p>
    <w:p>
      <w:pPr>
        <w:widowControl/>
        <w:snapToGrid w:val="0"/>
        <w:spacing w:line="360" w:lineRule="auto"/>
        <w:rPr>
          <w:rFonts w:ascii="宋体" w:hAnsi="宋体" w:cs="宋体"/>
          <w:b/>
          <w:bCs/>
          <w:color w:val="auto"/>
          <w:kern w:val="0"/>
          <w:sz w:val="24"/>
          <w:highlight w:val="none"/>
        </w:rPr>
      </w:pPr>
    </w:p>
    <w:p>
      <w:pPr>
        <w:widowControl w:val="0"/>
        <w:spacing w:line="360" w:lineRule="auto"/>
        <w:jc w:val="both"/>
        <w:rPr>
          <w:rFonts w:hint="eastAsia" w:ascii="宋体" w:hAnsi="宋体" w:eastAsia="宋体" w:cs="宋体"/>
          <w:b/>
          <w:color w:val="auto"/>
          <w:sz w:val="24"/>
          <w:szCs w:val="24"/>
          <w:highlight w:val="none"/>
          <w:lang w:val="en-US" w:eastAsia="zh-CN"/>
        </w:rPr>
      </w:pPr>
    </w:p>
    <w:p>
      <w:pPr>
        <w:spacing w:line="360" w:lineRule="auto"/>
        <w:rPr>
          <w:rFonts w:ascii="宋体" w:hAnsi="宋体" w:cs="宋体"/>
          <w:color w:val="auto"/>
          <w:sz w:val="24"/>
          <w:szCs w:val="24"/>
          <w:highlight w:val="none"/>
        </w:rPr>
      </w:pPr>
    </w:p>
    <w:p>
      <w:pPr>
        <w:pStyle w:val="3"/>
        <w:keepNext w:val="0"/>
        <w:keepLines w:val="0"/>
        <w:pageBreakBefore/>
        <w:spacing w:line="240" w:lineRule="auto"/>
        <w:jc w:val="center"/>
        <w:rPr>
          <w:rFonts w:ascii="宋体" w:hAnsi="宋体" w:cs="宋体"/>
          <w:color w:val="auto"/>
          <w:kern w:val="0"/>
          <w:sz w:val="24"/>
          <w:szCs w:val="24"/>
          <w:highlight w:val="none"/>
        </w:rPr>
      </w:pPr>
      <w:bookmarkStart w:id="45" w:name="_Toc29559"/>
      <w:r>
        <w:rPr>
          <w:rFonts w:hint="eastAsia" w:ascii="宋体" w:hAnsi="宋体" w:cs="宋体"/>
          <w:color w:val="auto"/>
          <w:sz w:val="24"/>
          <w:szCs w:val="24"/>
          <w:highlight w:val="none"/>
        </w:rPr>
        <w:t>第三章   投标人须知</w:t>
      </w:r>
      <w:bookmarkEnd w:id="45"/>
    </w:p>
    <w:p>
      <w:pPr>
        <w:pStyle w:val="14"/>
        <w:snapToGrid w:val="0"/>
        <w:spacing w:before="120" w:after="120"/>
        <w:ind w:firstLine="472" w:firstLineChars="196"/>
        <w:jc w:val="center"/>
        <w:outlineLvl w:val="1"/>
        <w:rPr>
          <w:rFonts w:ascii="宋体" w:hAnsi="宋体" w:cs="宋体"/>
          <w:b/>
          <w:color w:val="auto"/>
          <w:szCs w:val="24"/>
          <w:highlight w:val="none"/>
        </w:rPr>
      </w:pPr>
      <w:bookmarkStart w:id="46" w:name="_Toc12904"/>
      <w:r>
        <w:rPr>
          <w:rFonts w:hint="eastAsia" w:ascii="宋体" w:hAnsi="宋体" w:cs="宋体"/>
          <w:b/>
          <w:color w:val="auto"/>
          <w:szCs w:val="24"/>
          <w:highlight w:val="none"/>
        </w:rPr>
        <w:t>前附表</w:t>
      </w:r>
      <w:bookmarkEnd w:id="46"/>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8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left"/>
              <w:rPr>
                <w:rFonts w:hint="eastAsia" w:ascii="宋体" w:hAnsi="宋体" w:eastAsia="宋体" w:cs="宋体"/>
                <w:b/>
                <w:bCs/>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东阳市部分乡镇“多规合一”实用性村庄规划编制项目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投标报价及费用：1、本项目投标应以人民币报价；2、不论投标结果如何，投标人均应自行承担所有与投标有关的全部费用；3、投标费用：东阳市鑫盛工程咨询有限公司按照本招标文件总则第（五）条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b/>
                <w:bCs/>
                <w:color w:val="auto"/>
                <w:sz w:val="24"/>
                <w:highlight w:val="none"/>
              </w:rPr>
              <w:t>根据《政府采购促进中小企业管理办法》及《关于印发中小企业划型标准规定的通知工信部联企业》（〔2011〕300号）有关规定，本采购标的对应的所属行业为：其他未列明行业。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（1）采购人或采购代理机构将对本项目供应商的信用记录进行查询。查询渠道为信用中国网站（www.creditchina.gov.cn）、中国政府采购网（www.ccgp.gov.cn）；</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48" w:lineRule="auto"/>
              <w:rPr>
                <w:rFonts w:ascii="宋体" w:hAnsi="宋体" w:cs="宋体"/>
                <w:b/>
                <w:bCs/>
                <w:color w:val="auto"/>
                <w:sz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1、节能产品、环境标志产品的强制采购政策</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2、节能产品、环境标志产品的优先采购政策</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答疑与澄清：投标人如认为招标文件表述不清晰、存在歧视性、排他性或者其他违法内容的，应当按照公开招标公告第三、七条规定以书面形式要求招标方作出书面解释、澄清或者向招标方提出书面质疑；</w:t>
            </w:r>
            <w:r>
              <w:rPr>
                <w:rFonts w:hint="eastAsia" w:ascii="宋体" w:hAnsi="宋体" w:cs="宋体"/>
                <w:b/>
                <w:color w:val="auto"/>
                <w:sz w:val="24"/>
                <w:highlight w:val="none"/>
              </w:rPr>
              <w:t>在质疑截止时间前，未对招标文件提出质疑时，视投标人对招标文件的默认；</w:t>
            </w:r>
            <w:r>
              <w:rPr>
                <w:rFonts w:hint="eastAsia" w:ascii="宋体" w:hAnsi="宋体" w:cs="宋体"/>
                <w:color w:val="auto"/>
                <w:sz w:val="24"/>
                <w:highlight w:val="none"/>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投标文件的递交：</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本项目投标文件由资格审查文件、商务技术文件和报价文件三部分组成。投标人应按以下方式递交投标文件：</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市鑫盛工程咨询有限公司邮箱：1816352277@qq.com，逾期发送或发错后缀名的备份投标文件将被视为无效；</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3、投标人仅提交电子备份投标文件的，投标无效；</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bCs/>
                <w:color w:val="auto"/>
                <w:sz w:val="24"/>
                <w:highlight w:val="none"/>
                <w:u w:val="single"/>
              </w:rPr>
            </w:pPr>
            <w:r>
              <w:rPr>
                <w:rFonts w:hint="eastAsia" w:ascii="宋体" w:hAnsi="宋体" w:cs="宋体"/>
                <w:bCs/>
                <w:color w:val="auto"/>
                <w:sz w:val="24"/>
                <w:highlight w:val="none"/>
              </w:rPr>
              <w:t>投标截止时间：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p>
            <w:pPr>
              <w:pStyle w:val="14"/>
              <w:spacing w:line="348" w:lineRule="auto"/>
              <w:rPr>
                <w:rFonts w:ascii="宋体" w:hAnsi="宋体" w:cs="宋体"/>
                <w:bCs/>
                <w:color w:val="auto"/>
                <w:szCs w:val="24"/>
                <w:highlight w:val="none"/>
              </w:rPr>
            </w:pPr>
            <w:r>
              <w:rPr>
                <w:rFonts w:hint="eastAsia" w:ascii="宋体" w:hAnsi="宋体" w:cs="宋体"/>
                <w:bCs/>
                <w:color w:val="auto"/>
                <w:szCs w:val="24"/>
                <w:highlight w:val="none"/>
              </w:rPr>
              <w:t>1、投标人应当在投标截止时间前在“政采云”（电子交易平台）上自行上传加密的电子投标文件。投标截止时间前未完成传输的，视为撤回电子投标文件。投标截止时间后递交的电子投标文件，将被政采云平台拒收。</w:t>
            </w:r>
          </w:p>
          <w:p>
            <w:pPr>
              <w:snapToGrid w:val="0"/>
              <w:spacing w:line="348" w:lineRule="auto"/>
              <w:rPr>
                <w:rFonts w:ascii="宋体" w:hAnsi="宋体" w:cs="宋体"/>
                <w:bCs/>
                <w:color w:val="auto"/>
                <w:sz w:val="24"/>
                <w:highlight w:val="none"/>
              </w:rPr>
            </w:pPr>
            <w:r>
              <w:rPr>
                <w:rFonts w:hint="eastAsia" w:ascii="宋体" w:hAnsi="宋体" w:cs="宋体"/>
                <w:bCs/>
                <w:color w:val="auto"/>
                <w:sz w:val="24"/>
                <w:highlight w:val="none"/>
              </w:rPr>
              <w:t>2、电子备份投标文件的递交时间：投标人应当在投标截止时间前，逾期未递交的视为自动放弃。</w:t>
            </w:r>
          </w:p>
          <w:p>
            <w:pPr>
              <w:pStyle w:val="14"/>
              <w:spacing w:line="348" w:lineRule="auto"/>
              <w:rPr>
                <w:rFonts w:ascii="宋体" w:hAnsi="宋体" w:cs="宋体"/>
                <w:color w:val="auto"/>
                <w:szCs w:val="24"/>
                <w:highlight w:val="none"/>
              </w:rPr>
            </w:pPr>
            <w:r>
              <w:rPr>
                <w:rFonts w:hint="eastAsia" w:ascii="宋体" w:hAnsi="宋体" w:cs="宋体"/>
                <w:bCs/>
                <w:color w:val="auto"/>
                <w:szCs w:val="24"/>
                <w:highlight w:val="none"/>
              </w:rPr>
              <w:t>3、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开标时间：202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p>
            <w:pPr>
              <w:snapToGrid w:val="0"/>
              <w:spacing w:line="34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要求投标人到开标现场开标，但投标人应派法定代表人或委托代理人【委托代理人应当是投标人的在职正式职工（以投标人本单位缴纳社保花名册为准）】准时在线出席电子开标会议，随时关注开标进度，如在开标过程中有电子询标，应在规定的时间内对电子询标函进行澄清回复。</w:t>
            </w:r>
          </w:p>
          <w:p>
            <w:pPr>
              <w:snapToGrid w:val="0"/>
              <w:spacing w:line="34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bookmarkStart w:id="47" w:name="_Toc457480905"/>
            <w:r>
              <w:rPr>
                <w:rFonts w:hint="eastAsia" w:ascii="宋体" w:hAnsi="宋体" w:cs="宋体"/>
                <w:color w:val="auto"/>
                <w:sz w:val="24"/>
                <w:highlight w:val="none"/>
              </w:rPr>
              <w:t>中标结果公告：自中标人确定之日起2个工作日内，中标结果公告于浙江省政府采购网(http://zfcg.czt.zj.gov.cn/)、东阳市公共资源交易网(http://www.dongyang.gov.cn/ggzyjy/index.html)，公告1个工作日</w:t>
            </w:r>
            <w:bookmarkEnd w:id="47"/>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《中标通知书》的领取时间：中标人应自中标结果公告结束日起，在3个工作日内领取，否则按放弃中标资格处理，并因违反诚信原则，提交财政部门列入政府采购黑名单。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履约保证金：本项目不收取履约保证金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left"/>
              <w:rPr>
                <w:rFonts w:ascii="宋体" w:hAnsi="宋体" w:cs="宋体"/>
                <w:color w:val="auto"/>
                <w:sz w:val="24"/>
                <w:highlight w:val="none"/>
              </w:rPr>
            </w:pPr>
            <w:r>
              <w:rPr>
                <w:rFonts w:hint="eastAsia" w:ascii="宋体" w:hAnsi="宋体" w:cs="宋体"/>
                <w:color w:val="auto"/>
                <w:sz w:val="24"/>
                <w:highlight w:val="none"/>
              </w:rPr>
              <w:t>1、企业信用融资: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网(http://zfcg.czt.zj.gov.cn/)的中小企业信用融资栏目了解相关信息。 供应商可以通过浙江政府采购网(http://zfcg.czt.zj.gov.cn/)首页的“浙江政采贷”模块进入申请，还可以通过政府采购云平台(https://www.zcygov.cn/)首页的“金融服务”模块进入申请。</w:t>
            </w:r>
          </w:p>
          <w:p>
            <w:pPr>
              <w:snapToGrid w:val="0"/>
              <w:spacing w:line="348" w:lineRule="auto"/>
              <w:jc w:val="left"/>
              <w:rPr>
                <w:rFonts w:ascii="宋体" w:hAnsi="宋体" w:cs="宋体"/>
                <w:color w:val="auto"/>
                <w:sz w:val="24"/>
                <w:highlight w:val="none"/>
              </w:rPr>
            </w:pPr>
            <w:r>
              <w:rPr>
                <w:rFonts w:hint="eastAsia" w:ascii="宋体" w:hAnsi="宋体" w:cs="宋体"/>
                <w:color w:val="auto"/>
                <w:sz w:val="24"/>
                <w:highlight w:val="none"/>
              </w:rPr>
              <w:t xml:space="preserve">2、政府采购金融服务提示：为扩大政府采购金融服务面，除政采云网上金融服务合作银行外，东阳市范围内增加浙商银行金华分行东阳支行作为线下合作银行。   </w:t>
            </w:r>
          </w:p>
          <w:p>
            <w:pPr>
              <w:snapToGrid w:val="0"/>
              <w:spacing w:line="348" w:lineRule="auto"/>
              <w:jc w:val="left"/>
              <w:rPr>
                <w:rFonts w:ascii="宋体" w:hAnsi="宋体" w:cs="宋体"/>
                <w:color w:val="auto"/>
                <w:highlight w:val="none"/>
              </w:rPr>
            </w:pPr>
            <w:r>
              <w:rPr>
                <w:rFonts w:hint="eastAsia" w:ascii="宋体" w:hAnsi="宋体" w:cs="宋体"/>
                <w:color w:val="auto"/>
                <w:sz w:val="24"/>
                <w:highlight w:val="none"/>
              </w:rPr>
              <w:t>浙商银行金华东阳支行联系人：许燕  联系电话：13967983441  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签订合同时间：发出《中标通知书》之日起20天内。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bCs/>
                <w:color w:val="auto"/>
                <w:sz w:val="24"/>
                <w:highlight w:val="none"/>
              </w:rPr>
            </w:pPr>
            <w:r>
              <w:rPr>
                <w:rFonts w:hint="eastAsia" w:ascii="宋体" w:hAnsi="宋体" w:cs="宋体"/>
                <w:bCs/>
                <w:color w:val="auto"/>
                <w:sz w:val="24"/>
                <w:highlight w:val="none"/>
              </w:rPr>
              <w:t>16</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中标人与</w:t>
            </w:r>
            <w:r>
              <w:rPr>
                <w:rFonts w:hint="eastAsia" w:ascii="宋体" w:hAnsi="宋体" w:cs="宋体"/>
                <w:color w:val="auto"/>
                <w:sz w:val="24"/>
                <w:highlight w:val="none"/>
                <w:lang w:eastAsia="zh-CN"/>
              </w:rPr>
              <w:t>东阳市自然资源和规划局</w:t>
            </w:r>
            <w:r>
              <w:rPr>
                <w:rFonts w:hint="eastAsia" w:ascii="宋体" w:hAnsi="宋体" w:cs="宋体"/>
                <w:color w:val="auto"/>
                <w:sz w:val="24"/>
                <w:highlight w:val="none"/>
              </w:rPr>
              <w:t>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8"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87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ind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付款方式：</w:t>
            </w:r>
          </w:p>
          <w:p>
            <w:pPr>
              <w:pageBreakBefore w:val="0"/>
              <w:kinsoku/>
              <w:wordWrap/>
              <w:overflowPunct/>
              <w:topLinePunct w:val="0"/>
              <w:bidi w:val="0"/>
              <w:spacing w:line="400" w:lineRule="exact"/>
              <w:ind w:firstLine="480" w:firstLineChars="200"/>
              <w:textAlignment w:val="auto"/>
              <w:outlineLvl w:val="9"/>
              <w:rPr>
                <w:rStyle w:val="49"/>
                <w:rFonts w:hint="eastAsia" w:ascii="宋体" w:hAnsi="宋体" w:eastAsia="宋体" w:cs="宋体"/>
                <w:b w:val="0"/>
                <w:bCs w:val="0"/>
                <w:color w:val="auto"/>
                <w:sz w:val="24"/>
                <w:szCs w:val="24"/>
                <w:highlight w:val="none"/>
              </w:rPr>
            </w:pPr>
            <w:r>
              <w:rPr>
                <w:rStyle w:val="49"/>
                <w:rFonts w:hint="eastAsia" w:ascii="宋体" w:hAnsi="宋体" w:eastAsia="宋体" w:cs="宋体"/>
                <w:b w:val="0"/>
                <w:bCs w:val="0"/>
                <w:color w:val="auto"/>
                <w:sz w:val="24"/>
                <w:szCs w:val="24"/>
                <w:highlight w:val="none"/>
              </w:rPr>
              <w:t>1、合同生效以及具备实施条件后7个工作日内，采购人向中标人预付至合同总金额的30% （采购人根据项目特点、供应商诚信等因素，可以要求中标人提交预付款保函）；</w:t>
            </w:r>
          </w:p>
          <w:p>
            <w:pPr>
              <w:pageBreakBefore w:val="0"/>
              <w:kinsoku/>
              <w:wordWrap/>
              <w:overflowPunct/>
              <w:topLinePunct w:val="0"/>
              <w:bidi w:val="0"/>
              <w:spacing w:line="400" w:lineRule="exact"/>
              <w:ind w:firstLine="480" w:firstLineChars="200"/>
              <w:textAlignment w:val="auto"/>
              <w:outlineLvl w:val="9"/>
              <w:rPr>
                <w:rStyle w:val="49"/>
                <w:rFonts w:hint="eastAsia" w:ascii="宋体" w:hAnsi="宋体" w:eastAsia="宋体" w:cs="宋体"/>
                <w:b w:val="0"/>
                <w:bCs w:val="0"/>
                <w:color w:val="auto"/>
                <w:sz w:val="24"/>
                <w:szCs w:val="24"/>
                <w:highlight w:val="none"/>
              </w:rPr>
            </w:pPr>
            <w:r>
              <w:rPr>
                <w:rStyle w:val="49"/>
                <w:rFonts w:hint="eastAsia" w:ascii="宋体" w:hAnsi="宋体" w:eastAsia="宋体" w:cs="宋体"/>
                <w:b w:val="0"/>
                <w:bCs w:val="0"/>
                <w:color w:val="auto"/>
                <w:sz w:val="24"/>
                <w:szCs w:val="24"/>
                <w:highlight w:val="none"/>
              </w:rPr>
              <w:t>2、提交规划送审成果后收到中标人正式发票之日起7个工作日内，支付合同总金额的30%；</w:t>
            </w:r>
          </w:p>
          <w:p>
            <w:pPr>
              <w:pageBreakBefore w:val="0"/>
              <w:kinsoku/>
              <w:wordWrap/>
              <w:overflowPunct/>
              <w:topLinePunct w:val="0"/>
              <w:bidi w:val="0"/>
              <w:spacing w:line="400" w:lineRule="exact"/>
              <w:ind w:firstLine="480" w:firstLineChars="200"/>
              <w:textAlignment w:val="auto"/>
              <w:outlineLvl w:val="9"/>
              <w:rPr>
                <w:rStyle w:val="49"/>
                <w:rFonts w:hint="eastAsia" w:ascii="宋体" w:hAnsi="宋体" w:eastAsia="宋体" w:cs="宋体"/>
                <w:b w:val="0"/>
                <w:bCs w:val="0"/>
                <w:color w:val="auto"/>
                <w:sz w:val="24"/>
                <w:szCs w:val="24"/>
                <w:highlight w:val="none"/>
              </w:rPr>
            </w:pPr>
            <w:r>
              <w:rPr>
                <w:rStyle w:val="49"/>
                <w:rFonts w:hint="eastAsia" w:ascii="宋体" w:hAnsi="宋体" w:eastAsia="宋体" w:cs="宋体"/>
                <w:b w:val="0"/>
                <w:bCs w:val="0"/>
                <w:color w:val="auto"/>
                <w:sz w:val="24"/>
                <w:szCs w:val="24"/>
                <w:highlight w:val="none"/>
              </w:rPr>
              <w:t>3、规划评审通过后收到中标人正式发票之日起7个工作日内，支付合同总金额的30%；</w:t>
            </w:r>
          </w:p>
          <w:p>
            <w:pPr>
              <w:pageBreakBefore w:val="0"/>
              <w:kinsoku/>
              <w:wordWrap/>
              <w:overflowPunct/>
              <w:topLinePunct w:val="0"/>
              <w:bidi w:val="0"/>
              <w:spacing w:line="400" w:lineRule="exact"/>
              <w:ind w:firstLine="480" w:firstLineChars="200"/>
              <w:textAlignment w:val="auto"/>
              <w:outlineLvl w:val="9"/>
              <w:rPr>
                <w:rFonts w:ascii="宋体" w:hAnsi="宋体" w:cs="宋体"/>
                <w:color w:val="auto"/>
                <w:sz w:val="24"/>
                <w:highlight w:val="none"/>
              </w:rPr>
            </w:pPr>
            <w:r>
              <w:rPr>
                <w:rStyle w:val="49"/>
                <w:rFonts w:hint="eastAsia" w:ascii="宋体" w:hAnsi="宋体" w:eastAsia="宋体" w:cs="宋体"/>
                <w:b w:val="0"/>
                <w:bCs w:val="0"/>
                <w:color w:val="auto"/>
                <w:sz w:val="24"/>
                <w:szCs w:val="24"/>
                <w:highlight w:val="none"/>
              </w:rPr>
              <w:t>4、规划成果取得批复并备案后、收到中标人正式发票之日起7个工作日内，支付合同总金额剩余的10%。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货物交付/服务地点：东阳市内，采购人指定的地点。</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验收：</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采购人组织相关人员对供应商履约的验收，验收费用由中标人承担；采购人出具一式二份验收报告，一份由中标人保管，一份由东阳市鑫盛工程咨询有限公司（原件）存档。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2.采购人可以邀请参加本项目的其他供应商或者第三方机构参与验收。参与验收的供应商或者第三方机构的意见作为验收书的参考资料一并存档。</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4.采购人原则上应当在履约验收之日起2个工作日内，将履约验收结果在浙江政府采购网上公告。</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5.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48" w:lineRule="auto"/>
              <w:outlineLvl w:val="2"/>
              <w:rPr>
                <w:rFonts w:ascii="宋体" w:hAnsi="宋体"/>
                <w:b/>
                <w:color w:val="auto"/>
                <w:sz w:val="24"/>
                <w:highlight w:val="none"/>
              </w:rPr>
            </w:pPr>
            <w:r>
              <w:rPr>
                <w:rFonts w:hint="eastAsia" w:ascii="宋体" w:hAnsi="宋体"/>
                <w:b/>
                <w:color w:val="auto"/>
                <w:sz w:val="24"/>
                <w:highlight w:val="none"/>
              </w:rPr>
              <w:t>供应商有下列情形之一的，列入失信名单，同时依照《政府采购法》第七十七条及《中华人民共和国政府采购法实施条例》第七十二条规定处罚并追求法律责任。</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1、提供虚假材料谋取中标、成交的； </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2、采取不正当手段诋毁、排挤其他供应商的； </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3、与采购人、其他供应商或者采购代理机构恶意串通的； </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4、向采购人、采购代理机构行贿或者提供其他不正当利益的； </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 xml:space="preserve">5、在招标采购过程中与采购人进行协商谈判的； </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6、向评标委员会、竞争性谈判小组或者询价小组成员行贿或者提供其他不正当利益；</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7、中标或者成交后无正当理由拒不与采购人签订政府采购合同；</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8、未按照采购文件确定的事项签订政府采购合同；</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9、将政府采购合同转包；</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10、提供假冒伪劣产品；</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11、擅自变更、中止或者终止政府采购合同。</w:t>
            </w:r>
          </w:p>
          <w:p>
            <w:pPr>
              <w:snapToGrid w:val="0"/>
              <w:spacing w:line="348" w:lineRule="auto"/>
              <w:rPr>
                <w:rFonts w:ascii="宋体" w:hAnsi="宋体" w:cs="宋体"/>
                <w:color w:val="auto"/>
                <w:sz w:val="24"/>
                <w:highlight w:val="none"/>
              </w:rPr>
            </w:pPr>
            <w:r>
              <w:rPr>
                <w:rFonts w:hint="eastAsia" w:ascii="宋体" w:hAnsi="宋体"/>
                <w:color w:val="auto"/>
                <w:sz w:val="24"/>
                <w:highlight w:val="none"/>
              </w:rPr>
              <w:t>12、其他严重扰乱招投标程序的。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20</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投标文件有效期：</w:t>
            </w:r>
            <w:r>
              <w:rPr>
                <w:rFonts w:hint="eastAsia" w:ascii="宋体" w:hAnsi="宋体" w:cs="宋体"/>
                <w:color w:val="auto"/>
                <w:sz w:val="24"/>
                <w:highlight w:val="none"/>
                <w:u w:val="single"/>
              </w:rPr>
              <w:t>60</w:t>
            </w:r>
            <w:r>
              <w:rPr>
                <w:rFonts w:hint="eastAsia" w:ascii="宋体" w:hAnsi="宋体" w:cs="宋体"/>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b/>
                <w:color w:val="auto"/>
                <w:sz w:val="24"/>
                <w:highlight w:val="none"/>
              </w:rPr>
            </w:pPr>
            <w:r>
              <w:rPr>
                <w:rFonts w:hint="eastAsia" w:ascii="宋体" w:hAnsi="宋体" w:cs="宋体"/>
                <w:b/>
                <w:color w:val="auto"/>
                <w:sz w:val="24"/>
                <w:highlight w:val="none"/>
              </w:rPr>
              <w:t>招标方对投标人的落选不作出任何解释。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22</w:t>
            </w:r>
          </w:p>
        </w:tc>
        <w:tc>
          <w:tcPr>
            <w:tcW w:w="875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b/>
                <w:color w:val="auto"/>
                <w:sz w:val="24"/>
                <w:highlight w:val="none"/>
              </w:rPr>
            </w:pPr>
            <w:r>
              <w:rPr>
                <w:rFonts w:hint="eastAsia" w:ascii="宋体" w:hAnsi="宋体" w:cs="宋体"/>
                <w:b/>
                <w:color w:val="auto"/>
                <w:kern w:val="0"/>
                <w:sz w:val="24"/>
                <w:highlight w:val="none"/>
              </w:rPr>
              <w:t>采购人和招标代理机构的任何工作人员对投标人所作的任何口头解释、介绍、答复，仅供投标人参考，不作为招标依据，对采购人、招标代理机构和投标人无任何约束力，一切以网上公告及书面形式为准。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23</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解释：本招标文件的解释权属于东阳市鑫盛工程咨询有限公司。</w:t>
            </w:r>
          </w:p>
        </w:tc>
      </w:tr>
    </w:tbl>
    <w:p>
      <w:pPr>
        <w:pStyle w:val="14"/>
        <w:snapToGrid w:val="0"/>
        <w:spacing w:before="120" w:after="120" w:line="360" w:lineRule="auto"/>
        <w:rPr>
          <w:rFonts w:ascii="宋体" w:hAnsi="宋体" w:cs="宋体"/>
          <w:b/>
          <w:color w:val="auto"/>
          <w:szCs w:val="24"/>
          <w:highlight w:val="none"/>
        </w:rPr>
      </w:pPr>
      <w:r>
        <w:rPr>
          <w:rFonts w:hint="eastAsia" w:ascii="宋体" w:hAnsi="宋体" w:cs="宋体"/>
          <w:b/>
          <w:color w:val="auto"/>
          <w:szCs w:val="24"/>
          <w:highlight w:val="none"/>
        </w:rPr>
        <w:t>注：如本招标文件后面的条款与本表有矛盾的以本表的内容为准。</w:t>
      </w:r>
    </w:p>
    <w:p>
      <w:pPr>
        <w:pStyle w:val="14"/>
        <w:pageBreakBefore/>
        <w:numPr>
          <w:ilvl w:val="0"/>
          <w:numId w:val="5"/>
        </w:numPr>
        <w:snapToGrid w:val="0"/>
        <w:spacing w:line="360" w:lineRule="auto"/>
        <w:ind w:left="826" w:hanging="826" w:hangingChars="343"/>
        <w:jc w:val="center"/>
        <w:outlineLvl w:val="1"/>
        <w:rPr>
          <w:rFonts w:ascii="宋体" w:hAnsi="宋体" w:cs="宋体"/>
          <w:b/>
          <w:color w:val="auto"/>
          <w:szCs w:val="24"/>
          <w:highlight w:val="none"/>
        </w:rPr>
      </w:pPr>
      <w:bookmarkStart w:id="48" w:name="_Toc30484"/>
      <w:r>
        <w:rPr>
          <w:rFonts w:hint="eastAsia" w:ascii="宋体" w:hAnsi="宋体" w:cs="宋体"/>
          <w:b/>
          <w:color w:val="auto"/>
          <w:szCs w:val="24"/>
          <w:highlight w:val="none"/>
        </w:rPr>
        <w:t>总则</w:t>
      </w:r>
      <w:bookmarkEnd w:id="48"/>
    </w:p>
    <w:p>
      <w:pPr>
        <w:spacing w:line="440" w:lineRule="exact"/>
        <w:rPr>
          <w:rFonts w:ascii="宋体" w:hAnsi="宋体" w:cs="宋体"/>
          <w:b/>
          <w:color w:val="auto"/>
          <w:sz w:val="24"/>
          <w:highlight w:val="none"/>
        </w:rPr>
      </w:pPr>
      <w:bookmarkStart w:id="49" w:name="_Toc407182093"/>
      <w:r>
        <w:rPr>
          <w:rFonts w:hint="eastAsia" w:ascii="宋体" w:hAnsi="宋体" w:cs="宋体"/>
          <w:b/>
          <w:color w:val="auto"/>
          <w:sz w:val="24"/>
          <w:highlight w:val="none"/>
        </w:rPr>
        <w:t>（一） 适用范围</w:t>
      </w:r>
      <w:bookmarkEnd w:id="49"/>
    </w:p>
    <w:p>
      <w:pPr>
        <w:spacing w:line="44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本招标文件适用于</w:t>
      </w:r>
      <w:r>
        <w:rPr>
          <w:rFonts w:hint="eastAsia" w:ascii="宋体" w:hAnsi="宋体" w:cs="宋体"/>
          <w:color w:val="auto"/>
          <w:sz w:val="24"/>
          <w:highlight w:val="none"/>
          <w:lang w:eastAsia="zh-CN"/>
        </w:rPr>
        <w:t>东阳市部分乡镇“多规合一”实用性村庄规划编制项目</w:t>
      </w:r>
      <w:r>
        <w:rPr>
          <w:rFonts w:hint="eastAsia" w:ascii="宋体" w:hAnsi="宋体" w:cs="宋体"/>
          <w:color w:val="auto"/>
          <w:sz w:val="24"/>
          <w:highlight w:val="none"/>
        </w:rPr>
        <w:t>的招标、投标、评标、定标、验收、合同履约、付款等行为（法律、法规另有规定的，从其规定）。</w:t>
      </w:r>
    </w:p>
    <w:p>
      <w:pPr>
        <w:spacing w:line="440" w:lineRule="exact"/>
        <w:rPr>
          <w:rFonts w:ascii="宋体" w:hAnsi="宋体" w:cs="宋体"/>
          <w:b/>
          <w:color w:val="auto"/>
          <w:sz w:val="24"/>
          <w:highlight w:val="none"/>
        </w:rPr>
      </w:pPr>
      <w:bookmarkStart w:id="50" w:name="_Toc407182094"/>
      <w:r>
        <w:rPr>
          <w:rFonts w:hint="eastAsia" w:ascii="宋体" w:hAnsi="宋体" w:cs="宋体"/>
          <w:b/>
          <w:color w:val="auto"/>
          <w:sz w:val="24"/>
          <w:highlight w:val="none"/>
        </w:rPr>
        <w:t>（二）定义</w:t>
      </w:r>
      <w:bookmarkEnd w:id="50"/>
      <w:r>
        <w:rPr>
          <w:rFonts w:hint="eastAsia" w:ascii="宋体" w:hAnsi="宋体" w:cs="宋体"/>
          <w:b/>
          <w:color w:val="auto"/>
          <w:sz w:val="24"/>
          <w:highlight w:val="none"/>
        </w:rPr>
        <w:t>及采购项目需要落实的政府采购政策</w:t>
      </w:r>
    </w:p>
    <w:p>
      <w:pPr>
        <w:spacing w:line="440" w:lineRule="exact"/>
        <w:rPr>
          <w:rFonts w:ascii="宋体" w:hAnsi="宋体" w:cs="宋体"/>
          <w:color w:val="auto"/>
          <w:sz w:val="24"/>
          <w:highlight w:val="none"/>
        </w:rPr>
      </w:pPr>
      <w:r>
        <w:rPr>
          <w:rFonts w:hint="eastAsia" w:ascii="宋体" w:hAnsi="宋体" w:cs="宋体"/>
          <w:color w:val="auto"/>
          <w:sz w:val="24"/>
          <w:highlight w:val="none"/>
        </w:rPr>
        <w:t>1.招标采购单位系指组织本次招标的东阳市鑫盛工程咨询有限公司（“招标方”）和</w:t>
      </w:r>
      <w:r>
        <w:rPr>
          <w:rFonts w:hint="eastAsia" w:ascii="宋体" w:hAnsi="宋体" w:cs="宋体"/>
          <w:color w:val="auto"/>
          <w:sz w:val="24"/>
          <w:highlight w:val="none"/>
          <w:lang w:eastAsia="zh-CN"/>
        </w:rPr>
        <w:t>东阳市自然资源和规划局</w:t>
      </w:r>
      <w:r>
        <w:rPr>
          <w:rFonts w:hint="eastAsia" w:ascii="宋体" w:hAnsi="宋体" w:cs="宋体"/>
          <w:color w:val="auto"/>
          <w:sz w:val="24"/>
          <w:highlight w:val="none"/>
        </w:rPr>
        <w:t>（“采购人”）。</w:t>
      </w:r>
    </w:p>
    <w:p>
      <w:pPr>
        <w:spacing w:line="440" w:lineRule="exact"/>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3.“服务”系指招标文件规定投标人须承担的本项目所衍生的一切服务义务。 </w:t>
      </w:r>
    </w:p>
    <w:p>
      <w:pPr>
        <w:spacing w:line="440" w:lineRule="exact"/>
        <w:rPr>
          <w:rFonts w:ascii="宋体" w:hAnsi="宋体" w:cs="宋体"/>
          <w:color w:val="auto"/>
          <w:sz w:val="24"/>
          <w:highlight w:val="none"/>
        </w:rPr>
      </w:pPr>
      <w:r>
        <w:rPr>
          <w:rFonts w:hint="eastAsia" w:ascii="宋体" w:hAnsi="宋体" w:cs="宋体"/>
          <w:color w:val="auto"/>
          <w:sz w:val="24"/>
          <w:highlight w:val="none"/>
        </w:rPr>
        <w:t>4.“项目”系指投标人按招标文件规定向采购人提供的成果和项目服务。</w:t>
      </w:r>
    </w:p>
    <w:p>
      <w:pPr>
        <w:spacing w:line="440" w:lineRule="exact"/>
        <w:rPr>
          <w:rFonts w:ascii="宋体" w:hAnsi="宋体" w:cs="宋体"/>
          <w:color w:val="auto"/>
          <w:sz w:val="24"/>
          <w:highlight w:val="none"/>
        </w:rPr>
      </w:pPr>
      <w:r>
        <w:rPr>
          <w:rFonts w:hint="eastAsia" w:ascii="宋体" w:hAnsi="宋体" w:cs="宋体"/>
          <w:color w:val="auto"/>
          <w:sz w:val="24"/>
          <w:highlight w:val="none"/>
        </w:rPr>
        <w:t>5.“书面形式”包括信函、传真、电报等。</w:t>
      </w:r>
    </w:p>
    <w:p>
      <w:pPr>
        <w:spacing w:line="440" w:lineRule="exact"/>
        <w:rPr>
          <w:rFonts w:ascii="宋体" w:hAnsi="宋体" w:cs="宋体"/>
          <w:b/>
          <w:bCs/>
          <w:color w:val="auto"/>
          <w:sz w:val="24"/>
          <w:highlight w:val="none"/>
        </w:rPr>
      </w:pPr>
      <w:r>
        <w:rPr>
          <w:rFonts w:hint="eastAsia" w:ascii="宋体" w:hAnsi="宋体" w:cs="宋体"/>
          <w:color w:val="auto"/>
          <w:sz w:val="24"/>
          <w:highlight w:val="none"/>
        </w:rPr>
        <w:t>6.</w:t>
      </w:r>
      <w:r>
        <w:rPr>
          <w:rFonts w:hint="eastAsia" w:ascii="宋体" w:hAnsi="宋体" w:cs="宋体"/>
          <w:b/>
          <w:bCs/>
          <w:color w:val="auto"/>
          <w:sz w:val="24"/>
          <w:highlight w:val="none"/>
        </w:rPr>
        <w:t>“▲”系指实质性要求条款。</w:t>
      </w:r>
    </w:p>
    <w:p>
      <w:pPr>
        <w:spacing w:line="440" w:lineRule="exact"/>
        <w:rPr>
          <w:rFonts w:ascii="宋体" w:hAnsi="宋体" w:cs="宋体"/>
          <w:color w:val="auto"/>
          <w:sz w:val="24"/>
          <w:highlight w:val="none"/>
        </w:rPr>
      </w:pPr>
      <w:r>
        <w:rPr>
          <w:rFonts w:hint="eastAsia" w:ascii="宋体" w:hAnsi="宋体" w:cs="宋体"/>
          <w:color w:val="auto"/>
          <w:sz w:val="24"/>
          <w:highlight w:val="none"/>
        </w:rPr>
        <w:t>7. 采购项目需要落实的政府采购政策</w:t>
      </w:r>
    </w:p>
    <w:p>
      <w:pPr>
        <w:spacing w:line="440" w:lineRule="exact"/>
        <w:rPr>
          <w:rFonts w:ascii="宋体" w:hAnsi="宋体" w:cs="宋体"/>
          <w:color w:val="auto"/>
          <w:sz w:val="24"/>
          <w:highlight w:val="none"/>
        </w:rPr>
      </w:pPr>
      <w:r>
        <w:rPr>
          <w:rFonts w:hint="eastAsia" w:ascii="宋体" w:hAnsi="宋体" w:cs="宋体"/>
          <w:color w:val="auto"/>
          <w:sz w:val="24"/>
          <w:highlight w:val="none"/>
        </w:rPr>
        <w:t>7.1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spacing w:line="440" w:lineRule="exact"/>
        <w:rPr>
          <w:rFonts w:ascii="宋体" w:hAnsi="宋体" w:cs="宋体"/>
          <w:color w:val="auto"/>
          <w:sz w:val="24"/>
          <w:highlight w:val="none"/>
        </w:rPr>
      </w:pPr>
      <w:r>
        <w:rPr>
          <w:rFonts w:hint="eastAsia" w:ascii="宋体" w:hAnsi="宋体" w:cs="宋体"/>
          <w:color w:val="auto"/>
          <w:sz w:val="24"/>
          <w:highlight w:val="none"/>
        </w:rPr>
        <w:t>7.2 支持绿色发展</w:t>
      </w:r>
    </w:p>
    <w:p>
      <w:pPr>
        <w:spacing w:line="440" w:lineRule="exact"/>
        <w:rPr>
          <w:rFonts w:ascii="宋体" w:hAnsi="宋体" w:cs="宋体"/>
          <w:color w:val="auto"/>
          <w:sz w:val="24"/>
          <w:highlight w:val="none"/>
        </w:rPr>
      </w:pPr>
      <w:r>
        <w:rPr>
          <w:rFonts w:hint="eastAsia" w:ascii="宋体" w:hAnsi="宋体" w:cs="宋体"/>
          <w:color w:val="auto"/>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440" w:lineRule="exact"/>
        <w:rPr>
          <w:rFonts w:ascii="宋体" w:hAnsi="宋体" w:cs="宋体"/>
          <w:color w:val="auto"/>
          <w:sz w:val="24"/>
          <w:highlight w:val="none"/>
        </w:rPr>
      </w:pPr>
      <w:r>
        <w:rPr>
          <w:rFonts w:hint="eastAsia" w:ascii="宋体" w:hAnsi="宋体" w:cs="宋体"/>
          <w:color w:val="auto"/>
          <w:sz w:val="24"/>
          <w:highlight w:val="none"/>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440" w:lineRule="exact"/>
        <w:rPr>
          <w:rFonts w:ascii="宋体" w:hAnsi="宋体" w:cs="宋体"/>
          <w:color w:val="auto"/>
          <w:sz w:val="24"/>
          <w:highlight w:val="none"/>
        </w:rPr>
      </w:pPr>
      <w:r>
        <w:rPr>
          <w:rFonts w:hint="eastAsia" w:ascii="宋体" w:hAnsi="宋体" w:cs="宋体"/>
          <w:color w:val="auto"/>
          <w:sz w:val="24"/>
          <w:highlight w:val="none"/>
        </w:rPr>
        <w:t>7.3支持中小企业发展</w:t>
      </w:r>
    </w:p>
    <w:p>
      <w:pPr>
        <w:spacing w:line="440" w:lineRule="exact"/>
        <w:rPr>
          <w:rFonts w:ascii="宋体" w:hAnsi="宋体" w:cs="宋体"/>
          <w:color w:val="auto"/>
          <w:sz w:val="24"/>
          <w:highlight w:val="none"/>
        </w:rPr>
      </w:pPr>
      <w:r>
        <w:rPr>
          <w:rFonts w:hint="eastAsia" w:ascii="宋体" w:hAnsi="宋体" w:cs="宋体"/>
          <w:color w:val="auto"/>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spacing w:line="440" w:lineRule="exact"/>
        <w:rPr>
          <w:rFonts w:ascii="宋体" w:hAnsi="宋体" w:cs="宋体"/>
          <w:color w:val="auto"/>
          <w:sz w:val="24"/>
          <w:highlight w:val="none"/>
        </w:rPr>
      </w:pPr>
      <w:r>
        <w:rPr>
          <w:rFonts w:hint="eastAsia" w:ascii="宋体" w:hAnsi="宋体" w:cs="宋体"/>
          <w:color w:val="auto"/>
          <w:sz w:val="24"/>
          <w:highlight w:val="none"/>
        </w:rPr>
        <w:t>7.3.2在政府采购活动中，供应商提供的货物、工程或者服务符合下列情形的，享受中小企业扶持政策：</w:t>
      </w:r>
    </w:p>
    <w:p>
      <w:pPr>
        <w:spacing w:line="440" w:lineRule="exact"/>
        <w:rPr>
          <w:rFonts w:ascii="宋体" w:hAnsi="宋体" w:cs="宋体"/>
          <w:color w:val="auto"/>
          <w:sz w:val="24"/>
          <w:highlight w:val="none"/>
        </w:rPr>
      </w:pPr>
      <w:r>
        <w:rPr>
          <w:rFonts w:hint="eastAsia" w:ascii="宋体" w:hAnsi="宋体" w:cs="宋体"/>
          <w:color w:val="auto"/>
          <w:sz w:val="24"/>
          <w:highlight w:val="none"/>
        </w:rPr>
        <w:t>7.3.2.1在货物采购项目中，货物由中小企业制造，即货物由中小企业生产且使用该中小企业商号或者注册商标；</w:t>
      </w:r>
    </w:p>
    <w:p>
      <w:pPr>
        <w:spacing w:line="440" w:lineRule="exact"/>
        <w:rPr>
          <w:rFonts w:ascii="宋体" w:hAnsi="宋体" w:cs="宋体"/>
          <w:color w:val="auto"/>
          <w:sz w:val="24"/>
          <w:highlight w:val="none"/>
        </w:rPr>
      </w:pPr>
      <w:r>
        <w:rPr>
          <w:rFonts w:hint="eastAsia" w:ascii="宋体" w:hAnsi="宋体" w:cs="宋体"/>
          <w:color w:val="auto"/>
          <w:sz w:val="24"/>
          <w:highlight w:val="none"/>
        </w:rPr>
        <w:t>7.3.2.2在工程采购项目中，工程由中小企业承建，即工程施工单位为中小企业；</w:t>
      </w:r>
    </w:p>
    <w:p>
      <w:pPr>
        <w:spacing w:line="440" w:lineRule="exact"/>
        <w:rPr>
          <w:rFonts w:ascii="宋体" w:hAnsi="宋体" w:cs="宋体"/>
          <w:color w:val="auto"/>
          <w:sz w:val="24"/>
          <w:highlight w:val="none"/>
        </w:rPr>
      </w:pPr>
      <w:r>
        <w:rPr>
          <w:rFonts w:hint="eastAsia" w:ascii="宋体" w:hAnsi="宋体" w:cs="宋体"/>
          <w:color w:val="auto"/>
          <w:sz w:val="24"/>
          <w:highlight w:val="none"/>
        </w:rPr>
        <w:t>7.3.2.3在服务采购项目中，服务由中小企业承接，即提供服务的人员为中小企业依照《中华人民共和国劳动合同法》订立劳动合同的从业人员。</w:t>
      </w:r>
    </w:p>
    <w:p>
      <w:pPr>
        <w:spacing w:line="440" w:lineRule="exact"/>
        <w:rPr>
          <w:rFonts w:ascii="宋体" w:hAnsi="宋体" w:cs="宋体"/>
          <w:color w:val="auto"/>
          <w:sz w:val="24"/>
          <w:highlight w:val="none"/>
        </w:rPr>
      </w:pPr>
      <w:r>
        <w:rPr>
          <w:rFonts w:hint="eastAsia" w:ascii="宋体" w:hAnsi="宋体" w:cs="宋体"/>
          <w:color w:val="auto"/>
          <w:sz w:val="24"/>
          <w:highlight w:val="none"/>
        </w:rPr>
        <w:t>在货物采购项目中，供应商提供的货物既有中小企业制造货物，也有大型企业制造货物的，不享受中小企业扶持政策。</w:t>
      </w:r>
    </w:p>
    <w:p>
      <w:pPr>
        <w:spacing w:line="440" w:lineRule="exact"/>
        <w:rPr>
          <w:rFonts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pacing w:line="440" w:lineRule="exact"/>
        <w:rPr>
          <w:rFonts w:ascii="宋体" w:hAnsi="宋体" w:cs="宋体"/>
          <w:color w:val="auto"/>
          <w:sz w:val="24"/>
          <w:highlight w:val="none"/>
        </w:rPr>
      </w:pPr>
      <w:r>
        <w:rPr>
          <w:rFonts w:hint="eastAsia" w:ascii="宋体" w:hAnsi="宋体" w:cs="宋体"/>
          <w:color w:val="auto"/>
          <w:sz w:val="24"/>
          <w:highlight w:val="none"/>
        </w:rPr>
        <w:t>7.3.3符合《关于促进残疾人就业政府采购政策的通知》（财库〔2017〕141号）规定的条件并提供《残疾人福利性单位声明函》（附件1）的残疾人福利性单位视同小型、微型企业；</w:t>
      </w:r>
    </w:p>
    <w:p>
      <w:pPr>
        <w:spacing w:line="440" w:lineRule="exact"/>
        <w:rPr>
          <w:rFonts w:ascii="宋体" w:hAnsi="宋体" w:cs="宋体"/>
          <w:color w:val="auto"/>
          <w:sz w:val="24"/>
          <w:highlight w:val="none"/>
        </w:rPr>
      </w:pPr>
      <w:r>
        <w:rPr>
          <w:rFonts w:hint="eastAsia" w:ascii="宋体" w:hAnsi="宋体" w:cs="宋体"/>
          <w:color w:val="auto"/>
          <w:sz w:val="24"/>
          <w:highlight w:val="none"/>
        </w:rPr>
        <w:t>7.3.4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rPr>
          <w:rFonts w:ascii="宋体" w:hAnsi="宋体" w:cs="宋体"/>
          <w:color w:val="auto"/>
          <w:sz w:val="24"/>
          <w:highlight w:val="none"/>
        </w:rPr>
      </w:pPr>
      <w:r>
        <w:rPr>
          <w:rFonts w:hint="eastAsia" w:ascii="宋体" w:hAnsi="宋体" w:cs="宋体"/>
          <w:color w:val="auto"/>
          <w:sz w:val="24"/>
          <w:highlight w:val="none"/>
        </w:rPr>
        <w:t>7.3.5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440" w:lineRule="exact"/>
        <w:rPr>
          <w:rFonts w:ascii="宋体" w:hAnsi="宋体" w:cs="宋体"/>
          <w:color w:val="auto"/>
          <w:sz w:val="24"/>
          <w:highlight w:val="none"/>
        </w:rPr>
      </w:pPr>
      <w:r>
        <w:rPr>
          <w:rFonts w:hint="eastAsia" w:ascii="宋体" w:hAnsi="宋体" w:cs="宋体"/>
          <w:color w:val="auto"/>
          <w:sz w:val="24"/>
          <w:highlight w:val="none"/>
        </w:rPr>
        <w:t>7.3.6中小企业享受扶持政策获得政府采购合同的，小微企业不得将合同分包给大中型企业，中型企业不得将合同分包给大型企业。</w:t>
      </w:r>
    </w:p>
    <w:p>
      <w:pPr>
        <w:spacing w:line="440" w:lineRule="exact"/>
        <w:rPr>
          <w:rFonts w:ascii="宋体" w:hAnsi="宋体" w:cs="宋体"/>
          <w:color w:val="auto"/>
          <w:sz w:val="24"/>
          <w:highlight w:val="none"/>
        </w:rPr>
      </w:pPr>
      <w:r>
        <w:rPr>
          <w:rFonts w:hint="eastAsia" w:ascii="宋体" w:hAnsi="宋体" w:cs="宋体"/>
          <w:color w:val="auto"/>
          <w:sz w:val="24"/>
          <w:highlight w:val="none"/>
        </w:rPr>
        <w:t>7.4支持创新发展</w:t>
      </w:r>
    </w:p>
    <w:p>
      <w:pPr>
        <w:spacing w:line="440" w:lineRule="exact"/>
        <w:rPr>
          <w:rFonts w:ascii="宋体" w:hAnsi="宋体" w:cs="宋体"/>
          <w:color w:val="auto"/>
          <w:sz w:val="24"/>
          <w:highlight w:val="none"/>
        </w:rPr>
      </w:pPr>
      <w:r>
        <w:rPr>
          <w:rFonts w:hint="eastAsia" w:ascii="宋体" w:hAnsi="宋体" w:cs="宋体"/>
          <w:color w:val="auto"/>
          <w:sz w:val="24"/>
          <w:highlight w:val="none"/>
        </w:rPr>
        <w:t>7.4.1 采购人优先采购被认定为首台套产品和“制造精品”的自主创新产品。</w:t>
      </w:r>
    </w:p>
    <w:p>
      <w:pPr>
        <w:spacing w:line="440" w:lineRule="exact"/>
        <w:rPr>
          <w:rFonts w:ascii="宋体" w:hAnsi="宋体" w:cs="宋体"/>
          <w:color w:val="auto"/>
          <w:sz w:val="24"/>
          <w:highlight w:val="none"/>
        </w:rPr>
      </w:pPr>
      <w:r>
        <w:rPr>
          <w:rFonts w:hint="eastAsia" w:ascii="宋体" w:hAnsi="宋体" w:cs="宋体"/>
          <w:color w:val="auto"/>
          <w:sz w:val="24"/>
          <w:highlight w:val="none"/>
        </w:rPr>
        <w:t>7.4.2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440" w:lineRule="exact"/>
        <w:rPr>
          <w:rFonts w:ascii="宋体" w:hAnsi="宋体" w:cs="宋体"/>
          <w:color w:val="auto"/>
          <w:sz w:val="24"/>
          <w:highlight w:val="none"/>
        </w:rPr>
      </w:pPr>
      <w:r>
        <w:rPr>
          <w:rFonts w:hint="eastAsia" w:ascii="宋体" w:hAnsi="宋体" w:cs="宋体"/>
          <w:color w:val="auto"/>
          <w:sz w:val="24"/>
          <w:highlight w:val="none"/>
        </w:rPr>
        <w:t>7.5中小企业信用融资：为支持和促进中小企业发展，进一步发挥政府采购政策功能，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czt.zj.gov.cn)的中小企业信用融资栏目了解相关信息。 供应商可以通过浙江政府采购网(https://zfcg. czt.zj. gov.cn/)首页的“浙江政采贷”模块进入申请，还可以通过政府采购云平台(https://www</w:t>
      </w:r>
      <w:r>
        <w:rPr>
          <w:rFonts w:ascii="宋体" w:hAnsi="宋体" w:cs="宋体"/>
          <w:color w:val="auto"/>
          <w:sz w:val="24"/>
          <w:highlight w:val="none"/>
        </w:rPr>
        <w:t>.</w:t>
      </w:r>
      <w:r>
        <w:rPr>
          <w:rFonts w:hint="eastAsia" w:ascii="宋体" w:hAnsi="宋体" w:cs="宋体"/>
          <w:color w:val="auto"/>
          <w:sz w:val="24"/>
          <w:highlight w:val="none"/>
        </w:rPr>
        <w:t>zcygov.cn/)首页的“金融服务”模块进入申请。</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（三）招标方式</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（四）投标委托</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如投标人代表不是法定代表人，须有法定代表人出具的授权委托书，委托代理人必须为投标人的在职正式职工（以投标人本单位缴纳社保花名册为准）。</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▲（五）投标费用</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1.不论投标结果如何，投标人均应自行承担所有与投标有关的全部费用（招标文件有相反规定除外）。</w:t>
      </w:r>
    </w:p>
    <w:p>
      <w:pPr>
        <w:spacing w:line="440" w:lineRule="exact"/>
        <w:ind w:firstLine="482" w:firstLineChars="200"/>
        <w:rPr>
          <w:color w:val="auto"/>
          <w:highlight w:val="none"/>
        </w:rPr>
      </w:pPr>
      <w:r>
        <w:rPr>
          <w:rFonts w:hint="eastAsia" w:ascii="宋体" w:hAnsi="宋体" w:cs="宋体"/>
          <w:b/>
          <w:color w:val="auto"/>
          <w:sz w:val="24"/>
          <w:highlight w:val="none"/>
        </w:rPr>
        <w:t>2.东阳市鑫盛工程咨询有限公司按差额定率累进法计算（详见本条下列表格收费标准），向中标人收取中标服务费，在中标结果公示结束之日起3天内（在领取中标通知书前）交纳。</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4"/>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5274" w:type="dxa"/>
            <w:tcBorders>
              <w:top w:val="single" w:color="auto" w:sz="4" w:space="0"/>
              <w:left w:val="single" w:color="auto" w:sz="4" w:space="0"/>
              <w:bottom w:val="single" w:color="auto" w:sz="4" w:space="0"/>
              <w:right w:val="single" w:color="auto" w:sz="4" w:space="0"/>
              <w:tl2br w:val="single" w:color="auto" w:sz="4" w:space="0"/>
            </w:tcBorders>
          </w:tcPr>
          <w:p>
            <w:pPr>
              <w:ind w:firstLine="2310" w:firstLineChars="1100"/>
              <w:rPr>
                <w:rFonts w:ascii="宋体" w:hAnsi="宋体" w:cs="宋体"/>
                <w:b/>
                <w:color w:val="auto"/>
                <w:sz w:val="24"/>
                <w:highlight w:val="none"/>
              </w:rPr>
            </w:pPr>
            <w:r>
              <w:rPr>
                <w:rFonts w:hint="eastAsia" w:ascii="宋体" w:hAnsi="宋体" w:cs="宋体"/>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40" name="直接连接符 140"/>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5HTftUAAAAJAQAA&#10;DwAAAAAAAAABACAAAAAiAAAAZHJzL2Rvd25yZXYueG1sUEsBAhQAFAAAAAgAh07iQHmJbojjAQAA&#10;tgMAAA4AAAAAAAAAAQAgAAAAJAEAAGRycy9lMm9Eb2MueG1sUEsFBgAAAAAGAAYAWQEAAHkFAAAA&#10;AA==&#10;">
                      <v:fill on="f" focussize="0,0"/>
                      <v:stroke color="#000000" joinstyle="round"/>
                      <v:imagedata o:title=""/>
                      <o:lock v:ext="edit" aspectratio="f"/>
                    </v:line>
                  </w:pict>
                </mc:Fallback>
              </mc:AlternateContent>
            </w:r>
            <w:r>
              <w:rPr>
                <w:rFonts w:hint="eastAsia" w:ascii="宋体" w:hAnsi="宋体" w:cs="宋体"/>
                <w:b/>
                <w:color w:val="auto"/>
                <w:sz w:val="24"/>
                <w:highlight w:val="none"/>
              </w:rPr>
              <w:t>服务类型</w:t>
            </w:r>
          </w:p>
          <w:p>
            <w:pPr>
              <w:rPr>
                <w:rFonts w:ascii="宋体" w:hAnsi="宋体" w:cs="宋体"/>
                <w:b/>
                <w:color w:val="auto"/>
                <w:sz w:val="24"/>
                <w:highlight w:val="none"/>
              </w:rPr>
            </w:pPr>
            <w:r>
              <w:rPr>
                <w:rFonts w:hint="eastAsia" w:ascii="宋体" w:hAnsi="宋体" w:cs="宋体"/>
                <w:b/>
                <w:color w:val="auto"/>
                <w:sz w:val="24"/>
                <w:highlight w:val="none"/>
              </w:rPr>
              <w:t>费率</w:t>
            </w:r>
          </w:p>
          <w:p>
            <w:pPr>
              <w:rPr>
                <w:rFonts w:ascii="宋体" w:hAnsi="宋体" w:cs="宋体"/>
                <w:b/>
                <w:color w:val="auto"/>
                <w:sz w:val="24"/>
                <w:highlight w:val="none"/>
              </w:rPr>
            </w:pPr>
            <w:r>
              <w:rPr>
                <w:rFonts w:hint="eastAsia" w:ascii="宋体" w:hAnsi="宋体" w:cs="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49530</wp:posOffset>
                      </wp:positionV>
                      <wp:extent cx="3342005" cy="417195"/>
                      <wp:effectExtent l="635" t="4445" r="10160" b="16510"/>
                      <wp:wrapNone/>
                      <wp:docPr id="141" name="直接连接符 141"/>
                      <wp:cNvGraphicFramePr/>
                      <a:graphic xmlns:a="http://schemas.openxmlformats.org/drawingml/2006/main">
                        <a:graphicData uri="http://schemas.microsoft.com/office/word/2010/wordprocessingShape">
                          <wps:wsp>
                            <wps:cNvCnPr>
                              <a:cxnSpLocks noChangeShapeType="1"/>
                            </wps:cNvCnPr>
                            <wps:spPr bwMode="auto">
                              <a:xfrm>
                                <a:off x="0" y="0"/>
                                <a:ext cx="3342005" cy="4171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7pt;margin-top:3.9pt;height:32.85pt;width:263.15pt;z-index:251660288;mso-width-relative:page;mso-height-relative:page;" filled="f" stroked="t" coordsize="21600,21600" o:gfxdata="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oRNYrWAAAABwEAAA8AAAAAAAAAAQAgAAAAIgAAAGRycy9kb3ducmV2LnhtbFBLAQIUABQAAAAI&#10;AIdO4kCh3RMs7wEAAMEDAAAOAAAAAAAAAAEAIAAAACUBAABkcnMvZTJvRG9jLnhtbFBLBQYAAAAA&#10;BgAGAFkBAACGBQAAAAA=&#10;">
                      <v:fill on="f" focussize="0,0"/>
                      <v:stroke color="#000000" joinstyle="round"/>
                      <v:imagedata o:title=""/>
                      <o:lock v:ext="edit" aspectratio="f"/>
                    </v:line>
                  </w:pict>
                </mc:Fallback>
              </mc:AlternateContent>
            </w:r>
          </w:p>
          <w:p>
            <w:pPr>
              <w:rPr>
                <w:rFonts w:ascii="宋体" w:hAnsi="宋体" w:cs="宋体"/>
                <w:b/>
                <w:color w:val="auto"/>
                <w:sz w:val="24"/>
                <w:highlight w:val="none"/>
              </w:rPr>
            </w:pPr>
            <w:r>
              <w:rPr>
                <w:rFonts w:hint="eastAsia" w:ascii="宋体" w:hAnsi="宋体" w:cs="宋体"/>
                <w:b/>
                <w:color w:val="auto"/>
                <w:sz w:val="24"/>
                <w:highlight w:val="none"/>
              </w:rPr>
              <w:t>中标金额（万元）</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lang w:val="en-US" w:eastAsia="zh-CN"/>
              </w:rPr>
              <w:t>服务</w:t>
            </w:r>
            <w:r>
              <w:rPr>
                <w:rFonts w:hint="eastAsia" w:ascii="宋体" w:hAnsi="宋体" w:cs="宋体"/>
                <w:b/>
                <w:color w:val="auto"/>
                <w:sz w:val="24"/>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27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40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27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100-500</w:t>
            </w:r>
          </w:p>
        </w:tc>
        <w:tc>
          <w:tcPr>
            <w:tcW w:w="40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p>
        </w:tc>
      </w:tr>
    </w:tbl>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中标服务费由中标人汇至以下账户：</w:t>
      </w:r>
    </w:p>
    <w:p>
      <w:pPr>
        <w:spacing w:line="44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账户名称：东阳市鑫盛工程咨询有限公司</w:t>
      </w:r>
    </w:p>
    <w:p>
      <w:pPr>
        <w:spacing w:line="44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开户银行：兴业银行股份有限公司金华东阳支行</w:t>
      </w:r>
    </w:p>
    <w:p>
      <w:pPr>
        <w:spacing w:line="44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账号：356090100100082625</w:t>
      </w:r>
    </w:p>
    <w:p>
      <w:pPr>
        <w:spacing w:line="440" w:lineRule="exact"/>
        <w:rPr>
          <w:rFonts w:ascii="宋体" w:hAnsi="宋体" w:cs="宋体"/>
          <w:color w:val="auto"/>
          <w:sz w:val="24"/>
          <w:highlight w:val="none"/>
        </w:rPr>
      </w:pPr>
      <w:r>
        <w:rPr>
          <w:rFonts w:hint="eastAsia" w:ascii="宋体" w:hAnsi="宋体" w:cs="宋体"/>
          <w:b/>
          <w:color w:val="auto"/>
          <w:sz w:val="24"/>
          <w:highlight w:val="none"/>
        </w:rPr>
        <w:t>（六）联合体投标</w:t>
      </w:r>
      <w:r>
        <w:rPr>
          <w:rFonts w:hint="eastAsia" w:ascii="宋体" w:hAnsi="宋体" w:cs="宋体"/>
          <w:b/>
          <w:color w:val="auto"/>
          <w:sz w:val="24"/>
          <w:highlight w:val="none"/>
        </w:rPr>
        <w:tab/>
      </w:r>
    </w:p>
    <w:p>
      <w:pPr>
        <w:spacing w:line="44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本项目（是）接受联合体投标。</w:t>
      </w:r>
    </w:p>
    <w:p>
      <w:pPr>
        <w:spacing w:line="440" w:lineRule="exact"/>
        <w:rPr>
          <w:rFonts w:ascii="宋体" w:hAnsi="宋体" w:cs="宋体"/>
          <w:b/>
          <w:color w:val="auto"/>
          <w:kern w:val="0"/>
          <w:sz w:val="24"/>
          <w:highlight w:val="none"/>
        </w:rPr>
      </w:pPr>
      <w:r>
        <w:rPr>
          <w:rFonts w:hint="eastAsia" w:ascii="宋体" w:hAnsi="宋体" w:cs="宋体"/>
          <w:b/>
          <w:color w:val="auto"/>
          <w:sz w:val="24"/>
          <w:highlight w:val="none"/>
        </w:rPr>
        <w:t>（七）</w:t>
      </w:r>
      <w:r>
        <w:rPr>
          <w:rFonts w:hint="eastAsia" w:ascii="宋体" w:hAnsi="宋体" w:cs="宋体"/>
          <w:b/>
          <w:color w:val="auto"/>
          <w:kern w:val="0"/>
          <w:sz w:val="24"/>
          <w:highlight w:val="none"/>
        </w:rPr>
        <w:t>转包与分包</w:t>
      </w:r>
    </w:p>
    <w:p>
      <w:pPr>
        <w:spacing w:line="44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spacing w:line="44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2.本项目允许分包。</w:t>
      </w:r>
    </w:p>
    <w:p>
      <w:pPr>
        <w:spacing w:line="440" w:lineRule="exact"/>
        <w:rPr>
          <w:rFonts w:ascii="宋体" w:hAnsi="宋体" w:cs="宋体"/>
          <w:b/>
          <w:bCs/>
          <w:color w:val="auto"/>
          <w:sz w:val="24"/>
          <w:highlight w:val="none"/>
        </w:rPr>
      </w:pPr>
      <w:r>
        <w:rPr>
          <w:rFonts w:hint="eastAsia" w:ascii="宋体" w:hAnsi="宋体" w:cs="宋体"/>
          <w:color w:val="auto"/>
          <w:sz w:val="24"/>
          <w:highlight w:val="none"/>
        </w:rPr>
        <w:t>▲</w:t>
      </w:r>
      <w:r>
        <w:rPr>
          <w:rFonts w:hint="eastAsia" w:ascii="宋体" w:hAnsi="宋体" w:cs="宋体"/>
          <w:b/>
          <w:bCs/>
          <w:color w:val="auto"/>
          <w:sz w:val="24"/>
          <w:highlight w:val="none"/>
        </w:rPr>
        <w:t>（八）特别说明：</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1.多个投标人参加投标，如其中两家或两家以上投标人的法定代表人为同一人或相互之间存在投资关系且达到控股的，应当按一个投标人认定。</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2.投标人投标所使用的资格、信誉、荣誉与企业认证必须为本法人所拥有。投标人投标所使用的采购项目实施人员必须为本法人员工（或必须为本法人或控股公司正式员工）。</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按中标价双倍赔偿采购人，且民事赔偿并不免除违法投标人的行政与刑事责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 评标委员会认为预中标人的投标报价明显低于其他通过符合性审查投标人的报价，有可能影响产品质量或者不能诚信履约的，应当要求其在评标现场合理的时间内提供书面说明，必要时提交相关证明材料，预中标人不能证明其报价合理性的，评标委员会应当将其作为无效投标处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 招标方不保证最低报价者为中标方。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.“政采云”平台运营机构，以及与该机构有直接控股或者管理关系可能影响采购公正性的任何单位和个人，不得在该平台进行的政府采购项目电子交易中投标、响应政府采购项目。</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（九）质疑和投诉</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人认为招标文件、招标过程或中标结果使自己的合法权益受到损害的，应当在知道或者应知其权益受到损害之日起七个工作日内，以书面形式向采购人、招标方提出质疑。投标人对招标方的质疑答复不满意或者招标方未在规定时间内作出答复的，可以在答复期满后十五个工作日内向同级采购监管部门投诉。</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 采购人、招标方应当按照《浙江省政府采购供应商质疑处理办法》、中华人民共和国财政部第94号令《政府采购质疑和投诉办法》进行受理与答复质疑。</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51" w:name="_Toc454196066"/>
      <w:bookmarkStart w:id="52" w:name="_Toc458697268"/>
      <w:bookmarkStart w:id="53" w:name="_Toc30726"/>
      <w:r>
        <w:rPr>
          <w:rFonts w:hint="eastAsia" w:ascii="宋体" w:hAnsi="宋体" w:eastAsia="宋体" w:cs="宋体"/>
          <w:color w:val="auto"/>
          <w:sz w:val="24"/>
          <w:szCs w:val="24"/>
          <w:highlight w:val="none"/>
        </w:rPr>
        <w:t>二、招标文件</w:t>
      </w:r>
      <w:bookmarkEnd w:id="51"/>
      <w:bookmarkEnd w:id="52"/>
      <w:bookmarkEnd w:id="53"/>
    </w:p>
    <w:p>
      <w:pPr>
        <w:spacing w:line="360" w:lineRule="auto"/>
        <w:rPr>
          <w:rFonts w:ascii="宋体" w:hAnsi="宋体" w:cs="宋体"/>
          <w:b/>
          <w:color w:val="auto"/>
          <w:sz w:val="24"/>
          <w:highlight w:val="none"/>
        </w:rPr>
      </w:pPr>
      <w:r>
        <w:rPr>
          <w:rFonts w:hint="eastAsia" w:ascii="宋体" w:hAnsi="宋体" w:cs="宋体"/>
          <w:b/>
          <w:color w:val="auto"/>
          <w:sz w:val="24"/>
          <w:highlight w:val="none"/>
        </w:rPr>
        <w:t>（一）招标文件的构成。本招标文件由以下部分组成：</w:t>
      </w:r>
    </w:p>
    <w:p>
      <w:pPr>
        <w:spacing w:line="360" w:lineRule="auto"/>
        <w:rPr>
          <w:rFonts w:ascii="宋体" w:hAnsi="宋体" w:cs="宋体"/>
          <w:color w:val="auto"/>
          <w:sz w:val="24"/>
          <w:highlight w:val="none"/>
        </w:rPr>
      </w:pPr>
      <w:r>
        <w:rPr>
          <w:rFonts w:hint="eastAsia" w:ascii="宋体" w:hAnsi="宋体" w:cs="宋体"/>
          <w:color w:val="auto"/>
          <w:sz w:val="24"/>
          <w:highlight w:val="none"/>
        </w:rPr>
        <w:t>1.招标公告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2.招标需求</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3.投标人须知</w:t>
      </w:r>
    </w:p>
    <w:p>
      <w:pPr>
        <w:spacing w:line="360" w:lineRule="auto"/>
        <w:rPr>
          <w:rFonts w:ascii="宋体" w:hAnsi="宋体" w:cs="宋体"/>
          <w:color w:val="auto"/>
          <w:sz w:val="24"/>
          <w:highlight w:val="none"/>
        </w:rPr>
      </w:pPr>
      <w:r>
        <w:rPr>
          <w:rFonts w:hint="eastAsia" w:ascii="宋体" w:hAnsi="宋体" w:cs="宋体"/>
          <w:color w:val="auto"/>
          <w:sz w:val="24"/>
          <w:highlight w:val="none"/>
        </w:rPr>
        <w:t>4.评标办法及标准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5.合同主要条款</w:t>
      </w:r>
    </w:p>
    <w:p>
      <w:pPr>
        <w:spacing w:line="360" w:lineRule="auto"/>
        <w:rPr>
          <w:rFonts w:ascii="宋体" w:hAnsi="宋体" w:cs="宋体"/>
          <w:color w:val="auto"/>
          <w:sz w:val="24"/>
          <w:highlight w:val="none"/>
        </w:rPr>
      </w:pPr>
      <w:r>
        <w:rPr>
          <w:rFonts w:hint="eastAsia" w:ascii="宋体" w:hAnsi="宋体" w:cs="宋体"/>
          <w:color w:val="auto"/>
          <w:sz w:val="24"/>
          <w:highlight w:val="none"/>
        </w:rPr>
        <w:t>6.投标文件格式</w:t>
      </w:r>
    </w:p>
    <w:p>
      <w:pPr>
        <w:spacing w:line="360" w:lineRule="auto"/>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（二）投标人的风险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投标人没有按照招标文件要求提供全部资料，或者投标人没有对招标文件在各方面作出实质性响应是投标人的风险，并可能导致其投标被拒绝。</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（三）招标文件的澄清与修改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Cs/>
          <w:color w:val="auto"/>
          <w:sz w:val="24"/>
          <w:highlight w:val="none"/>
        </w:rPr>
        <w:t>投标人应认真阅读本招标文件，发现其中有误或有不合理要求的，投标人应当按照公开招标公告第三、七条规定以书面形式要求招标方澄清</w:t>
      </w:r>
      <w:r>
        <w:rPr>
          <w:rFonts w:hint="eastAsia" w:ascii="宋体" w:hAnsi="宋体" w:cs="宋体"/>
          <w:color w:val="auto"/>
          <w:sz w:val="24"/>
          <w:highlight w:val="none"/>
        </w:rPr>
        <w:t>。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2.招标方必须以书面形式答复投标人要求澄清的问题，并将不包含问题来源的答复书面通知所有购买招标文件的投标人；除书面答复以外的其他澄清方式及澄清内容均无效。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3.招标文件澄清、答复、修改、补充的内容为招标文件的组成部分。当招标文件与招标文件的答复、澄清、修改、补充通知就同一内容的表述不一致时，以最后发出的书面文件为准。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4.招标文件的澄清、答复、修改或补充都应该通过本招标机构以法定形式发布，采购人非通过本机构，不得擅自澄清、答复、修改或补充招标文件。</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54" w:name="_Toc19968"/>
      <w:bookmarkStart w:id="55" w:name="_Toc454196067"/>
      <w:bookmarkStart w:id="56" w:name="_Toc458697269"/>
      <w:r>
        <w:rPr>
          <w:rFonts w:hint="eastAsia" w:ascii="宋体" w:hAnsi="宋体" w:eastAsia="宋体" w:cs="宋体"/>
          <w:color w:val="auto"/>
          <w:sz w:val="24"/>
          <w:szCs w:val="24"/>
          <w:highlight w:val="none"/>
        </w:rPr>
        <w:t>三、投标文件的编制</w:t>
      </w:r>
      <w:bookmarkEnd w:id="54"/>
      <w:bookmarkEnd w:id="55"/>
      <w:bookmarkEnd w:id="56"/>
    </w:p>
    <w:p>
      <w:pPr>
        <w:spacing w:line="360" w:lineRule="auto"/>
        <w:rPr>
          <w:rFonts w:ascii="宋体" w:hAnsi="宋体" w:cs="宋体"/>
          <w:b/>
          <w:color w:val="auto"/>
          <w:sz w:val="24"/>
          <w:highlight w:val="none"/>
        </w:rPr>
      </w:pPr>
      <w:r>
        <w:rPr>
          <w:rFonts w:hint="eastAsia" w:ascii="宋体" w:hAnsi="宋体" w:cs="宋体"/>
          <w:b/>
          <w:color w:val="auto"/>
          <w:sz w:val="24"/>
          <w:highlight w:val="none"/>
        </w:rPr>
        <w:t>▲（一）投标文件的组成</w:t>
      </w:r>
    </w:p>
    <w:p>
      <w:pPr>
        <w:spacing w:line="360" w:lineRule="auto"/>
        <w:rPr>
          <w:rFonts w:ascii="宋体" w:hAnsi="宋体" w:cs="宋体"/>
          <w:color w:val="auto"/>
          <w:sz w:val="24"/>
          <w:highlight w:val="none"/>
        </w:rPr>
      </w:pPr>
      <w:r>
        <w:rPr>
          <w:rFonts w:hint="eastAsia" w:ascii="宋体" w:hAnsi="宋体" w:cs="宋体"/>
          <w:color w:val="auto"/>
          <w:sz w:val="24"/>
          <w:highlight w:val="none"/>
        </w:rPr>
        <w:t>投标文件由资格审查文件、商务技术文件、报价文件三部分组成。</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1.资格审查文件：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（1）具有独立承担民事责任的能力：投标人须在投标文件中出具符合以下情况的证明材料复印件（五选一）：</w:t>
      </w:r>
    </w:p>
    <w:p>
      <w:pPr>
        <w:spacing w:line="360" w:lineRule="auto"/>
        <w:rPr>
          <w:rFonts w:ascii="宋体" w:hAnsi="宋体" w:cs="宋体"/>
          <w:color w:val="auto"/>
          <w:sz w:val="24"/>
          <w:highlight w:val="none"/>
        </w:rPr>
      </w:pPr>
      <w:r>
        <w:rPr>
          <w:rFonts w:hint="eastAsia" w:ascii="宋体" w:hAnsi="宋体" w:cs="宋体"/>
          <w:color w:val="auto"/>
          <w:sz w:val="24"/>
          <w:highlight w:val="none"/>
        </w:rPr>
        <w:t>①如投标人是企业（包括合伙企业），提供在工商部门注册的有效“企业法人营业执照”或“营业执照”；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②如投标人是事业单位，提供有效的“事业单位法人证书”；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③如投标人是非企业专业服务机构的，提供执业许可证等证明文件；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④如投标人是个体工商户，提供有效的“个体工商户营业执照”；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ascii="宋体" w:hAnsi="宋体" w:cs="宋体"/>
          <w:color w:val="auto"/>
          <w:sz w:val="24"/>
          <w:highlight w:val="none"/>
        </w:rPr>
      </w:pPr>
      <w:r>
        <w:rPr>
          <w:rFonts w:hint="eastAsia" w:ascii="宋体" w:hAnsi="宋体" w:cs="宋体"/>
          <w:color w:val="auto"/>
          <w:sz w:val="24"/>
          <w:highlight w:val="none"/>
        </w:rPr>
        <w:t>（2）法定代表人身份证复印件或法定代表人授权委托书(格式见附件)；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）投标人具备城乡规划乙级及以上资质或土地规划乙级及以上资质。</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）符合参加政府采购活动应当具备的一般条件的承诺函（格式见附件）；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）投标声明书 (格式见附件)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）政府采购活动现场确认声明书 (格式见附件)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）联合体协议书（联合体投标时提供）（格式见附件）；</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w:t>
      </w:r>
      <w:r>
        <w:rPr>
          <w:rFonts w:hint="eastAsia" w:ascii="宋体" w:hAnsi="宋体" w:cs="宋体"/>
          <w:b/>
          <w:bCs/>
          <w:color w:val="auto"/>
          <w:sz w:val="24"/>
          <w:highlight w:val="none"/>
        </w:rPr>
        <w:t>落实政府采购政策需满足的资格：供应商为中小企业/小微企业，提供《中小企业声明函》（格式见附件）；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）投标人认为有必要提供的其它文件。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2.商务技术文件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项目背景认知</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val="en-US" w:eastAsia="zh-CN"/>
        </w:rPr>
        <w:t>现状分析</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上位及相关规划衔接</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编制思路及技术路线</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对本项目的设计思路</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）项目组成员；</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）项目重难点；</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）质量保证体系；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）认证证书；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）类似业绩（格式见附件）；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）服务费承诺书（格式见附件）；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）投标人需要说明的其他文件和说明。</w:t>
      </w:r>
    </w:p>
    <w:p>
      <w:pPr>
        <w:numPr>
          <w:ilvl w:val="0"/>
          <w:numId w:val="6"/>
        </w:numPr>
        <w:spacing w:line="360" w:lineRule="auto"/>
        <w:rPr>
          <w:rFonts w:ascii="宋体" w:hAnsi="宋体" w:cs="宋体"/>
          <w:b/>
          <w:bCs/>
          <w:color w:val="auto"/>
          <w:sz w:val="24"/>
          <w:highlight w:val="none"/>
        </w:rPr>
      </w:pPr>
      <w:r>
        <w:rPr>
          <w:rFonts w:hint="eastAsia" w:ascii="宋体" w:hAnsi="宋体" w:cs="宋体"/>
          <w:b/>
          <w:bCs/>
          <w:color w:val="auto"/>
          <w:sz w:val="24"/>
          <w:highlight w:val="none"/>
        </w:rPr>
        <w:t>报价文件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（1）投标函（格式见附件）；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（2）开标一览表（格式见附件）； </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（3）投标人针对报价需要说明的其他文件和说明（格式自拟）。</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▲（二）投标文件的语言及计量</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2.投标计量单位，应采用中华人民共和国法定计量单位（货币单位：人民币元），否则视同未响应。</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▲（三）投标报价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2.投标报价是履行合同的最终价格，应包括规划编制费、人工费、服务成果、专用工具、印刷费、资料费、管理费、后期服务、</w:t>
      </w:r>
      <w:r>
        <w:rPr>
          <w:rFonts w:hint="eastAsia" w:ascii="宋体" w:hAnsi="宋体" w:cs="宋体"/>
          <w:color w:val="auto"/>
          <w:sz w:val="24"/>
          <w:highlight w:val="none"/>
          <w:lang w:val="en-US" w:eastAsia="zh-CN"/>
        </w:rPr>
        <w:t>招标代理费</w:t>
      </w:r>
      <w:r>
        <w:rPr>
          <w:rFonts w:hint="eastAsia" w:ascii="宋体" w:hAnsi="宋体" w:cs="宋体"/>
          <w:color w:val="auto"/>
          <w:sz w:val="24"/>
          <w:highlight w:val="none"/>
        </w:rPr>
        <w:t>等本项目相关的一切费用和税金。投标人投标报价为投标人所能承受的整个项目的一次性最终最低报价，如有漏项，视同已包含在本项目投标报价中，合同总价不做调整。</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（四）投标文件的有效期</w:t>
      </w:r>
    </w:p>
    <w:p>
      <w:pPr>
        <w:spacing w:line="360" w:lineRule="auto"/>
        <w:rPr>
          <w:rFonts w:ascii="宋体" w:hAnsi="宋体" w:cs="宋体"/>
          <w:color w:val="auto"/>
          <w:sz w:val="24"/>
          <w:highlight w:val="none"/>
        </w:rPr>
      </w:pPr>
      <w:bookmarkStart w:id="57" w:name="_Toc405368930"/>
      <w:bookmarkStart w:id="58" w:name="_Toc450548873"/>
      <w:r>
        <w:rPr>
          <w:rFonts w:hint="eastAsia" w:ascii="宋体" w:hAnsi="宋体" w:cs="宋体"/>
          <w:color w:val="auto"/>
          <w:sz w:val="24"/>
          <w:highlight w:val="none"/>
        </w:rPr>
        <w:t>▲1.自投标截止日起</w:t>
      </w:r>
      <w:r>
        <w:rPr>
          <w:rFonts w:hint="eastAsia" w:ascii="宋体" w:hAnsi="宋体" w:cs="宋体"/>
          <w:color w:val="auto"/>
          <w:sz w:val="24"/>
          <w:highlight w:val="none"/>
          <w:u w:val="single"/>
        </w:rPr>
        <w:t>60</w:t>
      </w:r>
      <w:r>
        <w:rPr>
          <w:rFonts w:hint="eastAsia" w:ascii="宋体" w:hAnsi="宋体" w:cs="宋体"/>
          <w:color w:val="auto"/>
          <w:sz w:val="24"/>
          <w:highlight w:val="none"/>
        </w:rPr>
        <w:t>天投标文件应保持有效。有效期不足的投标文件将被拒绝。</w:t>
      </w:r>
    </w:p>
    <w:p>
      <w:pPr>
        <w:spacing w:line="360" w:lineRule="auto"/>
        <w:rPr>
          <w:rFonts w:ascii="宋体" w:hAnsi="宋体" w:cs="宋体"/>
          <w:color w:val="auto"/>
          <w:sz w:val="24"/>
          <w:highlight w:val="none"/>
        </w:rPr>
      </w:pPr>
      <w:r>
        <w:rPr>
          <w:rFonts w:hint="eastAsia" w:ascii="宋体" w:hAnsi="宋体" w:cs="宋体"/>
          <w:color w:val="auto"/>
          <w:sz w:val="24"/>
          <w:highlight w:val="none"/>
        </w:rPr>
        <w:t>2.在特殊情况下，招标人可与投标人协商延长投标书的有效期，这种要求和答复均以书面形式进行。</w:t>
      </w:r>
    </w:p>
    <w:p>
      <w:pPr>
        <w:spacing w:line="360" w:lineRule="auto"/>
        <w:rPr>
          <w:rFonts w:ascii="宋体" w:hAnsi="宋体" w:cs="宋体"/>
          <w:color w:val="auto"/>
          <w:sz w:val="24"/>
          <w:highlight w:val="none"/>
        </w:rPr>
      </w:pPr>
      <w:bookmarkStart w:id="59" w:name="_Toc407182105"/>
      <w:r>
        <w:rPr>
          <w:rFonts w:hint="eastAsia" w:ascii="宋体" w:hAnsi="宋体" w:cs="宋体"/>
          <w:color w:val="auto"/>
          <w:sz w:val="24"/>
          <w:highlight w:val="none"/>
        </w:rPr>
        <w:t>3.投标人可拒绝接受延期要求，若同意延长有效期的投标人，则不能修改投标文件。</w:t>
      </w:r>
      <w:bookmarkEnd w:id="59"/>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4.中标人的投标文件自开标之日起至合同履行完毕止均应保持有效。</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（五）履约保证金：本项目不收取履约保证金</w:t>
      </w:r>
    </w:p>
    <w:bookmarkEnd w:id="57"/>
    <w:bookmarkEnd w:id="58"/>
    <w:p>
      <w:pPr>
        <w:spacing w:line="360" w:lineRule="auto"/>
        <w:rPr>
          <w:rFonts w:ascii="宋体" w:hAnsi="宋体" w:cs="宋体"/>
          <w:b/>
          <w:color w:val="auto"/>
          <w:sz w:val="24"/>
          <w:highlight w:val="none"/>
        </w:rPr>
      </w:pPr>
      <w:r>
        <w:rPr>
          <w:rFonts w:hint="eastAsia" w:ascii="宋体" w:hAnsi="宋体" w:cs="宋体"/>
          <w:b/>
          <w:color w:val="auto"/>
          <w:sz w:val="24"/>
          <w:highlight w:val="none"/>
        </w:rPr>
        <w:t>▲（六）投标文件的签署</w:t>
      </w:r>
    </w:p>
    <w:p>
      <w:pPr>
        <w:numPr>
          <w:ilvl w:val="0"/>
          <w:numId w:val="7"/>
        </w:numPr>
        <w:spacing w:line="360" w:lineRule="auto"/>
        <w:rPr>
          <w:rFonts w:ascii="宋体" w:hAnsi="宋体" w:cs="宋体"/>
          <w:color w:val="auto"/>
          <w:sz w:val="24"/>
          <w:highlight w:val="none"/>
        </w:rPr>
      </w:pPr>
      <w:r>
        <w:rPr>
          <w:rFonts w:hint="eastAsia" w:ascii="宋体" w:hAnsi="宋体" w:cs="宋体"/>
          <w:color w:val="auto"/>
          <w:sz w:val="24"/>
          <w:highlight w:val="none"/>
        </w:rPr>
        <w:t>投标人应按本招标文件规定的格式和顺序编制投标文件并标注页码，因投标文件内容不完整、编排混乱、放弃关联点或关联点错误等原因导致投标文件被误读、漏读或者查找不到相关内容等风险由投标人自行承担。</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2. 投标文件需盖章签字的地方必须由投标人法定代表人或法定代表人的授权委托人签署并加盖单位公章，投标人应写全称。</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3.投标文件不得涂改，若有修改错漏处，须加盖单位公章和由法定代表人或授权委托人签字或盖章。投标文件因字迹潦草或表达不清所引起的后果由投标人负责。</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▲（七）投标文件的上传、递交、修改和撤回</w:t>
      </w:r>
    </w:p>
    <w:p>
      <w:pPr>
        <w:spacing w:line="360" w:lineRule="auto"/>
        <w:ind w:firstLine="495"/>
        <w:rPr>
          <w:rFonts w:ascii="宋体" w:hAnsi="宋体" w:cs="宋体"/>
          <w:color w:val="auto"/>
          <w:sz w:val="24"/>
          <w:highlight w:val="none"/>
        </w:rPr>
      </w:pPr>
      <w:r>
        <w:rPr>
          <w:rFonts w:hint="eastAsia" w:ascii="宋体" w:hAnsi="宋体" w:cs="宋体"/>
          <w:color w:val="auto"/>
          <w:sz w:val="24"/>
          <w:highlight w:val="none"/>
        </w:rPr>
        <w:t>1. 投标人应当在投标截止时间前在“政采云”（电子交易平台）上自行上传加密的电子投标文件。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2.未按规定上传的投标文件将被拒绝，由此造成投标文件解密失败或被误投的风险由投标人承担。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 投标人未在“政采云”（电子交易平台）上自行上传加密的电子投标文件，仅提交电子备份投标文件的，投标无效。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 电子投标文件无法解密或解密失败时，投标人提供了电子备份投标文件的，以电子备份投标文件作为评审依据，否则视为投标文件撤回。投标文件已按时解密的，电子备份投标文件自动失效。</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（八）投标无效的情形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1.在符合性审查和商务评审时，如发现下列情形之一的，投标文件将被视为无效：</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（1）投标人仅提交电子备份投标文件的；</w:t>
      </w:r>
    </w:p>
    <w:p>
      <w:pPr>
        <w:spacing w:line="360" w:lineRule="auto"/>
        <w:rPr>
          <w:rFonts w:ascii="宋体" w:hAnsi="宋体" w:cs="宋体"/>
          <w:color w:val="auto"/>
          <w:sz w:val="24"/>
          <w:highlight w:val="none"/>
        </w:rPr>
      </w:pPr>
      <w:r>
        <w:rPr>
          <w:rFonts w:hint="eastAsia" w:ascii="宋体" w:hAnsi="宋体" w:cs="宋体"/>
          <w:color w:val="auto"/>
          <w:sz w:val="24"/>
          <w:highlight w:val="none"/>
        </w:rPr>
        <w:t>（2）在开评标时出现电子投标文件无法解密或解密失败等情况，投标人未提供电子备份投标文件，无法对投标人继续进行评审的；</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（3）投标人未在规定的时间内对电子询标函进行澄清回复、拒绝澄清回复或澄清回复的内容改变了投标文件的实质性内容的；</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（4）网上下载的证明文件，不能通过真实性验证的（发现提供虚假资料的，按照提供虚假资料处理）； </w:t>
      </w:r>
    </w:p>
    <w:p>
      <w:pPr>
        <w:spacing w:line="360" w:lineRule="auto"/>
        <w:rPr>
          <w:rFonts w:ascii="宋体" w:hAnsi="宋体" w:cs="宋体"/>
          <w:color w:val="auto"/>
          <w:sz w:val="24"/>
          <w:highlight w:val="none"/>
        </w:rPr>
      </w:pPr>
      <w:r>
        <w:rPr>
          <w:rFonts w:hint="eastAsia" w:ascii="宋体" w:hAnsi="宋体" w:cs="宋体"/>
          <w:color w:val="auto"/>
          <w:sz w:val="24"/>
          <w:highlight w:val="none"/>
        </w:rPr>
        <w:t>（5）资格证明文件不全的，或者不符合招标文件标明的资格要求的，及未提供招标文件中标有“ ▲”特殊符号的证明文件的；</w:t>
      </w:r>
    </w:p>
    <w:p>
      <w:pPr>
        <w:spacing w:line="450" w:lineRule="exact"/>
        <w:rPr>
          <w:rFonts w:ascii="宋体" w:hAnsi="宋体" w:cs="宋体"/>
          <w:color w:val="auto"/>
          <w:sz w:val="24"/>
          <w:highlight w:val="none"/>
        </w:rPr>
      </w:pPr>
      <w:r>
        <w:rPr>
          <w:rFonts w:hint="eastAsia" w:ascii="宋体" w:hAnsi="宋体" w:cs="宋体"/>
          <w:color w:val="auto"/>
          <w:sz w:val="24"/>
          <w:highlight w:val="none"/>
        </w:rPr>
        <w:t>（6）本项目投标截止之日前三年内，相关主体在“信用中国”网站、中国政府采购网有失信行为或被列入受惩黑名单。</w:t>
      </w:r>
    </w:p>
    <w:p>
      <w:pPr>
        <w:pStyle w:val="5"/>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（7）投标文件无法定代表人签字,或未提供法定代表人授权委托书、投标声明书或者填写项目不齐全的；</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（8）投标代表人未能出具身份证明或与法定代表人授权委托人身份不符的； </w:t>
      </w:r>
    </w:p>
    <w:p>
      <w:pPr>
        <w:spacing w:line="360" w:lineRule="auto"/>
        <w:rPr>
          <w:rFonts w:ascii="宋体" w:hAnsi="宋体" w:cs="宋体"/>
          <w:color w:val="auto"/>
          <w:sz w:val="24"/>
          <w:highlight w:val="none"/>
        </w:rPr>
      </w:pPr>
      <w:r>
        <w:rPr>
          <w:rFonts w:hint="eastAsia" w:ascii="宋体" w:hAnsi="宋体" w:cs="宋体"/>
          <w:color w:val="auto"/>
          <w:sz w:val="24"/>
          <w:highlight w:val="none"/>
        </w:rPr>
        <w:t>（9）投标文件格式未按招标文件附件规定的格式、未按招标文件规定的内容编制投标文件的或者内容虚假的、未按规定签字或盖章的；</w:t>
      </w:r>
    </w:p>
    <w:p>
      <w:pPr>
        <w:spacing w:line="360" w:lineRule="auto"/>
        <w:rPr>
          <w:rFonts w:ascii="宋体" w:hAnsi="宋体" w:cs="宋体"/>
          <w:color w:val="auto"/>
          <w:sz w:val="24"/>
          <w:highlight w:val="none"/>
        </w:rPr>
      </w:pPr>
      <w:r>
        <w:rPr>
          <w:rFonts w:hint="eastAsia" w:ascii="宋体" w:hAnsi="宋体" w:cs="宋体"/>
          <w:color w:val="auto"/>
          <w:sz w:val="24"/>
          <w:highlight w:val="none"/>
        </w:rPr>
        <w:t>（10）投标文件的实质性内容未使用中文表述的或意思表述不明确、前后矛盾的或者使用计量单位不符合招标文件要求的（经评标委员会认定并允许其当场更正的笔误除外）；</w:t>
      </w:r>
    </w:p>
    <w:p>
      <w:pPr>
        <w:spacing w:line="360" w:lineRule="auto"/>
        <w:rPr>
          <w:rFonts w:ascii="宋体" w:hAnsi="宋体" w:cs="宋体"/>
          <w:color w:val="auto"/>
          <w:sz w:val="24"/>
          <w:highlight w:val="none"/>
        </w:rPr>
      </w:pPr>
      <w:r>
        <w:rPr>
          <w:rFonts w:hint="eastAsia" w:ascii="宋体" w:hAnsi="宋体" w:cs="宋体"/>
          <w:color w:val="auto"/>
          <w:sz w:val="24"/>
          <w:highlight w:val="none"/>
        </w:rPr>
        <w:t>（11）投标有效期、服务期（交货期）、质保期、付款方式等商务条款不能满足招标文件要求的；</w:t>
      </w:r>
    </w:p>
    <w:p>
      <w:pPr>
        <w:spacing w:line="360" w:lineRule="auto"/>
        <w:rPr>
          <w:rFonts w:ascii="宋体" w:hAnsi="宋体" w:cs="宋体"/>
          <w:color w:val="auto"/>
          <w:sz w:val="24"/>
          <w:highlight w:val="none"/>
        </w:rPr>
      </w:pPr>
      <w:r>
        <w:rPr>
          <w:rFonts w:hint="eastAsia" w:ascii="宋体" w:hAnsi="宋体" w:cs="宋体"/>
          <w:color w:val="auto"/>
          <w:sz w:val="24"/>
          <w:highlight w:val="none"/>
        </w:rPr>
        <w:t>（12）未实质性响应招标文件要求或者投标文件有招标方不能接受的附加条件的；</w:t>
      </w:r>
    </w:p>
    <w:p>
      <w:pPr>
        <w:spacing w:line="360" w:lineRule="auto"/>
        <w:rPr>
          <w:rFonts w:ascii="宋体" w:hAnsi="宋体" w:cs="宋体"/>
          <w:color w:val="auto"/>
          <w:sz w:val="24"/>
          <w:highlight w:val="none"/>
        </w:rPr>
      </w:pPr>
      <w:r>
        <w:rPr>
          <w:rFonts w:hint="eastAsia" w:ascii="宋体" w:hAnsi="宋体" w:cs="宋体"/>
          <w:color w:val="auto"/>
          <w:sz w:val="24"/>
          <w:highlight w:val="none"/>
        </w:rPr>
        <w:t>（13）招标文件规定的其它投标无效的情况；</w:t>
      </w:r>
    </w:p>
    <w:p>
      <w:pPr>
        <w:tabs>
          <w:tab w:val="left" w:pos="401"/>
        </w:tabs>
        <w:spacing w:line="360" w:lineRule="auto"/>
        <w:rPr>
          <w:rFonts w:ascii="宋体" w:hAnsi="宋体" w:cs="宋体"/>
          <w:color w:val="auto"/>
          <w:sz w:val="24"/>
          <w:highlight w:val="none"/>
        </w:rPr>
      </w:pPr>
      <w:r>
        <w:rPr>
          <w:rFonts w:hint="eastAsia" w:ascii="宋体" w:hAnsi="宋体" w:cs="宋体"/>
          <w:color w:val="auto"/>
          <w:sz w:val="24"/>
          <w:highlight w:val="none"/>
        </w:rPr>
        <w:t>（14）法律、法规规定的其它投标无效情况。</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2.在技术资信评审时，如发现下列情形之一的，投标文件将被视为无效：</w:t>
      </w:r>
    </w:p>
    <w:p>
      <w:pPr>
        <w:spacing w:line="360" w:lineRule="auto"/>
        <w:rPr>
          <w:rFonts w:ascii="宋体" w:hAnsi="宋体" w:cs="宋体"/>
          <w:b/>
          <w:color w:val="auto"/>
          <w:sz w:val="24"/>
          <w:highlight w:val="none"/>
        </w:rPr>
      </w:pPr>
      <w:r>
        <w:rPr>
          <w:rFonts w:hint="eastAsia" w:ascii="宋体" w:hAnsi="宋体" w:cs="宋体"/>
          <w:color w:val="auto"/>
          <w:sz w:val="24"/>
          <w:highlight w:val="none"/>
        </w:rPr>
        <w:t>（1）投标人未在规定的时间内对电子询标函进行澄清回复、拒绝澄清回复或澄清回复的内容改变了投标文件的实质性内容的；</w:t>
      </w:r>
    </w:p>
    <w:p>
      <w:pPr>
        <w:spacing w:line="360" w:lineRule="auto"/>
        <w:rPr>
          <w:rFonts w:ascii="宋体" w:hAnsi="宋体" w:cs="宋体"/>
          <w:color w:val="auto"/>
          <w:sz w:val="24"/>
          <w:highlight w:val="none"/>
        </w:rPr>
      </w:pPr>
      <w:r>
        <w:rPr>
          <w:rFonts w:hint="eastAsia" w:ascii="宋体" w:hAnsi="宋体" w:cs="宋体"/>
          <w:color w:val="auto"/>
          <w:sz w:val="24"/>
          <w:highlight w:val="none"/>
        </w:rPr>
        <w:t>（2）投标文件标明的响应或偏离与事实不符的或虚假投标的；</w:t>
      </w:r>
    </w:p>
    <w:p>
      <w:pPr>
        <w:spacing w:line="360" w:lineRule="auto"/>
        <w:rPr>
          <w:rFonts w:ascii="宋体" w:hAnsi="宋体" w:cs="宋体"/>
          <w:color w:val="auto"/>
          <w:sz w:val="24"/>
          <w:highlight w:val="none"/>
        </w:rPr>
      </w:pPr>
      <w:r>
        <w:rPr>
          <w:rFonts w:hint="eastAsia" w:ascii="宋体" w:hAnsi="宋体" w:cs="宋体"/>
          <w:color w:val="auto"/>
          <w:sz w:val="24"/>
          <w:highlight w:val="none"/>
        </w:rPr>
        <w:t>（3）明显不符合招标文件质量标准的，或者与招标文件中标有“ ▲”特殊符号的技术指标、主要功能项目发生实质性偏离的；</w:t>
      </w:r>
    </w:p>
    <w:p>
      <w:pPr>
        <w:spacing w:line="360" w:lineRule="auto"/>
        <w:rPr>
          <w:rFonts w:ascii="宋体" w:hAnsi="宋体" w:cs="宋体"/>
          <w:color w:val="auto"/>
          <w:sz w:val="24"/>
          <w:highlight w:val="none"/>
        </w:rPr>
      </w:pPr>
      <w:r>
        <w:rPr>
          <w:rFonts w:hint="eastAsia" w:ascii="宋体" w:hAnsi="宋体" w:cs="宋体"/>
          <w:color w:val="auto"/>
          <w:sz w:val="24"/>
          <w:highlight w:val="none"/>
        </w:rPr>
        <w:t>（4）招标文件中允许偏离的技术、性能指标或者辅助功能发生较大负偏离的，经评标委员会认定对项目实际使用造成影响的；</w:t>
      </w:r>
    </w:p>
    <w:p>
      <w:pPr>
        <w:spacing w:line="360" w:lineRule="auto"/>
        <w:rPr>
          <w:rFonts w:ascii="宋体" w:hAnsi="宋体" w:cs="宋体"/>
          <w:color w:val="auto"/>
          <w:sz w:val="24"/>
          <w:highlight w:val="none"/>
        </w:rPr>
      </w:pPr>
      <w:r>
        <w:rPr>
          <w:rFonts w:hint="eastAsia" w:ascii="宋体" w:hAnsi="宋体" w:cs="宋体"/>
          <w:color w:val="auto"/>
          <w:sz w:val="24"/>
          <w:highlight w:val="none"/>
        </w:rPr>
        <w:t>（5）投标技术方案不明确，存在一个或一个以上备选（替代）投标方案的；</w:t>
      </w:r>
    </w:p>
    <w:p>
      <w:pPr>
        <w:spacing w:line="360" w:lineRule="auto"/>
        <w:rPr>
          <w:rFonts w:ascii="宋体" w:hAnsi="宋体" w:cs="宋体"/>
          <w:color w:val="auto"/>
          <w:sz w:val="24"/>
          <w:highlight w:val="none"/>
        </w:rPr>
      </w:pPr>
      <w:r>
        <w:rPr>
          <w:rFonts w:hint="eastAsia" w:ascii="宋体" w:hAnsi="宋体" w:cs="宋体"/>
          <w:color w:val="auto"/>
          <w:sz w:val="24"/>
          <w:highlight w:val="none"/>
        </w:rPr>
        <w:t>（6）与其他参加本次投标供应商的投标文件的文字表述内容相同连续20行以上或者差错相同2处以上的；</w:t>
      </w:r>
    </w:p>
    <w:p>
      <w:pPr>
        <w:spacing w:line="360" w:lineRule="auto"/>
        <w:rPr>
          <w:rFonts w:ascii="宋体" w:hAnsi="宋体" w:cs="宋体"/>
          <w:color w:val="auto"/>
          <w:sz w:val="24"/>
          <w:highlight w:val="none"/>
        </w:rPr>
      </w:pPr>
      <w:r>
        <w:rPr>
          <w:rFonts w:hint="eastAsia" w:ascii="宋体" w:hAnsi="宋体" w:cs="宋体"/>
          <w:color w:val="auto"/>
          <w:sz w:val="24"/>
          <w:highlight w:val="none"/>
        </w:rPr>
        <w:t>（7）在资信及商务标、技术标内出现商务报价；</w:t>
      </w:r>
    </w:p>
    <w:p>
      <w:pPr>
        <w:spacing w:line="360" w:lineRule="auto"/>
        <w:rPr>
          <w:rFonts w:ascii="宋体" w:hAnsi="宋体" w:cs="宋体"/>
          <w:color w:val="auto"/>
          <w:sz w:val="24"/>
          <w:highlight w:val="none"/>
        </w:rPr>
      </w:pPr>
      <w:r>
        <w:rPr>
          <w:rFonts w:hint="eastAsia" w:ascii="宋体" w:hAnsi="宋体" w:cs="宋体"/>
          <w:color w:val="auto"/>
          <w:sz w:val="24"/>
          <w:highlight w:val="none"/>
        </w:rPr>
        <w:t>（8）招标文件规定的其它投标无效的情况；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（9）法律、法规规定的其它投标无效情况。</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3.在报价评审时，如发现下列情形之一的，投标文件将被视为无效：</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（1）投标人未在规定的时间内对电子询标函进行澄清回复、拒绝澄清回复或者澄清回复的内容改变了投标文件的实质性内容的；</w:t>
      </w:r>
    </w:p>
    <w:p>
      <w:pPr>
        <w:spacing w:line="360" w:lineRule="auto"/>
        <w:rPr>
          <w:rFonts w:ascii="宋体" w:hAnsi="宋体" w:cs="宋体"/>
          <w:color w:val="auto"/>
          <w:sz w:val="24"/>
          <w:highlight w:val="none"/>
        </w:rPr>
      </w:pPr>
      <w:r>
        <w:rPr>
          <w:rFonts w:hint="eastAsia" w:ascii="宋体" w:hAnsi="宋体" w:cs="宋体"/>
          <w:color w:val="auto"/>
          <w:sz w:val="24"/>
          <w:highlight w:val="none"/>
        </w:rPr>
        <w:t>（2）未填写投标报价或未采用人民币报价或者未按照招标文件标明的币种报价的；</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（3）投标报价具有选择性的，或者开标价格与投标文件承诺的优惠（折扣）价格不一致的；</w:t>
      </w:r>
    </w:p>
    <w:p>
      <w:pPr>
        <w:spacing w:line="360" w:lineRule="auto"/>
        <w:rPr>
          <w:rFonts w:ascii="宋体" w:hAnsi="宋体" w:cs="宋体"/>
          <w:color w:val="auto"/>
          <w:sz w:val="24"/>
          <w:highlight w:val="none"/>
        </w:rPr>
      </w:pPr>
      <w:r>
        <w:rPr>
          <w:rFonts w:hint="eastAsia" w:ascii="宋体" w:hAnsi="宋体" w:cs="宋体"/>
          <w:color w:val="auto"/>
          <w:sz w:val="24"/>
          <w:highlight w:val="none"/>
        </w:rPr>
        <w:t>（4）报价高于用户设定的最高限价或预算金额的；</w:t>
      </w:r>
    </w:p>
    <w:p>
      <w:pPr>
        <w:spacing w:line="360" w:lineRule="auto"/>
        <w:rPr>
          <w:rFonts w:ascii="宋体" w:hAnsi="宋体" w:cs="宋体"/>
          <w:color w:val="auto"/>
          <w:sz w:val="24"/>
          <w:highlight w:val="none"/>
        </w:rPr>
      </w:pPr>
      <w:r>
        <w:rPr>
          <w:rFonts w:hint="eastAsia" w:ascii="宋体" w:hAnsi="宋体" w:cs="宋体"/>
          <w:color w:val="auto"/>
          <w:sz w:val="24"/>
          <w:highlight w:val="none"/>
        </w:rPr>
        <w:t>（5）招标文件规定的其它投标无效的情况；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（6）法律、法规规定的其它投标无效情况。</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4.被拒绝的投标文件为无效。</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5.根据有关法律、法规规定为无效、废标的，按法律、法规规定执行。</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60" w:name="_Toc458697270"/>
      <w:bookmarkStart w:id="61" w:name="_Toc12436"/>
      <w:r>
        <w:rPr>
          <w:rFonts w:hint="eastAsia" w:ascii="宋体" w:hAnsi="宋体" w:eastAsia="宋体" w:cs="宋体"/>
          <w:color w:val="auto"/>
          <w:sz w:val="24"/>
          <w:szCs w:val="24"/>
          <w:highlight w:val="none"/>
        </w:rPr>
        <w:t>四、开标</w:t>
      </w:r>
      <w:bookmarkEnd w:id="60"/>
      <w:bookmarkEnd w:id="61"/>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（一）开标准备   </w:t>
      </w:r>
    </w:p>
    <w:p>
      <w:pPr>
        <w:spacing w:line="360" w:lineRule="auto"/>
        <w:ind w:firstLine="720" w:firstLineChars="300"/>
        <w:rPr>
          <w:rFonts w:ascii="宋体" w:hAnsi="宋体" w:cs="宋体"/>
          <w:bCs/>
          <w:color w:val="auto"/>
          <w:sz w:val="24"/>
          <w:highlight w:val="none"/>
        </w:rPr>
      </w:pPr>
      <w:r>
        <w:rPr>
          <w:rFonts w:hint="eastAsia" w:ascii="宋体" w:hAnsi="宋体" w:cs="宋体"/>
          <w:bCs/>
          <w:color w:val="auto"/>
          <w:sz w:val="24"/>
          <w:highlight w:val="none"/>
        </w:rPr>
        <w:t>采购代理机构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（二）电子招投标开标程序</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1.开标会由招标代理机构主持，主持人宣布开标会议开始；</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2.主持人宣布评标室会议纪律及评标期间的有关事项；告知应当回避的情形,提请有关人员回避；</w:t>
      </w:r>
    </w:p>
    <w:p>
      <w:pPr>
        <w:spacing w:line="360" w:lineRule="auto"/>
        <w:rPr>
          <w:rFonts w:ascii="宋体" w:hAnsi="宋体" w:cs="宋体"/>
          <w:color w:val="auto"/>
          <w:sz w:val="24"/>
          <w:highlight w:val="none"/>
        </w:rPr>
      </w:pPr>
      <w:r>
        <w:rPr>
          <w:rFonts w:hint="eastAsia" w:ascii="宋体" w:hAnsi="宋体" w:cs="宋体"/>
          <w:color w:val="auto"/>
          <w:sz w:val="24"/>
          <w:highlight w:val="none"/>
        </w:rPr>
        <w:t>3.开标及评审程序</w:t>
      </w:r>
    </w:p>
    <w:p>
      <w:pPr>
        <w:spacing w:line="360" w:lineRule="auto"/>
        <w:rPr>
          <w:rFonts w:ascii="宋体" w:hAnsi="宋体" w:cs="宋体"/>
          <w:color w:val="auto"/>
          <w:sz w:val="24"/>
          <w:highlight w:val="none"/>
        </w:rPr>
      </w:pPr>
      <w:r>
        <w:rPr>
          <w:rFonts w:hint="eastAsia" w:ascii="宋体" w:hAnsi="宋体" w:cs="宋体"/>
          <w:color w:val="auto"/>
          <w:sz w:val="24"/>
          <w:highlight w:val="none"/>
        </w:rPr>
        <w:t>3.1在开标时间截止后30分钟内由各投标人自行对投标文件进行解密；</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3.2由采购人进行资格审查，通过资格审查的投标人进入商务技术响应文件进行评审；</w:t>
      </w:r>
    </w:p>
    <w:p>
      <w:pPr>
        <w:spacing w:line="360" w:lineRule="auto"/>
        <w:rPr>
          <w:rFonts w:ascii="宋体" w:hAnsi="宋体" w:cs="宋体"/>
          <w:color w:val="auto"/>
          <w:sz w:val="24"/>
          <w:highlight w:val="none"/>
        </w:rPr>
      </w:pPr>
      <w:r>
        <w:rPr>
          <w:rFonts w:hint="eastAsia" w:ascii="宋体" w:hAnsi="宋体" w:cs="宋体"/>
          <w:color w:val="auto"/>
          <w:sz w:val="24"/>
          <w:highlight w:val="none"/>
        </w:rPr>
        <w:t>3.3系统对各投标人的商务技术进行汇总并公布商务技术得分；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3.4在系统上公开报价开标情况；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3.5评标委员会对报价情况进行评审；</w:t>
      </w:r>
    </w:p>
    <w:p>
      <w:pPr>
        <w:spacing w:line="360" w:lineRule="auto"/>
        <w:rPr>
          <w:rFonts w:ascii="宋体" w:hAnsi="宋体" w:cs="宋体"/>
          <w:color w:val="auto"/>
          <w:sz w:val="24"/>
          <w:highlight w:val="none"/>
        </w:rPr>
      </w:pPr>
      <w:r>
        <w:rPr>
          <w:rFonts w:hint="eastAsia" w:ascii="宋体" w:hAnsi="宋体" w:cs="宋体"/>
          <w:color w:val="auto"/>
          <w:sz w:val="24"/>
          <w:highlight w:val="none"/>
        </w:rPr>
        <w:t>3.6在系统上公布评审结果。</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特别说明：政采云公司如对电子化开标及评审程序有调整的，按调整后的程序操作。</w:t>
      </w:r>
    </w:p>
    <w:p>
      <w:pPr>
        <w:spacing w:line="360" w:lineRule="auto"/>
        <w:rPr>
          <w:rFonts w:ascii="宋体" w:hAnsi="宋体" w:cs="宋体"/>
          <w:color w:val="auto"/>
          <w:sz w:val="24"/>
          <w:highlight w:val="none"/>
        </w:rPr>
      </w:pPr>
      <w:r>
        <w:rPr>
          <w:rFonts w:hint="eastAsia" w:ascii="宋体" w:hAnsi="宋体" w:cs="宋体"/>
          <w:color w:val="auto"/>
          <w:sz w:val="24"/>
          <w:highlight w:val="none"/>
        </w:rPr>
        <w:t>4、本项目采用政采云电子招投标开标及评审程序，开评标时出现电子投标文件无法解密或解密失败等情况时，采购代理机构可上传投标人的电子备份投标文件继续评审。</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62" w:name="_Toc20095"/>
      <w:bookmarkStart w:id="63" w:name="_Toc458697271"/>
      <w:bookmarkStart w:id="64" w:name="_Toc7166"/>
      <w:r>
        <w:rPr>
          <w:rFonts w:hint="eastAsia" w:ascii="宋体" w:hAnsi="宋体" w:eastAsia="宋体" w:cs="宋体"/>
          <w:color w:val="auto"/>
          <w:sz w:val="24"/>
          <w:szCs w:val="24"/>
          <w:highlight w:val="none"/>
        </w:rPr>
        <w:t>五、评标</w:t>
      </w:r>
      <w:bookmarkEnd w:id="62"/>
      <w:bookmarkEnd w:id="63"/>
      <w:bookmarkEnd w:id="64"/>
    </w:p>
    <w:p>
      <w:pPr>
        <w:spacing w:line="360" w:lineRule="auto"/>
        <w:rPr>
          <w:rFonts w:ascii="宋体" w:hAnsi="宋体" w:cs="宋体"/>
          <w:b/>
          <w:color w:val="auto"/>
          <w:sz w:val="24"/>
          <w:highlight w:val="none"/>
        </w:rPr>
      </w:pPr>
      <w:r>
        <w:rPr>
          <w:rFonts w:hint="eastAsia" w:ascii="宋体" w:hAnsi="宋体" w:cs="宋体"/>
          <w:b/>
          <w:color w:val="auto"/>
          <w:sz w:val="24"/>
          <w:highlight w:val="none"/>
        </w:rPr>
        <w:t>（一）组建评标委员会</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本项目评标委员会由政府采购评审专家</w:t>
      </w:r>
      <w:r>
        <w:rPr>
          <w:rFonts w:hint="eastAsia" w:ascii="宋体" w:hAnsi="宋体" w:cs="宋体"/>
          <w:color w:val="auto"/>
          <w:sz w:val="24"/>
          <w:highlight w:val="none"/>
          <w:u w:val="single"/>
        </w:rPr>
        <w:t>4</w:t>
      </w:r>
      <w:r>
        <w:rPr>
          <w:rFonts w:hint="eastAsia" w:ascii="宋体" w:hAnsi="宋体" w:cs="宋体"/>
          <w:color w:val="auto"/>
          <w:sz w:val="24"/>
          <w:highlight w:val="none"/>
        </w:rPr>
        <w:t>人和采购人代表</w:t>
      </w:r>
      <w:r>
        <w:rPr>
          <w:rFonts w:hint="eastAsia" w:ascii="宋体" w:hAnsi="宋体" w:cs="宋体"/>
          <w:color w:val="auto"/>
          <w:sz w:val="24"/>
          <w:highlight w:val="none"/>
          <w:u w:val="single"/>
        </w:rPr>
        <w:t>1</w:t>
      </w:r>
      <w:r>
        <w:rPr>
          <w:rFonts w:hint="eastAsia" w:ascii="宋体" w:hAnsi="宋体" w:cs="宋体"/>
          <w:color w:val="auto"/>
          <w:sz w:val="24"/>
          <w:highlight w:val="none"/>
        </w:rPr>
        <w:t>人,共</w:t>
      </w:r>
      <w:r>
        <w:rPr>
          <w:rFonts w:hint="eastAsia" w:ascii="宋体" w:hAnsi="宋体" w:cs="宋体"/>
          <w:color w:val="auto"/>
          <w:sz w:val="24"/>
          <w:highlight w:val="none"/>
          <w:u w:val="single"/>
        </w:rPr>
        <w:t>5</w:t>
      </w:r>
      <w:r>
        <w:rPr>
          <w:rFonts w:hint="eastAsia" w:ascii="宋体" w:hAnsi="宋体" w:cs="宋体"/>
          <w:color w:val="auto"/>
          <w:sz w:val="24"/>
          <w:highlight w:val="none"/>
        </w:rPr>
        <w:t>人组成。（允许采购人不推荐采购人代表参加，如采购人不推荐采购人代表参加评审时，评标委员会（5人）都从评标专家库中抽取）。</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（二）评标的方式</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本项目采用不公开方式评标，评标的依据为招标文件和投标文件。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（三）评标程序</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1.形式审查</w:t>
      </w:r>
    </w:p>
    <w:p>
      <w:pPr>
        <w:spacing w:line="360" w:lineRule="auto"/>
        <w:rPr>
          <w:rFonts w:ascii="宋体" w:hAnsi="宋体" w:cs="宋体"/>
          <w:b/>
          <w:color w:val="auto"/>
          <w:sz w:val="24"/>
          <w:highlight w:val="none"/>
        </w:rPr>
      </w:pPr>
      <w:r>
        <w:rPr>
          <w:rFonts w:hint="eastAsia" w:ascii="宋体" w:hAnsi="宋体" w:cs="宋体"/>
          <w:color w:val="auto"/>
          <w:sz w:val="24"/>
          <w:highlight w:val="none"/>
        </w:rPr>
        <w:t>招标方工作人员协助评标委员会对投标人的商务技术文件、报价投标文件的完整性、合法性等进行审查。</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spacing w:line="360" w:lineRule="auto"/>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（2）评标委员会将对投标人的投标文件进行审查、核对,如有疑问,将对投标人进行电子询标,投标人须在规定的时间内向评标委员会澄清有关问题,并在政采云上进行询标答复。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投标人代表未在规定的时间内进行澄清、拒绝澄清或者澄清的内容改变了投标文件的实质性内容的，评标委员会有权对该投标文件作出不利于投标人的评判。</w:t>
      </w:r>
    </w:p>
    <w:p>
      <w:pPr>
        <w:spacing w:line="360" w:lineRule="auto"/>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spacing w:line="360" w:lineRule="auto"/>
        <w:rPr>
          <w:rFonts w:ascii="宋体" w:hAnsi="宋体" w:cs="宋体"/>
          <w:color w:val="auto"/>
          <w:sz w:val="24"/>
          <w:highlight w:val="none"/>
        </w:rPr>
      </w:pPr>
      <w:r>
        <w:rPr>
          <w:rFonts w:hint="eastAsia" w:ascii="宋体" w:hAnsi="宋体" w:cs="宋体"/>
          <w:color w:val="auto"/>
          <w:sz w:val="24"/>
          <w:highlight w:val="none"/>
        </w:rPr>
        <w:t>（4）招标方工作人员协助评标委员会审核商务报价有无计算错误，并根据本项目的评分标准计算各投标人的商务报价得分。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（5）评标委员会完成评标后, 招标方工作人员对系统中的得分汇总进行复核,计算出本项目最终得分，评标委员会按评标原则推荐中标候选人并起草评标报告。</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（四）澄清问题的形式</w:t>
      </w:r>
    </w:p>
    <w:p>
      <w:pPr>
        <w:spacing w:line="360" w:lineRule="auto"/>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（五）错误修正</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投标文件如果出现计算或表达上的错误，修正错误的原则如下：</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1.投标文件中开标一览表（报价表）内容与与投标文件中相应内容不一致的，以开标一览表（报价表）为准；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pStyle w:val="26"/>
        <w:spacing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5.政采云系统投标报价与投标文件中开标一览表（报价表）相应内容不一致的，以开标一览表（报价表）为准。</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6.对不同文字文本投标文件的解释发生异议的，以中文文本为准。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spacing w:line="360" w:lineRule="auto"/>
        <w:rPr>
          <w:rFonts w:ascii="宋体" w:hAnsi="宋体" w:cs="宋体"/>
          <w:b/>
          <w:bCs/>
          <w:color w:val="auto"/>
          <w:sz w:val="24"/>
          <w:highlight w:val="none"/>
        </w:rPr>
      </w:pPr>
      <w:r>
        <w:rPr>
          <w:rFonts w:hint="eastAsia" w:ascii="宋体" w:hAnsi="宋体" w:cs="宋体"/>
          <w:b/>
          <w:color w:val="auto"/>
          <w:sz w:val="24"/>
          <w:highlight w:val="none"/>
        </w:rPr>
        <w:t>（六）评标原则和评标办法</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1.评审专家必须公平、公正评审，遵纪守法，客观、廉洁地履行职责。</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2.评审专家在评审开始前，应关闭并上交随身携带的各种通信工具。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3.评审专家在评审过程中，未经许可不得中途离开评审现场，不得迟到早退。</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4.评审专家和工作人员不得透露评审过程中的讨论情况和评审结果。</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6.采购人、采购代理机构不得向评审委员会的评审专家作倾向性、误导性的解释或者说明。</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8.评审专家在评审过程中不得将自己的观点强加给其他评审专家，评审专家应自主发表见解，对评审意见承担个人责任。</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10.评审专家应当独立、客观、公正地提出评审意见，不得带有倾向性，不得影响其他评审专家评审，并在评审报告上签字；如对评审报告有异议的，可在报告上签署不同意见，并说明理由，否则将视为同意。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11.评审专家应当遵守评审工作纪律，不得泄露评审文件、评审情况和评审中获悉的商业秘密。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评审委员会在评审过程中发现投标人有行贿、提供虚假材料或者串通等违法行为的，应当及时向财政部门报告。</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12.招标文件内容违反国家有关强制性规定的，评审委员会应当停止评审并向采购代理机构说明情况。</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13.评审专家应当配合采购代理机构答复投标人提出的质疑。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14.评审专家应当配合财政部门的投诉处理工作。</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15.评审专家有如下行为之一的，责令改正，给予警告，可以并处一千元以下的罚款：</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①明知应当回避而未主动回避的；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②在得知自己为评审专家身份后至评审结束前时段内私下接触投标人的；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③在评审过程中擅离职守，影响评审程序正常进行的；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④在评审过程有明显不合理或者不正当倾向性的；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⑤未按招标文件规定的评审方法和标准进行评审的。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⑥上述①至⑤行为影响中标结果的，中标结果无效。</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政府采购评审专家与投标人存在利害关系未回避的，处2万元以上5万元以下的罚款，禁止其参加政府采购评审活动。</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政府采购评审专家有上述违法行为的，其评审意见无效，不得获取评审费；有违法所得的，没收违法所得；给他人造成损失的，依法承担民事责任。</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17.评标办法。</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本项目评标办法是：综合评分法，具体评标内容及评分标准等详见《第四章：评标办法及评分标准》。</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（七）评标过程的监控</w:t>
      </w:r>
    </w:p>
    <w:p>
      <w:pPr>
        <w:spacing w:line="360" w:lineRule="auto"/>
        <w:ind w:firstLine="120" w:firstLineChars="5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本项目评标过程实行全程录音、录像监控，投标人在评标过程中所进行的试图影响评标结果的不公正活动，可能导致其投标被拒绝。</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（八）其他</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1、电子交易平台发生故障而无法登录访问的；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2、电子交易平台应用或数据库出现错误，不能进行正常操作的；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3、电子交易平台发现严重安全漏洞，有潜在泄密危险的；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4、病毒发作导致不能进行正常操作的；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5、其他无法保证电子交易的公平、公正和安全的情况。</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出现前款规定情形，不影响采购公平、公正性的，采购组织机构可以待上述情形消除后继续组织电子交易活动；影响或可能影响采购公平、公正性的，应当重新采购。</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65" w:name="_Toc3516"/>
      <w:bookmarkStart w:id="66" w:name="_Toc458697272"/>
      <w:bookmarkStart w:id="67" w:name="_Toc2619"/>
      <w:r>
        <w:rPr>
          <w:rFonts w:hint="eastAsia" w:ascii="宋体" w:hAnsi="宋体" w:eastAsia="宋体" w:cs="宋体"/>
          <w:color w:val="auto"/>
          <w:sz w:val="24"/>
          <w:szCs w:val="24"/>
          <w:highlight w:val="none"/>
        </w:rPr>
        <w:t>六、定标</w:t>
      </w:r>
      <w:bookmarkEnd w:id="65"/>
      <w:bookmarkEnd w:id="66"/>
      <w:bookmarkEnd w:id="67"/>
    </w:p>
    <w:p>
      <w:pPr>
        <w:spacing w:line="360" w:lineRule="auto"/>
        <w:rPr>
          <w:rFonts w:ascii="宋体" w:hAnsi="宋体" w:cs="宋体"/>
          <w:color w:val="auto"/>
          <w:sz w:val="24"/>
          <w:highlight w:val="none"/>
        </w:rPr>
      </w:pPr>
      <w:r>
        <w:rPr>
          <w:rFonts w:hint="eastAsia" w:ascii="宋体" w:hAnsi="宋体" w:cs="宋体"/>
          <w:color w:val="auto"/>
          <w:sz w:val="24"/>
          <w:highlight w:val="none"/>
        </w:rPr>
        <w:t>（一）确定中标人 。</w:t>
      </w:r>
      <w:r>
        <w:rPr>
          <w:rFonts w:hint="eastAsia" w:ascii="宋体" w:hAnsi="宋体" w:cs="宋体"/>
          <w:b/>
          <w:bCs/>
          <w:color w:val="auto"/>
          <w:sz w:val="24"/>
          <w:highlight w:val="none"/>
        </w:rPr>
        <w:t>本项目由采购人授权评标委员会确定中标人。</w:t>
      </w:r>
    </w:p>
    <w:p>
      <w:pPr>
        <w:spacing w:line="360" w:lineRule="auto"/>
        <w:rPr>
          <w:rFonts w:ascii="宋体" w:hAnsi="宋体" w:cs="宋体"/>
          <w:color w:val="auto"/>
          <w:sz w:val="24"/>
          <w:highlight w:val="none"/>
        </w:rPr>
      </w:pPr>
      <w:bookmarkStart w:id="68" w:name="_Toc458697273"/>
      <w:r>
        <w:rPr>
          <w:rFonts w:hint="eastAsia" w:ascii="宋体" w:hAnsi="宋体" w:cs="宋体"/>
          <w:color w:val="auto"/>
          <w:sz w:val="24"/>
          <w:highlight w:val="none"/>
        </w:rPr>
        <w:t>1.招标方在评标结束后2个工作日内将评标报告交采购人确认。</w:t>
      </w:r>
    </w:p>
    <w:p>
      <w:pPr>
        <w:spacing w:line="360" w:lineRule="auto"/>
        <w:rPr>
          <w:rFonts w:ascii="宋体" w:hAnsi="宋体" w:cs="宋体"/>
          <w:color w:val="auto"/>
          <w:sz w:val="24"/>
          <w:highlight w:val="none"/>
        </w:rPr>
      </w:pPr>
      <w:r>
        <w:rPr>
          <w:rFonts w:hint="eastAsia" w:ascii="宋体" w:hAnsi="宋体" w:cs="宋体"/>
          <w:color w:val="auto"/>
          <w:sz w:val="24"/>
          <w:highlight w:val="none"/>
        </w:rPr>
        <w:t>2.采购人应在收到评标报告后5个工作日内对评标结果进行确认。如有投标人对评标结果提出质疑的，采购人可在质疑处理完毕后确定中标人。</w:t>
      </w:r>
    </w:p>
    <w:p>
      <w:pPr>
        <w:spacing w:line="360" w:lineRule="auto"/>
        <w:rPr>
          <w:rFonts w:ascii="宋体" w:hAnsi="宋体" w:cs="宋体"/>
          <w:color w:val="auto"/>
          <w:sz w:val="24"/>
          <w:highlight w:val="none"/>
        </w:rPr>
      </w:pPr>
      <w:r>
        <w:rPr>
          <w:rFonts w:hint="eastAsia" w:ascii="宋体" w:hAnsi="宋体" w:cs="宋体"/>
          <w:color w:val="auto"/>
          <w:sz w:val="24"/>
          <w:highlight w:val="none"/>
        </w:rPr>
        <w:t>3.采购人依法确定中标人后2个工作日内，招标方以书面形式发出《中标通知书》,并同时在相关网站上发布中标公告。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4. 确定中标人后，中标人应在三个工作日内，向招标方领取《中标通知书》，否则按放弃中标资格处理，并因违反诚信原则，提交财政部门列入政府采购黑名单。</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69" w:name="_Toc9028"/>
      <w:bookmarkStart w:id="70" w:name="_Toc27700"/>
      <w:r>
        <w:rPr>
          <w:rFonts w:hint="eastAsia" w:ascii="宋体" w:hAnsi="宋体" w:eastAsia="宋体" w:cs="宋体"/>
          <w:color w:val="auto"/>
          <w:sz w:val="24"/>
          <w:szCs w:val="24"/>
          <w:highlight w:val="none"/>
        </w:rPr>
        <w:t>七、合同授予</w:t>
      </w:r>
      <w:bookmarkEnd w:id="68"/>
      <w:bookmarkEnd w:id="69"/>
      <w:bookmarkEnd w:id="70"/>
    </w:p>
    <w:p>
      <w:pPr>
        <w:spacing w:line="360" w:lineRule="auto"/>
        <w:rPr>
          <w:rFonts w:ascii="宋体" w:hAnsi="宋体" w:cs="宋体"/>
          <w:b/>
          <w:color w:val="auto"/>
          <w:sz w:val="24"/>
          <w:highlight w:val="none"/>
        </w:rPr>
      </w:pPr>
      <w:r>
        <w:rPr>
          <w:rFonts w:hint="eastAsia" w:ascii="宋体" w:hAnsi="宋体" w:cs="宋体"/>
          <w:b/>
          <w:color w:val="auto"/>
          <w:sz w:val="24"/>
          <w:highlight w:val="none"/>
        </w:rPr>
        <w:t>（一）签订合同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2.成交人按规定的日期、时间、地点，由法定代表人或其授权代表与采购人代表签订合同。如成交人为联合体的，由联合体成员各方法定代表人或其授权代表与采购人代表签订合同。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3.如签订合同并生效后，供应商无故拒绝或延期，除按照合同条款处理外，列入不良行为记录一次，并给予通报。</w:t>
      </w:r>
    </w:p>
    <w:p>
      <w:pPr>
        <w:spacing w:line="360" w:lineRule="auto"/>
        <w:rPr>
          <w:rFonts w:ascii="宋体" w:hAnsi="宋体" w:cs="宋体"/>
          <w:color w:val="auto"/>
          <w:sz w:val="24"/>
          <w:highlight w:val="none"/>
        </w:rPr>
      </w:pPr>
      <w:r>
        <w:rPr>
          <w:rFonts w:hint="eastAsia" w:ascii="宋体" w:hAnsi="宋体" w:cs="宋体"/>
          <w:color w:val="auto"/>
          <w:sz w:val="24"/>
          <w:highlight w:val="none"/>
        </w:rPr>
        <w:t>4.成交人拒绝与采购人签订合同的，采购人可以按照评审报告推荐的中标或者成交候选人名单排序，确定下一候选人为成交人，也可以重新开展政府采购活动。</w:t>
      </w:r>
    </w:p>
    <w:p>
      <w:pPr>
        <w:spacing w:line="360" w:lineRule="auto"/>
        <w:rPr>
          <w:rFonts w:ascii="宋体" w:hAnsi="宋体" w:cs="宋体"/>
          <w:color w:val="auto"/>
          <w:sz w:val="24"/>
          <w:highlight w:val="none"/>
        </w:rPr>
      </w:pPr>
      <w:r>
        <w:rPr>
          <w:rFonts w:hint="eastAsia" w:ascii="宋体" w:hAnsi="宋体" w:cs="宋体"/>
          <w:color w:val="auto"/>
          <w:sz w:val="24"/>
          <w:highlight w:val="none"/>
        </w:rPr>
        <w:t>5.采购合同由采购人与成交人根据采购文件、磋商响应文件等内容通过政府采购电子交易平台在线签订，自动备案。</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6.政府采购货物和服务项目不得收取质量保证金。政府采购工程以及与工程建设有关的货物、服务，采用招标方式采购的，按国家和省有关规定执行。</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pStyle w:val="14"/>
        <w:pageBreakBefore/>
        <w:snapToGrid w:val="0"/>
        <w:spacing w:before="120" w:after="120" w:line="360" w:lineRule="auto"/>
        <w:jc w:val="center"/>
        <w:outlineLvl w:val="0"/>
        <w:rPr>
          <w:rFonts w:ascii="宋体" w:hAnsi="宋体" w:cs="宋体"/>
          <w:b/>
          <w:color w:val="auto"/>
          <w:szCs w:val="24"/>
          <w:highlight w:val="none"/>
        </w:rPr>
      </w:pPr>
      <w:bookmarkStart w:id="71" w:name="_Toc24049"/>
      <w:bookmarkStart w:id="72" w:name="_Toc3423"/>
      <w:bookmarkStart w:id="73" w:name="_Toc502652282"/>
      <w:bookmarkStart w:id="74" w:name="_Hlt452359758"/>
      <w:bookmarkStart w:id="75" w:name="_Hlt452359757"/>
      <w:r>
        <w:rPr>
          <w:rFonts w:hint="eastAsia" w:ascii="宋体" w:hAnsi="宋体" w:cs="宋体"/>
          <w:b/>
          <w:color w:val="auto"/>
          <w:szCs w:val="24"/>
          <w:highlight w:val="none"/>
        </w:rPr>
        <w:t>第四章  评标办法及评分标准</w:t>
      </w:r>
      <w:bookmarkEnd w:id="71"/>
      <w:bookmarkEnd w:id="72"/>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东阳市部分乡镇“多规合一”实用性村庄规划编制项目</w:t>
      </w:r>
      <w:r>
        <w:rPr>
          <w:rFonts w:hint="eastAsia" w:ascii="宋体" w:hAnsi="宋体" w:cs="宋体"/>
          <w:color w:val="auto"/>
          <w:sz w:val="24"/>
          <w:highlight w:val="none"/>
        </w:rPr>
        <w:t>的评标。</w:t>
      </w:r>
    </w:p>
    <w:p>
      <w:pPr>
        <w:spacing w:line="580" w:lineRule="exact"/>
        <w:rPr>
          <w:rFonts w:ascii="宋体" w:hAnsi="宋体" w:cs="宋体"/>
          <w:b/>
          <w:color w:val="auto"/>
          <w:sz w:val="24"/>
          <w:highlight w:val="none"/>
        </w:rPr>
      </w:pPr>
      <w:bookmarkStart w:id="76" w:name="_Toc31315"/>
      <w:bookmarkStart w:id="77" w:name="_Toc452728219"/>
      <w:bookmarkStart w:id="78" w:name="_Toc12525"/>
      <w:bookmarkStart w:id="79" w:name="_Toc26574"/>
      <w:r>
        <w:rPr>
          <w:rFonts w:hint="eastAsia" w:ascii="宋体" w:hAnsi="宋体" w:cs="宋体"/>
          <w:b/>
          <w:color w:val="auto"/>
          <w:sz w:val="24"/>
          <w:highlight w:val="none"/>
        </w:rPr>
        <w:t>一、总则</w:t>
      </w:r>
      <w:bookmarkEnd w:id="76"/>
      <w:bookmarkEnd w:id="77"/>
      <w:bookmarkEnd w:id="78"/>
      <w:bookmarkEnd w:id="79"/>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本次评标采用综合评分法，总分为100分，其中价格分</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分，技术、商务、资信及其他分</w:t>
      </w:r>
      <w:r>
        <w:rPr>
          <w:rFonts w:hint="eastAsia" w:ascii="宋体" w:hAnsi="宋体" w:cs="宋体"/>
          <w:color w:val="auto"/>
          <w:sz w:val="24"/>
          <w:highlight w:val="none"/>
          <w:lang w:val="en-US" w:eastAsia="zh-CN"/>
        </w:rPr>
        <w:t>80</w:t>
      </w:r>
      <w:r>
        <w:rPr>
          <w:rFonts w:hint="eastAsia" w:ascii="宋体" w:hAnsi="宋体" w:cs="宋体"/>
          <w:color w:val="auto"/>
          <w:sz w:val="24"/>
          <w:highlight w:val="none"/>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投标人评标综合得分=价格分+(技术分+商务分+资信及其他分)</w:t>
      </w:r>
    </w:p>
    <w:p>
      <w:pPr>
        <w:numPr>
          <w:ilvl w:val="0"/>
          <w:numId w:val="5"/>
        </w:numPr>
        <w:spacing w:line="580" w:lineRule="exact"/>
        <w:rPr>
          <w:rFonts w:ascii="宋体" w:hAnsi="宋体" w:cs="宋体"/>
          <w:b/>
          <w:color w:val="auto"/>
          <w:sz w:val="24"/>
          <w:highlight w:val="none"/>
        </w:rPr>
      </w:pPr>
      <w:bookmarkStart w:id="80" w:name="_Toc6122"/>
      <w:bookmarkStart w:id="81" w:name="_Toc452728220"/>
      <w:bookmarkStart w:id="82" w:name="_Toc12387"/>
      <w:bookmarkStart w:id="83" w:name="_Toc16785"/>
      <w:r>
        <w:rPr>
          <w:rFonts w:hint="eastAsia" w:ascii="宋体" w:hAnsi="宋体" w:cs="宋体"/>
          <w:b/>
          <w:color w:val="auto"/>
          <w:sz w:val="24"/>
          <w:highlight w:val="none"/>
        </w:rPr>
        <w:t>评标内容及标准</w:t>
      </w:r>
      <w:bookmarkEnd w:id="80"/>
      <w:bookmarkEnd w:id="81"/>
      <w:bookmarkEnd w:id="82"/>
      <w:bookmarkEnd w:id="83"/>
    </w:p>
    <w:p>
      <w:pPr>
        <w:pStyle w:val="14"/>
        <w:spacing w:before="120" w:after="120" w:line="580" w:lineRule="exact"/>
        <w:rPr>
          <w:rFonts w:ascii="宋体" w:hAnsi="宋体" w:cs="宋体"/>
          <w:b/>
          <w:bCs/>
          <w:color w:val="auto"/>
          <w:szCs w:val="24"/>
          <w:highlight w:val="none"/>
        </w:rPr>
      </w:pPr>
      <w:r>
        <w:rPr>
          <w:rFonts w:hint="eastAsia" w:ascii="宋体" w:hAnsi="宋体" w:cs="宋体"/>
          <w:b/>
          <w:bCs/>
          <w:color w:val="auto"/>
          <w:szCs w:val="24"/>
          <w:highlight w:val="none"/>
        </w:rPr>
        <w:t>（一）技术、商务、资信及其他分（</w:t>
      </w:r>
      <w:r>
        <w:rPr>
          <w:rFonts w:hint="eastAsia" w:ascii="宋体" w:hAnsi="宋体" w:cs="宋体"/>
          <w:b/>
          <w:bCs/>
          <w:color w:val="auto"/>
          <w:szCs w:val="24"/>
          <w:highlight w:val="none"/>
          <w:lang w:val="en-US" w:eastAsia="zh-CN"/>
        </w:rPr>
        <w:t>80</w:t>
      </w:r>
      <w:r>
        <w:rPr>
          <w:rFonts w:hint="eastAsia" w:ascii="宋体" w:hAnsi="宋体" w:cs="宋体"/>
          <w:b/>
          <w:bCs/>
          <w:color w:val="auto"/>
          <w:szCs w:val="24"/>
          <w:highlight w:val="none"/>
        </w:rPr>
        <w:t>分）</w:t>
      </w:r>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技术、商务资信及其他分响应标书要求的投标单位全部进入商务报价评审。</w:t>
      </w:r>
    </w:p>
    <w:p>
      <w:pPr>
        <w:pStyle w:val="6"/>
        <w:spacing w:line="580" w:lineRule="exact"/>
        <w:ind w:left="0" w:leftChars="0"/>
        <w:rPr>
          <w:rFonts w:ascii="宋体" w:hAnsi="宋体" w:cs="宋体"/>
          <w:b/>
          <w:bCs/>
          <w:color w:val="auto"/>
          <w:sz w:val="24"/>
          <w:highlight w:val="none"/>
        </w:rPr>
      </w:pPr>
      <w:r>
        <w:rPr>
          <w:rFonts w:hint="eastAsia" w:ascii="宋体" w:hAnsi="宋体" w:cs="宋体"/>
          <w:b/>
          <w:color w:val="auto"/>
          <w:sz w:val="24"/>
          <w:highlight w:val="none"/>
        </w:rPr>
        <w:t>（二）</w:t>
      </w:r>
      <w:r>
        <w:rPr>
          <w:rFonts w:hint="eastAsia" w:ascii="宋体" w:hAnsi="宋体" w:cs="宋体"/>
          <w:b/>
          <w:bCs/>
          <w:color w:val="auto"/>
          <w:sz w:val="24"/>
          <w:highlight w:val="none"/>
        </w:rPr>
        <w:t>价格分（</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rPr>
        <w:t xml:space="preserve">分） </w:t>
      </w:r>
    </w:p>
    <w:p>
      <w:pPr>
        <w:spacing w:before="120" w:beforeLines="50" w:after="120" w:afterLines="50" w:line="580" w:lineRule="exact"/>
        <w:ind w:firstLine="464" w:firstLineChars="200"/>
        <w:rPr>
          <w:rFonts w:ascii="宋体" w:hAnsi="宋体" w:cs="宋体"/>
          <w:bCs/>
          <w:color w:val="auto"/>
          <w:sz w:val="24"/>
          <w:highlight w:val="none"/>
        </w:rPr>
      </w:pPr>
      <w:r>
        <w:rPr>
          <w:rFonts w:hint="eastAsia" w:ascii="宋体" w:hAnsi="宋体" w:cs="宋体"/>
          <w:bCs/>
          <w:color w:val="auto"/>
          <w:spacing w:val="-4"/>
          <w:sz w:val="24"/>
          <w:szCs w:val="20"/>
          <w:highlight w:val="none"/>
        </w:rPr>
        <w:t>（1）</w:t>
      </w:r>
      <w:r>
        <w:rPr>
          <w:rFonts w:hint="eastAsia" w:ascii="宋体" w:hAnsi="宋体" w:cs="宋体"/>
          <w:bCs/>
          <w:color w:val="auto"/>
          <w:sz w:val="24"/>
          <w:highlight w:val="none"/>
        </w:rPr>
        <w:t>价格分采用低价优先法计算，取所有技术、资信商务得分入围投标人中，投标价格最低的投标报价为评标基准价，其他投标人的价格分按照下列公式计算：</w:t>
      </w:r>
    </w:p>
    <w:p>
      <w:pPr>
        <w:spacing w:before="120" w:beforeLines="50" w:after="120" w:afterLines="50" w:line="58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价格分=评标基准价/投标报价×</w:t>
      </w:r>
      <w:r>
        <w:rPr>
          <w:rFonts w:hint="eastAsia" w:ascii="宋体" w:hAnsi="宋体" w:cs="宋体"/>
          <w:color w:val="auto"/>
          <w:sz w:val="24"/>
          <w:highlight w:val="none"/>
          <w:lang w:val="en-US" w:eastAsia="zh-CN"/>
        </w:rPr>
        <w:t>20</w:t>
      </w:r>
    </w:p>
    <w:p>
      <w:pPr>
        <w:spacing w:line="580" w:lineRule="exact"/>
        <w:rPr>
          <w:rFonts w:ascii="宋体" w:hAnsi="宋体" w:cs="宋体"/>
          <w:b/>
          <w:bCs/>
          <w:color w:val="auto"/>
          <w:sz w:val="24"/>
          <w:highlight w:val="none"/>
        </w:rPr>
      </w:pPr>
      <w:r>
        <w:rPr>
          <w:rFonts w:hint="eastAsia" w:ascii="宋体" w:hAnsi="宋体" w:cs="宋体"/>
          <w:b/>
          <w:bCs/>
          <w:color w:val="auto"/>
          <w:sz w:val="24"/>
          <w:highlight w:val="none"/>
        </w:rPr>
        <w:t>（三）技术、商务、资信及其他分的计算</w:t>
      </w:r>
    </w:p>
    <w:p>
      <w:pPr>
        <w:spacing w:before="120" w:beforeLines="50" w:after="120" w:afterLines="50"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技术、商务、资信及其他分按照评标委员会成员的独立评分结果的算术平均分计算，计算公式为：</w:t>
      </w:r>
    </w:p>
    <w:p>
      <w:pPr>
        <w:spacing w:before="120" w:beforeLines="50" w:after="120" w:afterLines="50" w:line="58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技术商务资信及其他分=评标委员会所有成员有效评分合计数/5</w:t>
      </w:r>
    </w:p>
    <w:p>
      <w:pPr>
        <w:pStyle w:val="14"/>
        <w:numPr>
          <w:ilvl w:val="0"/>
          <w:numId w:val="8"/>
        </w:numPr>
        <w:spacing w:before="120" w:after="120" w:line="580" w:lineRule="exact"/>
        <w:rPr>
          <w:rFonts w:ascii="宋体" w:hAnsi="宋体" w:cs="宋体"/>
          <w:b/>
          <w:bCs/>
          <w:color w:val="auto"/>
          <w:szCs w:val="24"/>
          <w:highlight w:val="none"/>
        </w:rPr>
      </w:pPr>
      <w:r>
        <w:rPr>
          <w:rFonts w:hint="eastAsia" w:ascii="宋体" w:hAnsi="宋体" w:cs="宋体"/>
          <w:b/>
          <w:bCs/>
          <w:color w:val="auto"/>
          <w:szCs w:val="24"/>
          <w:highlight w:val="none"/>
        </w:rPr>
        <w:t>技术分、商务分、资信及其他分评分标准，共</w:t>
      </w:r>
      <w:r>
        <w:rPr>
          <w:rFonts w:hint="eastAsia" w:ascii="宋体" w:hAnsi="宋体" w:cs="宋体"/>
          <w:b/>
          <w:bCs/>
          <w:color w:val="auto"/>
          <w:szCs w:val="24"/>
          <w:highlight w:val="none"/>
          <w:lang w:val="en-US" w:eastAsia="zh-CN"/>
        </w:rPr>
        <w:t>80</w:t>
      </w:r>
      <w:r>
        <w:rPr>
          <w:rFonts w:hint="eastAsia" w:ascii="宋体" w:hAnsi="宋体" w:cs="宋体"/>
          <w:b/>
          <w:bCs/>
          <w:color w:val="auto"/>
          <w:szCs w:val="24"/>
          <w:highlight w:val="none"/>
        </w:rPr>
        <w:t xml:space="preserve">分  </w:t>
      </w:r>
    </w:p>
    <w:tbl>
      <w:tblPr>
        <w:tblStyle w:val="27"/>
        <w:tblpPr w:leftFromText="180" w:rightFromText="180" w:vertAnchor="text" w:horzAnchor="page" w:tblpX="1196" w:tblpY="453"/>
        <w:tblOverlap w:val="never"/>
        <w:tblW w:w="99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7"/>
        <w:gridCol w:w="562"/>
        <w:gridCol w:w="1073"/>
        <w:gridCol w:w="6837"/>
        <w:gridCol w:w="7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35"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评审内容</w:t>
            </w:r>
          </w:p>
        </w:tc>
        <w:tc>
          <w:tcPr>
            <w:tcW w:w="683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评分标准</w:t>
            </w:r>
          </w:p>
        </w:tc>
        <w:tc>
          <w:tcPr>
            <w:tcW w:w="751" w:type="dxa"/>
            <w:tcBorders>
              <w:top w:val="single" w:color="auto" w:sz="4" w:space="0"/>
              <w:left w:val="single" w:color="auto" w:sz="4" w:space="0"/>
              <w:bottom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一</w:t>
            </w:r>
          </w:p>
        </w:tc>
        <w:tc>
          <w:tcPr>
            <w:tcW w:w="8472"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技术分</w:t>
            </w:r>
          </w:p>
        </w:tc>
        <w:tc>
          <w:tcPr>
            <w:tcW w:w="751" w:type="dxa"/>
            <w:tcBorders>
              <w:top w:val="single" w:color="auto" w:sz="4" w:space="0"/>
              <w:left w:val="single" w:color="auto" w:sz="4" w:space="0"/>
              <w:bottom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1</w:t>
            </w:r>
          </w:p>
        </w:tc>
        <w:tc>
          <w:tcPr>
            <w:tcW w:w="562"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技术服务水平</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color w:val="auto"/>
                <w:kern w:val="0"/>
                <w:sz w:val="24"/>
                <w:highlight w:val="none"/>
              </w:rPr>
            </w:pPr>
            <w:r>
              <w:rPr>
                <w:rFonts w:hint="eastAsia" w:ascii="宋体" w:hAnsi="宋体" w:cs="宋体"/>
                <w:color w:val="auto"/>
                <w:sz w:val="24"/>
                <w:highlight w:val="none"/>
              </w:rPr>
              <w:t>项目背景认知</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Cs/>
                <w:color w:val="auto"/>
                <w:kern w:val="0"/>
                <w:sz w:val="24"/>
                <w:highlight w:val="none"/>
              </w:rPr>
            </w:pPr>
            <w:r>
              <w:rPr>
                <w:rFonts w:hint="eastAsia" w:ascii="宋体" w:hAnsi="宋体" w:cs="宋体"/>
                <w:color w:val="auto"/>
                <w:sz w:val="24"/>
                <w:highlight w:val="none"/>
              </w:rPr>
              <w:t>在国土空间规划背景下，根据投标人对新时代多规合一的村庄规划相关规划体系、标准、省、东阳市村庄规划建设政策要求的解读情况及东阳市村庄发展背景认知是否到位，进行打分。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2</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现状</w:t>
            </w:r>
          </w:p>
          <w:p>
            <w:pPr>
              <w:adjustRightInd w:val="0"/>
              <w:snapToGrid w:val="0"/>
              <w:spacing w:line="360" w:lineRule="auto"/>
              <w:jc w:val="center"/>
              <w:rPr>
                <w:rFonts w:ascii="宋体" w:hAnsi="宋体" w:cs="宋体"/>
                <w:bCs/>
                <w:color w:val="auto"/>
                <w:kern w:val="0"/>
                <w:sz w:val="24"/>
                <w:highlight w:val="none"/>
              </w:rPr>
            </w:pPr>
            <w:r>
              <w:rPr>
                <w:rFonts w:hint="eastAsia" w:ascii="宋体" w:hAnsi="宋体" w:cs="宋体"/>
                <w:color w:val="auto"/>
                <w:sz w:val="24"/>
                <w:highlight w:val="none"/>
              </w:rPr>
              <w:t>分析</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Cs/>
                <w:color w:val="auto"/>
                <w:kern w:val="0"/>
                <w:sz w:val="24"/>
                <w:highlight w:val="none"/>
              </w:rPr>
            </w:pPr>
            <w:r>
              <w:rPr>
                <w:rFonts w:hint="eastAsia" w:ascii="宋体" w:hAnsi="宋体" w:cs="宋体"/>
                <w:color w:val="auto"/>
                <w:sz w:val="24"/>
                <w:highlight w:val="none"/>
              </w:rPr>
              <w:t>深入分析村庄建设用地、宅基地、公共服务设施、乡村产业等方面，提出本项目的重点、难点，就现状分析的完整性、准确性、科学性、有针对性，进行打分。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3</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color w:val="auto"/>
                <w:kern w:val="0"/>
                <w:sz w:val="24"/>
                <w:highlight w:val="none"/>
              </w:rPr>
            </w:pPr>
            <w:r>
              <w:rPr>
                <w:rFonts w:hint="eastAsia" w:ascii="宋体" w:hAnsi="宋体" w:cs="宋体"/>
                <w:color w:val="auto"/>
                <w:sz w:val="24"/>
                <w:highlight w:val="none"/>
              </w:rPr>
              <w:t>上位及相关规划衔接</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Cs/>
                <w:color w:val="auto"/>
                <w:sz w:val="24"/>
                <w:highlight w:val="none"/>
              </w:rPr>
            </w:pPr>
            <w:r>
              <w:rPr>
                <w:rFonts w:hint="eastAsia" w:ascii="宋体" w:hAnsi="宋体" w:cs="宋体"/>
                <w:color w:val="auto"/>
                <w:sz w:val="24"/>
                <w:highlight w:val="none"/>
              </w:rPr>
              <w:t>衔接上位规划、相关专项规划等要求，对上位规划、相关规划等的把握到位度和衔接得当性，进行打分。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4</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color w:val="auto"/>
                <w:kern w:val="0"/>
                <w:sz w:val="24"/>
                <w:highlight w:val="none"/>
              </w:rPr>
            </w:pPr>
            <w:r>
              <w:rPr>
                <w:rFonts w:hint="eastAsia" w:ascii="宋体" w:hAnsi="宋体" w:cs="宋体"/>
                <w:color w:val="auto"/>
                <w:sz w:val="24"/>
                <w:highlight w:val="none"/>
              </w:rPr>
              <w:t>编制思路及技术路线</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Cs/>
                <w:color w:val="auto"/>
                <w:sz w:val="24"/>
                <w:highlight w:val="none"/>
              </w:rPr>
            </w:pPr>
            <w:r>
              <w:rPr>
                <w:rFonts w:hint="eastAsia" w:ascii="宋体" w:hAnsi="宋体" w:cs="宋体"/>
                <w:color w:val="auto"/>
                <w:sz w:val="24"/>
                <w:highlight w:val="none"/>
              </w:rPr>
              <w:t>投标人提供编制思路及技术路线的正确性、技术的可行性、创新性、符合研究目的和任务理解、重点把握到位的得当性，进行打分。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5</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auto"/>
                <w:kern w:val="0"/>
                <w:sz w:val="24"/>
                <w:highlight w:val="none"/>
              </w:rPr>
            </w:pPr>
            <w:r>
              <w:rPr>
                <w:rFonts w:hint="eastAsia" w:ascii="宋体" w:hAnsi="宋体" w:cs="宋体"/>
                <w:color w:val="auto"/>
                <w:sz w:val="24"/>
                <w:highlight w:val="none"/>
              </w:rPr>
              <w:t>对本项目的设计思路</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Cs/>
                <w:color w:val="auto"/>
                <w:sz w:val="24"/>
                <w:highlight w:val="none"/>
              </w:rPr>
            </w:pPr>
            <w:r>
              <w:rPr>
                <w:rFonts w:ascii="宋体" w:hAnsi="宋体" w:cs="宋体"/>
                <w:bCs/>
                <w:color w:val="auto"/>
                <w:sz w:val="24"/>
                <w:highlight w:val="none"/>
              </w:rPr>
              <w:t>对现有村庄规划发展定位、建设用地规模控制、公共服务设施</w:t>
            </w:r>
            <w:r>
              <w:rPr>
                <w:rFonts w:hint="eastAsia" w:ascii="宋体" w:hAnsi="宋体" w:cs="宋体"/>
                <w:color w:val="auto"/>
                <w:sz w:val="24"/>
                <w:highlight w:val="none"/>
              </w:rPr>
              <w:t>、交通组织及农房建设</w:t>
            </w:r>
            <w:r>
              <w:rPr>
                <w:rFonts w:ascii="宋体" w:hAnsi="宋体" w:cs="宋体"/>
                <w:bCs/>
                <w:color w:val="auto"/>
                <w:sz w:val="24"/>
                <w:highlight w:val="none"/>
              </w:rPr>
              <w:t>的实施评估，提出</w:t>
            </w:r>
            <w:r>
              <w:rPr>
                <w:rFonts w:hint="eastAsia" w:ascii="宋体" w:hAnsi="宋体" w:cs="宋体"/>
                <w:bCs/>
                <w:color w:val="auto"/>
                <w:sz w:val="24"/>
                <w:highlight w:val="none"/>
              </w:rPr>
              <w:t>村庄建设面临</w:t>
            </w:r>
            <w:r>
              <w:rPr>
                <w:rFonts w:ascii="宋体" w:hAnsi="宋体" w:cs="宋体"/>
                <w:bCs/>
                <w:color w:val="auto"/>
                <w:sz w:val="24"/>
                <w:highlight w:val="none"/>
              </w:rPr>
              <w:t>的问题。</w:t>
            </w:r>
          </w:p>
          <w:p>
            <w:pPr>
              <w:adjustRightInd w:val="0"/>
              <w:snapToGrid w:val="0"/>
              <w:spacing w:line="360" w:lineRule="auto"/>
              <w:rPr>
                <w:color w:val="auto"/>
                <w:highlight w:val="none"/>
              </w:rPr>
            </w:pPr>
            <w:r>
              <w:rPr>
                <w:rFonts w:hint="eastAsia" w:ascii="宋体" w:hAnsi="宋体" w:cs="宋体"/>
                <w:b/>
                <w:bCs/>
                <w:color w:val="auto"/>
                <w:sz w:val="24"/>
                <w:highlight w:val="none"/>
              </w:rPr>
              <w:t>注：投标人以每个标项的第一个村为例，提出设计思路。</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6</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auto"/>
                <w:kern w:val="0"/>
                <w:sz w:val="24"/>
                <w:highlight w:val="none"/>
              </w:rPr>
            </w:pP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Cs/>
                <w:color w:val="auto"/>
                <w:sz w:val="24"/>
                <w:highlight w:val="none"/>
              </w:rPr>
            </w:pPr>
            <w:r>
              <w:rPr>
                <w:rFonts w:hint="eastAsia" w:ascii="宋体" w:hAnsi="宋体" w:cs="宋体"/>
                <w:color w:val="auto"/>
                <w:sz w:val="24"/>
                <w:highlight w:val="none"/>
              </w:rPr>
              <w:t>投标人在现行相关技术准则和规范要求的基础上，结合村庄的发展特色和主要诉求，对村庄的发展定位、目标愿景和规划策略提出自己的设计思路，进行打分。</w:t>
            </w:r>
          </w:p>
          <w:p>
            <w:pPr>
              <w:adjustRightInd w:val="0"/>
              <w:snapToGrid w:val="0"/>
              <w:spacing w:line="360" w:lineRule="auto"/>
              <w:rPr>
                <w:rFonts w:ascii="宋体" w:hAnsi="宋体" w:cs="宋体"/>
                <w:bCs/>
                <w:color w:val="auto"/>
                <w:sz w:val="24"/>
                <w:highlight w:val="none"/>
              </w:rPr>
            </w:pPr>
            <w:r>
              <w:rPr>
                <w:rFonts w:hint="eastAsia" w:ascii="宋体" w:hAnsi="宋体" w:cs="宋体"/>
                <w:b/>
                <w:bCs/>
                <w:color w:val="auto"/>
                <w:sz w:val="24"/>
                <w:highlight w:val="none"/>
              </w:rPr>
              <w:t>注：投标人以每个标项的第一个村为例，提出设计思路。</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7</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auto"/>
                <w:kern w:val="0"/>
                <w:sz w:val="24"/>
                <w:highlight w:val="none"/>
              </w:rPr>
            </w:pP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 xml:space="preserve">投标人结合根据村庄定位和特征，落实“三区三线”成果，合理优化村庄空间布局和用地结构的，融合生产、生活、生态“三生”空间，划分单元区块，有针对性的提出自己的设计思路，进行打分。                                                   </w:t>
            </w:r>
            <w:r>
              <w:rPr>
                <w:rFonts w:hint="eastAsia" w:ascii="宋体" w:hAnsi="宋体" w:cs="宋体"/>
                <w:b/>
                <w:bCs/>
                <w:color w:val="auto"/>
                <w:sz w:val="24"/>
                <w:highlight w:val="none"/>
              </w:rPr>
              <w:t>注：投标人以每个标项的第一个村为例，提出设计思路。</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8</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auto"/>
                <w:kern w:val="0"/>
                <w:sz w:val="24"/>
                <w:highlight w:val="none"/>
              </w:rPr>
            </w:pP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投标人对村庄内合理布局村宅基地、公共服务设施、道路交通，对村庄农房设计要求，景观风貌管控要求提出自己的设计思路，进行打分。</w:t>
            </w:r>
          </w:p>
          <w:p>
            <w:pPr>
              <w:adjustRightInd w:val="0"/>
              <w:snapToGrid w:val="0"/>
              <w:spacing w:line="360" w:lineRule="auto"/>
              <w:rPr>
                <w:rFonts w:ascii="宋体" w:hAnsi="宋体" w:cs="宋体"/>
                <w:bCs/>
                <w:color w:val="auto"/>
                <w:sz w:val="24"/>
                <w:highlight w:val="none"/>
              </w:rPr>
            </w:pPr>
            <w:r>
              <w:rPr>
                <w:rFonts w:hint="eastAsia" w:ascii="宋体" w:hAnsi="宋体" w:cs="宋体"/>
                <w:b/>
                <w:bCs/>
                <w:color w:val="auto"/>
                <w:sz w:val="24"/>
                <w:highlight w:val="none"/>
              </w:rPr>
              <w:t>注：投标人以每个标项的第一个村为例，提出设计思路。</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9</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auto"/>
                <w:kern w:val="0"/>
                <w:sz w:val="24"/>
                <w:highlight w:val="none"/>
              </w:rPr>
            </w:pP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对规划区的生态和农业空间布局优化、做好生态保护和农业农村，按照上位规划和相关要求，进行规划管控，处理好重点发展区块与永久基本农田的关系，考虑村庄产业发展用地布局和引导策略，提出自己的设计思路，进行打分。</w:t>
            </w:r>
          </w:p>
          <w:p>
            <w:pPr>
              <w:adjustRightInd w:val="0"/>
              <w:snapToGrid w:val="0"/>
              <w:spacing w:line="360" w:lineRule="auto"/>
              <w:rPr>
                <w:rFonts w:ascii="宋体" w:hAnsi="宋体" w:cs="宋体"/>
                <w:bCs/>
                <w:color w:val="auto"/>
                <w:sz w:val="24"/>
                <w:highlight w:val="none"/>
              </w:rPr>
            </w:pPr>
            <w:r>
              <w:rPr>
                <w:rFonts w:hint="eastAsia" w:ascii="宋体" w:hAnsi="宋体" w:cs="宋体"/>
                <w:b/>
                <w:bCs/>
                <w:color w:val="auto"/>
                <w:sz w:val="24"/>
                <w:highlight w:val="none"/>
              </w:rPr>
              <w:t>注：投标人以每个标项的第一个村为例，提出设计思路。</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10</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kern w:val="0"/>
                <w:sz w:val="24"/>
                <w:highlight w:val="none"/>
              </w:rPr>
            </w:pP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投标人对村庄规划手册的主要内容、村庄管控图则是否体现好用、管用、实用方面的思考，进行打分。</w:t>
            </w:r>
          </w:p>
          <w:p>
            <w:pPr>
              <w:adjustRightInd w:val="0"/>
              <w:snapToGrid w:val="0"/>
              <w:spacing w:line="360" w:lineRule="auto"/>
              <w:rPr>
                <w:rFonts w:ascii="宋体" w:hAnsi="宋体" w:cs="宋体"/>
                <w:bCs/>
                <w:color w:val="auto"/>
                <w:sz w:val="24"/>
                <w:highlight w:val="none"/>
              </w:rPr>
            </w:pPr>
            <w:r>
              <w:rPr>
                <w:rFonts w:hint="eastAsia" w:ascii="宋体" w:hAnsi="宋体" w:cs="宋体"/>
                <w:b/>
                <w:bCs/>
                <w:color w:val="auto"/>
                <w:sz w:val="24"/>
                <w:highlight w:val="none"/>
              </w:rPr>
              <w:t>注：投标人以每个标项的第一个村为例，提出设计思路。</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11</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项目组成员</w:t>
            </w:r>
          </w:p>
        </w:tc>
        <w:tc>
          <w:tcPr>
            <w:tcW w:w="683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项目负责人：</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（1）具有注册城乡规划师的，得2分；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（2）具有城乡规划或土地规划相关专业高级工程师及以上职称的，得2分；</w:t>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注：须提供证书复印件，并且项目负责人必须是投标人本单位在职员工，还须提供已在本单位缴纳社保的承诺书并加盖投标人公章，否则不得分。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color w:val="auto"/>
                <w:sz w:val="24"/>
                <w:highlight w:val="none"/>
              </w:rPr>
            </w:pPr>
            <w:r>
              <w:rPr>
                <w:rFonts w:hint="eastAsia" w:ascii="宋体" w:hAnsi="宋体" w:cs="宋体"/>
                <w:color w:val="auto"/>
                <w:sz w:val="24"/>
                <w:highlight w:val="none"/>
              </w:rPr>
              <w:t>12</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highlight w:val="none"/>
              </w:rPr>
            </w:pPr>
          </w:p>
        </w:tc>
        <w:tc>
          <w:tcPr>
            <w:tcW w:w="683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ind w:firstLine="0" w:firstLineChars="0"/>
              <w:rPr>
                <w:rFonts w:cs="宋体"/>
                <w:color w:val="auto"/>
                <w:sz w:val="24"/>
                <w:szCs w:val="24"/>
                <w:highlight w:val="none"/>
                <w:lang w:val="en-US"/>
              </w:rPr>
            </w:pPr>
            <w:r>
              <w:rPr>
                <w:rFonts w:hint="eastAsia" w:cs="宋体"/>
                <w:color w:val="auto"/>
                <w:sz w:val="24"/>
                <w:highlight w:val="none"/>
              </w:rPr>
              <w:t>（1）</w:t>
            </w:r>
            <w:r>
              <w:rPr>
                <w:rFonts w:hint="eastAsia" w:cs="宋体"/>
                <w:color w:val="auto"/>
                <w:sz w:val="24"/>
                <w:szCs w:val="24"/>
                <w:highlight w:val="none"/>
              </w:rPr>
              <w:t>根据拟投入本项目组成员的配置合理性，同类工作经验等情况，进行打分；</w:t>
            </w:r>
            <w:r>
              <w:rPr>
                <w:rFonts w:hint="eastAsia" w:cs="宋体"/>
                <w:color w:val="auto"/>
                <w:sz w:val="24"/>
                <w:szCs w:val="24"/>
                <w:highlight w:val="none"/>
                <w:lang w:val="en-US"/>
              </w:rPr>
              <w:t>(0-1分）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（2）项目组成员除项目负责人外，具有城乡规划或土地规划相关专业高级工程师及以上职称的，每1人得1分，中级职称的每提供1人得0.5分，该项最多得3分；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（3）项目组成员除项目负责人外，具有注册城乡规划师的，每1人得1分，该项最多得2分；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（注：须提供人员职称证书，并且必须是投标人本单位在职员工，还须提供已在本单位缴纳社保的承诺书并加盖投标人公章，否则不得分。）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6" w:hRule="atLeast"/>
        </w:trPr>
        <w:tc>
          <w:tcPr>
            <w:tcW w:w="757"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二</w:t>
            </w:r>
          </w:p>
        </w:tc>
        <w:tc>
          <w:tcPr>
            <w:tcW w:w="8472"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商务资信及其他分</w:t>
            </w:r>
          </w:p>
        </w:tc>
        <w:tc>
          <w:tcPr>
            <w:tcW w:w="751" w:type="dxa"/>
            <w:tcBorders>
              <w:top w:val="single" w:color="auto" w:sz="4" w:space="0"/>
              <w:left w:val="single" w:color="auto" w:sz="4" w:space="0"/>
              <w:bottom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0" w:hRule="atLeast"/>
        </w:trPr>
        <w:tc>
          <w:tcPr>
            <w:tcW w:w="757" w:type="dxa"/>
            <w:tcBorders>
              <w:top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562" w:type="dxa"/>
            <w:vMerge w:val="restart"/>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履约能力</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项目重难点</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投标人针对本项目特点提出的重难点解决对策与方案的可操作性、实用性、有针对性，进行打分。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5" w:hRule="atLeast"/>
        </w:trPr>
        <w:tc>
          <w:tcPr>
            <w:tcW w:w="757" w:type="dxa"/>
            <w:tcBorders>
              <w:top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质量保证体系</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根据投标人对本项目制定的质量保证体系是否周全，是否合理、可行等方面进行打分。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07" w:hRule="atLeast"/>
        </w:trPr>
        <w:tc>
          <w:tcPr>
            <w:tcW w:w="757" w:type="dxa"/>
            <w:tcBorders>
              <w:bottom w:val="single" w:color="auto" w:sz="4"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认证</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证书</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left"/>
              <w:rPr>
                <w:rFonts w:ascii="宋体" w:hAnsi="宋体" w:cs="宋体"/>
                <w:b/>
                <w:snapToGrid w:val="0"/>
                <w:color w:val="auto"/>
                <w:kern w:val="0"/>
                <w:sz w:val="24"/>
                <w:highlight w:val="none"/>
              </w:rPr>
            </w:pPr>
            <w:r>
              <w:rPr>
                <w:rFonts w:hint="eastAsia" w:ascii="宋体" w:hAnsi="宋体" w:cs="宋体"/>
                <w:color w:val="auto"/>
                <w:sz w:val="24"/>
                <w:highlight w:val="none"/>
              </w:rPr>
              <w:t>投标人具有有效的质量管理体系认证证书、环境管理体系认证证书、职业健康安全管理体系认证证书，每个得1分，最高3分。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5" w:hRule="atLeast"/>
        </w:trPr>
        <w:tc>
          <w:tcPr>
            <w:tcW w:w="757" w:type="dxa"/>
            <w:tcBorders>
              <w:top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16</w:t>
            </w:r>
          </w:p>
        </w:tc>
        <w:tc>
          <w:tcPr>
            <w:tcW w:w="56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类似</w:t>
            </w:r>
          </w:p>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业绩</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自2020年1月（以合同签订时间为准）以来，投标人承担过村庄规划类项目业绩的每个得0.5分，本项最高得1分。</w:t>
            </w:r>
          </w:p>
          <w:p>
            <w:pPr>
              <w:widowControl/>
              <w:adjustRightIn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注：须提供业绩合同复印件加盖投标人公章，未提供的不得分。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r>
    </w:tbl>
    <w:p>
      <w:pPr>
        <w:rPr>
          <w:color w:val="auto"/>
          <w:highlight w:val="none"/>
        </w:rPr>
      </w:pPr>
    </w:p>
    <w:p>
      <w:pPr>
        <w:pStyle w:val="2"/>
        <w:rPr>
          <w:color w:val="auto"/>
          <w:highlight w:val="none"/>
        </w:rPr>
      </w:pPr>
    </w:p>
    <w:p>
      <w:pPr>
        <w:spacing w:line="360" w:lineRule="auto"/>
        <w:rPr>
          <w:rFonts w:hint="eastAsia" w:ascii="宋体" w:hAnsi="宋体" w:eastAsia="宋体" w:cs="宋体"/>
          <w:color w:val="auto"/>
          <w:sz w:val="24"/>
          <w:szCs w:val="24"/>
          <w:highlight w:val="none"/>
        </w:rPr>
      </w:pPr>
    </w:p>
    <w:p>
      <w:pPr>
        <w:pStyle w:val="3"/>
        <w:keepNext w:val="0"/>
        <w:keepLines w:val="0"/>
        <w:pageBreakBefore/>
        <w:numPr>
          <w:ilvl w:val="0"/>
          <w:numId w:val="9"/>
        </w:numPr>
        <w:spacing w:line="240" w:lineRule="auto"/>
        <w:jc w:val="center"/>
        <w:rPr>
          <w:rFonts w:ascii="宋体" w:hAnsi="宋体" w:cs="宋体"/>
          <w:bCs w:val="0"/>
          <w:color w:val="auto"/>
          <w:sz w:val="32"/>
          <w:szCs w:val="32"/>
          <w:highlight w:val="none"/>
        </w:rPr>
      </w:pPr>
      <w:bookmarkStart w:id="84" w:name="_Toc8603"/>
      <w:r>
        <w:rPr>
          <w:rFonts w:hint="eastAsia" w:ascii="宋体" w:hAnsi="宋体" w:cs="宋体"/>
          <w:bCs w:val="0"/>
          <w:color w:val="auto"/>
          <w:sz w:val="32"/>
          <w:szCs w:val="32"/>
          <w:highlight w:val="none"/>
        </w:rPr>
        <w:t>合同主要条款</w:t>
      </w:r>
      <w:bookmarkEnd w:id="73"/>
      <w:bookmarkEnd w:id="84"/>
    </w:p>
    <w:p>
      <w:pPr>
        <w:spacing w:line="480" w:lineRule="auto"/>
        <w:jc w:val="center"/>
        <w:outlineLvl w:val="1"/>
        <w:rPr>
          <w:rFonts w:ascii="宋体" w:hAnsi="宋体"/>
          <w:b/>
          <w:color w:val="auto"/>
          <w:sz w:val="36"/>
          <w:szCs w:val="32"/>
          <w:highlight w:val="none"/>
        </w:rPr>
      </w:pPr>
      <w:bookmarkStart w:id="85" w:name="_Toc26013"/>
      <w:bookmarkStart w:id="86" w:name="_Toc22196"/>
      <w:bookmarkStart w:id="87" w:name="_Toc6142"/>
      <w:bookmarkStart w:id="88" w:name="_Toc9779"/>
      <w:r>
        <w:rPr>
          <w:rFonts w:hint="eastAsia" w:ascii="宋体" w:hAnsi="宋体"/>
          <w:b/>
          <w:color w:val="auto"/>
          <w:sz w:val="36"/>
          <w:szCs w:val="32"/>
          <w:highlight w:val="none"/>
        </w:rPr>
        <w:t>东阳市政府采购合同（样本）</w:t>
      </w:r>
      <w:bookmarkEnd w:id="85"/>
      <w:bookmarkEnd w:id="86"/>
      <w:bookmarkEnd w:id="87"/>
      <w:bookmarkEnd w:id="88"/>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项目名称：                   项目编号：               合同号：</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甲方（买方）：</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乙方（卖方）：</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鉴证方（招标方）：</w:t>
      </w:r>
    </w:p>
    <w:p>
      <w:pPr>
        <w:snapToGrid w:val="0"/>
        <w:spacing w:before="120" w:after="120" w:line="400" w:lineRule="exact"/>
        <w:ind w:firstLine="495"/>
        <w:rPr>
          <w:rFonts w:ascii="宋体" w:hAnsi="宋体" w:cs="宋体"/>
          <w:color w:val="auto"/>
          <w:sz w:val="24"/>
          <w:highlight w:val="none"/>
          <w:u w:val="single"/>
        </w:rPr>
      </w:pPr>
      <w:r>
        <w:rPr>
          <w:rFonts w:hint="eastAsia" w:ascii="宋体" w:hAnsi="宋体" w:cs="宋体"/>
          <w:color w:val="auto"/>
          <w:sz w:val="24"/>
          <w:highlight w:val="none"/>
        </w:rPr>
        <w:t>甲、乙双方根据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日东阳市鑫盛工程咨询有限公司关于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项目公开招标的结果，签署本合同。</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一、服务内容：</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二、合同金额：</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三、技术资料</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1. 乙方应按招标文件规定的时间向甲方提供有关技术资料。</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00" w:lineRule="exact"/>
        <w:ind w:left="410" w:hanging="410"/>
        <w:rPr>
          <w:rFonts w:ascii="宋体" w:hAnsi="宋体" w:cs="宋体"/>
          <w:b/>
          <w:color w:val="auto"/>
          <w:sz w:val="24"/>
          <w:highlight w:val="none"/>
        </w:rPr>
      </w:pPr>
      <w:r>
        <w:rPr>
          <w:rFonts w:hint="eastAsia" w:ascii="宋体" w:hAnsi="宋体" w:cs="宋体"/>
          <w:b/>
          <w:color w:val="auto"/>
          <w:sz w:val="24"/>
          <w:highlight w:val="none"/>
        </w:rPr>
        <w:t>四、知识产权</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乙方应保证提供服务过程中不会侵犯任何第三方的知识产权。</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若乙方提供的服务或资料侵犯他人知识产权的，则乙方承担相应赔偿责任。</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五、转包</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1.本合同范围的服务，应由乙方直接供应，不得转让他人供应；</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2. 如发现转包行为，甲方有权解除合同，并追究乙方的违约责任。</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六、合同履行时间、履行方式及履行地点</w:t>
      </w:r>
    </w:p>
    <w:p>
      <w:pPr>
        <w:snapToGrid w:val="0"/>
        <w:spacing w:before="120" w:after="120" w:line="400" w:lineRule="exact"/>
        <w:rPr>
          <w:rFonts w:ascii="宋体" w:hAnsi="宋体" w:cs="宋体"/>
          <w:bCs/>
          <w:color w:val="auto"/>
          <w:sz w:val="24"/>
          <w:highlight w:val="none"/>
        </w:rPr>
      </w:pPr>
      <w:r>
        <w:rPr>
          <w:rFonts w:hint="eastAsia" w:ascii="宋体" w:hAnsi="宋体" w:cs="宋体"/>
          <w:bCs/>
          <w:color w:val="auto"/>
          <w:sz w:val="24"/>
          <w:highlight w:val="none"/>
        </w:rPr>
        <w:t xml:space="preserve">1. </w:t>
      </w:r>
      <w:r>
        <w:rPr>
          <w:rFonts w:hint="eastAsia" w:ascii="宋体" w:hAnsi="宋体" w:cs="宋体"/>
          <w:color w:val="auto"/>
          <w:sz w:val="24"/>
          <w:highlight w:val="none"/>
        </w:rPr>
        <w:t>履行时间</w:t>
      </w:r>
      <w:r>
        <w:rPr>
          <w:rFonts w:hint="eastAsia" w:ascii="宋体" w:hAnsi="宋体" w:cs="宋体"/>
          <w:bCs/>
          <w:color w:val="auto"/>
          <w:sz w:val="24"/>
          <w:highlight w:val="none"/>
        </w:rPr>
        <w:t>：</w:t>
      </w:r>
    </w:p>
    <w:p>
      <w:pPr>
        <w:snapToGrid w:val="0"/>
        <w:spacing w:before="120" w:after="120" w:line="400" w:lineRule="exact"/>
        <w:rPr>
          <w:rFonts w:ascii="宋体" w:hAnsi="宋体" w:cs="宋体"/>
          <w:bCs/>
          <w:color w:val="auto"/>
          <w:sz w:val="24"/>
          <w:highlight w:val="none"/>
        </w:rPr>
      </w:pPr>
      <w:r>
        <w:rPr>
          <w:rFonts w:hint="eastAsia" w:ascii="宋体" w:hAnsi="宋体" w:cs="宋体"/>
          <w:bCs/>
          <w:color w:val="auto"/>
          <w:sz w:val="24"/>
          <w:highlight w:val="none"/>
        </w:rPr>
        <w:t xml:space="preserve">2. </w:t>
      </w:r>
      <w:r>
        <w:rPr>
          <w:rFonts w:hint="eastAsia" w:ascii="宋体" w:hAnsi="宋体" w:cs="宋体"/>
          <w:color w:val="auto"/>
          <w:sz w:val="24"/>
          <w:highlight w:val="none"/>
        </w:rPr>
        <w:t>履行方式</w:t>
      </w:r>
      <w:r>
        <w:rPr>
          <w:rFonts w:hint="eastAsia" w:ascii="宋体" w:hAnsi="宋体" w:cs="宋体"/>
          <w:bCs/>
          <w:color w:val="auto"/>
          <w:sz w:val="24"/>
          <w:highlight w:val="none"/>
        </w:rPr>
        <w:t>：</w:t>
      </w:r>
    </w:p>
    <w:p>
      <w:pPr>
        <w:snapToGrid w:val="0"/>
        <w:spacing w:before="120" w:after="120" w:line="400" w:lineRule="exact"/>
        <w:rPr>
          <w:rFonts w:ascii="宋体" w:hAnsi="宋体" w:cs="宋体"/>
          <w:color w:val="auto"/>
          <w:sz w:val="24"/>
          <w:highlight w:val="none"/>
        </w:rPr>
      </w:pPr>
      <w:r>
        <w:rPr>
          <w:rFonts w:hint="eastAsia" w:ascii="宋体" w:hAnsi="宋体" w:cs="宋体"/>
          <w:bCs/>
          <w:color w:val="auto"/>
          <w:sz w:val="24"/>
          <w:highlight w:val="none"/>
        </w:rPr>
        <w:t xml:space="preserve">3. </w:t>
      </w:r>
      <w:r>
        <w:rPr>
          <w:rFonts w:hint="eastAsia" w:ascii="宋体" w:hAnsi="宋体" w:cs="宋体"/>
          <w:color w:val="auto"/>
          <w:sz w:val="24"/>
          <w:highlight w:val="none"/>
        </w:rPr>
        <w:t>履行地点</w:t>
      </w:r>
      <w:r>
        <w:rPr>
          <w:rFonts w:hint="eastAsia" w:ascii="宋体" w:hAnsi="宋体" w:cs="宋体"/>
          <w:bCs/>
          <w:color w:val="auto"/>
          <w:sz w:val="24"/>
          <w:highlight w:val="none"/>
        </w:rPr>
        <w:t>：</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七、付款方式：</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八、税费</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b/>
          <w:color w:val="auto"/>
          <w:sz w:val="24"/>
          <w:highlight w:val="none"/>
        </w:rPr>
        <w:t>九、质量保证及后续服务</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1． 乙方应按招标文件规定向甲方提供服务。</w:t>
      </w:r>
    </w:p>
    <w:p>
      <w:pPr>
        <w:snapToGrid w:val="0"/>
        <w:spacing w:before="120" w:after="120" w:line="400" w:lineRule="exact"/>
        <w:ind w:left="480" w:hanging="480"/>
        <w:rPr>
          <w:rFonts w:ascii="宋体" w:hAnsi="宋体" w:cs="宋体"/>
          <w:color w:val="auto"/>
          <w:sz w:val="24"/>
          <w:highlight w:val="none"/>
        </w:rPr>
      </w:pPr>
      <w:r>
        <w:rPr>
          <w:rFonts w:hint="eastAsia" w:ascii="宋体" w:hAnsi="宋体" w:cs="宋体"/>
          <w:color w:val="auto"/>
          <w:sz w:val="24"/>
          <w:highlight w:val="none"/>
        </w:rPr>
        <w:t>2． 乙方提供的服务成果在服务质量保证期内发生故障，乙方应负责免费提供后续服务。对达不到要求者，根据实际情况，经双方协商，可按以下办法处理：</w:t>
      </w:r>
    </w:p>
    <w:p>
      <w:pPr>
        <w:snapToGrid w:val="0"/>
        <w:spacing w:before="120" w:after="120" w:line="400" w:lineRule="exact"/>
        <w:ind w:firstLine="420"/>
        <w:rPr>
          <w:rFonts w:ascii="宋体" w:hAnsi="宋体" w:cs="宋体"/>
          <w:color w:val="auto"/>
          <w:sz w:val="24"/>
          <w:highlight w:val="none"/>
        </w:rPr>
      </w:pPr>
      <w:r>
        <w:rPr>
          <w:rFonts w:hint="eastAsia" w:ascii="宋体" w:hAnsi="宋体" w:cs="宋体"/>
          <w:color w:val="auto"/>
          <w:sz w:val="24"/>
          <w:highlight w:val="none"/>
        </w:rPr>
        <w:t>⑴重做：由乙方承担所发生的全部费用。</w:t>
      </w:r>
    </w:p>
    <w:p>
      <w:pPr>
        <w:snapToGrid w:val="0"/>
        <w:spacing w:before="120" w:after="120" w:line="400" w:lineRule="exact"/>
        <w:ind w:firstLine="420"/>
        <w:rPr>
          <w:rFonts w:ascii="宋体" w:hAnsi="宋体" w:cs="宋体"/>
          <w:color w:val="auto"/>
          <w:sz w:val="24"/>
          <w:highlight w:val="none"/>
        </w:rPr>
      </w:pPr>
      <w:r>
        <w:rPr>
          <w:rFonts w:hint="eastAsia" w:ascii="宋体" w:hAnsi="宋体" w:cs="宋体"/>
          <w:color w:val="auto"/>
          <w:sz w:val="24"/>
          <w:highlight w:val="none"/>
        </w:rPr>
        <w:t>⑵贬值处理：由甲乙双方合议定价。</w:t>
      </w:r>
    </w:p>
    <w:p>
      <w:pPr>
        <w:snapToGrid w:val="0"/>
        <w:spacing w:before="120" w:after="120" w:line="400" w:lineRule="exact"/>
        <w:ind w:left="420" w:leftChars="200"/>
        <w:rPr>
          <w:rFonts w:ascii="宋体" w:hAnsi="宋体" w:cs="宋体"/>
          <w:color w:val="auto"/>
          <w:sz w:val="24"/>
          <w:highlight w:val="none"/>
        </w:rPr>
      </w:pPr>
      <w:r>
        <w:rPr>
          <w:rFonts w:hint="eastAsia" w:ascii="宋体" w:hAnsi="宋体" w:cs="宋体"/>
          <w:color w:val="auto"/>
          <w:sz w:val="24"/>
          <w:highlight w:val="none"/>
        </w:rPr>
        <w:t>⑶解除合同。</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3．如在使用过程中发生问题，乙方在接到甲方通知后</w:t>
      </w:r>
      <w:r>
        <w:rPr>
          <w:rFonts w:hint="eastAsia" w:ascii="宋体" w:hAnsi="宋体" w:cs="宋体"/>
          <w:color w:val="auto"/>
          <w:sz w:val="24"/>
          <w:highlight w:val="none"/>
          <w:u w:val="single"/>
        </w:rPr>
        <w:t>48</w:t>
      </w:r>
      <w:r>
        <w:rPr>
          <w:rFonts w:hint="eastAsia" w:ascii="宋体" w:hAnsi="宋体" w:cs="宋体"/>
          <w:color w:val="auto"/>
          <w:sz w:val="24"/>
          <w:highlight w:val="none"/>
        </w:rPr>
        <w:t>小时内到达甲方现场。</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4．在服务质量保证期内，乙方应对出现的质量及安全问题负责处理解决并承担一切费用。</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十、违约责任</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1．甲方无正当理由拒收接受服务的，甲方向乙方偿付合同款项百分之五作为违约金。</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2．甲方无故逾期验收和办理款项支付手续的,甲方应按逾期付款总额每日万分之五向乙方支付违约金。</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十一、不可抗力事件处理</w:t>
      </w:r>
    </w:p>
    <w:p>
      <w:pPr>
        <w:snapToGrid w:val="0"/>
        <w:spacing w:before="120" w:after="120" w:line="400" w:lineRule="exact"/>
        <w:ind w:left="480" w:hanging="48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十二、诉讼</w:t>
      </w:r>
    </w:p>
    <w:p>
      <w:pPr>
        <w:snapToGrid w:val="0"/>
        <w:spacing w:before="120" w:after="120" w:line="400" w:lineRule="exact"/>
        <w:ind w:firstLine="120"/>
        <w:jc w:val="left"/>
        <w:rPr>
          <w:rFonts w:ascii="宋体" w:hAnsi="宋体" w:cs="宋体"/>
          <w:color w:val="auto"/>
          <w:sz w:val="24"/>
          <w:highlight w:val="none"/>
        </w:rPr>
      </w:pPr>
      <w:r>
        <w:rPr>
          <w:rFonts w:hint="eastAsia" w:ascii="宋体" w:hAnsi="宋体" w:cs="宋体"/>
          <w:color w:val="auto"/>
          <w:sz w:val="24"/>
          <w:highlight w:val="none"/>
        </w:rPr>
        <w:t>双方在执行合同中所发生的一切争议，应通过协商解决。如协商不成，可向甲方所在地法院起诉。</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十三、合同生效及其它</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1. 合同经三方法定代表人或授权代表签字并加盖单位公章后，报东阳市财政局采监科备案后生效。</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2.合同执行中涉及采购资金和采购内容修改或补充的，须经财政部门审批，并签书面补充协议报政府采购监督管理部门备案，方可作为主合同不可分割的一部分。</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3.本合同未尽事宜，遵照《中华人民共和国民法典》有关条文执行。</w:t>
      </w:r>
    </w:p>
    <w:p>
      <w:pPr>
        <w:spacing w:line="400" w:lineRule="exact"/>
        <w:rPr>
          <w:rFonts w:ascii="宋体" w:hAnsi="宋体" w:cs="宋体"/>
          <w:color w:val="auto"/>
          <w:sz w:val="24"/>
          <w:highlight w:val="none"/>
        </w:rPr>
      </w:pPr>
      <w:r>
        <w:rPr>
          <w:rFonts w:hint="eastAsia" w:ascii="宋体" w:hAnsi="宋体" w:cs="宋体"/>
          <w:color w:val="auto"/>
          <w:sz w:val="24"/>
          <w:highlight w:val="none"/>
        </w:rPr>
        <w:t>4.本合同一式六份，东阳市财政局采监科、招标代理机构各执一份，甲、乙双方各执二份，其都具有同等法律效力。</w:t>
      </w:r>
    </w:p>
    <w:p>
      <w:pPr>
        <w:spacing w:line="400" w:lineRule="exact"/>
        <w:rPr>
          <w:rFonts w:ascii="宋体" w:hAnsi="宋体" w:cs="宋体"/>
          <w:color w:val="auto"/>
          <w:sz w:val="24"/>
          <w:highlight w:val="none"/>
        </w:rPr>
      </w:pPr>
      <w:r>
        <w:rPr>
          <w:rFonts w:hint="eastAsia" w:ascii="宋体" w:hAnsi="宋体" w:cs="宋体"/>
          <w:b/>
          <w:color w:val="auto"/>
          <w:sz w:val="24"/>
          <w:highlight w:val="none"/>
        </w:rPr>
        <w:t>5.后附政府采购廉洁承诺书。</w:t>
      </w:r>
    </w:p>
    <w:p>
      <w:pPr>
        <w:spacing w:before="120" w:after="120" w:line="400" w:lineRule="exact"/>
        <w:rPr>
          <w:rFonts w:ascii="宋体" w:hAnsi="宋体" w:cs="宋体"/>
          <w:b/>
          <w:bCs/>
          <w:color w:val="auto"/>
          <w:sz w:val="24"/>
          <w:highlight w:val="none"/>
        </w:rPr>
      </w:pPr>
    </w:p>
    <w:p>
      <w:pPr>
        <w:spacing w:before="120" w:after="120" w:line="400" w:lineRule="exact"/>
        <w:rPr>
          <w:rFonts w:ascii="宋体" w:hAnsi="宋体" w:cs="宋体"/>
          <w:color w:val="auto"/>
          <w:sz w:val="24"/>
          <w:highlight w:val="none"/>
        </w:rPr>
      </w:pPr>
      <w:r>
        <w:rPr>
          <w:rFonts w:hint="eastAsia" w:ascii="宋体" w:hAnsi="宋体" w:cs="宋体"/>
          <w:b/>
          <w:bCs/>
          <w:color w:val="auto"/>
          <w:sz w:val="24"/>
          <w:highlight w:val="none"/>
        </w:rPr>
        <w:t>甲方（盖公章）：                       乙方（盖公章）：</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法定代表人或受委托人                 法定代表人或受委托人</w:t>
      </w:r>
    </w:p>
    <w:p>
      <w:pPr>
        <w:snapToGrid w:val="0"/>
        <w:spacing w:before="120" w:after="120" w:line="400" w:lineRule="exact"/>
        <w:ind w:left="1" w:leftChars="-28" w:hanging="60"/>
        <w:rPr>
          <w:rFonts w:ascii="宋体" w:hAnsi="宋体" w:cs="宋体"/>
          <w:color w:val="auto"/>
          <w:sz w:val="24"/>
          <w:highlight w:val="none"/>
        </w:rPr>
      </w:pPr>
      <w:r>
        <w:rPr>
          <w:rFonts w:hint="eastAsia" w:ascii="宋体" w:hAnsi="宋体" w:cs="宋体"/>
          <w:color w:val="auto"/>
          <w:sz w:val="24"/>
          <w:highlight w:val="none"/>
        </w:rPr>
        <w:t>（签字）                             （签字）</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 xml:space="preserve">地址：                               地址： </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邮编：                               邮编：</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电话：                               电话：</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传真：                               传真：</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开户银行：                           开户银行：</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账号：                               账号：</w:t>
      </w:r>
    </w:p>
    <w:p>
      <w:pPr>
        <w:snapToGrid w:val="0"/>
        <w:spacing w:before="156" w:after="156" w:line="400" w:lineRule="exact"/>
        <w:rPr>
          <w:rFonts w:ascii="宋体" w:hAnsi="宋体" w:cs="宋体"/>
          <w:color w:val="auto"/>
          <w:sz w:val="24"/>
          <w:highlight w:val="none"/>
        </w:rPr>
      </w:pPr>
    </w:p>
    <w:p>
      <w:pPr>
        <w:snapToGrid w:val="0"/>
        <w:spacing w:before="156" w:after="156" w:line="400" w:lineRule="exact"/>
        <w:rPr>
          <w:rFonts w:ascii="宋体" w:hAnsi="宋体" w:cs="宋体"/>
          <w:color w:val="auto"/>
          <w:sz w:val="24"/>
          <w:highlight w:val="none"/>
        </w:rPr>
      </w:pPr>
      <w:r>
        <w:rPr>
          <w:rFonts w:hint="eastAsia" w:ascii="宋体" w:hAnsi="宋体" w:cs="宋体"/>
          <w:color w:val="auto"/>
          <w:sz w:val="24"/>
          <w:highlight w:val="none"/>
        </w:rPr>
        <w:t>鉴证方:</w:t>
      </w:r>
    </w:p>
    <w:p>
      <w:pPr>
        <w:snapToGrid w:val="0"/>
        <w:spacing w:before="156" w:after="156" w:line="400" w:lineRule="exact"/>
        <w:rPr>
          <w:rFonts w:ascii="宋体" w:hAnsi="宋体" w:cs="宋体"/>
          <w:color w:val="auto"/>
          <w:sz w:val="24"/>
          <w:highlight w:val="none"/>
        </w:rPr>
      </w:pPr>
      <w:r>
        <w:rPr>
          <w:rFonts w:hint="eastAsia" w:ascii="宋体" w:hAnsi="宋体" w:cs="宋体"/>
          <w:color w:val="auto"/>
          <w:sz w:val="24"/>
          <w:highlight w:val="none"/>
        </w:rPr>
        <w:t>法定代表人或主要负责人:</w:t>
      </w:r>
    </w:p>
    <w:p>
      <w:pPr>
        <w:spacing w:line="400" w:lineRule="exact"/>
        <w:rPr>
          <w:rFonts w:ascii="宋体" w:hAnsi="宋体" w:cs="宋体"/>
          <w:b/>
          <w:color w:val="auto"/>
          <w:sz w:val="24"/>
          <w:highlight w:val="none"/>
        </w:rPr>
      </w:pPr>
      <w:r>
        <w:rPr>
          <w:rFonts w:hint="eastAsia" w:ascii="宋体" w:hAnsi="宋体" w:cs="宋体"/>
          <w:color w:val="auto"/>
          <w:sz w:val="24"/>
          <w:highlight w:val="none"/>
        </w:rPr>
        <w:t>签约地点：                            签约时间：</w:t>
      </w:r>
    </w:p>
    <w:p>
      <w:pPr>
        <w:spacing w:line="400" w:lineRule="exact"/>
        <w:rPr>
          <w:rFonts w:ascii="宋体" w:hAnsi="宋体" w:cs="宋体"/>
          <w:color w:val="auto"/>
          <w:sz w:val="24"/>
          <w:highlight w:val="none"/>
        </w:rPr>
      </w:pPr>
    </w:p>
    <w:p>
      <w:pPr>
        <w:rPr>
          <w:rFonts w:ascii="宋体" w:hAnsi="宋体" w:cs="宋体"/>
          <w:color w:val="auto"/>
          <w:sz w:val="24"/>
          <w:highlight w:val="none"/>
        </w:rPr>
      </w:pPr>
    </w:p>
    <w:p>
      <w:pPr>
        <w:pStyle w:val="40"/>
        <w:rPr>
          <w:rFonts w:ascii="宋体" w:hAnsi="宋体" w:cs="宋体"/>
          <w:color w:val="auto"/>
          <w:szCs w:val="24"/>
          <w:highlight w:val="none"/>
        </w:rPr>
      </w:pPr>
    </w:p>
    <w:p>
      <w:pPr>
        <w:spacing w:line="420" w:lineRule="exact"/>
        <w:jc w:val="center"/>
        <w:rPr>
          <w:rFonts w:ascii="宋体" w:hAnsi="宋体" w:cs="宋体"/>
          <w:color w:val="auto"/>
          <w:sz w:val="24"/>
          <w:highlight w:val="none"/>
        </w:rPr>
      </w:pPr>
      <w:r>
        <w:rPr>
          <w:rFonts w:hint="eastAsia" w:ascii="宋体" w:hAnsi="宋体" w:cs="宋体"/>
          <w:b/>
          <w:color w:val="auto"/>
          <w:sz w:val="24"/>
          <w:highlight w:val="none"/>
        </w:rPr>
        <w:t>注：签订合同时，可以使用项目相关国家标准合同文本。</w:t>
      </w:r>
    </w:p>
    <w:p>
      <w:pPr>
        <w:rPr>
          <w:rFonts w:ascii="宋体" w:hAnsi="宋体"/>
          <w:b/>
          <w:color w:val="auto"/>
          <w:sz w:val="24"/>
          <w:highlight w:val="none"/>
        </w:rPr>
      </w:pPr>
    </w:p>
    <w:p>
      <w:pPr>
        <w:spacing w:line="420" w:lineRule="exact"/>
        <w:jc w:val="center"/>
        <w:rPr>
          <w:rFonts w:ascii="宋体" w:hAnsi="宋体"/>
          <w:b/>
          <w:bCs/>
          <w:color w:val="auto"/>
          <w:sz w:val="24"/>
          <w:highlight w:val="none"/>
        </w:rPr>
      </w:pPr>
    </w:p>
    <w:p>
      <w:pPr>
        <w:rPr>
          <w:color w:val="auto"/>
          <w:highlight w:val="none"/>
        </w:rPr>
      </w:pPr>
    </w:p>
    <w:p>
      <w:pPr>
        <w:pageBreakBefore/>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政府采购廉洁承诺书</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（中标人须将此表附在合同后）</w:t>
      </w:r>
    </w:p>
    <w:p>
      <w:pPr>
        <w:spacing w:line="360" w:lineRule="auto"/>
        <w:jc w:val="center"/>
        <w:rPr>
          <w:rFonts w:ascii="宋体" w:hAnsi="宋体" w:cs="宋体"/>
          <w:b/>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项目名称：                                     项目编号：</w:t>
      </w:r>
    </w:p>
    <w:p>
      <w:pPr>
        <w:spacing w:line="360" w:lineRule="auto"/>
        <w:rPr>
          <w:rFonts w:ascii="宋体" w:hAnsi="宋体" w:cs="宋体"/>
          <w:color w:val="auto"/>
          <w:sz w:val="24"/>
          <w:highlight w:val="none"/>
        </w:rPr>
      </w:pPr>
      <w:r>
        <w:rPr>
          <w:rFonts w:hint="eastAsia" w:ascii="宋体" w:hAnsi="宋体" w:cs="宋体"/>
          <w:color w:val="auto"/>
          <w:sz w:val="24"/>
          <w:highlight w:val="none"/>
        </w:rPr>
        <w:t>中标人：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第一条参与政府采购活动时，除具备采购文件规定的资格、资质要求外，我方还将严格遵守有关法律、法规、政策以及国家、地方关于廉政建设的各项规定。</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第二条遵循公开、公平、公正、诚实信用原则，不发生损害上述原则及各方当事人合法权益得不正当竞争行为。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第三条与政府采购各方当事人保持正常的业务交往，不向采购人、采购代理机构、监督机构、评审专家、工作人员及其他参与采购活动的人员提供不正当利益。主要有：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（一）向上述人员赠送礼金、有价证券、贵重物品及回扣、好处费、感谢费等。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（二）为上述人员或单位报销应由对方支付的费用。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（三）暗示为上述人员装修住房、婚丧嫁娶、配偶子女的工作安排以及出国（境）、旅游等提供方便。</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（四）为上述人员或单位提供可能影响采购活动开展的宴请、健身、娱乐等活动。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第四条严格执行采购合同，自觉按合同办事；在合同执行过程中，不发生本承诺书第三条中所列不良行为。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第五条 发现采购活动各方当事人有违规、违纪、违法行为的，及时提醒对方，情节严重的，主动向其主管部门或纪检监察、司法等机关举报。</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第六条 自觉接受政府采购管理部门的监管。在采购活动中出现违反本承诺书规定行为的，自觉接受政府采购管理部门的处罚，因违法违规行为给其他当事人造成经济损失的，按规定予以赔偿。</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第七条 本承诺书自签署之日起生效。</w:t>
      </w:r>
    </w:p>
    <w:p>
      <w:pPr>
        <w:spacing w:line="360" w:lineRule="auto"/>
        <w:ind w:left="840" w:hanging="840" w:hangingChars="350"/>
        <w:jc w:val="center"/>
        <w:rPr>
          <w:rFonts w:ascii="宋体" w:hAnsi="宋体" w:cs="宋体"/>
          <w:color w:val="auto"/>
          <w:sz w:val="24"/>
          <w:highlight w:val="none"/>
        </w:rPr>
      </w:pPr>
    </w:p>
    <w:p>
      <w:pPr>
        <w:spacing w:line="360" w:lineRule="auto"/>
        <w:ind w:left="840" w:hanging="840" w:hangingChars="350"/>
        <w:jc w:val="center"/>
        <w:rPr>
          <w:rFonts w:ascii="宋体" w:hAnsi="宋体" w:cs="宋体"/>
          <w:color w:val="auto"/>
          <w:sz w:val="24"/>
          <w:highlight w:val="none"/>
        </w:rPr>
      </w:pPr>
      <w:r>
        <w:rPr>
          <w:rFonts w:hint="eastAsia" w:ascii="宋体" w:hAnsi="宋体" w:cs="宋体"/>
          <w:color w:val="auto"/>
          <w:sz w:val="24"/>
          <w:highlight w:val="none"/>
        </w:rPr>
        <w:t xml:space="preserve"> 投标人（盖章）：</w:t>
      </w:r>
    </w:p>
    <w:p>
      <w:pPr>
        <w:spacing w:line="360" w:lineRule="auto"/>
        <w:ind w:left="840" w:hanging="840" w:hangingChars="350"/>
        <w:rPr>
          <w:rFonts w:ascii="宋体" w:hAnsi="宋体" w:cs="宋体"/>
          <w:color w:val="auto"/>
          <w:sz w:val="24"/>
          <w:highlight w:val="none"/>
        </w:rPr>
      </w:pPr>
      <w:r>
        <w:rPr>
          <w:rFonts w:hint="eastAsia" w:ascii="宋体" w:hAnsi="宋体" w:cs="宋体"/>
          <w:color w:val="auto"/>
          <w:sz w:val="24"/>
          <w:highlight w:val="none"/>
        </w:rPr>
        <w:t xml:space="preserve">                                法定代表人：</w:t>
      </w:r>
    </w:p>
    <w:p>
      <w:pPr>
        <w:spacing w:line="360" w:lineRule="auto"/>
        <w:ind w:left="840" w:hanging="840" w:hangingChars="350"/>
        <w:rPr>
          <w:rFonts w:ascii="宋体" w:hAnsi="宋体" w:cs="宋体"/>
          <w:color w:val="auto"/>
          <w:sz w:val="24"/>
          <w:highlight w:val="none"/>
        </w:rPr>
      </w:pPr>
      <w:r>
        <w:rPr>
          <w:rFonts w:hint="eastAsia" w:ascii="宋体" w:hAnsi="宋体" w:cs="宋体"/>
          <w:color w:val="auto"/>
          <w:sz w:val="24"/>
          <w:highlight w:val="none"/>
        </w:rPr>
        <w:t xml:space="preserve">                                                    年    月   日</w:t>
      </w:r>
    </w:p>
    <w:p>
      <w:pPr>
        <w:spacing w:line="360" w:lineRule="auto"/>
        <w:ind w:left="840" w:hanging="840" w:hangingChars="350"/>
        <w:rPr>
          <w:rFonts w:ascii="宋体" w:hAnsi="宋体" w:cs="宋体"/>
          <w:color w:val="auto"/>
          <w:sz w:val="24"/>
          <w:highlight w:val="none"/>
        </w:rPr>
      </w:pPr>
    </w:p>
    <w:p>
      <w:pPr>
        <w:pStyle w:val="3"/>
        <w:jc w:val="center"/>
        <w:rPr>
          <w:rFonts w:ascii="宋体" w:hAnsi="宋体" w:cs="宋体"/>
          <w:color w:val="auto"/>
          <w:sz w:val="24"/>
          <w:szCs w:val="24"/>
          <w:highlight w:val="none"/>
        </w:rPr>
      </w:pPr>
      <w:bookmarkStart w:id="89" w:name="_Toc26032"/>
      <w:r>
        <w:rPr>
          <w:rFonts w:hint="eastAsia" w:ascii="宋体" w:hAnsi="宋体" w:cs="宋体"/>
          <w:color w:val="auto"/>
          <w:sz w:val="24"/>
          <w:szCs w:val="24"/>
          <w:highlight w:val="none"/>
        </w:rPr>
        <w:t>第六章　投标文件组成内容及格式</w:t>
      </w:r>
      <w:bookmarkEnd w:id="89"/>
    </w:p>
    <w:bookmarkEnd w:id="74"/>
    <w:bookmarkEnd w:id="75"/>
    <w:p>
      <w:pPr>
        <w:pStyle w:val="14"/>
        <w:spacing w:before="120" w:after="120" w:line="360" w:lineRule="auto"/>
        <w:rPr>
          <w:rFonts w:ascii="宋体" w:hAnsi="宋体" w:cs="宋体"/>
          <w:color w:val="auto"/>
          <w:szCs w:val="24"/>
          <w:highlight w:val="none"/>
          <w:u w:val="single"/>
        </w:rPr>
      </w:pPr>
    </w:p>
    <w:p>
      <w:pPr>
        <w:jc w:val="center"/>
        <w:rPr>
          <w:color w:val="auto"/>
          <w:sz w:val="24"/>
          <w:highlight w:val="none"/>
        </w:rPr>
      </w:pPr>
      <w:bookmarkStart w:id="90" w:name="_Toc405368940"/>
      <w:r>
        <w:rPr>
          <w:rFonts w:hint="eastAsia"/>
          <w:color w:val="auto"/>
          <w:sz w:val="24"/>
          <w:highlight w:val="none"/>
        </w:rPr>
        <w:t>一、投标文件封面格式</w:t>
      </w:r>
      <w:bookmarkEnd w:id="90"/>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1.投标文件封面格式：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正本/或副本</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资格审查文件、商务技术文件、报价文件（相应选择一个投标文件封面外包装名称）</w:t>
      </w:r>
    </w:p>
    <w:p>
      <w:pPr>
        <w:spacing w:line="48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东阳市部分乡镇“多规合一”实用性村庄规划编制项目</w:t>
      </w:r>
    </w:p>
    <w:p>
      <w:pPr>
        <w:spacing w:line="48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XSZFCGDZ2023-110</w:t>
      </w:r>
    </w:p>
    <w:p>
      <w:pPr>
        <w:spacing w:line="480" w:lineRule="auto"/>
        <w:rPr>
          <w:rFonts w:ascii="宋体" w:hAnsi="宋体" w:cs="宋体"/>
          <w:color w:val="auto"/>
          <w:sz w:val="24"/>
          <w:highlight w:val="none"/>
        </w:rPr>
      </w:pPr>
      <w:r>
        <w:rPr>
          <w:rFonts w:hint="eastAsia" w:ascii="宋体" w:hAnsi="宋体" w:cs="宋体"/>
          <w:color w:val="auto"/>
          <w:sz w:val="24"/>
          <w:highlight w:val="none"/>
        </w:rPr>
        <w:t>标项：</w:t>
      </w: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投标人地址：</w:t>
      </w:r>
    </w:p>
    <w:p>
      <w:pPr>
        <w:spacing w:line="480" w:lineRule="auto"/>
        <w:rPr>
          <w:rFonts w:ascii="宋体" w:hAnsi="宋体" w:cs="宋体"/>
          <w:color w:val="auto"/>
          <w:sz w:val="24"/>
          <w:highlight w:val="none"/>
        </w:rPr>
      </w:pPr>
      <w:r>
        <w:rPr>
          <w:rFonts w:hint="eastAsia" w:ascii="宋体" w:hAnsi="宋体" w:cs="宋体"/>
          <w:color w:val="auto"/>
          <w:sz w:val="24"/>
          <w:highlight w:val="non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 xml:space="preserve">                                                   年   月   日</w:t>
      </w:r>
    </w:p>
    <w:p>
      <w:pPr>
        <w:spacing w:line="360" w:lineRule="auto"/>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pStyle w:val="6"/>
        <w:rPr>
          <w:rFonts w:ascii="宋体" w:hAnsi="宋体" w:cs="宋体"/>
          <w:color w:val="auto"/>
          <w:sz w:val="24"/>
          <w:highlight w:val="none"/>
        </w:rPr>
      </w:pPr>
    </w:p>
    <w:p>
      <w:pPr>
        <w:pStyle w:val="5"/>
        <w:rPr>
          <w:rFonts w:ascii="宋体" w:hAnsi="宋体" w:cs="宋体"/>
          <w:color w:val="auto"/>
          <w:sz w:val="24"/>
          <w:highlight w:val="none"/>
        </w:rPr>
      </w:pPr>
    </w:p>
    <w:p>
      <w:pPr>
        <w:pStyle w:val="6"/>
        <w:rPr>
          <w:color w:val="auto"/>
          <w:highlight w:val="none"/>
        </w:rPr>
      </w:pPr>
    </w:p>
    <w:p>
      <w:pPr>
        <w:rPr>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.资格审查文件：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（1）具有独立承担民事责任的能力：投标人须在投标文件中出具符合以下情况的证明材料复印件（五选一）：</w:t>
      </w:r>
    </w:p>
    <w:p>
      <w:pPr>
        <w:spacing w:line="360" w:lineRule="auto"/>
        <w:rPr>
          <w:rFonts w:ascii="宋体" w:hAnsi="宋体" w:cs="宋体"/>
          <w:color w:val="auto"/>
          <w:sz w:val="24"/>
          <w:highlight w:val="none"/>
        </w:rPr>
      </w:pPr>
      <w:r>
        <w:rPr>
          <w:rFonts w:hint="eastAsia" w:ascii="宋体" w:hAnsi="宋体" w:cs="宋体"/>
          <w:color w:val="auto"/>
          <w:sz w:val="24"/>
          <w:highlight w:val="none"/>
        </w:rPr>
        <w:t>①如投标人是企业（包括合伙企业），提供在工商部门注册的有效“企业法人营业执照”或“营业执照”；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②如投标人是事业单位，提供有效的“事业单位法人证书”；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③如投标人是非企业专业服务机构的，提供执业许可证等证明文件；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④如投标人是个体工商户，提供有效的“个体工商户营业执照”；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ascii="宋体" w:hAnsi="宋体" w:cs="宋体"/>
          <w:color w:val="auto"/>
          <w:sz w:val="24"/>
          <w:highlight w:val="none"/>
        </w:rPr>
      </w:pPr>
      <w:r>
        <w:rPr>
          <w:rFonts w:hint="eastAsia" w:ascii="宋体" w:hAnsi="宋体" w:cs="宋体"/>
          <w:color w:val="auto"/>
          <w:sz w:val="24"/>
          <w:highlight w:val="none"/>
        </w:rPr>
        <w:t>（2）法定代表人身份证复印件或法定代表人授权委托书(格式见附件)；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）投标人具备城乡规划乙级及以上资质或土地规划乙级及以上资质。</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）符合参加政府采购活动应当具备的一般条件的承诺函（格式见附件）；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）投标声明书 (格式见附件)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）政府采购活动现场确认声明书 (格式见附件)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）联合体协议书（联合体投标时提供）（格式见附件）；</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w:t>
      </w:r>
      <w:r>
        <w:rPr>
          <w:rFonts w:hint="eastAsia" w:ascii="宋体" w:hAnsi="宋体" w:cs="宋体"/>
          <w:b/>
          <w:bCs/>
          <w:color w:val="auto"/>
          <w:sz w:val="24"/>
          <w:highlight w:val="none"/>
        </w:rPr>
        <w:t>落实政府采购政策需满足的资格：供应商为中小企业/小微企业，提供《中小企业声明函》（格式见附件）；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）投标人认为有必要提供的其它文件。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.商务技术文件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项目背景认知</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val="en-US" w:eastAsia="zh-CN"/>
        </w:rPr>
        <w:t>现状分析</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上位及相关规划衔接</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编制思路及技术路线</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对本项目的设计思路</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）项目组成员；</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）项目重难点；</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）质量保证体系；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）认证证书；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）类似业绩（格式见附件）；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）服务费承诺书（格式见附件）；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）投标人需要说明的其他文件和说明。</w:t>
      </w:r>
    </w:p>
    <w:p>
      <w:pPr>
        <w:numPr>
          <w:ilvl w:val="0"/>
          <w:numId w:val="6"/>
        </w:numPr>
        <w:spacing w:line="360" w:lineRule="auto"/>
        <w:rPr>
          <w:rFonts w:ascii="宋体" w:hAnsi="宋体" w:cs="宋体"/>
          <w:b/>
          <w:bCs/>
          <w:color w:val="auto"/>
          <w:sz w:val="24"/>
          <w:highlight w:val="none"/>
        </w:rPr>
      </w:pPr>
      <w:r>
        <w:rPr>
          <w:rFonts w:hint="eastAsia" w:ascii="宋体" w:hAnsi="宋体" w:cs="宋体"/>
          <w:b/>
          <w:bCs/>
          <w:color w:val="auto"/>
          <w:sz w:val="24"/>
          <w:highlight w:val="none"/>
        </w:rPr>
        <w:t>报价文件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（1）投标函（格式见附件）；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（2）开标一览表（格式见附件）； </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（3）投标人针对报价需要说明的其他文件和说明（格式自拟）。</w:t>
      </w:r>
    </w:p>
    <w:p>
      <w:pPr>
        <w:pStyle w:val="2"/>
        <w:keepNext w:val="0"/>
        <w:keepLines w:val="0"/>
        <w:pageBreakBefore/>
        <w:spacing w:line="360" w:lineRule="auto"/>
        <w:rPr>
          <w:rFonts w:ascii="宋体" w:hAnsi="宋体" w:eastAsia="宋体" w:cs="宋体"/>
          <w:b w:val="0"/>
          <w:color w:val="auto"/>
          <w:sz w:val="24"/>
          <w:szCs w:val="24"/>
          <w:highlight w:val="none"/>
        </w:rPr>
      </w:pPr>
      <w:bookmarkStart w:id="91" w:name="_Toc25299"/>
      <w:r>
        <w:rPr>
          <w:rFonts w:hint="eastAsia" w:ascii="宋体" w:hAnsi="宋体" w:eastAsia="宋体" w:cs="宋体"/>
          <w:b w:val="0"/>
          <w:color w:val="auto"/>
          <w:sz w:val="24"/>
          <w:szCs w:val="24"/>
          <w:highlight w:val="none"/>
        </w:rPr>
        <w:t>附件一：投标声明书</w:t>
      </w:r>
      <w:bookmarkEnd w:id="91"/>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投标声明书</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snapToGrid w:val="0"/>
        <w:spacing w:before="120" w:beforeLines="50" w:after="50" w:line="276" w:lineRule="auto"/>
        <w:ind w:firstLine="720" w:firstLineChars="300"/>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276" w:lineRule="auto"/>
        <w:ind w:firstLine="645"/>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（投标人名称）的法定代表人，我方愿意参加贵方组织的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项目的投标，为便于贵方公正、择优地确定中标人及其投标服务，我方就本次投标有关事项郑重声明如下：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1.我方向贵方提交的所有投标文件、资料都是准确的和真实的。若有违背，我公司愿为由此而产生的一切后果负责。</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 我方诚意提请贵方关注：近期有</w:t>
      </w:r>
      <w:r>
        <w:rPr>
          <w:rFonts w:hint="eastAsia" w:ascii="宋体" w:hAnsi="宋体" w:cs="宋体"/>
          <w:color w:val="auto"/>
          <w:sz w:val="24"/>
          <w:highlight w:val="none"/>
          <w:u w:val="single"/>
        </w:rPr>
        <w:t xml:space="preserve">                   （采购内容）</w:t>
      </w:r>
      <w:r>
        <w:rPr>
          <w:rFonts w:hint="eastAsia" w:ascii="宋体" w:hAnsi="宋体" w:cs="宋体"/>
          <w:color w:val="auto"/>
          <w:sz w:val="24"/>
          <w:highlight w:val="none"/>
        </w:rPr>
        <w:t>等方面的重大决策和事项有：</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w:t>
      </w:r>
    </w:p>
    <w:p>
      <w:pPr>
        <w:snapToGrid w:val="0"/>
        <w:spacing w:before="120" w:beforeLines="50"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w:t>
      </w:r>
    </w:p>
    <w:p>
      <w:pPr>
        <w:pStyle w:val="6"/>
        <w:snapToGrid w:val="0"/>
        <w:spacing w:line="276" w:lineRule="auto"/>
        <w:rPr>
          <w:rFonts w:ascii="宋体" w:hAnsi="宋体" w:cs="宋体"/>
          <w:color w:val="auto"/>
          <w:sz w:val="24"/>
          <w:highlight w:val="none"/>
        </w:rPr>
      </w:pPr>
      <w:r>
        <w:rPr>
          <w:rFonts w:hint="eastAsia" w:ascii="宋体" w:hAnsi="宋体" w:cs="宋体"/>
          <w:color w:val="auto"/>
          <w:sz w:val="24"/>
          <w:highlight w:val="none"/>
        </w:rPr>
        <w:t>4.我方及由本人担任法定代表人的其他机构最近三年内被通报或者被处罚的违法行为有：</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w:t>
      </w:r>
    </w:p>
    <w:p>
      <w:pPr>
        <w:snapToGrid w:val="0"/>
        <w:spacing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5.以上事项如有虚假或隐瞒，我方愿意承担一切后果，并不再寻求任何旨在减轻或免除法律责任的辩解。</w:t>
      </w:r>
    </w:p>
    <w:p>
      <w:pPr>
        <w:pStyle w:val="13"/>
        <w:tabs>
          <w:tab w:val="left" w:pos="939"/>
        </w:tabs>
        <w:snapToGrid w:val="0"/>
        <w:spacing w:line="276" w:lineRule="auto"/>
        <w:ind w:left="773" w:leftChars="150" w:hanging="458" w:hangingChars="191"/>
        <w:rPr>
          <w:rFonts w:ascii="宋体" w:hAnsi="宋体" w:cs="宋体"/>
          <w:color w:val="auto"/>
          <w:sz w:val="24"/>
          <w:highlight w:val="none"/>
        </w:rPr>
      </w:pPr>
    </w:p>
    <w:p>
      <w:pPr>
        <w:pStyle w:val="42"/>
        <w:snapToGrid w:val="0"/>
        <w:spacing w:before="120" w:beforeLines="50" w:line="276" w:lineRule="auto"/>
        <w:ind w:firstLine="200"/>
        <w:rPr>
          <w:rFonts w:ascii="宋体" w:hAnsi="宋体" w:cs="宋体"/>
          <w:color w:val="auto"/>
          <w:szCs w:val="24"/>
          <w:highlight w:val="none"/>
        </w:rPr>
      </w:pPr>
    </w:p>
    <w:p>
      <w:pPr>
        <w:snapToGrid w:val="0"/>
        <w:spacing w:before="120" w:beforeLines="50" w:line="276" w:lineRule="auto"/>
        <w:ind w:firstLine="319" w:firstLineChars="133"/>
        <w:rPr>
          <w:rFonts w:ascii="宋体" w:hAnsi="宋体" w:cs="宋体"/>
          <w:color w:val="auto"/>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z w:val="24"/>
          <w:highlight w:val="none"/>
          <w:u w:val="single"/>
        </w:rPr>
        <w:t xml:space="preserve">             </w:t>
      </w:r>
    </w:p>
    <w:p>
      <w:pPr>
        <w:snapToGrid w:val="0"/>
        <w:spacing w:before="120" w:beforeLines="50" w:after="50" w:line="276"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276" w:lineRule="auto"/>
        <w:ind w:firstLine="6240" w:firstLineChars="2600"/>
        <w:rPr>
          <w:rFonts w:ascii="宋体" w:hAnsi="宋体" w:cs="宋体"/>
          <w:color w:val="auto"/>
          <w:sz w:val="24"/>
          <w:highlight w:val="none"/>
        </w:rPr>
      </w:pPr>
      <w:r>
        <w:rPr>
          <w:rFonts w:hint="eastAsia" w:ascii="宋体" w:hAnsi="宋体" w:cs="宋体"/>
          <w:color w:val="auto"/>
          <w:sz w:val="24"/>
          <w:highlight w:val="none"/>
        </w:rPr>
        <w:t>年    月    日</w:t>
      </w:r>
    </w:p>
    <w:p>
      <w:pPr>
        <w:snapToGrid w:val="0"/>
        <w:spacing w:before="120" w:beforeLines="50" w:after="50" w:line="276" w:lineRule="auto"/>
        <w:ind w:firstLine="6240" w:firstLineChars="2600"/>
        <w:rPr>
          <w:rFonts w:ascii="宋体" w:hAnsi="宋体" w:cs="宋体"/>
          <w:color w:val="auto"/>
          <w:sz w:val="24"/>
          <w:highlight w:val="none"/>
        </w:rPr>
      </w:pPr>
    </w:p>
    <w:p>
      <w:pPr>
        <w:snapToGrid w:val="0"/>
        <w:spacing w:before="120" w:beforeLines="50" w:after="50" w:line="276" w:lineRule="auto"/>
        <w:ind w:firstLine="6240" w:firstLineChars="2600"/>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pStyle w:val="2"/>
        <w:keepNext w:val="0"/>
        <w:keepLines w:val="0"/>
        <w:pageBreakBefore/>
        <w:spacing w:line="360" w:lineRule="auto"/>
        <w:rPr>
          <w:rFonts w:ascii="宋体" w:hAnsi="宋体" w:eastAsia="宋体" w:cs="宋体"/>
          <w:b w:val="0"/>
          <w:bCs w:val="0"/>
          <w:color w:val="auto"/>
          <w:sz w:val="24"/>
          <w:szCs w:val="24"/>
          <w:highlight w:val="none"/>
        </w:rPr>
      </w:pPr>
      <w:bookmarkStart w:id="92" w:name="_Toc30843"/>
      <w:bookmarkStart w:id="93" w:name="_Toc24340"/>
      <w:bookmarkStart w:id="94" w:name="_Toc23315"/>
      <w:bookmarkStart w:id="95" w:name="_Toc3669"/>
      <w:bookmarkStart w:id="96" w:name="_Toc10320"/>
      <w:r>
        <w:rPr>
          <w:rFonts w:hint="eastAsia" w:ascii="宋体" w:hAnsi="宋体" w:eastAsia="宋体" w:cs="宋体"/>
          <w:b w:val="0"/>
          <w:bCs w:val="0"/>
          <w:color w:val="auto"/>
          <w:sz w:val="24"/>
          <w:szCs w:val="24"/>
          <w:highlight w:val="none"/>
        </w:rPr>
        <w:t>附件二：</w:t>
      </w:r>
      <w:bookmarkEnd w:id="92"/>
      <w:bookmarkEnd w:id="93"/>
      <w:r>
        <w:rPr>
          <w:rFonts w:hint="eastAsia" w:ascii="宋体" w:hAnsi="宋体" w:eastAsia="宋体" w:cs="宋体"/>
          <w:b w:val="0"/>
          <w:bCs w:val="0"/>
          <w:color w:val="auto"/>
          <w:sz w:val="24"/>
          <w:szCs w:val="24"/>
          <w:highlight w:val="none"/>
        </w:rPr>
        <w:t>符合参加政府采购活动应当具备的一般条件的承诺函</w:t>
      </w:r>
      <w:bookmarkEnd w:id="94"/>
      <w:bookmarkEnd w:id="95"/>
    </w:p>
    <w:p>
      <w:pPr>
        <w:pStyle w:val="24"/>
        <w:spacing w:before="100" w:after="100" w:line="360" w:lineRule="auto"/>
        <w:jc w:val="center"/>
        <w:rPr>
          <w:color w:val="auto"/>
          <w:highlight w:val="none"/>
        </w:rPr>
      </w:pPr>
      <w:r>
        <w:rPr>
          <w:rFonts w:hint="eastAsia"/>
          <w:b/>
          <w:bCs/>
          <w:color w:val="auto"/>
          <w:sz w:val="27"/>
          <w:szCs w:val="27"/>
          <w:highlight w:val="none"/>
        </w:rPr>
        <w:t>符合参加政府采购活动应当具备的一般条件的承诺函</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pStyle w:val="24"/>
        <w:spacing w:before="0" w:after="0" w:line="360" w:lineRule="auto"/>
        <w:ind w:left="480"/>
        <w:jc w:val="both"/>
        <w:rPr>
          <w:color w:val="auto"/>
          <w:kern w:val="2"/>
          <w:highlight w:val="none"/>
        </w:rPr>
      </w:pPr>
      <w:r>
        <w:rPr>
          <w:rFonts w:hint="eastAsia"/>
          <w:color w:val="auto"/>
          <w:kern w:val="2"/>
          <w:highlight w:val="none"/>
        </w:rPr>
        <w:t>我方参与</w:t>
      </w:r>
      <w:r>
        <w:rPr>
          <w:rFonts w:hint="eastAsia"/>
          <w:color w:val="auto"/>
          <w:highlight w:val="none"/>
          <w:u w:val="single"/>
        </w:rPr>
        <w:t xml:space="preserve">              </w:t>
      </w:r>
      <w:r>
        <w:rPr>
          <w:rFonts w:hint="eastAsia"/>
          <w:color w:val="auto"/>
          <w:kern w:val="2"/>
          <w:highlight w:val="none"/>
        </w:rPr>
        <w:t>项目【项目编号：</w:t>
      </w:r>
      <w:r>
        <w:rPr>
          <w:rFonts w:hint="eastAsia"/>
          <w:color w:val="auto"/>
          <w:highlight w:val="none"/>
          <w:u w:val="single"/>
        </w:rPr>
        <w:t xml:space="preserve">             </w:t>
      </w:r>
      <w:r>
        <w:rPr>
          <w:rFonts w:hint="eastAsia"/>
          <w:color w:val="auto"/>
          <w:kern w:val="2"/>
          <w:highlight w:val="none"/>
        </w:rPr>
        <w:t>】政府采购活动，郑重承诺：</w:t>
      </w:r>
    </w:p>
    <w:p>
      <w:pPr>
        <w:pStyle w:val="24"/>
        <w:spacing w:before="0" w:after="0" w:line="360" w:lineRule="auto"/>
        <w:ind w:left="480"/>
        <w:jc w:val="both"/>
        <w:rPr>
          <w:color w:val="auto"/>
          <w:kern w:val="2"/>
          <w:highlight w:val="none"/>
        </w:rPr>
      </w:pPr>
      <w:r>
        <w:rPr>
          <w:rFonts w:hint="eastAsia"/>
          <w:color w:val="auto"/>
          <w:kern w:val="2"/>
          <w:highlight w:val="none"/>
        </w:rPr>
        <w:t>（一）具备《中华人民共和国政府采购法》第二十二条第一款规定的条件：</w:t>
      </w:r>
    </w:p>
    <w:p>
      <w:pPr>
        <w:pStyle w:val="24"/>
        <w:spacing w:before="0" w:after="0" w:line="360" w:lineRule="auto"/>
        <w:ind w:left="480"/>
        <w:jc w:val="both"/>
        <w:rPr>
          <w:color w:val="auto"/>
          <w:kern w:val="2"/>
          <w:highlight w:val="none"/>
        </w:rPr>
      </w:pPr>
      <w:r>
        <w:rPr>
          <w:rFonts w:hint="eastAsia"/>
          <w:color w:val="auto"/>
          <w:kern w:val="2"/>
          <w:highlight w:val="none"/>
        </w:rPr>
        <w:t>1、具有独立承担民事责任的能力；</w:t>
      </w:r>
    </w:p>
    <w:p>
      <w:pPr>
        <w:pStyle w:val="24"/>
        <w:spacing w:before="0" w:after="0" w:line="360" w:lineRule="auto"/>
        <w:ind w:left="480"/>
        <w:jc w:val="both"/>
        <w:rPr>
          <w:color w:val="auto"/>
          <w:kern w:val="2"/>
          <w:highlight w:val="none"/>
        </w:rPr>
      </w:pPr>
      <w:r>
        <w:rPr>
          <w:rFonts w:hint="eastAsia"/>
          <w:color w:val="auto"/>
          <w:kern w:val="2"/>
          <w:highlight w:val="none"/>
        </w:rPr>
        <w:t xml:space="preserve">2、具有良好的商业信誉和健全的财务会计制度； </w:t>
      </w:r>
    </w:p>
    <w:p>
      <w:pPr>
        <w:pStyle w:val="24"/>
        <w:spacing w:before="0" w:after="0" w:line="360" w:lineRule="auto"/>
        <w:ind w:left="480"/>
        <w:jc w:val="both"/>
        <w:rPr>
          <w:color w:val="auto"/>
          <w:kern w:val="2"/>
          <w:highlight w:val="none"/>
        </w:rPr>
      </w:pPr>
      <w:r>
        <w:rPr>
          <w:rFonts w:hint="eastAsia"/>
          <w:color w:val="auto"/>
          <w:kern w:val="2"/>
          <w:highlight w:val="none"/>
        </w:rPr>
        <w:t>3、具有履行合同所必需的设备和专业技术能力；</w:t>
      </w:r>
    </w:p>
    <w:p>
      <w:pPr>
        <w:pStyle w:val="24"/>
        <w:spacing w:before="0" w:after="0" w:line="360" w:lineRule="auto"/>
        <w:ind w:left="480"/>
        <w:jc w:val="both"/>
        <w:rPr>
          <w:color w:val="auto"/>
          <w:kern w:val="2"/>
          <w:highlight w:val="none"/>
        </w:rPr>
      </w:pPr>
      <w:r>
        <w:rPr>
          <w:rFonts w:hint="eastAsia"/>
          <w:color w:val="auto"/>
          <w:kern w:val="2"/>
          <w:highlight w:val="none"/>
        </w:rPr>
        <w:t>4、有依法缴纳税收和社会保障资金的良好记录；</w:t>
      </w:r>
    </w:p>
    <w:p>
      <w:pPr>
        <w:pStyle w:val="24"/>
        <w:spacing w:before="0" w:after="0" w:line="360" w:lineRule="auto"/>
        <w:ind w:left="480"/>
        <w:jc w:val="both"/>
        <w:rPr>
          <w:color w:val="auto"/>
          <w:kern w:val="2"/>
          <w:highlight w:val="none"/>
        </w:rPr>
      </w:pPr>
      <w:r>
        <w:rPr>
          <w:rFonts w:hint="eastAsia"/>
          <w:color w:val="auto"/>
          <w:kern w:val="2"/>
          <w:highlight w:val="none"/>
        </w:rPr>
        <w:t>5、参加政府采购活动前三年内，在经营活动中没有重大违法记录；</w:t>
      </w:r>
    </w:p>
    <w:p>
      <w:pPr>
        <w:pStyle w:val="24"/>
        <w:spacing w:before="0" w:after="0" w:line="360" w:lineRule="auto"/>
        <w:ind w:left="480"/>
        <w:jc w:val="both"/>
        <w:rPr>
          <w:color w:val="auto"/>
          <w:kern w:val="2"/>
          <w:highlight w:val="none"/>
        </w:rPr>
      </w:pPr>
      <w:r>
        <w:rPr>
          <w:rFonts w:hint="eastAsia"/>
          <w:color w:val="auto"/>
          <w:kern w:val="2"/>
          <w:highlight w:val="none"/>
        </w:rPr>
        <w:t>6、具有法律、行政法规规定的其他条件。</w:t>
      </w:r>
    </w:p>
    <w:p>
      <w:pPr>
        <w:pStyle w:val="24"/>
        <w:spacing w:before="0" w:after="0" w:line="360" w:lineRule="auto"/>
        <w:ind w:left="480"/>
        <w:jc w:val="both"/>
        <w:rPr>
          <w:color w:val="auto"/>
          <w:kern w:val="2"/>
          <w:highlight w:val="none"/>
        </w:rPr>
      </w:pPr>
      <w:r>
        <w:rPr>
          <w:rFonts w:hint="eastAsia"/>
          <w:color w:val="auto"/>
          <w:kern w:val="2"/>
          <w:highlight w:val="none"/>
        </w:rPr>
        <w:t>（二）未被信用中国（www.creditchina.gov.cn)、中国政府采购网（www.ccgp.gov.cn）列入失信被执行人、重大税收违法案件当事人名单、政府采购严重违法失信行为记录名单。</w:t>
      </w:r>
    </w:p>
    <w:p>
      <w:pPr>
        <w:pStyle w:val="24"/>
        <w:spacing w:before="0" w:after="0" w:line="360" w:lineRule="auto"/>
        <w:ind w:left="480"/>
        <w:jc w:val="both"/>
        <w:rPr>
          <w:color w:val="auto"/>
          <w:kern w:val="2"/>
          <w:highlight w:val="none"/>
        </w:rPr>
      </w:pPr>
      <w:r>
        <w:rPr>
          <w:rFonts w:hint="eastAsia"/>
          <w:color w:val="auto"/>
          <w:kern w:val="2"/>
          <w:highlight w:val="none"/>
        </w:rPr>
        <w:t>（三）不存在以下情况：</w:t>
      </w:r>
    </w:p>
    <w:p>
      <w:pPr>
        <w:pStyle w:val="24"/>
        <w:spacing w:before="0" w:after="0" w:line="360" w:lineRule="auto"/>
        <w:ind w:left="480"/>
        <w:jc w:val="both"/>
        <w:rPr>
          <w:color w:val="auto"/>
          <w:kern w:val="2"/>
          <w:highlight w:val="none"/>
        </w:rPr>
      </w:pPr>
      <w:r>
        <w:rPr>
          <w:rFonts w:hint="eastAsia"/>
          <w:color w:val="auto"/>
          <w:kern w:val="2"/>
          <w:highlight w:val="none"/>
        </w:rPr>
        <w:t>1、单位负责人为同一人或者存在直接控股、管理关系的不同供应商参加同一合同项下的政府采购活动的；</w:t>
      </w:r>
    </w:p>
    <w:p>
      <w:pPr>
        <w:pStyle w:val="24"/>
        <w:spacing w:before="0" w:after="0" w:line="360" w:lineRule="auto"/>
        <w:ind w:left="480"/>
        <w:jc w:val="both"/>
        <w:rPr>
          <w:color w:val="auto"/>
          <w:kern w:val="2"/>
          <w:highlight w:val="none"/>
        </w:rPr>
      </w:pPr>
      <w:r>
        <w:rPr>
          <w:rFonts w:hint="eastAsia"/>
          <w:color w:val="auto"/>
          <w:kern w:val="2"/>
          <w:highlight w:val="none"/>
        </w:rPr>
        <w:t>2、为采购项目提供整体设计、规范编制或者项目管理、监理、检测等服务后再参加该采购项目的其他采购活动的。</w:t>
      </w:r>
    </w:p>
    <w:p>
      <w:pPr>
        <w:pStyle w:val="24"/>
        <w:spacing w:before="0" w:after="0" w:line="360" w:lineRule="auto"/>
        <w:ind w:left="480"/>
        <w:jc w:val="both"/>
        <w:rPr>
          <w:color w:val="auto"/>
          <w:kern w:val="2"/>
          <w:highlight w:val="none"/>
        </w:rPr>
      </w:pPr>
    </w:p>
    <w:p>
      <w:pPr>
        <w:pStyle w:val="24"/>
        <w:spacing w:before="0" w:after="0" w:line="360" w:lineRule="auto"/>
        <w:ind w:left="480"/>
        <w:jc w:val="both"/>
        <w:rPr>
          <w:color w:val="auto"/>
          <w:kern w:val="2"/>
          <w:highlight w:val="none"/>
        </w:rPr>
      </w:pPr>
    </w:p>
    <w:p>
      <w:pPr>
        <w:pStyle w:val="24"/>
        <w:spacing w:before="0" w:after="0" w:line="360" w:lineRule="auto"/>
        <w:ind w:left="480"/>
        <w:jc w:val="both"/>
        <w:rPr>
          <w:color w:val="auto"/>
          <w:kern w:val="2"/>
          <w:highlight w:val="none"/>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2"/>
        <w:keepNext w:val="0"/>
        <w:keepLines w:val="0"/>
        <w:pageBreakBefore/>
        <w:spacing w:line="360" w:lineRule="auto"/>
        <w:rPr>
          <w:rFonts w:ascii="宋体" w:hAnsi="宋体" w:eastAsia="宋体" w:cs="宋体"/>
          <w:b w:val="0"/>
          <w:bCs w:val="0"/>
          <w:color w:val="auto"/>
          <w:sz w:val="24"/>
          <w:szCs w:val="24"/>
          <w:highlight w:val="none"/>
        </w:rPr>
      </w:pPr>
      <w:bookmarkStart w:id="97" w:name="_Toc32636"/>
      <w:r>
        <w:rPr>
          <w:rFonts w:hint="eastAsia" w:ascii="宋体" w:hAnsi="宋体" w:eastAsia="宋体" w:cs="宋体"/>
          <w:b w:val="0"/>
          <w:bCs w:val="0"/>
          <w:color w:val="auto"/>
          <w:sz w:val="24"/>
          <w:szCs w:val="24"/>
          <w:highlight w:val="none"/>
        </w:rPr>
        <w:t>附件三：政府采购活动现场确认声明书</w:t>
      </w:r>
      <w:bookmarkEnd w:id="96"/>
      <w:bookmarkEnd w:id="97"/>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政府采购活动现场确认声明书</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东阳市鑫盛工程咨询有限公司 :</w:t>
      </w:r>
    </w:p>
    <w:p>
      <w:pPr>
        <w:snapToGrid w:val="0"/>
        <w:spacing w:before="120" w:beforeLines="50" w:after="50" w:line="276"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（授权代表姓名），经由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（法定代表人姓名）合法授权参加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）政府采购活动．经与本单位法人代表（负责人）联系确认，现就有关公平竞争事项郑重声明如下:</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一、本单位与采购人之间口不存在利害关系口存在下列利害关系: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A．投资关系</w:t>
      </w:r>
      <w:r>
        <w:rPr>
          <w:rFonts w:hint="eastAsia" w:ascii="宋体" w:hAnsi="宋体" w:cs="宋体"/>
          <w:color w:val="auto"/>
          <w:sz w:val="24"/>
          <w:highlight w:val="none"/>
        </w:rPr>
        <w:tab/>
      </w:r>
      <w:r>
        <w:rPr>
          <w:rFonts w:hint="eastAsia" w:ascii="宋体" w:hAnsi="宋体" w:cs="宋体"/>
          <w:color w:val="auto"/>
          <w:sz w:val="24"/>
          <w:highlight w:val="none"/>
        </w:rPr>
        <w:t>B．行政隶属关系</w:t>
      </w:r>
      <w:r>
        <w:rPr>
          <w:rFonts w:hint="eastAsia" w:ascii="宋体" w:hAnsi="宋体" w:cs="宋体"/>
          <w:color w:val="auto"/>
          <w:sz w:val="24"/>
          <w:highlight w:val="none"/>
        </w:rPr>
        <w:tab/>
      </w:r>
      <w:r>
        <w:rPr>
          <w:rFonts w:hint="eastAsia" w:ascii="宋体" w:hAnsi="宋体" w:cs="宋体"/>
          <w:color w:val="auto"/>
          <w:sz w:val="24"/>
          <w:highlight w:val="none"/>
        </w:rPr>
        <w:t>C．业务指导关系  D．其他可能影响采购公正的利害关系（如有，请如实说明）。</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二、现己清楚知道参加本项目采购活动的其他所有供应商名称，本单位 口与其他所有供应商之间均不存在利害关系 口与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（供应商名称）之间存在下列利害关系: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A．法定代表人或负责人或实际控制人是同一人B．法定代表人或负责人或实际控制人是夫妻关系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C.法定代表人或负责人或实际控制人是直系血亲关系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D.法定代表人或负责人或实际控制人存在三代以内旁系血亲关系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E．法定代表人或负责人或实际控制人存在近姻亲关系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F．法定代表人或负责人或实际控制人存在股份控制或实际控制关系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G．存在共同直接或间接投资设立子公司、联营企业和合营企业情况</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H.存在分级代理或代销关系、同一生产制造商关系、管理关系、重要业务（占主昔业务收入 50 ％以上）或重要财务往来关系（如融资）等其他实质性控制关系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I.其他利害关系情况</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三、现己清楚知道并严格遵守政府采购法律法规和现场纪律。</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四、我发现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供应商之间存在或可能存在上述第二条第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项利害关系。</w:t>
      </w: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 xml:space="preserve">（供应商代表签名）: </w:t>
      </w:r>
    </w:p>
    <w:p>
      <w:pPr>
        <w:snapToGrid w:val="0"/>
        <w:spacing w:before="120" w:beforeLines="50" w:after="50" w:line="276" w:lineRule="auto"/>
        <w:jc w:val="center"/>
        <w:rPr>
          <w:rFonts w:ascii="宋体" w:hAnsi="宋体" w:cs="宋体"/>
          <w:b/>
          <w:color w:val="auto"/>
          <w:sz w:val="24"/>
          <w:highlight w:val="none"/>
        </w:rPr>
      </w:pPr>
      <w:r>
        <w:rPr>
          <w:rFonts w:hint="eastAsia" w:ascii="宋体" w:hAnsi="宋体" w:cs="宋体"/>
          <w:color w:val="auto"/>
          <w:sz w:val="24"/>
          <w:highlight w:val="none"/>
        </w:rPr>
        <w:t xml:space="preserve">                                                     年   月   日</w:t>
      </w:r>
    </w:p>
    <w:p>
      <w:pPr>
        <w:pStyle w:val="2"/>
        <w:keepNext w:val="0"/>
        <w:keepLines w:val="0"/>
        <w:pageBreakBefore/>
        <w:spacing w:line="276" w:lineRule="auto"/>
        <w:rPr>
          <w:rFonts w:ascii="宋体" w:hAnsi="宋体" w:eastAsia="宋体" w:cs="宋体"/>
          <w:b w:val="0"/>
          <w:color w:val="auto"/>
          <w:sz w:val="24"/>
          <w:szCs w:val="24"/>
          <w:highlight w:val="none"/>
        </w:rPr>
      </w:pPr>
      <w:bookmarkStart w:id="98" w:name="_Toc31669"/>
      <w:r>
        <w:rPr>
          <w:rFonts w:hint="eastAsia" w:ascii="宋体" w:hAnsi="宋体" w:eastAsia="宋体" w:cs="宋体"/>
          <w:b w:val="0"/>
          <w:color w:val="auto"/>
          <w:sz w:val="24"/>
          <w:szCs w:val="24"/>
          <w:highlight w:val="none"/>
        </w:rPr>
        <w:t>附件四：法定代表人授权委托书</w:t>
      </w:r>
      <w:bookmarkEnd w:id="98"/>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法定代表人授权委托书</w:t>
      </w:r>
    </w:p>
    <w:p>
      <w:pPr>
        <w:snapToGrid w:val="0"/>
        <w:spacing w:before="120" w:beforeLines="50" w:after="50" w:line="276" w:lineRule="auto"/>
        <w:rPr>
          <w:rFonts w:ascii="宋体" w:hAnsi="宋体" w:cs="宋体"/>
          <w:b/>
          <w:bCs/>
          <w:color w:val="auto"/>
          <w:sz w:val="24"/>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snapToGrid w:val="0"/>
        <w:spacing w:before="120" w:beforeLines="50" w:after="50" w:line="276"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（投标人名称）的法定代表人，现授权委托本单位在职职工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lang w:eastAsia="zh-CN"/>
        </w:rPr>
        <w:t>东阳市部分乡镇“多规合一”实用性村庄规划编制项目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    我方对委托代理人的签名事项负全部责任。</w:t>
      </w:r>
    </w:p>
    <w:p>
      <w:pPr>
        <w:snapToGrid w:val="0"/>
        <w:spacing w:before="120" w:beforeLines="50" w:after="50" w:line="276" w:lineRule="auto"/>
        <w:ind w:firstLine="480"/>
        <w:rPr>
          <w:rFonts w:ascii="宋体" w:hAnsi="宋体" w:cs="宋体"/>
          <w:color w:val="auto"/>
          <w:sz w:val="24"/>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委托代理人在授权书有效期内签署的所有文件不因授权的撤销而失效。</w:t>
      </w:r>
    </w:p>
    <w:p>
      <w:pPr>
        <w:snapToGrid w:val="0"/>
        <w:spacing w:before="120" w:beforeLines="50" w:after="50" w:line="276" w:lineRule="auto"/>
        <w:ind w:firstLine="480"/>
        <w:rPr>
          <w:rFonts w:ascii="宋体" w:hAnsi="宋体" w:cs="宋体"/>
          <w:color w:val="auto"/>
          <w:sz w:val="24"/>
          <w:highlight w:val="none"/>
        </w:rPr>
      </w:pPr>
      <w:r>
        <w:rPr>
          <w:rFonts w:hint="eastAsia" w:ascii="宋体" w:hAnsi="宋体" w:cs="宋体"/>
          <w:color w:val="auto"/>
          <w:sz w:val="24"/>
          <w:highlight w:val="none"/>
        </w:rPr>
        <w:t>委托代理人无转委托权，特此委托。</w:t>
      </w:r>
    </w:p>
    <w:p>
      <w:pPr>
        <w:snapToGrid w:val="0"/>
        <w:spacing w:before="120" w:beforeLines="50" w:after="50" w:line="276" w:lineRule="auto"/>
        <w:rPr>
          <w:rFonts w:ascii="宋体" w:hAnsi="宋体" w:cs="宋体"/>
          <w:color w:val="auto"/>
          <w:sz w:val="24"/>
          <w:highlight w:val="none"/>
          <w:u w:val="single"/>
        </w:rPr>
      </w:pPr>
      <w:r>
        <w:rPr>
          <w:rFonts w:hint="eastAsia" w:ascii="宋体" w:hAnsi="宋体" w:cs="宋体"/>
          <w:color w:val="auto"/>
          <w:sz w:val="24"/>
          <w:highlight w:val="none"/>
        </w:rPr>
        <w:t>委托代理人签名：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法定代表人签名：</w:t>
      </w:r>
      <w:r>
        <w:rPr>
          <w:rFonts w:hint="eastAsia" w:ascii="宋体" w:hAnsi="宋体" w:cs="宋体"/>
          <w:color w:val="auto"/>
          <w:sz w:val="24"/>
          <w:highlight w:val="none"/>
          <w:u w:val="single"/>
        </w:rPr>
        <w:t xml:space="preserve">          </w:t>
      </w:r>
    </w:p>
    <w:p>
      <w:pPr>
        <w:snapToGrid w:val="0"/>
        <w:spacing w:before="120" w:beforeLines="50" w:after="50" w:line="276" w:lineRule="auto"/>
        <w:ind w:firstLine="960" w:firstLineChars="400"/>
        <w:rPr>
          <w:rFonts w:ascii="宋体" w:hAnsi="宋体" w:cs="宋体"/>
          <w:color w:val="auto"/>
          <w:sz w:val="24"/>
          <w:highlight w:val="non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委托代理人身份证复印件（正反双面）：</w:t>
      </w:r>
    </w:p>
    <w:tbl>
      <w:tblPr>
        <w:tblStyle w:val="27"/>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232" w:hRule="atLeast"/>
        </w:trPr>
        <w:tc>
          <w:tcPr>
            <w:tcW w:w="5328" w:type="dxa"/>
          </w:tcPr>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粘</w:t>
            </w:r>
          </w:p>
          <w:p>
            <w:pPr>
              <w:snapToGrid w:val="0"/>
              <w:spacing w:before="120" w:beforeLines="50" w:after="50" w:line="276" w:lineRule="auto"/>
              <w:jc w:val="center"/>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贴</w:t>
            </w:r>
          </w:p>
          <w:p>
            <w:pPr>
              <w:snapToGrid w:val="0"/>
              <w:spacing w:before="120" w:beforeLines="50" w:after="50" w:line="276" w:lineRule="auto"/>
              <w:jc w:val="center"/>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处</w:t>
            </w:r>
          </w:p>
        </w:tc>
      </w:tr>
    </w:tbl>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                                             投标人公章：</w:t>
      </w: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p>
      <w:pPr>
        <w:snapToGrid w:val="0"/>
        <w:spacing w:before="120" w:beforeLines="50" w:after="50" w:line="276"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▲注；此表格格式不得修改。</w:t>
      </w:r>
    </w:p>
    <w:p>
      <w:pPr>
        <w:snapToGrid w:val="0"/>
        <w:spacing w:before="120" w:beforeLines="50" w:after="50" w:line="276" w:lineRule="auto"/>
        <w:jc w:val="left"/>
        <w:rPr>
          <w:rFonts w:ascii="宋体" w:hAnsi="宋体" w:cs="宋体"/>
          <w:color w:val="auto"/>
          <w:sz w:val="24"/>
          <w:highlight w:val="none"/>
        </w:rPr>
      </w:pPr>
      <w:r>
        <w:rPr>
          <w:rFonts w:hint="eastAsia" w:ascii="宋体" w:hAnsi="宋体" w:cs="宋体"/>
          <w:color w:val="auto"/>
          <w:sz w:val="24"/>
          <w:highlight w:val="none"/>
        </w:rPr>
        <w:br w:type="page"/>
      </w:r>
    </w:p>
    <w:p>
      <w:pPr>
        <w:pStyle w:val="2"/>
        <w:keepNext w:val="0"/>
        <w:keepLines w:val="0"/>
        <w:pageBreakBefore/>
        <w:spacing w:line="276" w:lineRule="auto"/>
        <w:rPr>
          <w:rFonts w:ascii="宋体" w:hAnsi="宋体" w:eastAsia="宋体" w:cs="宋体"/>
          <w:b w:val="0"/>
          <w:color w:val="auto"/>
          <w:sz w:val="24"/>
          <w:szCs w:val="24"/>
          <w:highlight w:val="none"/>
        </w:rPr>
      </w:pPr>
      <w:bookmarkStart w:id="99" w:name="_Toc22508"/>
      <w:bookmarkStart w:id="100" w:name="_Toc25167"/>
      <w:r>
        <w:rPr>
          <w:rFonts w:hint="eastAsia" w:ascii="宋体" w:hAnsi="宋体" w:eastAsia="宋体" w:cs="宋体"/>
          <w:b w:val="0"/>
          <w:color w:val="auto"/>
          <w:sz w:val="24"/>
          <w:szCs w:val="24"/>
          <w:highlight w:val="none"/>
        </w:rPr>
        <w:t>附件五：联合体协议</w:t>
      </w:r>
      <w:bookmarkEnd w:id="99"/>
      <w:bookmarkEnd w:id="100"/>
    </w:p>
    <w:p>
      <w:pPr>
        <w:jc w:val="center"/>
        <w:rPr>
          <w:b/>
          <w:bCs/>
          <w:color w:val="auto"/>
          <w:sz w:val="32"/>
          <w:szCs w:val="32"/>
          <w:highlight w:val="none"/>
        </w:rPr>
      </w:pPr>
      <w:r>
        <w:rPr>
          <w:rFonts w:hint="eastAsia" w:ascii="宋体" w:hAnsi="宋体" w:cs="宋体"/>
          <w:b/>
          <w:bCs/>
          <w:color w:val="auto"/>
          <w:sz w:val="32"/>
          <w:szCs w:val="32"/>
          <w:highlight w:val="none"/>
        </w:rPr>
        <w:t>联合体协议</w:t>
      </w:r>
    </w:p>
    <w:p>
      <w:pPr>
        <w:snapToGrid w:val="0"/>
        <w:spacing w:line="360" w:lineRule="auto"/>
        <w:ind w:firstLine="576"/>
        <w:rPr>
          <w:rFonts w:ascii="仿宋_GB2312" w:hAnsi="仿宋" w:eastAsia="仿宋_GB2312" w:cs="仿宋_GB2312"/>
          <w:b/>
          <w:bCs/>
          <w:color w:val="auto"/>
          <w:kern w:val="0"/>
          <w:sz w:val="24"/>
          <w:highlight w:val="none"/>
          <w:u w:val="single"/>
        </w:rPr>
      </w:pPr>
      <w:r>
        <w:rPr>
          <w:rFonts w:hint="eastAsia" w:ascii="仿宋_GB2312" w:hAnsi="仿宋" w:eastAsia="仿宋_GB2312" w:cs="仿宋_GB2312"/>
          <w:b/>
          <w:bCs/>
          <w:color w:val="auto"/>
          <w:kern w:val="0"/>
          <w:sz w:val="24"/>
          <w:highlight w:val="none"/>
          <w:u w:val="single"/>
        </w:rPr>
        <w:t>（以联合体形式投标的，提供联合协议；本项目不接受联合体投标或者投标人不以联合体形式投标的，则不需要提供）</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（联合体所有成员名称）</w:t>
      </w:r>
      <w:r>
        <w:rPr>
          <w:rFonts w:hint="eastAsia" w:asciiTheme="minorEastAsia" w:hAnsiTheme="minorEastAsia" w:eastAsiaTheme="minorEastAsia" w:cstheme="minorEastAsia"/>
          <w:color w:val="auto"/>
          <w:kern w:val="0"/>
          <w:sz w:val="24"/>
          <w:highlight w:val="none"/>
        </w:rPr>
        <w:t>自愿</w:t>
      </w:r>
      <w:r>
        <w:rPr>
          <w:rFonts w:hint="eastAsia" w:asciiTheme="minorEastAsia" w:hAnsiTheme="minorEastAsia" w:eastAsiaTheme="minorEastAsia" w:cstheme="minorEastAsia"/>
          <w:color w:val="auto"/>
          <w:kern w:val="0"/>
          <w:sz w:val="24"/>
          <w:highlight w:val="none"/>
          <w:lang w:val="zh-CN"/>
        </w:rPr>
        <w:t>组成一个联合体，以一个投标人的身份</w:t>
      </w:r>
      <w:r>
        <w:rPr>
          <w:rFonts w:hint="eastAsia" w:asciiTheme="minorEastAsia" w:hAnsiTheme="minorEastAsia" w:eastAsiaTheme="minorEastAsia" w:cstheme="minorEastAsia"/>
          <w:color w:val="auto"/>
          <w:kern w:val="0"/>
          <w:sz w:val="24"/>
          <w:highlight w:val="none"/>
        </w:rPr>
        <w:t>参加</w:t>
      </w:r>
      <w:r>
        <w:rPr>
          <w:rFonts w:hint="eastAsia" w:asciiTheme="minorEastAsia" w:hAnsiTheme="minorEastAsia" w:eastAsiaTheme="minorEastAsia" w:cstheme="minorEastAsia"/>
          <w:color w:val="auto"/>
          <w:sz w:val="24"/>
          <w:highlight w:val="none"/>
        </w:rPr>
        <w:t>（项目名称）【招标编号：（采购编号）】</w:t>
      </w:r>
      <w:r>
        <w:rPr>
          <w:rFonts w:hint="eastAsia" w:asciiTheme="minorEastAsia" w:hAnsiTheme="minorEastAsia" w:eastAsiaTheme="minorEastAsia" w:cstheme="minorEastAsia"/>
          <w:color w:val="auto"/>
          <w:kern w:val="0"/>
          <w:sz w:val="24"/>
          <w:highlight w:val="none"/>
          <w:lang w:val="zh-CN"/>
        </w:rPr>
        <w:t xml:space="preserve">投标。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一、各方一致决定，</w:t>
      </w:r>
      <w:r>
        <w:rPr>
          <w:rFonts w:hint="eastAsia" w:asciiTheme="minorEastAsia" w:hAnsiTheme="minorEastAsia" w:eastAsiaTheme="minorEastAsia" w:cstheme="minorEastAsia"/>
          <w:color w:val="auto"/>
          <w:kern w:val="0"/>
          <w:sz w:val="24"/>
          <w:highlight w:val="none"/>
          <w:u w:val="single"/>
        </w:rPr>
        <w:t>（某联合体成员名称）</w:t>
      </w:r>
      <w:r>
        <w:rPr>
          <w:rFonts w:hint="eastAsia" w:asciiTheme="minorEastAsia" w:hAnsiTheme="minorEastAsia" w:eastAsiaTheme="minorEastAsia" w:cstheme="minorEastAsia"/>
          <w:color w:val="auto"/>
          <w:kern w:val="0"/>
          <w:sz w:val="24"/>
          <w:highlight w:val="none"/>
        </w:rPr>
        <w:t>为联合体</w:t>
      </w:r>
      <w:r>
        <w:rPr>
          <w:rFonts w:hint="eastAsia" w:asciiTheme="minorEastAsia" w:hAnsiTheme="minorEastAsia" w:eastAsiaTheme="minorEastAsia" w:cstheme="minorEastAsia"/>
          <w:color w:val="auto"/>
          <w:kern w:val="0"/>
          <w:sz w:val="24"/>
          <w:highlight w:val="none"/>
          <w:lang w:val="zh-CN"/>
        </w:rPr>
        <w:t>牵头人</w:t>
      </w:r>
      <w:r>
        <w:rPr>
          <w:rFonts w:hint="eastAsia" w:asciiTheme="minorEastAsia" w:hAnsiTheme="minorEastAsia" w:eastAsiaTheme="minorEastAsia" w:cstheme="minorEastAsia"/>
          <w:color w:val="auto"/>
          <w:sz w:val="24"/>
          <w:highlight w:val="none"/>
        </w:rPr>
        <w:t>，代表所有联合体成员负责投标和合同实施阶段的主办、协调工作</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w:t>
      </w:r>
      <w:r>
        <w:rPr>
          <w:rFonts w:hint="eastAsia" w:asciiTheme="minorEastAsia" w:hAnsiTheme="minorEastAsia" w:eastAsiaTheme="minorEastAsia" w:cstheme="minorEastAsia"/>
          <w:color w:val="auto"/>
          <w:sz w:val="24"/>
          <w:highlight w:val="none"/>
        </w:rPr>
        <w:t>所有联合体成员各方签署授权书，授权书载明的</w:t>
      </w:r>
      <w:r>
        <w:rPr>
          <w:rFonts w:hint="eastAsia" w:asciiTheme="minorEastAsia" w:hAnsiTheme="minorEastAsia" w:eastAsiaTheme="minorEastAsia" w:cstheme="min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三、本次联合投标中，分工如下：</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lang w:val="zh-CN"/>
        </w:rPr>
        <w:t>承担的工作和义务为：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rPr>
        <w:t>提供的全部货物/服务由小微企业制造/服务，其合同份额占到合同总金额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五、如果中标，</w:t>
      </w:r>
      <w:r>
        <w:rPr>
          <w:rFonts w:hint="eastAsia" w:asciiTheme="minorEastAsia" w:hAnsiTheme="minorEastAsia" w:eastAsiaTheme="minorEastAsia" w:cstheme="minorEastAsia"/>
          <w:color w:val="auto"/>
          <w:sz w:val="24"/>
          <w:highlight w:val="none"/>
        </w:rPr>
        <w:t>联合体各成员方共同与采购人签订合同，并就采购合同约定的事项对采购人承担连带责任。</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六、有关本次联合投标的其他事宜：</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t>联合体成员名称(公章)：</w:t>
      </w:r>
    </w:p>
    <w:p>
      <w:pPr>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line="360" w:lineRule="auto"/>
        <w:ind w:right="480"/>
        <w:rPr>
          <w:rFonts w:asciiTheme="minorEastAsia" w:hAnsiTheme="minorEastAsia" w:eastAsiaTheme="minorEastAsia" w:cstheme="minorEastAsia"/>
          <w:b/>
          <w:color w:val="auto"/>
          <w:kern w:val="0"/>
          <w:sz w:val="32"/>
          <w:szCs w:val="32"/>
          <w:highlight w:val="none"/>
          <w:lang w:val="zh-CN"/>
        </w:rPr>
        <w:sectPr>
          <w:headerReference r:id="rId5" w:type="first"/>
          <w:footerReference r:id="rId7" w:type="first"/>
          <w:headerReference r:id="rId4" w:type="default"/>
          <w:footerReference r:id="rId6" w:type="default"/>
          <w:pgSz w:w="11906" w:h="16838"/>
          <w:pgMar w:top="1276" w:right="1361" w:bottom="1247" w:left="1418" w:header="851" w:footer="992" w:gutter="0"/>
          <w:cols w:space="720" w:num="1"/>
          <w:docGrid w:linePitch="312" w:charSpace="0"/>
        </w:sectPr>
      </w:pPr>
    </w:p>
    <w:p>
      <w:pPr>
        <w:pStyle w:val="2"/>
        <w:keepNext w:val="0"/>
        <w:keepLines w:val="0"/>
        <w:pageBreakBefore/>
        <w:spacing w:line="276" w:lineRule="auto"/>
        <w:rPr>
          <w:rFonts w:ascii="宋体" w:hAnsi="宋体" w:eastAsia="宋体" w:cs="宋体"/>
          <w:b w:val="0"/>
          <w:color w:val="auto"/>
          <w:sz w:val="24"/>
          <w:szCs w:val="24"/>
          <w:highlight w:val="none"/>
        </w:rPr>
      </w:pPr>
      <w:bookmarkStart w:id="101" w:name="_Toc20690"/>
      <w:bookmarkStart w:id="102" w:name="_Toc2319"/>
      <w:r>
        <w:rPr>
          <w:rFonts w:hint="eastAsia" w:ascii="宋体" w:hAnsi="宋体" w:eastAsia="宋体" w:cs="宋体"/>
          <w:b w:val="0"/>
          <w:color w:val="auto"/>
          <w:sz w:val="24"/>
          <w:szCs w:val="24"/>
          <w:highlight w:val="none"/>
        </w:rPr>
        <w:t>附件六：分包意向协议</w:t>
      </w:r>
      <w:bookmarkEnd w:id="101"/>
      <w:bookmarkEnd w:id="102"/>
    </w:p>
    <w:p>
      <w:pPr>
        <w:snapToGrid w:val="0"/>
        <w:spacing w:line="360" w:lineRule="auto"/>
        <w:ind w:firstLine="3534" w:firstLineChars="1100"/>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分包意向协议</w:t>
      </w:r>
    </w:p>
    <w:p>
      <w:pPr>
        <w:widowControl/>
        <w:spacing w:line="360" w:lineRule="auto"/>
        <w:ind w:firstLine="120" w:firstLineChars="5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中标后以分包方式履行合同的，提供分包意向协议；采购人不同意分包或者投标人中标后不以分包方式履行合同的，则不需要提供。</w:t>
      </w:r>
      <w:r>
        <w:rPr>
          <w:rFonts w:hint="eastAsia" w:asciiTheme="minorEastAsia" w:hAnsiTheme="minorEastAsia" w:eastAsiaTheme="minorEastAsia" w:cstheme="minorEastAsia"/>
          <w:color w:val="auto"/>
          <w:sz w:val="24"/>
          <w:highlight w:val="none"/>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（投标人名称）</w:t>
      </w:r>
      <w:r>
        <w:rPr>
          <w:rFonts w:hint="eastAsia" w:asciiTheme="minorEastAsia" w:hAnsiTheme="minorEastAsia" w:eastAsiaTheme="minorEastAsia" w:cstheme="minorEastAsia"/>
          <w:color w:val="auto"/>
          <w:kern w:val="0"/>
          <w:sz w:val="24"/>
          <w:highlight w:val="none"/>
          <w:lang w:val="zh-CN"/>
        </w:rPr>
        <w:t>若成为</w:t>
      </w:r>
      <w:r>
        <w:rPr>
          <w:rFonts w:hint="eastAsia" w:asciiTheme="minorEastAsia" w:hAnsiTheme="minorEastAsia" w:eastAsiaTheme="minorEastAsia" w:cstheme="minorEastAsia"/>
          <w:color w:val="auto"/>
          <w:sz w:val="24"/>
          <w:highlight w:val="none"/>
        </w:rPr>
        <w:t>（项目名称）【招标编号：（采购编号）】</w:t>
      </w:r>
      <w:r>
        <w:rPr>
          <w:rFonts w:hint="eastAsia" w:asciiTheme="minorEastAsia" w:hAnsiTheme="minorEastAsia" w:eastAsiaTheme="minorEastAsia" w:cstheme="minorEastAsia"/>
          <w:color w:val="auto"/>
          <w:kern w:val="0"/>
          <w:sz w:val="24"/>
          <w:highlight w:val="none"/>
          <w:lang w:val="zh-CN"/>
        </w:rPr>
        <w:t>的中标供应商，将依法采取分包方式履行合同。</w:t>
      </w:r>
      <w:r>
        <w:rPr>
          <w:rFonts w:hint="eastAsia" w:asciiTheme="minorEastAsia" w:hAnsiTheme="minorEastAsia" w:eastAsiaTheme="minorEastAsia" w:cstheme="minorEastAsia"/>
          <w:color w:val="auto"/>
          <w:kern w:val="0"/>
          <w:sz w:val="24"/>
          <w:highlight w:val="none"/>
          <w:u w:val="single"/>
        </w:rPr>
        <w:t>（投标人名称）</w:t>
      </w:r>
      <w:r>
        <w:rPr>
          <w:rFonts w:hint="eastAsia" w:asciiTheme="minorEastAsia" w:hAnsiTheme="minorEastAsia" w:eastAsiaTheme="minorEastAsia" w:cstheme="minorEastAsia"/>
          <w:color w:val="auto"/>
          <w:kern w:val="0"/>
          <w:sz w:val="24"/>
          <w:highlight w:val="none"/>
        </w:rPr>
        <w:t>与</w:t>
      </w:r>
      <w:r>
        <w:rPr>
          <w:rFonts w:hint="eastAsia" w:asciiTheme="minorEastAsia" w:hAnsiTheme="minorEastAsia" w:eastAsiaTheme="minorEastAsia" w:cstheme="minorEastAsia"/>
          <w:color w:val="auto"/>
          <w:kern w:val="0"/>
          <w:sz w:val="24"/>
          <w:highlight w:val="none"/>
          <w:u w:val="single"/>
        </w:rPr>
        <w:t>（所有分包供应商名称）</w:t>
      </w:r>
      <w:r>
        <w:rPr>
          <w:rFonts w:hint="eastAsia" w:asciiTheme="minorEastAsia" w:hAnsiTheme="minorEastAsia" w:eastAsiaTheme="minorEastAsia" w:cstheme="minorEastAsia"/>
          <w:color w:val="auto"/>
          <w:kern w:val="0"/>
          <w:sz w:val="24"/>
          <w:highlight w:val="none"/>
        </w:rPr>
        <w:t>达成分包意向协议</w:t>
      </w:r>
      <w:r>
        <w:rPr>
          <w:rFonts w:hint="eastAsia" w:asciiTheme="minorEastAsia" w:hAnsiTheme="minorEastAsia" w:eastAsiaTheme="minorEastAsia" w:cstheme="minorEastAsia"/>
          <w:color w:val="auto"/>
          <w:kern w:val="0"/>
          <w:sz w:val="24"/>
          <w:highlight w:val="none"/>
          <w:lang w:val="zh-CN"/>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一、分包标的及数量</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（投标人名称）</w:t>
      </w:r>
      <w:r>
        <w:rPr>
          <w:rFonts w:hint="eastAsia" w:asciiTheme="minorEastAsia" w:hAnsiTheme="minorEastAsia" w:eastAsiaTheme="minorEastAsia" w:cstheme="minorEastAsia"/>
          <w:color w:val="auto"/>
          <w:kern w:val="0"/>
          <w:sz w:val="24"/>
          <w:highlight w:val="none"/>
          <w:lang w:val="zh-CN"/>
        </w:rPr>
        <w:t>将</w:t>
      </w:r>
      <w:r>
        <w:rPr>
          <w:rFonts w:hint="eastAsia" w:asciiTheme="minorEastAsia" w:hAnsiTheme="minorEastAsia" w:eastAsiaTheme="minorEastAsia" w:cstheme="minorEastAsia"/>
          <w:color w:val="auto"/>
          <w:sz w:val="24"/>
          <w:highlight w:val="none"/>
          <w:u w:val="single"/>
        </w:rPr>
        <w:t xml:space="preserve">   XX工作内容   </w:t>
      </w:r>
      <w:r>
        <w:rPr>
          <w:rFonts w:hint="eastAsia" w:asciiTheme="minorEastAsia" w:hAnsiTheme="minorEastAsia" w:eastAsiaTheme="minorEastAsia" w:cstheme="minorEastAsia"/>
          <w:color w:val="auto"/>
          <w:sz w:val="24"/>
          <w:highlight w:val="none"/>
        </w:rPr>
        <w:t>分包给</w:t>
      </w:r>
      <w:r>
        <w:rPr>
          <w:rFonts w:hint="eastAsia" w:asciiTheme="minorEastAsia" w:hAnsiTheme="minorEastAsia" w:eastAsiaTheme="minorEastAsia" w:cstheme="minorEastAsia"/>
          <w:color w:val="auto"/>
          <w:kern w:val="0"/>
          <w:sz w:val="24"/>
          <w:highlight w:val="none"/>
          <w:u w:val="single"/>
        </w:rPr>
        <w:t>（某分包供应商名称）</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u w:val="single"/>
        </w:rPr>
        <w:t>（某分包供应商名称），</w:t>
      </w:r>
      <w:r>
        <w:rPr>
          <w:rFonts w:hint="eastAsia" w:asciiTheme="minorEastAsia" w:hAnsiTheme="minorEastAsia" w:eastAsiaTheme="minorEastAsia" w:cstheme="minorEastAsia"/>
          <w:color w:val="auto"/>
          <w:kern w:val="0"/>
          <w:sz w:val="24"/>
          <w:highlight w:val="none"/>
          <w:lang w:val="zh-CN"/>
        </w:rPr>
        <w:t>具备承</w:t>
      </w:r>
      <w:r>
        <w:rPr>
          <w:rFonts w:hint="eastAsia" w:asciiTheme="minorEastAsia" w:hAnsiTheme="minorEastAsia" w:eastAsiaTheme="minorEastAsia" w:cstheme="minorEastAsia"/>
          <w:color w:val="auto"/>
          <w:kern w:val="0"/>
          <w:sz w:val="24"/>
          <w:highlight w:val="none"/>
        </w:rPr>
        <w:t>担</w:t>
      </w:r>
      <w:r>
        <w:rPr>
          <w:rFonts w:hint="eastAsia" w:asciiTheme="minorEastAsia" w:hAnsiTheme="minorEastAsia" w:eastAsiaTheme="minorEastAsia" w:cstheme="minorEastAsia"/>
          <w:color w:val="auto"/>
          <w:kern w:val="0"/>
          <w:sz w:val="24"/>
          <w:highlight w:val="none"/>
          <w:u w:val="single"/>
          <w:lang w:val="zh-CN"/>
        </w:rPr>
        <w:t>XX工作内容</w:t>
      </w:r>
      <w:r>
        <w:rPr>
          <w:rFonts w:hint="eastAsia" w:asciiTheme="minorEastAsia" w:hAnsiTheme="minorEastAsia" w:eastAsiaTheme="minorEastAsia" w:cstheme="minorEastAsia"/>
          <w:color w:val="auto"/>
          <w:kern w:val="0"/>
          <w:sz w:val="24"/>
          <w:highlight w:val="none"/>
          <w:lang w:val="zh-CN"/>
        </w:rPr>
        <w:t>相应资质条件且不得再次分包；</w:t>
      </w:r>
    </w:p>
    <w:p>
      <w:pPr>
        <w:snapToGrid w:val="0"/>
        <w:spacing w:line="360" w:lineRule="auto"/>
        <w:ind w:firstLine="576"/>
        <w:rPr>
          <w:rFonts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u w:val="single"/>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二、分包工作履行期限、地点、方式</w:t>
      </w:r>
    </w:p>
    <w:p>
      <w:pPr>
        <w:snapToGrid w:val="0"/>
        <w:spacing w:line="360" w:lineRule="auto"/>
        <w:ind w:firstLine="576"/>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三、质量</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四、价款或者报酬</w:t>
      </w:r>
    </w:p>
    <w:p>
      <w:pPr>
        <w:snapToGrid w:val="0"/>
        <w:spacing w:line="360" w:lineRule="auto"/>
        <w:ind w:left="573" w:leftChars="273"/>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left="573" w:leftChars="273"/>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五、违约责任</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六、争议解决的办法</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七、其他</w:t>
      </w:r>
    </w:p>
    <w:p>
      <w:pPr>
        <w:snapToGrid w:val="0"/>
        <w:spacing w:line="360" w:lineRule="auto"/>
        <w:ind w:firstLine="576"/>
        <w:rPr>
          <w:rFonts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（分包供应商名称）提供的货物/服务全部由小微企业制造/服务，</w:t>
      </w:r>
      <w:r>
        <w:rPr>
          <w:rFonts w:hint="eastAsia" w:asciiTheme="minorEastAsia" w:hAnsiTheme="minorEastAsia" w:eastAsiaTheme="minorEastAsia" w:cstheme="minorEastAsia"/>
          <w:color w:val="auto"/>
          <w:kern w:val="0"/>
          <w:sz w:val="24"/>
          <w:highlight w:val="none"/>
        </w:rPr>
        <w:t>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sz w:val="24"/>
          <w:highlight w:val="none"/>
        </w:rPr>
        <w:t>。</w:t>
      </w:r>
    </w:p>
    <w:p>
      <w:pPr>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投标人名称(盖章)：</w:t>
      </w:r>
    </w:p>
    <w:p>
      <w:pPr>
        <w:snapToGrid w:val="0"/>
        <w:spacing w:line="360" w:lineRule="auto"/>
        <w:ind w:firstLine="5640" w:firstLineChars="235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分包供应商名称：</w:t>
      </w:r>
    </w:p>
    <w:p>
      <w:pPr>
        <w:snapToGrid w:val="0"/>
        <w:spacing w:line="360" w:lineRule="auto"/>
        <w:ind w:firstLine="5760" w:firstLineChars="2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before="120" w:beforeLines="50" w:after="50" w:line="276" w:lineRule="auto"/>
        <w:jc w:val="left"/>
        <w:rPr>
          <w:rFonts w:ascii="宋体" w:hAnsi="宋体" w:cs="宋体"/>
          <w:color w:val="auto"/>
          <w:sz w:val="24"/>
          <w:highlight w:val="none"/>
        </w:rPr>
      </w:pPr>
      <w:r>
        <w:rPr>
          <w:rFonts w:hint="eastAsia" w:ascii="宋体" w:hAnsi="宋体" w:cs="宋体"/>
          <w:color w:val="auto"/>
          <w:sz w:val="24"/>
          <w:highlight w:val="none"/>
        </w:rPr>
        <w:br w:type="page"/>
      </w:r>
    </w:p>
    <w:p>
      <w:pPr>
        <w:pStyle w:val="2"/>
        <w:pageBreakBefore/>
        <w:rPr>
          <w:rFonts w:ascii="宋体" w:hAnsi="宋体" w:eastAsia="宋体" w:cs="宋体"/>
          <w:b w:val="0"/>
          <w:color w:val="auto"/>
          <w:sz w:val="24"/>
          <w:szCs w:val="24"/>
          <w:highlight w:val="none"/>
        </w:rPr>
      </w:pPr>
      <w:bookmarkStart w:id="103" w:name="_Toc31987"/>
      <w:r>
        <w:rPr>
          <w:rFonts w:hint="eastAsia" w:ascii="宋体" w:hAnsi="宋体" w:eastAsia="宋体" w:cs="宋体"/>
          <w:b w:val="0"/>
          <w:color w:val="auto"/>
          <w:sz w:val="24"/>
          <w:szCs w:val="24"/>
          <w:highlight w:val="none"/>
        </w:rPr>
        <w:t>附件七：投标人资信商务、技术自评得分表</w:t>
      </w:r>
      <w:bookmarkEnd w:id="103"/>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投标人资信商务、技术自评得分表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50"/>
        <w:gridCol w:w="3200"/>
        <w:gridCol w:w="91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355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评分标准</w:t>
            </w:r>
          </w:p>
        </w:tc>
        <w:tc>
          <w:tcPr>
            <w:tcW w:w="3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得分内容</w:t>
            </w:r>
          </w:p>
        </w:tc>
        <w:tc>
          <w:tcPr>
            <w:tcW w:w="91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自评</w:t>
            </w:r>
          </w:p>
          <w:p>
            <w:pPr>
              <w:jc w:val="center"/>
              <w:rPr>
                <w:rFonts w:ascii="宋体" w:hAnsi="宋体" w:cs="宋体"/>
                <w:color w:val="auto"/>
                <w:sz w:val="24"/>
                <w:highlight w:val="none"/>
              </w:rPr>
            </w:pPr>
            <w:r>
              <w:rPr>
                <w:rFonts w:hint="eastAsia" w:ascii="宋体" w:hAnsi="宋体" w:cs="宋体"/>
                <w:color w:val="auto"/>
                <w:sz w:val="24"/>
                <w:highlight w:val="none"/>
              </w:rPr>
              <w:t>得分</w:t>
            </w:r>
          </w:p>
        </w:tc>
        <w:tc>
          <w:tcPr>
            <w:tcW w:w="12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9</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12</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bl>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投标人名称（盖章）：                         年   月    日</w:t>
      </w:r>
    </w:p>
    <w:p>
      <w:pPr>
        <w:pStyle w:val="2"/>
        <w:keepNext w:val="0"/>
        <w:keepLines w:val="0"/>
        <w:pageBreakBefore/>
        <w:rPr>
          <w:rFonts w:ascii="宋体" w:hAnsi="宋体" w:eastAsia="宋体" w:cs="宋体"/>
          <w:b w:val="0"/>
          <w:color w:val="auto"/>
          <w:sz w:val="24"/>
          <w:szCs w:val="24"/>
          <w:highlight w:val="none"/>
        </w:rPr>
      </w:pPr>
      <w:bookmarkStart w:id="104" w:name="_Toc13761"/>
      <w:r>
        <w:rPr>
          <w:rFonts w:hint="eastAsia" w:ascii="宋体" w:hAnsi="宋体" w:eastAsia="宋体" w:cs="宋体"/>
          <w:b w:val="0"/>
          <w:color w:val="auto"/>
          <w:sz w:val="24"/>
          <w:szCs w:val="24"/>
          <w:highlight w:val="none"/>
        </w:rPr>
        <w:t>附件八：商务响应表</w:t>
      </w:r>
      <w:bookmarkEnd w:id="104"/>
    </w:p>
    <w:p>
      <w:pPr>
        <w:snapToGrid w:val="0"/>
        <w:spacing w:line="360" w:lineRule="auto"/>
        <w:jc w:val="center"/>
        <w:rPr>
          <w:rFonts w:ascii="宋体" w:hAnsi="宋体" w:cs="宋体"/>
          <w:b/>
          <w:color w:val="auto"/>
          <w:kern w:val="0"/>
          <w:sz w:val="32"/>
          <w:szCs w:val="32"/>
          <w:highlight w:val="none"/>
        </w:rPr>
      </w:pPr>
      <w:bookmarkStart w:id="105" w:name="_Toc496598991"/>
      <w:r>
        <w:rPr>
          <w:rFonts w:hint="eastAsia" w:ascii="宋体" w:hAnsi="宋体" w:cs="宋体"/>
          <w:b/>
          <w:color w:val="auto"/>
          <w:kern w:val="0"/>
          <w:sz w:val="32"/>
          <w:szCs w:val="32"/>
          <w:highlight w:val="none"/>
        </w:rPr>
        <w:t>商务响应表</w:t>
      </w:r>
    </w:p>
    <w:p>
      <w:pPr>
        <w:snapToGrid w:val="0"/>
        <w:spacing w:before="50" w:after="120" w:afterLines="50"/>
        <w:jc w:val="left"/>
        <w:rPr>
          <w:rFonts w:ascii="宋体" w:hAnsi="宋体" w:cs="宋体"/>
          <w:color w:val="auto"/>
          <w:sz w:val="24"/>
          <w:highlight w:val="none"/>
          <w:u w:val="single"/>
        </w:rPr>
      </w:pPr>
    </w:p>
    <w:tbl>
      <w:tblPr>
        <w:tblStyle w:val="2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3"/>
        <w:gridCol w:w="2969"/>
        <w:gridCol w:w="1386"/>
        <w:gridCol w:w="33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招标文件要求</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响应及偏离情况</w:t>
            </w:r>
          </w:p>
        </w:tc>
        <w:tc>
          <w:tcPr>
            <w:tcW w:w="3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bl>
    <w:p>
      <w:pPr>
        <w:snapToGrid w:val="0"/>
        <w:spacing w:before="120" w:beforeLines="50"/>
        <w:rPr>
          <w:rFonts w:ascii="宋体" w:hAnsi="宋体" w:cs="宋体"/>
          <w:color w:val="auto"/>
          <w:sz w:val="24"/>
          <w:highlight w:val="none"/>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2"/>
        <w:keepNext w:val="0"/>
        <w:keepLines w:val="0"/>
        <w:pageBreakBefore/>
        <w:spacing w:line="415" w:lineRule="auto"/>
        <w:rPr>
          <w:rFonts w:ascii="宋体" w:hAnsi="宋体" w:eastAsia="宋体" w:cs="宋体"/>
          <w:b w:val="0"/>
          <w:bCs w:val="0"/>
          <w:color w:val="auto"/>
          <w:sz w:val="24"/>
          <w:szCs w:val="24"/>
          <w:highlight w:val="none"/>
        </w:rPr>
      </w:pPr>
      <w:bookmarkStart w:id="106" w:name="_Toc3761"/>
      <w:r>
        <w:rPr>
          <w:rFonts w:hint="eastAsia" w:ascii="宋体" w:hAnsi="宋体" w:eastAsia="宋体" w:cs="宋体"/>
          <w:b w:val="0"/>
          <w:bCs w:val="0"/>
          <w:color w:val="auto"/>
          <w:sz w:val="24"/>
          <w:szCs w:val="24"/>
          <w:highlight w:val="none"/>
        </w:rPr>
        <w:t>附件九：</w:t>
      </w:r>
      <w:bookmarkEnd w:id="105"/>
      <w:r>
        <w:rPr>
          <w:rFonts w:hint="eastAsia" w:ascii="宋体" w:hAnsi="宋体" w:eastAsia="宋体" w:cs="宋体"/>
          <w:b w:val="0"/>
          <w:bCs w:val="0"/>
          <w:color w:val="auto"/>
          <w:sz w:val="24"/>
          <w:szCs w:val="24"/>
          <w:highlight w:val="none"/>
        </w:rPr>
        <w:t>技术响应表</w:t>
      </w:r>
      <w:bookmarkEnd w:id="106"/>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技术响应表</w:t>
      </w:r>
    </w:p>
    <w:p>
      <w:pPr>
        <w:snapToGrid w:val="0"/>
        <w:spacing w:before="50" w:after="120" w:afterLines="50"/>
        <w:jc w:val="left"/>
        <w:rPr>
          <w:rFonts w:ascii="宋体" w:hAnsi="宋体" w:cs="宋体"/>
          <w:color w:val="auto"/>
          <w:sz w:val="24"/>
          <w:highlight w:val="none"/>
        </w:rPr>
      </w:pPr>
      <w:r>
        <w:rPr>
          <w:rFonts w:hint="eastAsia" w:ascii="宋体" w:hAnsi="宋体" w:cs="宋体"/>
          <w:color w:val="auto"/>
          <w:sz w:val="24"/>
          <w:highlight w:val="none"/>
        </w:rPr>
        <w:t>招标编号：</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04"/>
        <w:gridCol w:w="2113"/>
        <w:gridCol w:w="175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内  容</w:t>
            </w:r>
          </w:p>
        </w:tc>
        <w:tc>
          <w:tcPr>
            <w:tcW w:w="21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规范要求</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w:t>
            </w:r>
          </w:p>
          <w:p>
            <w:pPr>
              <w:jc w:val="center"/>
              <w:rPr>
                <w:rFonts w:ascii="宋体" w:hAnsi="宋体" w:cs="宋体"/>
                <w:color w:val="auto"/>
                <w:sz w:val="24"/>
                <w:highlight w:val="none"/>
              </w:rPr>
            </w:pPr>
            <w:r>
              <w:rPr>
                <w:rFonts w:hint="eastAsia" w:ascii="宋体" w:hAnsi="宋体" w:cs="宋体"/>
                <w:color w:val="auto"/>
                <w:sz w:val="24"/>
                <w:highlight w:val="none"/>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偏离情况</w:t>
            </w:r>
          </w:p>
          <w:p>
            <w:pPr>
              <w:jc w:val="center"/>
              <w:rPr>
                <w:rFonts w:ascii="宋体" w:hAnsi="宋体" w:cs="宋体"/>
                <w:color w:val="auto"/>
                <w:sz w:val="24"/>
                <w:highlight w:val="none"/>
              </w:rPr>
            </w:pPr>
            <w:r>
              <w:rPr>
                <w:rFonts w:hint="eastAsia" w:ascii="宋体" w:hAnsi="宋体" w:cs="宋体"/>
                <w:color w:val="auto"/>
                <w:sz w:val="24"/>
                <w:highlight w:val="none"/>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bl>
    <w:p>
      <w:pPr>
        <w:snapToGrid w:val="0"/>
        <w:spacing w:before="50" w:after="50"/>
        <w:rPr>
          <w:rFonts w:ascii="宋体" w:hAnsi="宋体" w:cs="宋体"/>
          <w:b/>
          <w:bCs/>
          <w:color w:val="auto"/>
          <w:sz w:val="24"/>
          <w:highlight w:val="none"/>
        </w:rPr>
      </w:pPr>
    </w:p>
    <w:p>
      <w:pPr>
        <w:snapToGrid w:val="0"/>
        <w:spacing w:before="50" w:after="50"/>
        <w:rPr>
          <w:rFonts w:ascii="宋体" w:hAnsi="宋体" w:cs="宋体"/>
          <w:b/>
          <w:bCs/>
          <w:color w:val="auto"/>
          <w:spacing w:val="20"/>
          <w:sz w:val="24"/>
          <w:highlight w:val="none"/>
        </w:rPr>
      </w:pPr>
      <w:r>
        <w:rPr>
          <w:rFonts w:hint="eastAsia" w:ascii="宋体" w:hAnsi="宋体" w:cs="宋体"/>
          <w:b/>
          <w:bCs/>
          <w:color w:val="auto"/>
          <w:sz w:val="24"/>
          <w:highlight w:val="none"/>
        </w:rPr>
        <w:t>注：投标人应根据投标货物的性能指标、对照招标文件要求在“偏离情况”栏注明“正偏离”、“负偏离”或“无偏离”。</w:t>
      </w:r>
    </w:p>
    <w:p>
      <w:pPr>
        <w:snapToGrid w:val="0"/>
        <w:spacing w:before="50" w:after="50"/>
        <w:rPr>
          <w:rFonts w:ascii="宋体" w:hAnsi="宋体" w:cs="宋体"/>
          <w:color w:val="auto"/>
          <w:spacing w:val="20"/>
          <w:sz w:val="24"/>
          <w:highlight w:val="none"/>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50" w:after="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snapToGrid w:val="0"/>
        <w:spacing w:before="50" w:after="120" w:afterLines="50"/>
        <w:jc w:val="left"/>
        <w:rPr>
          <w:rFonts w:ascii="宋体" w:hAnsi="宋体" w:cs="宋体"/>
          <w:color w:val="auto"/>
          <w:sz w:val="24"/>
          <w:highlight w:val="none"/>
        </w:rPr>
      </w:pPr>
    </w:p>
    <w:p>
      <w:pPr>
        <w:spacing w:before="260" w:after="260" w:line="415" w:lineRule="auto"/>
        <w:rPr>
          <w:rFonts w:ascii="宋体" w:hAnsi="宋体" w:cs="宋体"/>
          <w:bCs/>
          <w:color w:val="auto"/>
          <w:sz w:val="24"/>
          <w:highlight w:val="none"/>
        </w:rPr>
      </w:pPr>
    </w:p>
    <w:p>
      <w:pPr>
        <w:spacing w:before="260" w:after="260" w:line="415" w:lineRule="auto"/>
        <w:rPr>
          <w:rFonts w:ascii="宋体" w:hAnsi="宋体" w:cs="宋体"/>
          <w:bCs/>
          <w:color w:val="auto"/>
          <w:sz w:val="24"/>
          <w:highlight w:val="none"/>
        </w:rPr>
      </w:pPr>
    </w:p>
    <w:p>
      <w:pPr>
        <w:spacing w:before="260" w:after="260" w:line="415" w:lineRule="auto"/>
        <w:rPr>
          <w:rFonts w:ascii="宋体" w:hAnsi="宋体" w:cs="宋体"/>
          <w:bCs/>
          <w:color w:val="auto"/>
          <w:sz w:val="24"/>
          <w:highlight w:val="none"/>
        </w:rPr>
      </w:pPr>
    </w:p>
    <w:p>
      <w:pPr>
        <w:pStyle w:val="2"/>
        <w:keepNext w:val="0"/>
        <w:keepLines w:val="0"/>
        <w:pageBreakBefore/>
        <w:spacing w:line="415" w:lineRule="auto"/>
        <w:rPr>
          <w:rFonts w:ascii="宋体" w:hAnsi="宋体" w:eastAsia="宋体" w:cs="宋体"/>
          <w:b w:val="0"/>
          <w:bCs w:val="0"/>
          <w:color w:val="auto"/>
          <w:sz w:val="24"/>
          <w:szCs w:val="24"/>
          <w:highlight w:val="none"/>
        </w:rPr>
      </w:pPr>
      <w:bookmarkStart w:id="107" w:name="_Toc14942615"/>
      <w:bookmarkStart w:id="108" w:name="_Toc13037828"/>
      <w:bookmarkStart w:id="109" w:name="_Toc15716"/>
      <w:bookmarkStart w:id="110" w:name="_Toc14644"/>
      <w:bookmarkStart w:id="111" w:name="_Toc14790"/>
      <w:bookmarkStart w:id="112" w:name="_Toc2308"/>
      <w:bookmarkStart w:id="113" w:name="_Toc29497"/>
      <w:r>
        <w:rPr>
          <w:rFonts w:hint="eastAsia" w:ascii="宋体" w:hAnsi="宋体" w:eastAsia="宋体" w:cs="宋体"/>
          <w:b w:val="0"/>
          <w:bCs w:val="0"/>
          <w:color w:val="auto"/>
          <w:sz w:val="24"/>
          <w:szCs w:val="24"/>
          <w:highlight w:val="none"/>
        </w:rPr>
        <w:t>附件十：</w:t>
      </w:r>
      <w:bookmarkEnd w:id="107"/>
      <w:bookmarkEnd w:id="108"/>
      <w:bookmarkEnd w:id="109"/>
      <w:bookmarkEnd w:id="110"/>
      <w:r>
        <w:rPr>
          <w:rFonts w:hint="eastAsia" w:ascii="宋体" w:hAnsi="宋体" w:eastAsia="宋体" w:cs="宋体"/>
          <w:b w:val="0"/>
          <w:bCs w:val="0"/>
          <w:color w:val="auto"/>
          <w:sz w:val="24"/>
          <w:szCs w:val="24"/>
          <w:highlight w:val="none"/>
        </w:rPr>
        <w:t>服务项目组成员及简介</w:t>
      </w:r>
      <w:bookmarkEnd w:id="111"/>
      <w:bookmarkEnd w:id="112"/>
    </w:p>
    <w:p>
      <w:pPr>
        <w:jc w:val="center"/>
        <w:rPr>
          <w:rFonts w:ascii="宋体" w:hAnsi="宋体"/>
          <w:b/>
          <w:color w:val="auto"/>
          <w:sz w:val="28"/>
          <w:highlight w:val="none"/>
        </w:rPr>
      </w:pPr>
      <w:r>
        <w:rPr>
          <w:rFonts w:hint="eastAsia" w:ascii="宋体" w:hAnsi="宋体"/>
          <w:b/>
          <w:color w:val="auto"/>
          <w:sz w:val="28"/>
          <w:highlight w:val="none"/>
        </w:rPr>
        <w:t>服务项目组成员及简介</w:t>
      </w:r>
    </w:p>
    <w:p>
      <w:pPr>
        <w:rPr>
          <w:rFonts w:ascii="宋体" w:hAnsi="宋体"/>
          <w:color w:val="auto"/>
          <w:sz w:val="24"/>
          <w:highlight w:val="none"/>
          <w:u w:val="single"/>
        </w:rPr>
      </w:pPr>
      <w:r>
        <w:rPr>
          <w:rFonts w:hint="eastAsia" w:ascii="宋体" w:hAnsi="宋体"/>
          <w:color w:val="auto"/>
          <w:sz w:val="24"/>
          <w:highlight w:val="none"/>
        </w:rPr>
        <w:t>项目名称：                                                  招标编号：</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081"/>
        <w:gridCol w:w="1081"/>
        <w:gridCol w:w="1442"/>
        <w:gridCol w:w="1622"/>
        <w:gridCol w:w="1462"/>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62"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在本项目任职岗位</w:t>
            </w:r>
          </w:p>
        </w:tc>
        <w:tc>
          <w:tcPr>
            <w:tcW w:w="108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108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4526"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执业或职业资格证明</w:t>
            </w:r>
          </w:p>
        </w:tc>
        <w:tc>
          <w:tcPr>
            <w:tcW w:w="150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262" w:type="dxa"/>
            <w:vMerge w:val="continue"/>
          </w:tcPr>
          <w:p>
            <w:pPr>
              <w:rPr>
                <w:rFonts w:ascii="宋体" w:hAnsi="宋体"/>
                <w:color w:val="auto"/>
                <w:szCs w:val="21"/>
                <w:highlight w:val="none"/>
              </w:rPr>
            </w:pPr>
          </w:p>
        </w:tc>
        <w:tc>
          <w:tcPr>
            <w:tcW w:w="1081" w:type="dxa"/>
            <w:vMerge w:val="continue"/>
          </w:tcPr>
          <w:p>
            <w:pPr>
              <w:rPr>
                <w:rFonts w:ascii="宋体" w:hAnsi="宋体"/>
                <w:color w:val="auto"/>
                <w:szCs w:val="21"/>
                <w:highlight w:val="none"/>
              </w:rPr>
            </w:pPr>
          </w:p>
        </w:tc>
        <w:tc>
          <w:tcPr>
            <w:tcW w:w="1081" w:type="dxa"/>
            <w:vMerge w:val="continue"/>
          </w:tcPr>
          <w:p>
            <w:pPr>
              <w:rPr>
                <w:rFonts w:ascii="宋体" w:hAnsi="宋体"/>
                <w:color w:val="auto"/>
                <w:szCs w:val="21"/>
                <w:highlight w:val="none"/>
              </w:rPr>
            </w:pPr>
          </w:p>
        </w:tc>
        <w:tc>
          <w:tcPr>
            <w:tcW w:w="1442" w:type="dxa"/>
            <w:vAlign w:val="center"/>
          </w:tcPr>
          <w:p>
            <w:pPr>
              <w:jc w:val="center"/>
              <w:rPr>
                <w:rFonts w:ascii="宋体" w:hAnsi="宋体"/>
                <w:color w:val="auto"/>
                <w:szCs w:val="21"/>
                <w:highlight w:val="none"/>
              </w:rPr>
            </w:pPr>
            <w:r>
              <w:rPr>
                <w:rFonts w:hint="eastAsia" w:ascii="宋体" w:hAnsi="宋体"/>
                <w:color w:val="auto"/>
                <w:szCs w:val="21"/>
                <w:highlight w:val="none"/>
              </w:rPr>
              <w:t>证书名称</w:t>
            </w:r>
          </w:p>
        </w:tc>
        <w:tc>
          <w:tcPr>
            <w:tcW w:w="1622" w:type="dxa"/>
            <w:vAlign w:val="center"/>
          </w:tcPr>
          <w:p>
            <w:pPr>
              <w:jc w:val="center"/>
              <w:rPr>
                <w:rFonts w:ascii="宋体" w:hAnsi="宋体"/>
                <w:color w:val="auto"/>
                <w:szCs w:val="21"/>
                <w:highlight w:val="none"/>
              </w:rPr>
            </w:pPr>
            <w:r>
              <w:rPr>
                <w:rFonts w:hint="eastAsia" w:ascii="宋体" w:hAnsi="宋体"/>
                <w:color w:val="auto"/>
                <w:szCs w:val="21"/>
                <w:highlight w:val="none"/>
              </w:rPr>
              <w:t>级别</w:t>
            </w:r>
          </w:p>
        </w:tc>
        <w:tc>
          <w:tcPr>
            <w:tcW w:w="1462" w:type="dxa"/>
            <w:vAlign w:val="center"/>
          </w:tcPr>
          <w:p>
            <w:pPr>
              <w:jc w:val="center"/>
              <w:rPr>
                <w:rFonts w:ascii="宋体" w:hAnsi="宋体"/>
                <w:color w:val="auto"/>
                <w:szCs w:val="21"/>
                <w:highlight w:val="none"/>
              </w:rPr>
            </w:pPr>
            <w:r>
              <w:rPr>
                <w:rFonts w:hint="eastAsia" w:ascii="宋体" w:hAnsi="宋体"/>
                <w:color w:val="auto"/>
                <w:szCs w:val="21"/>
                <w:highlight w:val="none"/>
              </w:rPr>
              <w:t>证号</w:t>
            </w:r>
          </w:p>
        </w:tc>
        <w:tc>
          <w:tcPr>
            <w:tcW w:w="1507" w:type="dxa"/>
            <w:vMerge w:val="continue"/>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bl>
    <w:p>
      <w:pPr>
        <w:rPr>
          <w:rFonts w:ascii="宋体" w:hAnsi="宋体"/>
          <w:color w:val="auto"/>
          <w:sz w:val="24"/>
          <w:szCs w:val="20"/>
          <w:highlight w:val="none"/>
        </w:rPr>
      </w:pPr>
      <w:r>
        <w:rPr>
          <w:rFonts w:hint="eastAsia" w:ascii="宋体" w:hAnsi="宋体"/>
          <w:color w:val="auto"/>
          <w:szCs w:val="21"/>
          <w:highlight w:val="none"/>
        </w:rPr>
        <w:t>注：本表后附</w:t>
      </w:r>
      <w:r>
        <w:rPr>
          <w:rFonts w:hint="eastAsia"/>
          <w:color w:val="auto"/>
          <w:szCs w:val="21"/>
          <w:highlight w:val="none"/>
        </w:rPr>
        <w:t>相关证明材料</w:t>
      </w:r>
      <w:r>
        <w:rPr>
          <w:rFonts w:hint="eastAsia" w:ascii="宋体" w:hAnsi="宋体"/>
          <w:color w:val="auto"/>
          <w:szCs w:val="21"/>
          <w:highlight w:val="none"/>
        </w:rPr>
        <w:t>。</w:t>
      </w:r>
    </w:p>
    <w:p>
      <w:pPr>
        <w:snapToGrid w:val="0"/>
        <w:spacing w:line="360" w:lineRule="auto"/>
        <w:ind w:firstLine="480"/>
        <w:rPr>
          <w:rFonts w:ascii="宋体" w:hAnsi="宋体"/>
          <w:color w:val="auto"/>
          <w:sz w:val="24"/>
          <w:highlight w:val="none"/>
        </w:rPr>
      </w:pPr>
    </w:p>
    <w:p>
      <w:pPr>
        <w:snapToGrid w:val="0"/>
        <w:spacing w:line="360" w:lineRule="auto"/>
        <w:rPr>
          <w:rFonts w:ascii="宋体" w:hAnsi="宋体"/>
          <w:color w:val="auto"/>
          <w:sz w:val="24"/>
          <w:highlight w:val="none"/>
        </w:rPr>
      </w:pPr>
      <w:r>
        <w:rPr>
          <w:rFonts w:hint="eastAsia" w:ascii="宋体" w:hAnsi="宋体"/>
          <w:color w:val="auto"/>
          <w:sz w:val="24"/>
          <w:highlight w:val="none"/>
        </w:rPr>
        <w:t>法定代表人或授权委托人签名：</w:t>
      </w:r>
    </w:p>
    <w:p>
      <w:pPr>
        <w:snapToGrid w:val="0"/>
        <w:spacing w:line="360" w:lineRule="auto"/>
        <w:jc w:val="left"/>
        <w:rPr>
          <w:rFonts w:ascii="宋体" w:hAnsi="宋体"/>
          <w:color w:val="auto"/>
          <w:spacing w:val="20"/>
          <w:sz w:val="24"/>
          <w:highlight w:val="none"/>
        </w:rPr>
      </w:pPr>
      <w:r>
        <w:rPr>
          <w:rFonts w:hint="eastAsia" w:ascii="宋体" w:hAnsi="宋体"/>
          <w:color w:val="auto"/>
          <w:spacing w:val="20"/>
          <w:sz w:val="24"/>
          <w:highlight w:val="none"/>
        </w:rPr>
        <w:t>投标人全称（盖章）：</w:t>
      </w:r>
    </w:p>
    <w:p>
      <w:pPr>
        <w:snapToGrid w:val="0"/>
        <w:spacing w:line="360" w:lineRule="auto"/>
        <w:jc w:val="left"/>
        <w:rPr>
          <w:rFonts w:ascii="宋体" w:hAnsi="宋体"/>
          <w:color w:val="auto"/>
          <w:spacing w:val="20"/>
          <w:sz w:val="24"/>
          <w:highlight w:val="none"/>
          <w:u w:val="single"/>
        </w:rPr>
      </w:pPr>
      <w:r>
        <w:rPr>
          <w:rFonts w:hint="eastAsia" w:ascii="宋体" w:hAnsi="宋体"/>
          <w:color w:val="auto"/>
          <w:spacing w:val="20"/>
          <w:sz w:val="24"/>
          <w:highlight w:val="none"/>
        </w:rPr>
        <w:t>日期：</w:t>
      </w:r>
    </w:p>
    <w:p>
      <w:pPr>
        <w:spacing w:line="360" w:lineRule="auto"/>
        <w:rPr>
          <w:rFonts w:ascii="宋体" w:hAnsi="宋体"/>
          <w:color w:val="auto"/>
          <w:sz w:val="24"/>
          <w:highlight w:val="none"/>
        </w:rPr>
      </w:pPr>
    </w:p>
    <w:p>
      <w:pPr>
        <w:pStyle w:val="2"/>
        <w:keepNext w:val="0"/>
        <w:keepLines w:val="0"/>
        <w:pageBreakBefore/>
        <w:rPr>
          <w:rFonts w:ascii="宋体" w:hAnsi="宋体" w:eastAsia="宋体" w:cs="宋体"/>
          <w:b w:val="0"/>
          <w:color w:val="auto"/>
          <w:kern w:val="0"/>
          <w:sz w:val="24"/>
          <w:szCs w:val="24"/>
          <w:highlight w:val="none"/>
        </w:rPr>
      </w:pPr>
      <w:bookmarkStart w:id="114" w:name="_Toc7447"/>
      <w:r>
        <w:rPr>
          <w:rFonts w:hint="eastAsia" w:ascii="宋体" w:hAnsi="宋体" w:eastAsia="宋体" w:cs="宋体"/>
          <w:b w:val="0"/>
          <w:color w:val="auto"/>
          <w:kern w:val="0"/>
          <w:sz w:val="24"/>
          <w:szCs w:val="24"/>
          <w:highlight w:val="none"/>
        </w:rPr>
        <w:t>附件十一：同类项目业绩一览表</w:t>
      </w:r>
      <w:bookmarkEnd w:id="113"/>
      <w:bookmarkEnd w:id="114"/>
    </w:p>
    <w:p>
      <w:pPr>
        <w:widowControl/>
        <w:jc w:val="left"/>
        <w:rPr>
          <w:rFonts w:ascii="宋体" w:hAnsi="宋体" w:cs="宋体"/>
          <w:color w:val="auto"/>
          <w:kern w:val="0"/>
          <w:sz w:val="24"/>
          <w:highlight w:val="none"/>
        </w:r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同类项目业绩一览表</w:t>
      </w:r>
    </w:p>
    <w:p>
      <w:pPr>
        <w:widowControl/>
        <w:jc w:val="left"/>
        <w:rPr>
          <w:rFonts w:ascii="宋体" w:hAnsi="宋体" w:cs="宋体"/>
          <w:color w:val="auto"/>
          <w:kern w:val="0"/>
          <w:sz w:val="24"/>
          <w:highlight w:val="none"/>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2"/>
        <w:gridCol w:w="1312"/>
        <w:gridCol w:w="1312"/>
        <w:gridCol w:w="131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项目名称</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w:t>
            </w:r>
          </w:p>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类型</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简要描述</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w:t>
            </w:r>
          </w:p>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金额</w:t>
            </w:r>
          </w:p>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（万元）</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实施时间</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项目单位、联系人及电话</w:t>
            </w:r>
          </w:p>
        </w:tc>
        <w:tc>
          <w:tcPr>
            <w:tcW w:w="1313"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bl>
    <w:p>
      <w:pPr>
        <w:snapToGrid w:val="0"/>
        <w:spacing w:line="360" w:lineRule="auto"/>
        <w:rPr>
          <w:rFonts w:ascii="宋体" w:hAnsi="宋体" w:cs="宋体"/>
          <w:b/>
          <w:color w:val="auto"/>
          <w:sz w:val="24"/>
          <w:highlight w:val="none"/>
        </w:rPr>
      </w:pP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注：1、各投标人可以根据各自业绩量准备充分的表格，此页后须附证明材料。</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 xml:space="preserve">    2、投标人须真实仔细地填写本表格。</w:t>
      </w:r>
    </w:p>
    <w:p>
      <w:pPr>
        <w:widowControl/>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p>
    <w:p>
      <w:pPr>
        <w:pStyle w:val="5"/>
        <w:overflowPunct w:val="0"/>
        <w:spacing w:line="360" w:lineRule="auto"/>
        <w:ind w:right="420" w:firstLine="3300" w:firstLineChars="1375"/>
        <w:rPr>
          <w:rFonts w:ascii="宋体" w:hAnsi="宋体" w:cs="宋体"/>
          <w:color w:val="auto"/>
          <w:sz w:val="24"/>
          <w:szCs w:val="24"/>
          <w:highlight w:val="none"/>
        </w:rPr>
      </w:pPr>
      <w:r>
        <w:rPr>
          <w:rFonts w:hint="eastAsia" w:ascii="宋体" w:hAnsi="宋体" w:cs="宋体"/>
          <w:color w:val="auto"/>
          <w:sz w:val="24"/>
          <w:szCs w:val="24"/>
          <w:highlight w:val="none"/>
        </w:rPr>
        <w:t>投标人（单位盖章）：</w:t>
      </w:r>
    </w:p>
    <w:p>
      <w:pPr>
        <w:pStyle w:val="5"/>
        <w:overflowPunct w:val="0"/>
        <w:spacing w:line="360" w:lineRule="auto"/>
        <w:ind w:right="420" w:firstLine="3360" w:firstLineChars="1400"/>
        <w:rPr>
          <w:rFonts w:ascii="宋体" w:hAnsi="宋体" w:cs="宋体"/>
          <w:color w:val="auto"/>
          <w:sz w:val="24"/>
          <w:szCs w:val="24"/>
          <w:highlight w:val="none"/>
        </w:rPr>
      </w:pPr>
      <w:r>
        <w:rPr>
          <w:rFonts w:hint="eastAsia" w:ascii="宋体" w:hAnsi="宋体" w:cs="宋体"/>
          <w:color w:val="auto"/>
          <w:sz w:val="24"/>
          <w:szCs w:val="24"/>
          <w:highlight w:val="none"/>
        </w:rPr>
        <w:t xml:space="preserve">法定代表人或委托代理人（签字或盖章）：                         </w:t>
      </w:r>
    </w:p>
    <w:p>
      <w:pPr>
        <w:spacing w:before="120" w:beforeLines="50" w:line="360" w:lineRule="auto"/>
        <w:ind w:right="-21" w:rightChars="-10" w:firstLine="470" w:firstLineChars="196"/>
        <w:jc w:val="right"/>
        <w:rPr>
          <w:rFonts w:ascii="宋体" w:hAnsi="宋体" w:cs="宋体"/>
          <w:color w:val="auto"/>
          <w:sz w:val="24"/>
          <w:highlight w:val="none"/>
        </w:rPr>
      </w:pPr>
      <w:r>
        <w:rPr>
          <w:rFonts w:hint="eastAsia" w:ascii="宋体" w:hAnsi="宋体" w:cs="宋体"/>
          <w:color w:val="auto"/>
          <w:sz w:val="24"/>
          <w:highlight w:val="none"/>
        </w:rPr>
        <w:t>年  月  日</w:t>
      </w:r>
    </w:p>
    <w:p>
      <w:pPr>
        <w:rPr>
          <w:rFonts w:ascii="宋体" w:hAnsi="宋体" w:cs="宋体"/>
          <w:bCs/>
          <w:color w:val="auto"/>
          <w:sz w:val="24"/>
          <w:highlight w:val="none"/>
        </w:rPr>
      </w:pPr>
    </w:p>
    <w:p>
      <w:pPr>
        <w:rPr>
          <w:rFonts w:ascii="宋体" w:hAnsi="宋体" w:cs="宋体"/>
          <w:bCs/>
          <w:color w:val="auto"/>
          <w:sz w:val="24"/>
          <w:highlight w:val="none"/>
        </w:rPr>
      </w:pPr>
    </w:p>
    <w:p>
      <w:pPr>
        <w:rPr>
          <w:rFonts w:ascii="宋体" w:hAnsi="宋体" w:cs="宋体"/>
          <w:color w:val="auto"/>
          <w:sz w:val="24"/>
          <w:highlight w:val="none"/>
        </w:rPr>
      </w:pPr>
    </w:p>
    <w:p>
      <w:pPr>
        <w:pageBreakBefore/>
        <w:spacing w:before="260" w:after="260" w:line="415" w:lineRule="auto"/>
        <w:outlineLvl w:val="1"/>
        <w:rPr>
          <w:rFonts w:ascii="宋体" w:hAnsi="宋体" w:cs="宋体"/>
          <w:bCs/>
          <w:color w:val="auto"/>
          <w:sz w:val="24"/>
          <w:highlight w:val="none"/>
        </w:rPr>
      </w:pPr>
      <w:bookmarkStart w:id="115" w:name="_Toc24687"/>
      <w:r>
        <w:rPr>
          <w:rFonts w:hint="eastAsia" w:ascii="宋体" w:hAnsi="宋体" w:cs="宋体"/>
          <w:bCs/>
          <w:color w:val="auto"/>
          <w:sz w:val="24"/>
          <w:highlight w:val="none"/>
        </w:rPr>
        <w:t>附件十二：服务费承诺书</w:t>
      </w:r>
      <w:bookmarkEnd w:id="115"/>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承 诺 书</w:t>
      </w:r>
    </w:p>
    <w:p>
      <w:pPr>
        <w:snapToGrid w:val="0"/>
        <w:spacing w:before="50" w:after="120" w:afterLines="50"/>
        <w:jc w:val="left"/>
        <w:rPr>
          <w:rFonts w:ascii="宋体" w:hAnsi="宋体" w:cs="宋体"/>
          <w:b/>
          <w:color w:val="auto"/>
          <w:sz w:val="24"/>
          <w:highlight w:val="none"/>
        </w:rPr>
      </w:pPr>
    </w:p>
    <w:p>
      <w:pPr>
        <w:snapToGrid w:val="0"/>
        <w:spacing w:before="50" w:after="120" w:afterLines="50" w:line="360" w:lineRule="auto"/>
        <w:jc w:val="left"/>
        <w:rPr>
          <w:rFonts w:ascii="宋体" w:hAnsi="宋体" w:cs="宋体"/>
          <w:b/>
          <w:bCs/>
          <w:color w:val="auto"/>
          <w:sz w:val="24"/>
          <w:highlight w:val="none"/>
        </w:rPr>
      </w:pPr>
      <w:r>
        <w:rPr>
          <w:rFonts w:hint="eastAsia" w:ascii="宋体" w:hAnsi="宋体" w:cs="宋体"/>
          <w:b/>
          <w:color w:val="auto"/>
          <w:sz w:val="24"/>
          <w:highlight w:val="none"/>
        </w:rPr>
        <w:t>东阳市鑫盛工程咨询有限公司</w:t>
      </w:r>
      <w:r>
        <w:rPr>
          <w:rFonts w:hint="eastAsia" w:ascii="宋体" w:hAnsi="宋体" w:cs="宋体"/>
          <w:b/>
          <w:bCs/>
          <w:color w:val="auto"/>
          <w:sz w:val="24"/>
          <w:highlight w:val="none"/>
        </w:rPr>
        <w:t>：</w:t>
      </w:r>
    </w:p>
    <w:p>
      <w:pPr>
        <w:snapToGrid w:val="0"/>
        <w:spacing w:before="50" w:after="120" w:afterLines="50"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 xml:space="preserve">若我公司中标时，在中标结果公示结束之日起3天内，愿按本招标文件总则第（五）条规定向东阳市鑫盛工程咨询有限公司支付中标服务费。    </w:t>
      </w:r>
    </w:p>
    <w:p>
      <w:pPr>
        <w:snapToGrid w:val="0"/>
        <w:spacing w:before="50" w:after="120" w:afterLines="50" w:line="360" w:lineRule="auto"/>
        <w:jc w:val="left"/>
        <w:rPr>
          <w:rFonts w:ascii="宋体" w:hAnsi="宋体" w:cs="宋体"/>
          <w:b/>
          <w:color w:val="auto"/>
          <w:sz w:val="24"/>
          <w:highlight w:val="none"/>
        </w:rPr>
      </w:pPr>
      <w:r>
        <w:rPr>
          <w:rFonts w:hint="eastAsia" w:ascii="宋体" w:hAnsi="宋体" w:cs="宋体"/>
          <w:b/>
          <w:color w:val="auto"/>
          <w:sz w:val="24"/>
          <w:highlight w:val="none"/>
        </w:rPr>
        <w:t>特此承诺！</w:t>
      </w:r>
    </w:p>
    <w:p>
      <w:pPr>
        <w:snapToGrid w:val="0"/>
        <w:spacing w:before="50" w:after="120" w:afterLines="50" w:line="360" w:lineRule="auto"/>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ind w:firstLine="236" w:firstLineChars="98"/>
        <w:jc w:val="left"/>
        <w:rPr>
          <w:rFonts w:ascii="宋体" w:hAnsi="宋体" w:cs="宋体"/>
          <w:b/>
          <w:color w:val="auto"/>
          <w:sz w:val="24"/>
          <w:highlight w:val="none"/>
        </w:rPr>
      </w:pPr>
      <w:r>
        <w:rPr>
          <w:rFonts w:hint="eastAsia" w:ascii="宋体" w:hAnsi="宋体" w:cs="宋体"/>
          <w:b/>
          <w:color w:val="auto"/>
          <w:sz w:val="24"/>
          <w:highlight w:val="none"/>
        </w:rPr>
        <w:t>承诺单位(盖章)：</w:t>
      </w: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ind w:firstLine="236" w:firstLineChars="98"/>
        <w:jc w:val="left"/>
        <w:rPr>
          <w:rFonts w:ascii="宋体" w:hAnsi="宋体" w:cs="宋体"/>
          <w:b/>
          <w:color w:val="auto"/>
          <w:sz w:val="24"/>
          <w:highlight w:val="none"/>
        </w:rPr>
      </w:pPr>
      <w:r>
        <w:rPr>
          <w:rFonts w:hint="eastAsia" w:ascii="宋体" w:hAnsi="宋体" w:cs="宋体"/>
          <w:b/>
          <w:color w:val="auto"/>
          <w:sz w:val="24"/>
          <w:highlight w:val="none"/>
        </w:rPr>
        <w:t>法定代表人或委托代理人(签字)：</w:t>
      </w:r>
    </w:p>
    <w:p>
      <w:pPr>
        <w:snapToGrid w:val="0"/>
        <w:spacing w:before="50" w:after="120" w:afterLines="50"/>
        <w:jc w:val="left"/>
        <w:rPr>
          <w:rFonts w:ascii="宋体" w:hAnsi="宋体" w:cs="宋体"/>
          <w:b/>
          <w:bCs/>
          <w:color w:val="auto"/>
          <w:sz w:val="24"/>
          <w:highlight w:val="none"/>
        </w:rPr>
      </w:pPr>
    </w:p>
    <w:p>
      <w:pPr>
        <w:snapToGrid w:val="0"/>
        <w:spacing w:before="50" w:after="120" w:afterLines="50"/>
        <w:jc w:val="left"/>
        <w:rPr>
          <w:rFonts w:ascii="宋体" w:hAnsi="宋体" w:cs="宋体"/>
          <w:b/>
          <w:bCs/>
          <w:color w:val="auto"/>
          <w:sz w:val="24"/>
          <w:highlight w:val="none"/>
        </w:rPr>
      </w:pPr>
    </w:p>
    <w:p>
      <w:pPr>
        <w:snapToGrid w:val="0"/>
        <w:spacing w:before="50" w:after="120" w:afterLines="50"/>
        <w:ind w:firstLine="5980" w:firstLineChars="2482"/>
        <w:jc w:val="left"/>
        <w:rPr>
          <w:rFonts w:ascii="宋体" w:hAnsi="宋体" w:cs="宋体"/>
          <w:b/>
          <w:bCs/>
          <w:color w:val="auto"/>
          <w:sz w:val="24"/>
          <w:highlight w:val="none"/>
        </w:rPr>
      </w:pPr>
      <w:r>
        <w:rPr>
          <w:rFonts w:hint="eastAsia" w:ascii="宋体" w:hAnsi="宋体" w:cs="宋体"/>
          <w:b/>
          <w:bCs/>
          <w:color w:val="auto"/>
          <w:sz w:val="24"/>
          <w:highlight w:val="none"/>
        </w:rPr>
        <w:t>年     月    日</w:t>
      </w:r>
    </w:p>
    <w:p>
      <w:pPr>
        <w:snapToGrid w:val="0"/>
        <w:spacing w:before="50" w:after="120" w:afterLines="50"/>
        <w:jc w:val="left"/>
        <w:rPr>
          <w:rFonts w:ascii="宋体" w:hAnsi="宋体" w:cs="宋体"/>
          <w:b/>
          <w:color w:val="auto"/>
          <w:sz w:val="24"/>
          <w:highlight w:val="none"/>
        </w:rPr>
      </w:pPr>
    </w:p>
    <w:p>
      <w:pPr>
        <w:snapToGrid w:val="0"/>
        <w:spacing w:before="120" w:beforeLines="50" w:after="50" w:line="276" w:lineRule="auto"/>
        <w:jc w:val="left"/>
        <w:rPr>
          <w:rFonts w:ascii="宋体" w:hAnsi="宋体" w:cs="宋体"/>
          <w:color w:val="auto"/>
          <w:sz w:val="24"/>
          <w:highlight w:val="none"/>
        </w:rPr>
      </w:pPr>
    </w:p>
    <w:p>
      <w:pPr>
        <w:snapToGrid w:val="0"/>
        <w:spacing w:before="120" w:beforeLines="50" w:after="50" w:line="276" w:lineRule="auto"/>
        <w:jc w:val="left"/>
        <w:rPr>
          <w:rFonts w:ascii="宋体" w:hAnsi="宋体" w:cs="宋体"/>
          <w:color w:val="auto"/>
          <w:sz w:val="24"/>
          <w:highlight w:val="none"/>
        </w:rPr>
      </w:pPr>
    </w:p>
    <w:p>
      <w:pPr>
        <w:snapToGrid w:val="0"/>
        <w:spacing w:before="120" w:beforeLines="50" w:after="50" w:line="276" w:lineRule="auto"/>
        <w:jc w:val="left"/>
        <w:rPr>
          <w:rFonts w:ascii="宋体" w:hAnsi="宋体" w:cs="宋体"/>
          <w:color w:val="auto"/>
          <w:sz w:val="24"/>
          <w:highlight w:val="none"/>
        </w:rPr>
      </w:pPr>
    </w:p>
    <w:p>
      <w:pPr>
        <w:rPr>
          <w:rFonts w:ascii="宋体" w:hAnsi="宋体" w:cs="宋体"/>
          <w:bCs/>
          <w:color w:val="auto"/>
          <w:sz w:val="24"/>
          <w:highlight w:val="none"/>
        </w:rPr>
      </w:pPr>
      <w:bookmarkStart w:id="116" w:name="_Toc7166659"/>
      <w:bookmarkStart w:id="117" w:name="_Toc514425251"/>
    </w:p>
    <w:bookmarkEnd w:id="116"/>
    <w:bookmarkEnd w:id="117"/>
    <w:p>
      <w:pPr>
        <w:rPr>
          <w:rFonts w:ascii="宋体" w:hAnsi="宋体" w:cs="宋体"/>
          <w:b/>
          <w:color w:val="auto"/>
          <w:sz w:val="24"/>
          <w:highlight w:val="none"/>
        </w:rPr>
      </w:pPr>
    </w:p>
    <w:p>
      <w:pPr>
        <w:pageBreakBefore/>
        <w:spacing w:before="260" w:after="260" w:line="415" w:lineRule="auto"/>
        <w:outlineLvl w:val="1"/>
        <w:rPr>
          <w:rFonts w:ascii="宋体" w:hAnsi="宋体" w:cs="宋体"/>
          <w:bCs/>
          <w:color w:val="auto"/>
          <w:sz w:val="24"/>
          <w:highlight w:val="none"/>
        </w:rPr>
      </w:pPr>
      <w:bookmarkStart w:id="118" w:name="_Toc496598995"/>
      <w:bookmarkStart w:id="119" w:name="_Toc15780"/>
      <w:r>
        <w:rPr>
          <w:rFonts w:hint="eastAsia" w:ascii="宋体" w:hAnsi="宋体" w:cs="宋体"/>
          <w:bCs/>
          <w:color w:val="auto"/>
          <w:sz w:val="24"/>
          <w:highlight w:val="none"/>
        </w:rPr>
        <w:t>附件十三:</w:t>
      </w:r>
      <w:bookmarkEnd w:id="118"/>
      <w:r>
        <w:rPr>
          <w:rFonts w:hint="eastAsia" w:ascii="宋体" w:hAnsi="宋体" w:cs="宋体"/>
          <w:bCs/>
          <w:color w:val="auto"/>
          <w:sz w:val="24"/>
          <w:highlight w:val="none"/>
        </w:rPr>
        <w:t xml:space="preserve"> 投标函</w:t>
      </w:r>
      <w:bookmarkEnd w:id="119"/>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 标 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snapToGrid w:val="0"/>
        <w:spacing w:line="360" w:lineRule="auto"/>
        <w:ind w:firstLine="480"/>
        <w:rPr>
          <w:rFonts w:ascii="宋体" w:hAnsi="宋体" w:cs="宋体"/>
          <w:color w:val="auto"/>
          <w:sz w:val="24"/>
          <w:highlight w:val="none"/>
        </w:rPr>
      </w:pPr>
      <w:r>
        <w:rPr>
          <w:rFonts w:hint="eastAsia" w:ascii="宋体" w:hAnsi="宋体" w:cs="宋体"/>
          <w:color w:val="auto"/>
          <w:sz w:val="24"/>
          <w:highlight w:val="none"/>
        </w:rPr>
        <w:t>根据贵方为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项目的招标公告/投标邀请书</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（投标人名称）提交电子投标文件。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3.本投标有效期自开标日起 ______天。</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地址：__________</w:t>
      </w:r>
      <w:r>
        <w:rPr>
          <w:rFonts w:hint="eastAsia" w:ascii="宋体" w:hAnsi="宋体" w:cs="宋体"/>
          <w:color w:val="auto"/>
          <w:sz w:val="24"/>
          <w:highlight w:val="none"/>
          <w:u w:val="single"/>
        </w:rPr>
        <w:t xml:space="preserve">        _</w:t>
      </w:r>
      <w:r>
        <w:rPr>
          <w:rFonts w:hint="eastAsia" w:ascii="宋体" w:hAnsi="宋体" w:cs="宋体"/>
          <w:color w:val="auto"/>
          <w:sz w:val="24"/>
          <w:highlight w:val="none"/>
        </w:rPr>
        <w:t>____邮编：__________   电话：______________</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传真：______________投标人代表姓名 ___________  职务：______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_______</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委托代理人签字:___________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156" w:after="156" w:line="360" w:lineRule="auto"/>
        <w:rPr>
          <w:rFonts w:ascii="宋体" w:hAnsi="宋体" w:cs="宋体"/>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rPr>
          <w:rFonts w:ascii="宋体" w:hAnsi="宋体" w:cs="宋体"/>
          <w:color w:val="auto"/>
          <w:sz w:val="24"/>
          <w:highlight w:val="none"/>
        </w:rPr>
      </w:pPr>
      <w:bookmarkStart w:id="120" w:name="_Toc496598998"/>
    </w:p>
    <w:p>
      <w:pPr>
        <w:keepNext/>
        <w:keepLines/>
        <w:spacing w:before="260" w:after="260" w:line="360" w:lineRule="auto"/>
        <w:outlineLvl w:val="1"/>
        <w:rPr>
          <w:rFonts w:ascii="宋体" w:hAnsi="宋体" w:cs="宋体"/>
          <w:bCs/>
          <w:color w:val="auto"/>
          <w:sz w:val="24"/>
          <w:highlight w:val="none"/>
        </w:rPr>
      </w:pPr>
      <w:bookmarkStart w:id="121" w:name="_Toc32379"/>
      <w:r>
        <w:rPr>
          <w:rFonts w:hint="eastAsia" w:ascii="宋体" w:hAnsi="宋体" w:cs="宋体"/>
          <w:bCs/>
          <w:color w:val="auto"/>
          <w:sz w:val="24"/>
          <w:highlight w:val="none"/>
        </w:rPr>
        <w:t>附件十四：开标一览表</w:t>
      </w:r>
      <w:bookmarkEnd w:id="121"/>
    </w:p>
    <w:bookmarkEnd w:id="120"/>
    <w:p>
      <w:pPr>
        <w:snapToGrid w:val="0"/>
        <w:spacing w:line="360" w:lineRule="auto"/>
        <w:jc w:val="center"/>
        <w:rPr>
          <w:rFonts w:ascii="宋体" w:hAnsi="宋体" w:cs="宋体"/>
          <w:b/>
          <w:color w:val="auto"/>
          <w:kern w:val="0"/>
          <w:sz w:val="32"/>
          <w:szCs w:val="32"/>
          <w:highlight w:val="none"/>
        </w:rPr>
      </w:pPr>
      <w:bookmarkStart w:id="122" w:name="_Toc496599000"/>
      <w:r>
        <w:rPr>
          <w:rFonts w:hint="eastAsia" w:ascii="宋体" w:hAnsi="宋体" w:cs="宋体"/>
          <w:b/>
          <w:color w:val="auto"/>
          <w:kern w:val="0"/>
          <w:sz w:val="32"/>
          <w:szCs w:val="32"/>
          <w:highlight w:val="none"/>
        </w:rPr>
        <w:t>开标一览表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招标编号：                                                      单位：元    </w:t>
      </w:r>
    </w:p>
    <w:p>
      <w:pPr>
        <w:spacing w:line="360" w:lineRule="auto"/>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rPr>
        <w:t xml:space="preserve">投标人名称：                                            </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 xml:space="preserve"> </w:t>
      </w:r>
      <w:r>
        <w:rPr>
          <w:rFonts w:hint="eastAsia" w:ascii="宋体" w:hAnsi="宋体" w:cs="宋体"/>
          <w:b/>
          <w:color w:val="auto"/>
          <w:sz w:val="24"/>
          <w:highlight w:val="none"/>
          <w:lang w:val="en-US" w:eastAsia="zh-CN"/>
        </w:rPr>
        <w:t>标项：</w:t>
      </w:r>
    </w:p>
    <w:tbl>
      <w:tblPr>
        <w:tblStyle w:val="27"/>
        <w:tblW w:w="99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13"/>
        <w:gridCol w:w="47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52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4"/>
                <w:highlight w:val="none"/>
              </w:rPr>
            </w:pPr>
            <w:r>
              <w:rPr>
                <w:rFonts w:hint="eastAsia" w:ascii="宋体" w:hAnsi="宋体" w:cs="宋体"/>
                <w:b/>
                <w:color w:val="auto"/>
                <w:sz w:val="24"/>
                <w:highlight w:val="none"/>
              </w:rPr>
              <w:t>采购内容</w:t>
            </w:r>
          </w:p>
        </w:tc>
        <w:tc>
          <w:tcPr>
            <w:tcW w:w="4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投标报价（元）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4" w:hRule="atLeast"/>
        </w:trPr>
        <w:tc>
          <w:tcPr>
            <w:tcW w:w="5213" w:type="dxa"/>
            <w:tcBorders>
              <w:top w:val="single" w:color="auto" w:sz="4" w:space="0"/>
              <w:left w:val="single" w:color="auto" w:sz="4" w:space="0"/>
              <w:right w:val="single" w:color="auto" w:sz="4" w:space="0"/>
            </w:tcBorders>
            <w:vAlign w:val="center"/>
          </w:tcPr>
          <w:p>
            <w:pPr>
              <w:snapToGrid w:val="0"/>
              <w:spacing w:before="50" w:after="50" w:line="360" w:lineRule="auto"/>
              <w:jc w:val="center"/>
              <w:rPr>
                <w:rFonts w:hint="eastAsia" w:ascii="宋体" w:hAnsi="宋体" w:eastAsia="宋体" w:cs="宋体"/>
                <w:b/>
                <w:bCs/>
                <w:color w:val="auto"/>
                <w:sz w:val="24"/>
                <w:highlight w:val="none"/>
                <w:lang w:eastAsia="zh-CN"/>
              </w:rPr>
            </w:pPr>
          </w:p>
        </w:tc>
        <w:tc>
          <w:tcPr>
            <w:tcW w:w="4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997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color w:val="auto"/>
                <w:sz w:val="24"/>
                <w:highlight w:val="none"/>
              </w:rPr>
            </w:pPr>
            <w:r>
              <w:rPr>
                <w:rFonts w:hint="eastAsia" w:ascii="宋体" w:hAnsi="宋体" w:cs="宋体"/>
                <w:color w:val="auto"/>
                <w:sz w:val="24"/>
                <w:highlight w:val="none"/>
              </w:rPr>
              <w:t>投标报价大写（人民币）：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小写：</w:t>
            </w:r>
            <w:r>
              <w:rPr>
                <w:rFonts w:hint="eastAsia" w:ascii="宋体" w:hAnsi="宋体" w:cs="宋体"/>
                <w:color w:val="auto"/>
                <w:sz w:val="24"/>
                <w:highlight w:val="none"/>
                <w:u w:val="single"/>
              </w:rPr>
              <w:t xml:space="preserve">                    </w:t>
            </w:r>
          </w:p>
        </w:tc>
      </w:tr>
    </w:tbl>
    <w:p>
      <w:pPr>
        <w:spacing w:line="360" w:lineRule="auto"/>
        <w:jc w:val="left"/>
        <w:rPr>
          <w:rFonts w:ascii="宋体" w:hAnsi="宋体" w:cs="宋体"/>
          <w:color w:val="auto"/>
          <w:sz w:val="24"/>
          <w:highlight w:val="none"/>
        </w:rPr>
      </w:pPr>
    </w:p>
    <w:p>
      <w:pPr>
        <w:spacing w:line="360" w:lineRule="auto"/>
        <w:jc w:val="left"/>
        <w:rPr>
          <w:rFonts w:ascii="宋体" w:hAnsi="宋体"/>
          <w:color w:val="auto"/>
          <w:sz w:val="24"/>
          <w:highlight w:val="none"/>
        </w:rPr>
      </w:pPr>
      <w:r>
        <w:rPr>
          <w:rFonts w:hint="eastAsia" w:ascii="宋体" w:hAnsi="宋体" w:cs="宋体"/>
          <w:color w:val="auto"/>
          <w:sz w:val="24"/>
          <w:highlight w:val="none"/>
        </w:rPr>
        <w:t>注：</w:t>
      </w:r>
      <w:r>
        <w:rPr>
          <w:rFonts w:hint="eastAsia" w:ascii="宋体" w:hAnsi="宋体"/>
          <w:color w:val="auto"/>
          <w:sz w:val="24"/>
          <w:highlight w:val="none"/>
        </w:rPr>
        <w:t>1、投标报价一栏必须填写，否则其投标作无效标处理。</w:t>
      </w:r>
    </w:p>
    <w:p>
      <w:pPr>
        <w:spacing w:line="360" w:lineRule="auto"/>
        <w:ind w:firstLine="480" w:firstLineChars="200"/>
        <w:jc w:val="left"/>
        <w:rPr>
          <w:rFonts w:ascii="宋体" w:hAnsi="宋体" w:cs="Arial"/>
          <w:bCs/>
          <w:color w:val="auto"/>
          <w:sz w:val="24"/>
          <w:highlight w:val="none"/>
        </w:rPr>
      </w:pPr>
      <w:r>
        <w:rPr>
          <w:rFonts w:hint="eastAsia" w:ascii="宋体" w:hAnsi="宋体"/>
          <w:color w:val="auto"/>
          <w:sz w:val="24"/>
          <w:highlight w:val="none"/>
        </w:rPr>
        <w:t>2、投标报价一经涂改，应在涂改处加盖单位公章或者由法定代表人或授权委托人签字或盖章，否则其投标作无效标处理。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投标报价是履行合同的最终价格，应包括规划编制费、人工费、服务成果、专用工具、印刷费、资料费、管理费、后期服务、招标代理费等本项目相关的一切费用和税金。投标人投标报价为投标人所能承受的整个项目的一次性最终最低报价，如有漏项，视同已包含在本项目投标报价中，合同总价不做调整。</w:t>
      </w:r>
    </w:p>
    <w:p>
      <w:pPr>
        <w:snapToGrid w:val="0"/>
        <w:spacing w:line="440" w:lineRule="exact"/>
        <w:ind w:firstLine="480" w:firstLineChars="200"/>
        <w:jc w:val="left"/>
        <w:rPr>
          <w:color w:val="auto"/>
          <w:highlight w:val="none"/>
        </w:rPr>
      </w:pPr>
      <w:r>
        <w:rPr>
          <w:rFonts w:hint="eastAsia" w:ascii="宋体" w:hAnsi="宋体" w:cs="宋体"/>
          <w:color w:val="auto"/>
          <w:sz w:val="24"/>
          <w:highlight w:val="none"/>
        </w:rPr>
        <w:t>4、本表格式不允许修改，否则作无效标处理。</w:t>
      </w:r>
    </w:p>
    <w:p>
      <w:pPr>
        <w:spacing w:line="440" w:lineRule="exact"/>
        <w:rPr>
          <w:rFonts w:ascii="宋体" w:hAnsi="宋体" w:cs="宋体"/>
          <w:color w:val="auto"/>
          <w:sz w:val="24"/>
          <w:highlight w:val="none"/>
          <w:u w:val="singl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法定代表人或委托代理人（签字或盖章）：</w:t>
      </w:r>
    </w:p>
    <w:p>
      <w:pPr>
        <w:spacing w:line="440" w:lineRule="exact"/>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color w:val="auto"/>
          <w:sz w:val="24"/>
          <w:highlight w:val="none"/>
        </w:rPr>
        <w:br w:type="page"/>
      </w:r>
    </w:p>
    <w:p>
      <w:pPr>
        <w:pageBreakBefore/>
        <w:spacing w:before="260" w:after="260" w:line="415" w:lineRule="auto"/>
        <w:outlineLvl w:val="1"/>
        <w:rPr>
          <w:rFonts w:ascii="宋体" w:hAnsi="宋体" w:cs="宋体"/>
          <w:bCs/>
          <w:color w:val="auto"/>
          <w:sz w:val="24"/>
          <w:highlight w:val="none"/>
        </w:rPr>
      </w:pPr>
      <w:bookmarkStart w:id="123" w:name="_Toc2049"/>
      <w:r>
        <w:rPr>
          <w:rFonts w:hint="eastAsia" w:ascii="宋体" w:hAnsi="宋体" w:cs="宋体"/>
          <w:bCs/>
          <w:color w:val="auto"/>
          <w:sz w:val="24"/>
          <w:highlight w:val="none"/>
        </w:rPr>
        <w:t>附件十五：</w:t>
      </w:r>
      <w:bookmarkEnd w:id="122"/>
      <w:bookmarkStart w:id="124" w:name="_Toc496599001"/>
      <w:r>
        <w:rPr>
          <w:rFonts w:hint="eastAsia" w:ascii="宋体" w:hAnsi="宋体" w:cs="宋体"/>
          <w:bCs/>
          <w:color w:val="auto"/>
          <w:sz w:val="24"/>
          <w:highlight w:val="none"/>
        </w:rPr>
        <w:t>中小企业声明函（工程、服务）</w:t>
      </w:r>
      <w:bookmarkEnd w:id="123"/>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中小企业声明函（工程、服务）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w:t>
      </w:r>
      <w:r>
        <w:rPr>
          <w:rFonts w:hint="eastAsia" w:ascii="宋体" w:hAnsi="宋体" w:cs="宋体"/>
          <w:color w:val="auto"/>
          <w:sz w:val="24"/>
          <w:highlight w:val="none"/>
          <w:u w:val="single"/>
        </w:rPr>
        <w:t xml:space="preserve">  （单位名称）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其他未列明行业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 xml:space="preserve">  （企业名称）  </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rPr>
        <w:t>企业</w:t>
      </w:r>
      <w:r>
        <w:rPr>
          <w:rFonts w:hint="eastAsia" w:ascii="宋体" w:hAnsi="宋体" w:cs="宋体"/>
          <w:color w:val="auto"/>
          <w:sz w:val="24"/>
          <w:szCs w:val="32"/>
          <w:highlight w:val="none"/>
        </w:rPr>
        <w:t>（请填写中型企业或小型企业或微型企业）；</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其他未列明行业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 xml:space="preserve">  （企业名称）  </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rPr>
        <w:t>企业</w:t>
      </w:r>
      <w:r>
        <w:rPr>
          <w:rFonts w:hint="eastAsia" w:ascii="宋体" w:hAnsi="宋体" w:cs="宋体"/>
          <w:color w:val="auto"/>
          <w:sz w:val="24"/>
          <w:szCs w:val="32"/>
          <w:highlight w:val="none"/>
        </w:rPr>
        <w:t>（请填写中型企业或小型企业或微型企业）；</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企业名称（盖章）：</w:t>
      </w: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备注：</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1、从业人员、营业收入、资产总额填报上一年度数据，无上一年度数据的新成立企业可不填报。</w:t>
      </w:r>
    </w:p>
    <w:p>
      <w:pPr>
        <w:pStyle w:val="10"/>
        <w:rPr>
          <w:rFonts w:ascii="宋体" w:hAnsi="宋体" w:cs="宋体"/>
          <w:b/>
          <w:bCs/>
          <w:color w:val="auto"/>
          <w:sz w:val="24"/>
          <w:highlight w:val="none"/>
        </w:rPr>
      </w:pPr>
      <w:r>
        <w:rPr>
          <w:rFonts w:hint="eastAsia" w:ascii="宋体" w:hAnsi="宋体" w:cs="宋体"/>
          <w:b/>
          <w:bCs/>
          <w:color w:val="auto"/>
          <w:sz w:val="24"/>
          <w:highlight w:val="none"/>
        </w:rPr>
        <w:t>2、本声明函将随中标结果同时公告，接受社会监督。</w:t>
      </w:r>
    </w:p>
    <w:p>
      <w:pPr>
        <w:pageBreakBefore/>
        <w:spacing w:before="260" w:after="260" w:line="415" w:lineRule="auto"/>
        <w:outlineLvl w:val="1"/>
        <w:rPr>
          <w:rFonts w:ascii="宋体" w:hAnsi="宋体" w:cs="宋体"/>
          <w:bCs/>
          <w:color w:val="auto"/>
          <w:sz w:val="24"/>
          <w:highlight w:val="none"/>
        </w:rPr>
      </w:pPr>
      <w:bookmarkStart w:id="125" w:name="_Toc18171"/>
      <w:r>
        <w:rPr>
          <w:rFonts w:hint="eastAsia" w:ascii="宋体" w:hAnsi="宋体" w:cs="宋体"/>
          <w:bCs/>
          <w:color w:val="auto"/>
          <w:sz w:val="24"/>
          <w:highlight w:val="none"/>
        </w:rPr>
        <w:t>附件十六：</w:t>
      </w:r>
      <w:bookmarkEnd w:id="124"/>
      <w:r>
        <w:rPr>
          <w:rFonts w:hint="eastAsia" w:ascii="宋体" w:hAnsi="宋体" w:cs="宋体"/>
          <w:bCs/>
          <w:color w:val="auto"/>
          <w:sz w:val="24"/>
          <w:highlight w:val="none"/>
        </w:rPr>
        <w:t>东阳市采购项目验收方案</w:t>
      </w:r>
      <w:bookmarkEnd w:id="125"/>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东阳市采购项目验收方案</w:t>
      </w:r>
    </w:p>
    <w:p>
      <w:pPr>
        <w:spacing w:before="120" w:beforeLines="50" w:after="120"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根据《政府采购法》及东阳市政府采购办东财预〔2009〕98号《关于加强政府采购管理工作的补充规定》等有关文件规定，为做好</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采购项目的验收管理工作，特制定本项目验收方案，具体如下。</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一、验收项目说明</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 xml:space="preserve">1、招标编号：               </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2、采购内容：</w:t>
      </w:r>
    </w:p>
    <w:p>
      <w:pPr>
        <w:spacing w:after="120" w:line="360" w:lineRule="auto"/>
        <w:rPr>
          <w:rFonts w:ascii="宋体" w:hAnsi="宋体" w:cs="宋体"/>
          <w:b/>
          <w:color w:val="auto"/>
          <w:sz w:val="24"/>
          <w:highlight w:val="none"/>
        </w:rPr>
      </w:pPr>
    </w:p>
    <w:p>
      <w:pPr>
        <w:spacing w:after="120"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二、验收小组人员</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1、本次验收由</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b/>
          <w:color w:val="auto"/>
          <w:sz w:val="24"/>
          <w:highlight w:val="none"/>
        </w:rPr>
        <w:t>组织。</w:t>
      </w:r>
    </w:p>
    <w:p>
      <w:pPr>
        <w:spacing w:after="120" w:line="360" w:lineRule="auto"/>
        <w:ind w:firstLine="472" w:firstLineChars="196"/>
        <w:rPr>
          <w:rFonts w:ascii="宋体" w:hAnsi="宋体" w:cs="宋体"/>
          <w:b/>
          <w:color w:val="auto"/>
          <w:sz w:val="24"/>
          <w:highlight w:val="none"/>
          <w:u w:val="single"/>
        </w:rPr>
      </w:pPr>
      <w:r>
        <w:rPr>
          <w:rFonts w:hint="eastAsia" w:ascii="宋体" w:hAnsi="宋体" w:cs="宋体"/>
          <w:b/>
          <w:color w:val="auto"/>
          <w:sz w:val="24"/>
          <w:highlight w:val="none"/>
        </w:rPr>
        <w:t>2、验收小组成员名单：</w:t>
      </w:r>
      <w:r>
        <w:rPr>
          <w:rFonts w:hint="eastAsia" w:ascii="宋体" w:hAnsi="宋体" w:cs="宋体"/>
          <w:b/>
          <w:color w:val="auto"/>
          <w:sz w:val="24"/>
          <w:highlight w:val="none"/>
          <w:u w:val="single"/>
        </w:rPr>
        <w:t xml:space="preserve">                                                       </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3、验收小组成员签名：</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 xml:space="preserve">                                                                        </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三、验收方法与内容</w:t>
      </w:r>
    </w:p>
    <w:p>
      <w:pPr>
        <w:spacing w:after="120" w:line="360" w:lineRule="auto"/>
        <w:rPr>
          <w:rFonts w:ascii="宋体" w:hAnsi="宋体" w:cs="宋体"/>
          <w:b/>
          <w:color w:val="auto"/>
          <w:sz w:val="24"/>
          <w:highlight w:val="none"/>
        </w:rPr>
      </w:pPr>
    </w:p>
    <w:p>
      <w:pPr>
        <w:spacing w:after="120"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四、验收时间</w:t>
      </w:r>
    </w:p>
    <w:p>
      <w:pPr>
        <w:spacing w:after="120" w:line="360" w:lineRule="auto"/>
        <w:rPr>
          <w:rFonts w:ascii="宋体" w:hAnsi="宋体" w:cs="宋体"/>
          <w:b/>
          <w:color w:val="auto"/>
          <w:sz w:val="24"/>
          <w:highlight w:val="none"/>
        </w:rPr>
      </w:pP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五、验收地点</w:t>
      </w:r>
    </w:p>
    <w:p>
      <w:pPr>
        <w:spacing w:after="120" w:line="360" w:lineRule="auto"/>
        <w:rPr>
          <w:rFonts w:ascii="宋体" w:hAnsi="宋体" w:cs="宋体"/>
          <w:b/>
          <w:color w:val="auto"/>
          <w:sz w:val="24"/>
          <w:highlight w:val="none"/>
        </w:rPr>
      </w:pP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六、验收程序</w:t>
      </w:r>
    </w:p>
    <w:p>
      <w:pPr>
        <w:spacing w:after="120" w:line="360" w:lineRule="auto"/>
        <w:ind w:left="479" w:leftChars="228" w:firstLine="470" w:firstLineChars="195"/>
        <w:rPr>
          <w:rFonts w:ascii="宋体" w:hAnsi="宋体" w:cs="宋体"/>
          <w:b/>
          <w:color w:val="auto"/>
          <w:sz w:val="24"/>
          <w:highlight w:val="none"/>
        </w:rPr>
      </w:pPr>
    </w:p>
    <w:p>
      <w:pPr>
        <w:spacing w:after="120" w:line="360" w:lineRule="auto"/>
        <w:ind w:left="479" w:leftChars="228" w:firstLine="470" w:firstLineChars="195"/>
        <w:rPr>
          <w:rFonts w:ascii="宋体" w:hAnsi="宋体" w:cs="宋体"/>
          <w:b/>
          <w:color w:val="auto"/>
          <w:sz w:val="24"/>
          <w:highlight w:val="none"/>
        </w:rPr>
      </w:pPr>
    </w:p>
    <w:p>
      <w:pPr>
        <w:spacing w:after="120" w:line="360" w:lineRule="auto"/>
        <w:ind w:right="-6"/>
        <w:rPr>
          <w:rFonts w:ascii="宋体" w:hAnsi="宋体" w:cs="宋体"/>
          <w:b/>
          <w:color w:val="auto"/>
          <w:sz w:val="24"/>
          <w:highlight w:val="none"/>
        </w:rPr>
      </w:pPr>
      <w:r>
        <w:rPr>
          <w:rFonts w:hint="eastAsia" w:ascii="宋体" w:hAnsi="宋体" w:cs="宋体"/>
          <w:b/>
          <w:color w:val="auto"/>
          <w:sz w:val="24"/>
          <w:highlight w:val="none"/>
        </w:rPr>
        <w:t xml:space="preserve">                                            采购单位（盖章）：</w:t>
      </w:r>
    </w:p>
    <w:p>
      <w:pPr>
        <w:spacing w:after="120" w:line="360" w:lineRule="auto"/>
        <w:ind w:right="960" w:firstLine="470" w:firstLineChars="196"/>
        <w:jc w:val="right"/>
        <w:rPr>
          <w:rFonts w:ascii="宋体" w:hAnsi="宋体" w:cs="宋体"/>
          <w:color w:val="auto"/>
          <w:sz w:val="24"/>
          <w:highlight w:val="none"/>
        </w:rPr>
      </w:pPr>
      <w:r>
        <w:rPr>
          <w:rFonts w:hint="eastAsia" w:ascii="宋体" w:hAnsi="宋体" w:cs="宋体"/>
          <w:color w:val="auto"/>
          <w:sz w:val="24"/>
          <w:highlight w:val="none"/>
        </w:rPr>
        <w:t>年  月  日</w:t>
      </w:r>
    </w:p>
    <w:p>
      <w:pPr>
        <w:pageBreakBefore/>
        <w:spacing w:before="260" w:after="260" w:line="415" w:lineRule="auto"/>
        <w:outlineLvl w:val="1"/>
        <w:rPr>
          <w:rFonts w:ascii="宋体" w:hAnsi="宋体" w:cs="宋体"/>
          <w:bCs/>
          <w:color w:val="auto"/>
          <w:sz w:val="24"/>
          <w:highlight w:val="none"/>
        </w:rPr>
      </w:pPr>
      <w:bookmarkStart w:id="126" w:name="_Toc496599002"/>
      <w:bookmarkStart w:id="127" w:name="_Toc30812"/>
      <w:r>
        <w:rPr>
          <w:rFonts w:hint="eastAsia" w:ascii="宋体" w:hAnsi="宋体" w:cs="宋体"/>
          <w:bCs/>
          <w:color w:val="auto"/>
          <w:sz w:val="24"/>
          <w:highlight w:val="none"/>
        </w:rPr>
        <w:t>附件十七：</w:t>
      </w:r>
      <w:bookmarkEnd w:id="126"/>
      <w:r>
        <w:rPr>
          <w:rFonts w:hint="eastAsia" w:ascii="宋体" w:hAnsi="宋体" w:cs="宋体"/>
          <w:bCs/>
          <w:color w:val="auto"/>
          <w:sz w:val="24"/>
          <w:highlight w:val="none"/>
        </w:rPr>
        <w:t>东阳市政府采购代理机构社会评价表</w:t>
      </w:r>
      <w:bookmarkEnd w:id="127"/>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东阳市政府采购代理机构社会评价表</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代理机构名称： </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填表人类别</w:t>
            </w:r>
          </w:p>
        </w:tc>
        <w:tc>
          <w:tcPr>
            <w:tcW w:w="7938" w:type="dxa"/>
            <w:gridSpan w:val="6"/>
            <w:tcBorders>
              <w:top w:val="single" w:color="auto" w:sz="4" w:space="0"/>
              <w:left w:val="nil"/>
              <w:bottom w:val="single" w:color="auto" w:sz="4" w:space="0"/>
              <w:right w:val="single" w:color="auto" w:sz="4" w:space="0"/>
            </w:tcBorders>
            <w:vAlign w:val="center"/>
          </w:tcPr>
          <w:p>
            <w:pPr>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填表人名称或姓名</w:t>
            </w:r>
          </w:p>
        </w:tc>
        <w:tc>
          <w:tcPr>
            <w:tcW w:w="4266"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c>
          <w:tcPr>
            <w:tcW w:w="7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地址</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47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c>
          <w:tcPr>
            <w:tcW w:w="69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电话</w:t>
            </w:r>
          </w:p>
        </w:tc>
        <w:tc>
          <w:tcPr>
            <w:tcW w:w="210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c>
          <w:tcPr>
            <w:tcW w:w="78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传真</w:t>
            </w:r>
          </w:p>
        </w:tc>
        <w:tc>
          <w:tcPr>
            <w:tcW w:w="2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项目</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kern w:val="0"/>
                <w:sz w:val="24"/>
                <w:highlight w:val="none"/>
              </w:rPr>
            </w:pPr>
            <w:r>
              <w:rPr>
                <w:rFonts w:hint="eastAsia" w:ascii="宋体" w:hAnsi="宋体" w:cs="宋体"/>
                <w:color w:val="auto"/>
                <w:sz w:val="24"/>
                <w:highlight w:val="none"/>
              </w:rPr>
              <w:t>是否严格执行政府采购纪律、法规和规章制度等（2分）。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kern w:val="0"/>
                <w:sz w:val="24"/>
                <w:highlight w:val="none"/>
              </w:rPr>
            </w:pPr>
            <w:r>
              <w:rPr>
                <w:rFonts w:hint="eastAsia" w:ascii="宋体" w:hAnsi="宋体" w:cs="宋体"/>
                <w:color w:val="auto"/>
                <w:sz w:val="24"/>
                <w:highlight w:val="none"/>
              </w:rPr>
              <w:t>操作程序是否规范，采购行为、过程、结果是否公开、公平、公正，采购组织管理是否规范严谨（2分）</w:t>
            </w:r>
            <w:r>
              <w:rPr>
                <w:rFonts w:hint="eastAsia" w:ascii="宋体" w:hAnsi="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kern w:val="0"/>
                <w:sz w:val="24"/>
                <w:highlight w:val="none"/>
              </w:rPr>
            </w:pPr>
            <w:r>
              <w:rPr>
                <w:rFonts w:hint="eastAsia" w:ascii="宋体" w:hAnsi="宋体" w:cs="宋体"/>
                <w:color w:val="auto"/>
                <w:sz w:val="24"/>
                <w:highlight w:val="none"/>
              </w:rPr>
              <w:t>是否及时组织采购，是否有承诺办事时间并能限时办结（2分）</w:t>
            </w:r>
            <w:r>
              <w:rPr>
                <w:rFonts w:hint="eastAsia" w:ascii="宋体" w:hAnsi="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是否能积极</w:t>
            </w:r>
            <w:r>
              <w:rPr>
                <w:rFonts w:hint="eastAsia" w:ascii="宋体" w:hAnsi="宋体" w:cs="宋体"/>
                <w:color w:val="auto"/>
                <w:kern w:val="0"/>
                <w:sz w:val="24"/>
                <w:highlight w:val="none"/>
              </w:rPr>
              <w:t>主动</w:t>
            </w:r>
            <w:r>
              <w:rPr>
                <w:rFonts w:hint="eastAsia" w:ascii="宋体" w:hAnsi="宋体" w:cs="宋体"/>
                <w:color w:val="auto"/>
                <w:sz w:val="24"/>
                <w:highlight w:val="none"/>
              </w:rPr>
              <w:t>与当事人沟通</w:t>
            </w:r>
            <w:r>
              <w:rPr>
                <w:rFonts w:hint="eastAsia" w:ascii="宋体" w:hAnsi="宋体" w:cs="宋体"/>
                <w:color w:val="auto"/>
                <w:kern w:val="0"/>
                <w:sz w:val="24"/>
                <w:highlight w:val="none"/>
              </w:rPr>
              <w:t>对接；对采购政策进行详细解读；</w:t>
            </w:r>
            <w:r>
              <w:rPr>
                <w:rFonts w:hint="eastAsia" w:ascii="宋体" w:hAnsi="宋体" w:cs="宋体"/>
                <w:color w:val="auto"/>
                <w:sz w:val="24"/>
                <w:highlight w:val="none"/>
              </w:rPr>
              <w:t>咨询答复是否热情周到、耐心细致（2分）</w:t>
            </w:r>
            <w:r>
              <w:rPr>
                <w:rFonts w:hint="eastAsia" w:ascii="宋体" w:hAnsi="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采购的质量、服务是否满意（2分）。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合计</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对代理机构的意见和建议</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r>
    </w:tbl>
    <w:p>
      <w:pPr>
        <w:spacing w:after="120"/>
        <w:ind w:right="1240"/>
        <w:rPr>
          <w:rFonts w:ascii="宋体" w:hAnsi="宋体" w:cs="宋体"/>
          <w:color w:val="auto"/>
          <w:sz w:val="24"/>
          <w:highlight w:val="none"/>
        </w:rPr>
      </w:pPr>
      <w:r>
        <w:rPr>
          <w:rFonts w:hint="eastAsia" w:ascii="宋体" w:hAnsi="宋体" w:cs="宋体"/>
          <w:color w:val="auto"/>
          <w:sz w:val="24"/>
          <w:highlight w:val="none"/>
        </w:rPr>
        <w:t>填表人签字盖章：                    日期</w:t>
      </w:r>
    </w:p>
    <w:p>
      <w:pPr>
        <w:spacing w:after="120"/>
        <w:ind w:right="-154"/>
        <w:rPr>
          <w:rFonts w:ascii="宋体" w:hAnsi="宋体" w:cs="宋体"/>
          <w:color w:val="auto"/>
          <w:szCs w:val="21"/>
          <w:highlight w:val="none"/>
        </w:rPr>
      </w:pPr>
      <w:r>
        <w:rPr>
          <w:rFonts w:hint="eastAsia" w:ascii="宋体" w:hAnsi="宋体" w:cs="宋体"/>
          <w:color w:val="auto"/>
          <w:szCs w:val="21"/>
          <w:highlight w:val="none"/>
        </w:rPr>
        <w:t>注：投标单位须加盖单位红章。</w:t>
      </w:r>
    </w:p>
    <w:p>
      <w:pPr>
        <w:pStyle w:val="2"/>
        <w:rPr>
          <w:rFonts w:ascii="宋体" w:hAnsi="宋体" w:eastAsia="宋体" w:cs="宋体"/>
          <w:b w:val="0"/>
          <w:color w:val="auto"/>
          <w:sz w:val="24"/>
          <w:szCs w:val="24"/>
          <w:highlight w:val="none"/>
        </w:rPr>
      </w:pPr>
      <w:bookmarkStart w:id="128" w:name="_Toc25847"/>
      <w:bookmarkStart w:id="129" w:name="_Toc22142"/>
      <w:r>
        <w:rPr>
          <w:rFonts w:hint="eastAsia" w:ascii="宋体" w:hAnsi="宋体" w:eastAsia="宋体" w:cs="宋体"/>
          <w:b w:val="0"/>
          <w:color w:val="auto"/>
          <w:sz w:val="24"/>
          <w:szCs w:val="24"/>
          <w:highlight w:val="none"/>
        </w:rPr>
        <w:t>附件十八：办理保函需提供资料</w:t>
      </w:r>
      <w:bookmarkEnd w:id="128"/>
      <w:bookmarkEnd w:id="129"/>
    </w:p>
    <w:p>
      <w:pPr>
        <w:spacing w:after="120"/>
        <w:ind w:right="-154"/>
        <w:rPr>
          <w:rFonts w:ascii="宋体" w:hAnsi="宋体" w:cs="宋体"/>
          <w:color w:val="auto"/>
          <w:sz w:val="24"/>
          <w:highlight w:val="none"/>
        </w:rPr>
      </w:pPr>
    </w:p>
    <w:p>
      <w:pPr>
        <w:spacing w:after="120"/>
        <w:ind w:right="-154"/>
        <w:jc w:val="center"/>
        <w:rPr>
          <w:rFonts w:ascii="宋体" w:hAnsi="宋体" w:cs="宋体"/>
          <w:b/>
          <w:color w:val="auto"/>
          <w:sz w:val="24"/>
          <w:highlight w:val="none"/>
        </w:rPr>
      </w:pPr>
      <w:r>
        <w:rPr>
          <w:rFonts w:hint="eastAsia" w:ascii="宋体" w:hAnsi="宋体" w:cs="宋体"/>
          <w:b/>
          <w:color w:val="auto"/>
          <w:sz w:val="24"/>
          <w:highlight w:val="none"/>
        </w:rPr>
        <w:t>办理保函需提供资料</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营业执照</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法人身份证</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近两年财务报表</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资质证书或安装，维修证书</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中标通知书</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招标文件电子版</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信用反担保函</w:t>
      </w:r>
    </w:p>
    <w:p>
      <w:pPr>
        <w:spacing w:line="800" w:lineRule="exact"/>
        <w:jc w:val="left"/>
        <w:rPr>
          <w:rFonts w:ascii="宋体" w:hAnsi="宋体" w:cs="宋体"/>
          <w:color w:val="auto"/>
          <w:sz w:val="24"/>
          <w:highlight w:val="none"/>
        </w:rPr>
      </w:pPr>
      <w:r>
        <w:rPr>
          <w:rFonts w:hint="eastAsia" w:ascii="宋体" w:hAnsi="宋体" w:cs="宋体"/>
          <w:color w:val="auto"/>
          <w:sz w:val="24"/>
          <w:highlight w:val="none"/>
        </w:rPr>
        <w:t>注：所有资料复印件加盖公章</w:t>
      </w: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pageBreakBefore/>
        <w:spacing w:line="360" w:lineRule="auto"/>
        <w:jc w:val="center"/>
        <w:rPr>
          <w:rFonts w:ascii="宋体" w:hAnsi="宋体" w:cs="宋体"/>
          <w:color w:val="auto"/>
          <w:sz w:val="24"/>
          <w:highlight w:val="none"/>
        </w:rPr>
      </w:pPr>
      <w:r>
        <w:rPr>
          <w:rFonts w:hint="eastAsia" w:ascii="宋体" w:hAnsi="宋体" w:cs="宋体"/>
          <w:color w:val="auto"/>
          <w:sz w:val="24"/>
          <w:highlight w:val="none"/>
        </w:rPr>
        <w:t>信用反担保保证函</w:t>
      </w:r>
    </w:p>
    <w:p>
      <w:pPr>
        <w:spacing w:line="520" w:lineRule="exact"/>
        <w:rPr>
          <w:rFonts w:ascii="宋体" w:hAnsi="宋体" w:cs="宋体"/>
          <w:color w:val="auto"/>
          <w:sz w:val="24"/>
          <w:highlight w:val="none"/>
        </w:rPr>
      </w:pPr>
      <w:r>
        <w:rPr>
          <w:rFonts w:hint="eastAsia" w:ascii="宋体" w:hAnsi="宋体" w:cs="宋体"/>
          <w:color w:val="auto"/>
          <w:sz w:val="24"/>
          <w:highlight w:val="none"/>
        </w:rPr>
        <w:t>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w:t>
      </w:r>
    </w:p>
    <w:p>
      <w:pPr>
        <w:spacing w:line="520" w:lineRule="exact"/>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鉴于中国人民财产保险股份有限公司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支公司向</w:t>
      </w:r>
    </w:p>
    <w:p>
      <w:pPr>
        <w:spacing w:line="520" w:lineRule="exact"/>
        <w:ind w:firstLine="482" w:firstLineChars="200"/>
        <w:jc w:val="left"/>
        <w:rPr>
          <w:rFonts w:ascii="宋体" w:hAnsi="宋体" w:cs="宋体"/>
          <w:color w:val="auto"/>
          <w:sz w:val="24"/>
          <w:highlight w:val="none"/>
          <w:u w:val="single"/>
        </w:rPr>
      </w:pP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公司出具《供货履约保证保险》保单（保单编号：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），并承担相应的保险责任（具体以保险合同条款为准），最高保险金额为人民币（大写）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）；为促进该业务的良好开展，</w:t>
      </w:r>
      <w:r>
        <w:rPr>
          <w:rFonts w:hint="eastAsia" w:ascii="宋体" w:hAnsi="宋体" w:cs="宋体"/>
          <w:color w:val="auto"/>
          <w:sz w:val="24"/>
          <w:highlight w:val="none"/>
          <w:u w:val="single"/>
        </w:rPr>
        <w:t xml:space="preserve">                                                     </w:t>
      </w:r>
    </w:p>
    <w:p>
      <w:pPr>
        <w:spacing w:line="520" w:lineRule="exact"/>
        <w:rPr>
          <w:rFonts w:ascii="宋体" w:hAnsi="宋体" w:cs="宋体"/>
          <w:color w:val="auto"/>
          <w:sz w:val="24"/>
          <w:highlight w:val="none"/>
        </w:rPr>
      </w:pPr>
      <w:r>
        <w:rPr>
          <w:rFonts w:hint="eastAsia" w:ascii="宋体" w:hAnsi="宋体" w:cs="宋体"/>
          <w:color w:val="auto"/>
          <w:sz w:val="24"/>
          <w:highlight w:val="none"/>
        </w:rPr>
        <w:t>有限责任公司（以下称本信用反担保保证人）愿意为中国人民财产保险股份有限公司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支公司在保险合同项下的一系列保险保障提供信用反担保保证，同意履行以下保证内容：</w:t>
      </w:r>
    </w:p>
    <w:p>
      <w:pPr>
        <w:spacing w:line="5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一、 本信用反担保保证人同意承担的保证范围：</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支公司承保的保单号为：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的供货履约保证保险合同约定的保险责任、保险金额和履行保证责任而实际发生的费用（包括但不限于诉讼费、公告费、保全费、律师费等）及损失；</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（二）本信用反担保保证人承担保证责任的方式为连带保证责任。</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二、本信用反担保保证人承担的保证期间为：从中国人民财产保险股份有限公司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支公司与本信用反担保保证人签订的保险合同生效之日起，至保险合同结束之日起的两年届满时止。</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支公司所承保的《供货履约保证保险》合同发生保险事故后，有权要求本信用反担保保证人优先履行偿债责任，且优先偿债比例为100%。</w:t>
      </w:r>
    </w:p>
    <w:p>
      <w:pPr>
        <w:spacing w:line="520" w:lineRule="exact"/>
        <w:ind w:left="560"/>
        <w:rPr>
          <w:rFonts w:ascii="宋体" w:hAnsi="宋体" w:cs="宋体"/>
          <w:color w:val="auto"/>
          <w:sz w:val="24"/>
          <w:highlight w:val="none"/>
        </w:rPr>
      </w:pPr>
      <w:r>
        <w:rPr>
          <w:rFonts w:hint="eastAsia" w:ascii="宋体" w:hAnsi="宋体" w:cs="宋体"/>
          <w:color w:val="auto"/>
          <w:sz w:val="24"/>
          <w:highlight w:val="none"/>
        </w:rPr>
        <w:t>四、本信用反担保保证人放弃反担保措施的优先偿债抗辩权。</w:t>
      </w:r>
    </w:p>
    <w:p>
      <w:pPr>
        <w:spacing w:line="520" w:lineRule="exact"/>
        <w:rPr>
          <w:rFonts w:ascii="宋体" w:hAnsi="宋体" w:cs="宋体"/>
          <w:color w:val="auto"/>
          <w:sz w:val="24"/>
          <w:highlight w:val="none"/>
        </w:rPr>
      </w:pPr>
    </w:p>
    <w:p>
      <w:pPr>
        <w:spacing w:line="520" w:lineRule="exact"/>
        <w:rPr>
          <w:rFonts w:ascii="宋体" w:hAnsi="宋体" w:cs="宋体"/>
          <w:color w:val="auto"/>
          <w:sz w:val="24"/>
          <w:highlight w:val="none"/>
        </w:rPr>
      </w:pPr>
      <w:r>
        <w:rPr>
          <w:rFonts w:hint="eastAsia" w:ascii="宋体" w:hAnsi="宋体" w:cs="宋体"/>
          <w:color w:val="auto"/>
          <w:sz w:val="24"/>
          <w:highlight w:val="none"/>
        </w:rPr>
        <w:t>信用反担保保证人：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520" w:lineRule="exact"/>
        <w:ind w:left="4680" w:hanging="4680" w:hangingChars="1950"/>
        <w:rPr>
          <w:rFonts w:ascii="宋体" w:hAnsi="宋体" w:cs="宋体"/>
          <w:color w:val="auto"/>
          <w:sz w:val="24"/>
          <w:highlight w:val="none"/>
        </w:rPr>
      </w:pPr>
    </w:p>
    <w:p>
      <w:pPr>
        <w:spacing w:line="520" w:lineRule="exact"/>
        <w:ind w:left="5460" w:leftChars="2600" w:firstLine="360" w:firstLineChars="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rPr>
          <w:rFonts w:ascii="宋体" w:hAnsi="宋体" w:cs="宋体"/>
          <w:color w:val="auto"/>
          <w:sz w:val="24"/>
          <w:highlight w:val="none"/>
        </w:rPr>
      </w:pPr>
    </w:p>
    <w:p>
      <w:pPr>
        <w:pStyle w:val="11"/>
        <w:ind w:firstLine="600"/>
        <w:rPr>
          <w:color w:val="auto"/>
          <w:highlight w:val="none"/>
        </w:rPr>
      </w:pPr>
    </w:p>
    <w:p>
      <w:pPr>
        <w:pStyle w:val="2"/>
        <w:keepNext w:val="0"/>
        <w:keepLines w:val="0"/>
        <w:pageBreakBefore/>
        <w:rPr>
          <w:rFonts w:ascii="宋体" w:hAnsi="宋体" w:eastAsia="宋体" w:cs="宋体"/>
          <w:b w:val="0"/>
          <w:color w:val="auto"/>
          <w:sz w:val="24"/>
          <w:highlight w:val="none"/>
        </w:rPr>
      </w:pPr>
      <w:bookmarkStart w:id="130" w:name="_Toc24160"/>
      <w:bookmarkStart w:id="131" w:name="_Toc28082"/>
      <w:bookmarkStart w:id="132" w:name="_Toc2489"/>
      <w:r>
        <w:rPr>
          <w:rFonts w:hint="eastAsia" w:ascii="宋体" w:hAnsi="宋体" w:eastAsia="宋体" w:cs="宋体"/>
          <w:b w:val="0"/>
          <w:color w:val="auto"/>
          <w:sz w:val="24"/>
          <w:highlight w:val="none"/>
        </w:rPr>
        <w:t>附件十九：质疑函范本</w:t>
      </w:r>
      <w:bookmarkEnd w:id="130"/>
      <w:bookmarkEnd w:id="131"/>
      <w:bookmarkEnd w:id="132"/>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质疑函范本</w:t>
      </w:r>
    </w:p>
    <w:p>
      <w:pPr>
        <w:adjustRightInd w:val="0"/>
        <w:snapToGrid w:val="0"/>
        <w:spacing w:before="240" w:beforeLines="100" w:line="360" w:lineRule="auto"/>
        <w:rPr>
          <w:rFonts w:ascii="宋体" w:hAnsi="宋体" w:cs="宋体"/>
          <w:bCs/>
          <w:color w:val="auto"/>
          <w:sz w:val="28"/>
          <w:szCs w:val="28"/>
          <w:highlight w:val="none"/>
        </w:rPr>
      </w:pPr>
      <w:r>
        <w:rPr>
          <w:rFonts w:hint="eastAsia" w:ascii="宋体" w:hAnsi="宋体" w:cs="宋体"/>
          <w:bCs/>
          <w:color w:val="auto"/>
          <w:sz w:val="32"/>
          <w:szCs w:val="32"/>
          <w:highlight w:val="none"/>
        </w:rPr>
        <w:t>一</w:t>
      </w:r>
      <w:r>
        <w:rPr>
          <w:rFonts w:hint="eastAsia" w:ascii="宋体" w:hAnsi="宋体" w:cs="宋体"/>
          <w:bCs/>
          <w:color w:val="auto"/>
          <w:sz w:val="28"/>
          <w:szCs w:val="28"/>
          <w:highlight w:val="none"/>
        </w:rPr>
        <w:t>、质疑供应商基本信息</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质疑供应商：</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地址：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授权代表：</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 xml:space="preserve">地址： </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二、质疑项目基本情况</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质疑项目的名称：</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质疑项目的编号：</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包号：</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采购人名称：</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采购文件获取日期：</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三、质疑事项具体内容</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质疑事项1：</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事实依据：</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法律依据：</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质疑事项2</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四、与质疑事项相关的质疑请求</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请求：</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签字(签章)：                   公章：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日期：    </w:t>
      </w:r>
    </w:p>
    <w:p>
      <w:pPr>
        <w:adjustRightInd w:val="0"/>
        <w:snapToGrid w:val="0"/>
        <w:spacing w:line="360" w:lineRule="auto"/>
        <w:rPr>
          <w:rFonts w:ascii="宋体" w:hAnsi="宋体" w:cs="宋体"/>
          <w:color w:val="auto"/>
          <w:sz w:val="28"/>
          <w:szCs w:val="28"/>
          <w:highlight w:val="none"/>
        </w:rPr>
      </w:pPr>
    </w:p>
    <w:p>
      <w:pPr>
        <w:adjustRightInd w:val="0"/>
        <w:snapToGrid w:val="0"/>
        <w:spacing w:line="360" w:lineRule="auto"/>
        <w:rPr>
          <w:rFonts w:ascii="宋体" w:hAnsi="宋体" w:cs="宋体"/>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ind w:firstLine="480" w:firstLineChars="200"/>
        <w:jc w:val="left"/>
        <w:rPr>
          <w:rFonts w:ascii="宋体" w:hAnsi="宋体" w:cs="宋体"/>
          <w:color w:val="auto"/>
          <w:sz w:val="28"/>
          <w:szCs w:val="28"/>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rPr>
          <w:rFonts w:ascii="宋体" w:hAnsi="宋体" w:cs="宋体"/>
          <w:color w:val="auto"/>
          <w:sz w:val="20"/>
          <w:szCs w:val="22"/>
          <w:highlight w:val="none"/>
        </w:rPr>
      </w:pPr>
    </w:p>
    <w:p>
      <w:pPr>
        <w:pStyle w:val="11"/>
        <w:ind w:firstLine="560"/>
        <w:rPr>
          <w:rFonts w:ascii="宋体" w:hAnsi="宋体" w:eastAsia="宋体" w:cs="宋体"/>
          <w:color w:val="auto"/>
          <w:sz w:val="28"/>
          <w:szCs w:val="22"/>
          <w:highlight w:val="none"/>
        </w:rPr>
      </w:pPr>
    </w:p>
    <w:p>
      <w:pPr>
        <w:pStyle w:val="12"/>
        <w:rPr>
          <w:rFonts w:ascii="宋体" w:hAnsi="宋体" w:cs="宋体"/>
          <w:color w:val="auto"/>
          <w:sz w:val="20"/>
          <w:szCs w:val="22"/>
          <w:highlight w:val="none"/>
        </w:rPr>
      </w:pPr>
    </w:p>
    <w:p>
      <w:pPr>
        <w:rPr>
          <w:rFonts w:ascii="宋体" w:hAnsi="宋体" w:cs="宋体"/>
          <w:color w:val="auto"/>
          <w:sz w:val="20"/>
          <w:szCs w:val="22"/>
          <w:highlight w:val="none"/>
        </w:rPr>
      </w:pPr>
    </w:p>
    <w:p>
      <w:pPr>
        <w:pStyle w:val="2"/>
        <w:keepNext w:val="0"/>
        <w:keepLines w:val="0"/>
        <w:pageBreakBefore/>
        <w:rPr>
          <w:rFonts w:ascii="宋体" w:hAnsi="宋体" w:eastAsia="宋体" w:cs="宋体"/>
          <w:b w:val="0"/>
          <w:color w:val="auto"/>
          <w:sz w:val="24"/>
          <w:highlight w:val="none"/>
        </w:rPr>
      </w:pPr>
      <w:bookmarkStart w:id="133" w:name="_Toc32533"/>
      <w:bookmarkStart w:id="134" w:name="_Toc14840"/>
      <w:bookmarkStart w:id="135" w:name="_Toc28792"/>
      <w:r>
        <w:rPr>
          <w:rFonts w:hint="eastAsia" w:ascii="宋体" w:hAnsi="宋体" w:eastAsia="宋体" w:cs="宋体"/>
          <w:b w:val="0"/>
          <w:color w:val="auto"/>
          <w:sz w:val="24"/>
          <w:highlight w:val="none"/>
        </w:rPr>
        <w:t>附件二十：投诉书范本</w:t>
      </w:r>
      <w:bookmarkEnd w:id="133"/>
      <w:bookmarkEnd w:id="134"/>
      <w:bookmarkEnd w:id="135"/>
    </w:p>
    <w:p>
      <w:pPr>
        <w:jc w:val="center"/>
        <w:rPr>
          <w:rFonts w:ascii="宋体" w:hAnsi="宋体" w:cs="宋体"/>
          <w:b/>
          <w:color w:val="auto"/>
          <w:sz w:val="40"/>
          <w:szCs w:val="40"/>
          <w:highlight w:val="none"/>
        </w:rPr>
      </w:pPr>
      <w:r>
        <w:rPr>
          <w:rFonts w:hint="eastAsia" w:ascii="宋体" w:hAnsi="宋体" w:cs="宋体"/>
          <w:b/>
          <w:color w:val="auto"/>
          <w:sz w:val="40"/>
          <w:szCs w:val="40"/>
          <w:highlight w:val="none"/>
        </w:rPr>
        <w:t>投诉书范本</w:t>
      </w:r>
    </w:p>
    <w:p>
      <w:pPr>
        <w:rPr>
          <w:rFonts w:ascii="宋体" w:hAnsi="宋体" w:cs="宋体"/>
          <w:color w:val="auto"/>
          <w:sz w:val="28"/>
          <w:szCs w:val="28"/>
          <w:highlight w:val="none"/>
        </w:rPr>
      </w:pPr>
      <w:r>
        <w:rPr>
          <w:rFonts w:hint="eastAsia" w:ascii="宋体" w:hAnsi="宋体" w:cs="宋体"/>
          <w:color w:val="auto"/>
          <w:sz w:val="28"/>
          <w:szCs w:val="28"/>
          <w:highlight w:val="none"/>
        </w:rPr>
        <w:t>一、投诉相关主体基本情况</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投诉人：</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tabs>
          <w:tab w:val="left" w:pos="6510"/>
        </w:tabs>
        <w:jc w:val="left"/>
        <w:rPr>
          <w:rFonts w:ascii="宋体" w:hAnsi="宋体" w:cs="宋体"/>
          <w:color w:val="auto"/>
          <w:sz w:val="28"/>
          <w:szCs w:val="28"/>
          <w:highlight w:val="none"/>
        </w:rPr>
      </w:pPr>
      <w:r>
        <w:rPr>
          <w:rFonts w:hint="eastAsia" w:ascii="宋体" w:hAnsi="宋体" w:cs="宋体"/>
          <w:color w:val="auto"/>
          <w:sz w:val="28"/>
          <w:szCs w:val="28"/>
          <w:highlight w:val="none"/>
        </w:rPr>
        <w:t>法定代表人/主要负责人：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tabs>
          <w:tab w:val="left" w:pos="6510"/>
        </w:tabs>
        <w:rPr>
          <w:rFonts w:ascii="宋体" w:hAnsi="宋体" w:cs="宋体"/>
          <w:color w:val="auto"/>
          <w:sz w:val="28"/>
          <w:szCs w:val="28"/>
          <w:highlight w:val="none"/>
          <w:u w:val="dotted"/>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授权代表：</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被投诉人1：</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被投诉人2</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相关供应商：</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二、投诉项目基本情况</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采购项目名称：</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采购项目编号：</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包号：</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采购人名称：</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代理机构名称：</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采购文件公告:</w:t>
      </w:r>
      <w:r>
        <w:rPr>
          <w:rFonts w:hint="eastAsia" w:ascii="宋体" w:hAnsi="宋体" w:cs="宋体"/>
          <w:color w:val="auto"/>
          <w:sz w:val="28"/>
          <w:szCs w:val="28"/>
          <w:highlight w:val="none"/>
          <w:u w:val="dotted"/>
        </w:rPr>
        <w:t xml:space="preserve">是/否 </w:t>
      </w:r>
      <w:r>
        <w:rPr>
          <w:rFonts w:hint="eastAsia" w:ascii="宋体" w:hAnsi="宋体" w:cs="宋体"/>
          <w:color w:val="auto"/>
          <w:sz w:val="28"/>
          <w:szCs w:val="28"/>
          <w:highlight w:val="none"/>
        </w:rPr>
        <w:t>公告期限：</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采购结果公告:</w:t>
      </w:r>
      <w:r>
        <w:rPr>
          <w:rFonts w:hint="eastAsia" w:ascii="宋体" w:hAnsi="宋体" w:cs="宋体"/>
          <w:color w:val="auto"/>
          <w:sz w:val="28"/>
          <w:szCs w:val="28"/>
          <w:highlight w:val="none"/>
          <w:u w:val="dotted"/>
        </w:rPr>
        <w:t xml:space="preserve">是/否 </w:t>
      </w:r>
      <w:r>
        <w:rPr>
          <w:rFonts w:hint="eastAsia" w:ascii="宋体" w:hAnsi="宋体" w:cs="宋体"/>
          <w:color w:val="auto"/>
          <w:sz w:val="28"/>
          <w:szCs w:val="28"/>
          <w:highlight w:val="none"/>
        </w:rPr>
        <w:t>公告期限：</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三、质疑基本情况</w:t>
      </w:r>
    </w:p>
    <w:p>
      <w:pPr>
        <w:ind w:firstLine="560" w:firstLineChars="200"/>
        <w:rPr>
          <w:rFonts w:ascii="宋体" w:hAnsi="宋体" w:cs="宋体"/>
          <w:color w:val="auto"/>
          <w:sz w:val="28"/>
          <w:szCs w:val="28"/>
          <w:highlight w:val="none"/>
          <w:u w:val="dotted"/>
        </w:rPr>
      </w:pPr>
      <w:r>
        <w:rPr>
          <w:rFonts w:hint="eastAsia" w:ascii="宋体" w:hAnsi="宋体" w:cs="宋体"/>
          <w:color w:val="auto"/>
          <w:sz w:val="28"/>
          <w:szCs w:val="28"/>
          <w:highlight w:val="none"/>
        </w:rPr>
        <w:t>投诉人于</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日,向</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提出质疑，质疑事项为：</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u w:val="dotted"/>
        </w:rPr>
        <w:t>采购人/代理机构</w:t>
      </w:r>
      <w:r>
        <w:rPr>
          <w:rFonts w:hint="eastAsia" w:ascii="宋体" w:hAnsi="宋体" w:cs="宋体"/>
          <w:color w:val="auto"/>
          <w:sz w:val="28"/>
          <w:szCs w:val="28"/>
          <w:highlight w:val="none"/>
        </w:rPr>
        <w:t>于</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日,就质疑事项作出了答复/没有在法定期限内作出答复。</w:t>
      </w:r>
    </w:p>
    <w:p>
      <w:pPr>
        <w:rPr>
          <w:rFonts w:ascii="宋体" w:hAnsi="宋体" w:cs="宋体"/>
          <w:color w:val="auto"/>
          <w:sz w:val="28"/>
          <w:szCs w:val="28"/>
          <w:highlight w:val="none"/>
        </w:rPr>
      </w:pPr>
      <w:r>
        <w:rPr>
          <w:rFonts w:hint="eastAsia" w:ascii="宋体" w:hAnsi="宋体" w:cs="宋体"/>
          <w:color w:val="auto"/>
          <w:sz w:val="28"/>
          <w:szCs w:val="28"/>
          <w:highlight w:val="none"/>
        </w:rPr>
        <w:t>四、投诉事项具体内容</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投诉事项 1：</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事实依据：</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法律依据：</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投诉事项2</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w:t>
      </w:r>
    </w:p>
    <w:p>
      <w:pPr>
        <w:rPr>
          <w:rFonts w:ascii="宋体" w:hAnsi="宋体" w:cs="宋体"/>
          <w:color w:val="auto"/>
          <w:sz w:val="28"/>
          <w:szCs w:val="28"/>
          <w:highlight w:val="none"/>
        </w:rPr>
      </w:pPr>
      <w:r>
        <w:rPr>
          <w:rFonts w:hint="eastAsia" w:ascii="宋体" w:hAnsi="宋体" w:cs="宋体"/>
          <w:color w:val="auto"/>
          <w:sz w:val="28"/>
          <w:szCs w:val="28"/>
          <w:highlight w:val="none"/>
        </w:rPr>
        <w:t>五、与投诉事项相关的投诉请求</w:t>
      </w:r>
    </w:p>
    <w:p>
      <w:pPr>
        <w:rPr>
          <w:rFonts w:ascii="宋体" w:hAnsi="宋体" w:cs="宋体"/>
          <w:color w:val="auto"/>
          <w:sz w:val="28"/>
          <w:szCs w:val="28"/>
          <w:highlight w:val="none"/>
        </w:rPr>
      </w:pPr>
      <w:r>
        <w:rPr>
          <w:rFonts w:hint="eastAsia" w:ascii="宋体" w:hAnsi="宋体" w:cs="宋体"/>
          <w:color w:val="auto"/>
          <w:sz w:val="28"/>
          <w:szCs w:val="28"/>
          <w:highlight w:val="none"/>
        </w:rPr>
        <w:t>请求：</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签字(签章)：                   公章：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日期：    </w:t>
      </w: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jc w:val="left"/>
        <w:rPr>
          <w:rFonts w:ascii="宋体" w:hAnsi="宋体" w:cs="宋体"/>
          <w:b/>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b/>
          <w:color w:val="auto"/>
          <w:sz w:val="28"/>
          <w:szCs w:val="28"/>
          <w:highlight w:val="none"/>
        </w:rPr>
        <w:t xml:space="preserve"> </w:t>
      </w:r>
    </w:p>
    <w:p>
      <w:pPr>
        <w:jc w:val="left"/>
        <w:rPr>
          <w:rFonts w:ascii="宋体" w:hAnsi="宋体" w:cs="宋体"/>
          <w:b/>
          <w:color w:val="auto"/>
          <w:sz w:val="28"/>
          <w:szCs w:val="28"/>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11"/>
        <w:ind w:firstLine="600"/>
        <w:rPr>
          <w:rFonts w:ascii="宋体" w:hAnsi="宋体" w:eastAsia="宋体" w:cs="宋体"/>
          <w:color w:val="auto"/>
          <w:highlight w:val="none"/>
        </w:rPr>
      </w:pPr>
    </w:p>
    <w:p>
      <w:pPr>
        <w:pStyle w:val="12"/>
        <w:ind w:left="0" w:leftChars="0"/>
        <w:rPr>
          <w:rFonts w:ascii="宋体" w:hAnsi="宋体" w:cs="宋体"/>
          <w:color w:val="auto"/>
          <w:highlight w:val="none"/>
        </w:rPr>
      </w:pPr>
    </w:p>
    <w:p>
      <w:pPr>
        <w:pStyle w:val="12"/>
        <w:ind w:left="0" w:leftChars="0"/>
        <w:rPr>
          <w:rFonts w:ascii="宋体" w:hAnsi="宋体" w:cs="宋体"/>
          <w:color w:val="auto"/>
          <w:highlight w:val="none"/>
        </w:rPr>
      </w:pPr>
    </w:p>
    <w:p>
      <w:pPr>
        <w:rPr>
          <w:color w:val="auto"/>
          <w:highlight w:val="none"/>
        </w:rPr>
      </w:pPr>
    </w:p>
    <w:sectPr>
      <w:headerReference r:id="rId9" w:type="first"/>
      <w:footerReference r:id="rId12" w:type="first"/>
      <w:headerReference r:id="rId8" w:type="default"/>
      <w:footerReference r:id="rId10" w:type="default"/>
      <w:footerReference r:id="rId11" w:type="even"/>
      <w:pgSz w:w="11906" w:h="16838"/>
      <w:pgMar w:top="1020" w:right="1247" w:bottom="1020" w:left="1247" w:header="851" w:footer="90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auto"/>
    <w:pitch w:val="default"/>
    <w:sig w:usb0="00000000" w:usb1="00000000" w:usb2="0000000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Algerian">
    <w:panose1 w:val="04020705040A02060702"/>
    <w:charset w:val="00"/>
    <w:family w:val="decorative"/>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39</w:t>
                    </w:r>
                    <w:r>
                      <w:fldChar w:fldCharType="end"/>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kern w:val="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320" w:firstLineChars="24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v:shape>
          </w:pict>
        </mc:Fallback>
      </mc:AlternateContent>
    </w:r>
    <w:r>
      <w:rPr>
        <w:rFonts w:hint="eastAsia"/>
      </w:rPr>
      <w:t xml:space="preserve">  </w:t>
    </w:r>
    <w:r>
      <w:t xml:space="preserve">   </w:t>
    </w:r>
    <w:r>
      <w:rPr>
        <w:rFonts w:hint="eastAsia"/>
      </w:rPr>
      <w:t xml:space="preserve">                       东阳市鑫盛工程咨询有限公司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end"/>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宋体"/>
        <w:sz w:val="16"/>
        <w:szCs w:val="16"/>
        <w:lang w:eastAsia="zh-CN"/>
      </w:rPr>
    </w:pPr>
    <w:r>
      <w:rPr>
        <w:rFonts w:hint="eastAsia"/>
        <w:sz w:val="16"/>
        <w:szCs w:val="16"/>
        <w:lang w:eastAsia="zh-CN"/>
      </w:rPr>
      <w:t>东阳市部分乡镇“多规合一”实用性村庄规划编制项目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宋体"/>
        <w:sz w:val="16"/>
        <w:szCs w:val="16"/>
        <w:lang w:eastAsia="zh-CN"/>
      </w:rPr>
    </w:pPr>
    <w:r>
      <w:rPr>
        <w:rFonts w:hint="eastAsia"/>
        <w:sz w:val="16"/>
        <w:szCs w:val="16"/>
        <w:lang w:eastAsia="zh-CN"/>
      </w:rPr>
      <w:t>东阳市部分乡镇“多规合一”实用性村庄规划编制项目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rPr>
      <w:t>东阳市2022年度开发区节约集约利用评价项目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宋体" w:cs="Arial"/>
        <w:color w:val="000000"/>
        <w:lang w:eastAsia="zh-CN"/>
      </w:rPr>
    </w:pPr>
    <w:r>
      <w:rPr>
        <w:rFonts w:hint="eastAsia" w:cs="Arial"/>
        <w:color w:val="000000"/>
        <w:lang w:eastAsia="zh-CN"/>
      </w:rPr>
      <w:t>东阳市部分乡镇“多规合一”实用性村庄规划编制项目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宋体" w:cs="Arial"/>
        <w:color w:val="000000"/>
        <w:lang w:eastAsia="zh-CN"/>
      </w:rPr>
    </w:pPr>
    <w:r>
      <w:rPr>
        <w:rFonts w:hint="eastAsia" w:cs="Arial"/>
        <w:color w:val="000000"/>
        <w:lang w:eastAsia="zh-CN"/>
      </w:rPr>
      <w:t>东阳市部分乡镇“多规合一”实用性村庄规划编制项目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025FC"/>
    <w:multiLevelType w:val="singleLevel"/>
    <w:tmpl w:val="C6D025FC"/>
    <w:lvl w:ilvl="0" w:tentative="0">
      <w:start w:val="1"/>
      <w:numFmt w:val="decimal"/>
      <w:lvlText w:val="%1."/>
      <w:lvlJc w:val="left"/>
      <w:pPr>
        <w:tabs>
          <w:tab w:val="left" w:pos="312"/>
        </w:tabs>
      </w:pPr>
    </w:lvl>
  </w:abstractNum>
  <w:abstractNum w:abstractNumId="1">
    <w:nsid w:val="FA5E8E8B"/>
    <w:multiLevelType w:val="singleLevel"/>
    <w:tmpl w:val="FA5E8E8B"/>
    <w:lvl w:ilvl="0" w:tentative="0">
      <w:start w:val="1"/>
      <w:numFmt w:val="chineseCounting"/>
      <w:suff w:val="nothing"/>
      <w:lvlText w:val="%1、"/>
      <w:lvlJc w:val="left"/>
      <w:pPr>
        <w:ind w:left="210"/>
      </w:pPr>
      <w:rPr>
        <w:rFonts w:hint="eastAsia"/>
      </w:rPr>
    </w:lvl>
  </w:abstractNum>
  <w:abstractNum w:abstractNumId="2">
    <w:nsid w:val="0B3575E4"/>
    <w:multiLevelType w:val="singleLevel"/>
    <w:tmpl w:val="0B3575E4"/>
    <w:lvl w:ilvl="0" w:tentative="0">
      <w:start w:val="4"/>
      <w:numFmt w:val="chineseCounting"/>
      <w:suff w:val="nothing"/>
      <w:lvlText w:val="（%1）"/>
      <w:lvlJc w:val="left"/>
      <w:rPr>
        <w:rFonts w:hint="eastAsia"/>
      </w:rPr>
    </w:lvl>
  </w:abstractNum>
  <w:abstractNum w:abstractNumId="3">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248712B5"/>
    <w:multiLevelType w:val="singleLevel"/>
    <w:tmpl w:val="248712B5"/>
    <w:lvl w:ilvl="0" w:tentative="0">
      <w:start w:val="3"/>
      <w:numFmt w:val="decimal"/>
      <w:lvlText w:val="%1."/>
      <w:lvlJc w:val="left"/>
      <w:pPr>
        <w:tabs>
          <w:tab w:val="left" w:pos="312"/>
        </w:tabs>
      </w:pPr>
    </w:lvl>
  </w:abstractNum>
  <w:abstractNum w:abstractNumId="5">
    <w:nsid w:val="43D1634D"/>
    <w:multiLevelType w:val="multilevel"/>
    <w:tmpl w:val="43D1634D"/>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D410D0D"/>
    <w:multiLevelType w:val="singleLevel"/>
    <w:tmpl w:val="5D410D0D"/>
    <w:lvl w:ilvl="0" w:tentative="0">
      <w:start w:val="5"/>
      <w:numFmt w:val="chineseCounting"/>
      <w:suff w:val="space"/>
      <w:lvlText w:val="第%1章"/>
      <w:lvlJc w:val="left"/>
      <w:rPr>
        <w:rFonts w:hint="eastAsia"/>
      </w:rPr>
    </w:lvl>
  </w:abstractNum>
  <w:abstractNum w:abstractNumId="7">
    <w:nsid w:val="61ADA8C3"/>
    <w:multiLevelType w:val="singleLevel"/>
    <w:tmpl w:val="61ADA8C3"/>
    <w:lvl w:ilvl="0" w:tentative="0">
      <w:start w:val="5"/>
      <w:numFmt w:val="chineseCounting"/>
      <w:suff w:val="nothing"/>
      <w:lvlText w:val="%1、"/>
      <w:lvlJc w:val="left"/>
    </w:lvl>
  </w:abstractNum>
  <w:abstractNum w:abstractNumId="8">
    <w:nsid w:val="685F539A"/>
    <w:multiLevelType w:val="multilevel"/>
    <w:tmpl w:val="685F539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234718"/>
    <w:multiLevelType w:val="multilevel"/>
    <w:tmpl w:val="7E23471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7"/>
  </w:num>
  <w:num w:numId="4">
    <w:abstractNumId w:val="5"/>
  </w:num>
  <w:num w:numId="5">
    <w:abstractNumId w:val="9"/>
  </w:num>
  <w:num w:numId="6">
    <w:abstractNumId w:val="4"/>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wYTkzZjAzZWJlZDAxNDliZDAzYmU0N2UwNjg4ZmIifQ=="/>
  </w:docVars>
  <w:rsids>
    <w:rsidRoot w:val="22CE71A1"/>
    <w:rsid w:val="00037C85"/>
    <w:rsid w:val="000404DB"/>
    <w:rsid w:val="00067C99"/>
    <w:rsid w:val="00141A73"/>
    <w:rsid w:val="00174A28"/>
    <w:rsid w:val="0021219D"/>
    <w:rsid w:val="00295EDC"/>
    <w:rsid w:val="002E642B"/>
    <w:rsid w:val="002E76D0"/>
    <w:rsid w:val="00305CA9"/>
    <w:rsid w:val="00347525"/>
    <w:rsid w:val="00363487"/>
    <w:rsid w:val="00370609"/>
    <w:rsid w:val="00382313"/>
    <w:rsid w:val="003C5CEE"/>
    <w:rsid w:val="00431145"/>
    <w:rsid w:val="00473031"/>
    <w:rsid w:val="00494A1F"/>
    <w:rsid w:val="0055674B"/>
    <w:rsid w:val="005963BC"/>
    <w:rsid w:val="00693259"/>
    <w:rsid w:val="00704AA6"/>
    <w:rsid w:val="007102F4"/>
    <w:rsid w:val="0078715B"/>
    <w:rsid w:val="00906786"/>
    <w:rsid w:val="009224FE"/>
    <w:rsid w:val="009634E5"/>
    <w:rsid w:val="009E4B2E"/>
    <w:rsid w:val="009F5386"/>
    <w:rsid w:val="009F62E5"/>
    <w:rsid w:val="00A611D2"/>
    <w:rsid w:val="00AE5938"/>
    <w:rsid w:val="00B22731"/>
    <w:rsid w:val="00B43F5D"/>
    <w:rsid w:val="00B8722B"/>
    <w:rsid w:val="00C1492F"/>
    <w:rsid w:val="00C975A7"/>
    <w:rsid w:val="00CA7419"/>
    <w:rsid w:val="00CB74DA"/>
    <w:rsid w:val="00D31BA8"/>
    <w:rsid w:val="00D70633"/>
    <w:rsid w:val="00D77F7C"/>
    <w:rsid w:val="00DC55A9"/>
    <w:rsid w:val="00E1340B"/>
    <w:rsid w:val="00E7430F"/>
    <w:rsid w:val="00EB05FB"/>
    <w:rsid w:val="00EF722B"/>
    <w:rsid w:val="00F06927"/>
    <w:rsid w:val="00F55BE8"/>
    <w:rsid w:val="0100241C"/>
    <w:rsid w:val="012D2227"/>
    <w:rsid w:val="0154000B"/>
    <w:rsid w:val="016C144B"/>
    <w:rsid w:val="01E53BA7"/>
    <w:rsid w:val="01EE3C9B"/>
    <w:rsid w:val="02084D4C"/>
    <w:rsid w:val="022B0E5C"/>
    <w:rsid w:val="02326B40"/>
    <w:rsid w:val="02380BEE"/>
    <w:rsid w:val="02462D2B"/>
    <w:rsid w:val="028E1825"/>
    <w:rsid w:val="02BD4308"/>
    <w:rsid w:val="02D109A1"/>
    <w:rsid w:val="030C4CA2"/>
    <w:rsid w:val="031422ED"/>
    <w:rsid w:val="03483A8A"/>
    <w:rsid w:val="036A1510"/>
    <w:rsid w:val="036B3E07"/>
    <w:rsid w:val="0374413D"/>
    <w:rsid w:val="037D2A0B"/>
    <w:rsid w:val="03987D91"/>
    <w:rsid w:val="045F1833"/>
    <w:rsid w:val="0478104D"/>
    <w:rsid w:val="04AE41F0"/>
    <w:rsid w:val="04BA6D01"/>
    <w:rsid w:val="04CA3DCA"/>
    <w:rsid w:val="04DB6141"/>
    <w:rsid w:val="04EA6DAD"/>
    <w:rsid w:val="052676B9"/>
    <w:rsid w:val="05647B3F"/>
    <w:rsid w:val="05E355AA"/>
    <w:rsid w:val="060A3685"/>
    <w:rsid w:val="060C68AF"/>
    <w:rsid w:val="063B3638"/>
    <w:rsid w:val="06780A0F"/>
    <w:rsid w:val="068153A2"/>
    <w:rsid w:val="06BA754B"/>
    <w:rsid w:val="06D23357"/>
    <w:rsid w:val="06D849E3"/>
    <w:rsid w:val="07300CC3"/>
    <w:rsid w:val="07C72679"/>
    <w:rsid w:val="08034BC7"/>
    <w:rsid w:val="0817778D"/>
    <w:rsid w:val="0895702F"/>
    <w:rsid w:val="08AE1E9F"/>
    <w:rsid w:val="08B20D9E"/>
    <w:rsid w:val="08FD6983"/>
    <w:rsid w:val="09255637"/>
    <w:rsid w:val="09326B9B"/>
    <w:rsid w:val="09477125"/>
    <w:rsid w:val="097E5D15"/>
    <w:rsid w:val="098C0205"/>
    <w:rsid w:val="09BA2AC6"/>
    <w:rsid w:val="09EB0BF7"/>
    <w:rsid w:val="09EC7123"/>
    <w:rsid w:val="0A1B17B6"/>
    <w:rsid w:val="0A20501F"/>
    <w:rsid w:val="0A3B59B5"/>
    <w:rsid w:val="0A621B46"/>
    <w:rsid w:val="0A681BFC"/>
    <w:rsid w:val="0ADD4CBE"/>
    <w:rsid w:val="0AE26331"/>
    <w:rsid w:val="0B0C7351"/>
    <w:rsid w:val="0B4C2E55"/>
    <w:rsid w:val="0B5502C1"/>
    <w:rsid w:val="0B584048"/>
    <w:rsid w:val="0B641591"/>
    <w:rsid w:val="0B8D66E4"/>
    <w:rsid w:val="0BAE21B6"/>
    <w:rsid w:val="0BEB51B8"/>
    <w:rsid w:val="0C834A9C"/>
    <w:rsid w:val="0C8C4543"/>
    <w:rsid w:val="0C9B273A"/>
    <w:rsid w:val="0CB8387E"/>
    <w:rsid w:val="0CDD0FA5"/>
    <w:rsid w:val="0D200115"/>
    <w:rsid w:val="0D2F4C30"/>
    <w:rsid w:val="0D5079C9"/>
    <w:rsid w:val="0D977056"/>
    <w:rsid w:val="0DCC0050"/>
    <w:rsid w:val="0DE027D0"/>
    <w:rsid w:val="0DE9148B"/>
    <w:rsid w:val="0E2645A7"/>
    <w:rsid w:val="0E51617F"/>
    <w:rsid w:val="0E63372C"/>
    <w:rsid w:val="0E8557A0"/>
    <w:rsid w:val="0EE303C9"/>
    <w:rsid w:val="0EE83C31"/>
    <w:rsid w:val="0F225395"/>
    <w:rsid w:val="0F56112B"/>
    <w:rsid w:val="0F804633"/>
    <w:rsid w:val="0F9067A2"/>
    <w:rsid w:val="0F931DEF"/>
    <w:rsid w:val="0FEB39D9"/>
    <w:rsid w:val="0FEE5277"/>
    <w:rsid w:val="0FF30ADF"/>
    <w:rsid w:val="1004773F"/>
    <w:rsid w:val="10264A11"/>
    <w:rsid w:val="1092045D"/>
    <w:rsid w:val="109D2B29"/>
    <w:rsid w:val="10AD60E8"/>
    <w:rsid w:val="10DE709A"/>
    <w:rsid w:val="10F76A31"/>
    <w:rsid w:val="11072A62"/>
    <w:rsid w:val="110F36F7"/>
    <w:rsid w:val="116752E1"/>
    <w:rsid w:val="11772344"/>
    <w:rsid w:val="118E286E"/>
    <w:rsid w:val="11C823E8"/>
    <w:rsid w:val="11E06E41"/>
    <w:rsid w:val="11EC57E6"/>
    <w:rsid w:val="11F363D9"/>
    <w:rsid w:val="12672813"/>
    <w:rsid w:val="12755990"/>
    <w:rsid w:val="12940635"/>
    <w:rsid w:val="1295698D"/>
    <w:rsid w:val="12D419D7"/>
    <w:rsid w:val="12DE553C"/>
    <w:rsid w:val="12F9443C"/>
    <w:rsid w:val="13073669"/>
    <w:rsid w:val="135D4BEE"/>
    <w:rsid w:val="13623FB2"/>
    <w:rsid w:val="13A740BB"/>
    <w:rsid w:val="13AA52FD"/>
    <w:rsid w:val="13D85238"/>
    <w:rsid w:val="143F42F3"/>
    <w:rsid w:val="144638D4"/>
    <w:rsid w:val="14506500"/>
    <w:rsid w:val="14860F5C"/>
    <w:rsid w:val="148F485D"/>
    <w:rsid w:val="14F0383F"/>
    <w:rsid w:val="15416A46"/>
    <w:rsid w:val="158226E9"/>
    <w:rsid w:val="161C0D90"/>
    <w:rsid w:val="1625472E"/>
    <w:rsid w:val="16683AEA"/>
    <w:rsid w:val="168274F9"/>
    <w:rsid w:val="16875606"/>
    <w:rsid w:val="16D323B4"/>
    <w:rsid w:val="17000E9D"/>
    <w:rsid w:val="173619DD"/>
    <w:rsid w:val="174A7092"/>
    <w:rsid w:val="17506D42"/>
    <w:rsid w:val="176302F9"/>
    <w:rsid w:val="177B05D7"/>
    <w:rsid w:val="177C3E66"/>
    <w:rsid w:val="179E534A"/>
    <w:rsid w:val="17AF5662"/>
    <w:rsid w:val="17E307D5"/>
    <w:rsid w:val="18111CA0"/>
    <w:rsid w:val="187471D8"/>
    <w:rsid w:val="18932F7E"/>
    <w:rsid w:val="189B4B77"/>
    <w:rsid w:val="18AD0F2F"/>
    <w:rsid w:val="18C70EAA"/>
    <w:rsid w:val="18C7119E"/>
    <w:rsid w:val="18CC2AFA"/>
    <w:rsid w:val="18D019BE"/>
    <w:rsid w:val="191537E6"/>
    <w:rsid w:val="192A5572"/>
    <w:rsid w:val="19A1335A"/>
    <w:rsid w:val="1A044015"/>
    <w:rsid w:val="1A4117E7"/>
    <w:rsid w:val="1AB16873"/>
    <w:rsid w:val="1AE14356"/>
    <w:rsid w:val="1AF851FC"/>
    <w:rsid w:val="1BBF5B54"/>
    <w:rsid w:val="1BE91714"/>
    <w:rsid w:val="1C217146"/>
    <w:rsid w:val="1C2633D9"/>
    <w:rsid w:val="1C73177E"/>
    <w:rsid w:val="1D2247B2"/>
    <w:rsid w:val="1D3369BF"/>
    <w:rsid w:val="1D4D0E85"/>
    <w:rsid w:val="1D8A65A3"/>
    <w:rsid w:val="1DB45D52"/>
    <w:rsid w:val="1DD90004"/>
    <w:rsid w:val="1DF04AAB"/>
    <w:rsid w:val="1E0740D4"/>
    <w:rsid w:val="1E53364C"/>
    <w:rsid w:val="1E796654"/>
    <w:rsid w:val="1E951CA6"/>
    <w:rsid w:val="1EB904D1"/>
    <w:rsid w:val="1EF83A1C"/>
    <w:rsid w:val="1F36117D"/>
    <w:rsid w:val="1F5E34F9"/>
    <w:rsid w:val="1F7E6617"/>
    <w:rsid w:val="1F975FD1"/>
    <w:rsid w:val="201C628E"/>
    <w:rsid w:val="20250841"/>
    <w:rsid w:val="20427C19"/>
    <w:rsid w:val="206B3E97"/>
    <w:rsid w:val="20D01822"/>
    <w:rsid w:val="20F621DE"/>
    <w:rsid w:val="21661111"/>
    <w:rsid w:val="217D3987"/>
    <w:rsid w:val="21B553BE"/>
    <w:rsid w:val="21BC5F19"/>
    <w:rsid w:val="21C50BBD"/>
    <w:rsid w:val="22313A22"/>
    <w:rsid w:val="227D2BB6"/>
    <w:rsid w:val="229D7F0B"/>
    <w:rsid w:val="22CE71A1"/>
    <w:rsid w:val="22DB78DD"/>
    <w:rsid w:val="23070620"/>
    <w:rsid w:val="23275843"/>
    <w:rsid w:val="233D062B"/>
    <w:rsid w:val="23440F61"/>
    <w:rsid w:val="23554550"/>
    <w:rsid w:val="23770D4A"/>
    <w:rsid w:val="238D1A84"/>
    <w:rsid w:val="23D5257E"/>
    <w:rsid w:val="23FD4163"/>
    <w:rsid w:val="24291FD2"/>
    <w:rsid w:val="2442344A"/>
    <w:rsid w:val="24540A05"/>
    <w:rsid w:val="245E2BBB"/>
    <w:rsid w:val="24917819"/>
    <w:rsid w:val="24D74E25"/>
    <w:rsid w:val="25146AE7"/>
    <w:rsid w:val="25164EFE"/>
    <w:rsid w:val="25272DBE"/>
    <w:rsid w:val="25951FC5"/>
    <w:rsid w:val="259D1DA2"/>
    <w:rsid w:val="25CC204F"/>
    <w:rsid w:val="25F45246"/>
    <w:rsid w:val="25FB2373"/>
    <w:rsid w:val="265B50AA"/>
    <w:rsid w:val="265C2AE3"/>
    <w:rsid w:val="26955FF5"/>
    <w:rsid w:val="27127645"/>
    <w:rsid w:val="27267411"/>
    <w:rsid w:val="273A74E3"/>
    <w:rsid w:val="279462AC"/>
    <w:rsid w:val="27C113AB"/>
    <w:rsid w:val="27CC3C98"/>
    <w:rsid w:val="28123F0C"/>
    <w:rsid w:val="283C0E1E"/>
    <w:rsid w:val="28814A83"/>
    <w:rsid w:val="28E256E9"/>
    <w:rsid w:val="28EB2280"/>
    <w:rsid w:val="29017971"/>
    <w:rsid w:val="290C4E0E"/>
    <w:rsid w:val="292C28FD"/>
    <w:rsid w:val="29755C72"/>
    <w:rsid w:val="29AA0009"/>
    <w:rsid w:val="29C7761A"/>
    <w:rsid w:val="2A602560"/>
    <w:rsid w:val="2A6F54DA"/>
    <w:rsid w:val="2A830F86"/>
    <w:rsid w:val="2A900FAD"/>
    <w:rsid w:val="2A9F3F97"/>
    <w:rsid w:val="2AB27175"/>
    <w:rsid w:val="2ABA28DB"/>
    <w:rsid w:val="2AC05D36"/>
    <w:rsid w:val="2AC77D05"/>
    <w:rsid w:val="2AC84BEB"/>
    <w:rsid w:val="2B062D4C"/>
    <w:rsid w:val="2B0825F5"/>
    <w:rsid w:val="2B110340"/>
    <w:rsid w:val="2B554F69"/>
    <w:rsid w:val="2B99711B"/>
    <w:rsid w:val="2C5348C6"/>
    <w:rsid w:val="2CA92F00"/>
    <w:rsid w:val="2D6F524F"/>
    <w:rsid w:val="2D990AC0"/>
    <w:rsid w:val="2DD41206"/>
    <w:rsid w:val="2DE955A4"/>
    <w:rsid w:val="2DF40EEC"/>
    <w:rsid w:val="2E02359D"/>
    <w:rsid w:val="2E124C55"/>
    <w:rsid w:val="2E736DC3"/>
    <w:rsid w:val="2EBC6814"/>
    <w:rsid w:val="2EE10029"/>
    <w:rsid w:val="2EE218F4"/>
    <w:rsid w:val="2F0A385F"/>
    <w:rsid w:val="2F2E5C30"/>
    <w:rsid w:val="2F7F0C0C"/>
    <w:rsid w:val="2F9B63A6"/>
    <w:rsid w:val="2FFC411B"/>
    <w:rsid w:val="300A1092"/>
    <w:rsid w:val="305A62E5"/>
    <w:rsid w:val="306B1DCE"/>
    <w:rsid w:val="30B5176D"/>
    <w:rsid w:val="3122159C"/>
    <w:rsid w:val="31293F09"/>
    <w:rsid w:val="313341CE"/>
    <w:rsid w:val="313B74D9"/>
    <w:rsid w:val="31547BE0"/>
    <w:rsid w:val="31644F41"/>
    <w:rsid w:val="31815549"/>
    <w:rsid w:val="318E58E2"/>
    <w:rsid w:val="318F1FBE"/>
    <w:rsid w:val="31B859B9"/>
    <w:rsid w:val="31D62845"/>
    <w:rsid w:val="31D81F5B"/>
    <w:rsid w:val="323403AB"/>
    <w:rsid w:val="3239017C"/>
    <w:rsid w:val="32470AEB"/>
    <w:rsid w:val="326F3B9E"/>
    <w:rsid w:val="32A11D50"/>
    <w:rsid w:val="32BF0681"/>
    <w:rsid w:val="332350B4"/>
    <w:rsid w:val="334039A9"/>
    <w:rsid w:val="334864B3"/>
    <w:rsid w:val="33661445"/>
    <w:rsid w:val="33C70135"/>
    <w:rsid w:val="33C87A09"/>
    <w:rsid w:val="34340270"/>
    <w:rsid w:val="346A6D13"/>
    <w:rsid w:val="34732F46"/>
    <w:rsid w:val="348558FB"/>
    <w:rsid w:val="34880F47"/>
    <w:rsid w:val="34B71D68"/>
    <w:rsid w:val="34BB7B89"/>
    <w:rsid w:val="350F5B6C"/>
    <w:rsid w:val="355C3389"/>
    <w:rsid w:val="35BC359E"/>
    <w:rsid w:val="35C326F4"/>
    <w:rsid w:val="35C6441D"/>
    <w:rsid w:val="36086404"/>
    <w:rsid w:val="361909F0"/>
    <w:rsid w:val="365657A0"/>
    <w:rsid w:val="367B6D3E"/>
    <w:rsid w:val="367D5C93"/>
    <w:rsid w:val="36897924"/>
    <w:rsid w:val="369D33CF"/>
    <w:rsid w:val="36C00E6C"/>
    <w:rsid w:val="36D6243D"/>
    <w:rsid w:val="36E12307"/>
    <w:rsid w:val="370E5077"/>
    <w:rsid w:val="371B2A89"/>
    <w:rsid w:val="37691503"/>
    <w:rsid w:val="38155AE7"/>
    <w:rsid w:val="382532DF"/>
    <w:rsid w:val="382B51B3"/>
    <w:rsid w:val="383513E6"/>
    <w:rsid w:val="38671772"/>
    <w:rsid w:val="386D0B7F"/>
    <w:rsid w:val="388F5AD6"/>
    <w:rsid w:val="38924B76"/>
    <w:rsid w:val="38E5107C"/>
    <w:rsid w:val="38E51657"/>
    <w:rsid w:val="391145FC"/>
    <w:rsid w:val="39511289"/>
    <w:rsid w:val="39FF7C53"/>
    <w:rsid w:val="3A0A28E8"/>
    <w:rsid w:val="3A184F1A"/>
    <w:rsid w:val="3A25176E"/>
    <w:rsid w:val="3A5809C7"/>
    <w:rsid w:val="3A581B34"/>
    <w:rsid w:val="3A6B10EF"/>
    <w:rsid w:val="3A9C574C"/>
    <w:rsid w:val="3A9E07C2"/>
    <w:rsid w:val="3AB17449"/>
    <w:rsid w:val="3AD43351"/>
    <w:rsid w:val="3B35796D"/>
    <w:rsid w:val="3B484AF6"/>
    <w:rsid w:val="3B6B7401"/>
    <w:rsid w:val="3B893F22"/>
    <w:rsid w:val="3BCE5995"/>
    <w:rsid w:val="3BE92AC7"/>
    <w:rsid w:val="3CE54549"/>
    <w:rsid w:val="3D3B03CD"/>
    <w:rsid w:val="3D5D7415"/>
    <w:rsid w:val="3DB04E22"/>
    <w:rsid w:val="3DF27102"/>
    <w:rsid w:val="3E3E5FC7"/>
    <w:rsid w:val="3E4405D4"/>
    <w:rsid w:val="3E612450"/>
    <w:rsid w:val="3E7321A6"/>
    <w:rsid w:val="3E816879"/>
    <w:rsid w:val="3EA03EF3"/>
    <w:rsid w:val="3EBC016B"/>
    <w:rsid w:val="3EE17BD1"/>
    <w:rsid w:val="3F1E5B35"/>
    <w:rsid w:val="3F4D0FE9"/>
    <w:rsid w:val="3F834C62"/>
    <w:rsid w:val="3F9133A5"/>
    <w:rsid w:val="3FC05233"/>
    <w:rsid w:val="3FD61B66"/>
    <w:rsid w:val="4006436D"/>
    <w:rsid w:val="40527233"/>
    <w:rsid w:val="40C61D54"/>
    <w:rsid w:val="40D071B9"/>
    <w:rsid w:val="41190A4F"/>
    <w:rsid w:val="411A0595"/>
    <w:rsid w:val="41862D01"/>
    <w:rsid w:val="41865964"/>
    <w:rsid w:val="41910DAD"/>
    <w:rsid w:val="41BF1206"/>
    <w:rsid w:val="4278084D"/>
    <w:rsid w:val="427F0906"/>
    <w:rsid w:val="42911529"/>
    <w:rsid w:val="42DE0FF8"/>
    <w:rsid w:val="42F9184C"/>
    <w:rsid w:val="43345346"/>
    <w:rsid w:val="433B05B1"/>
    <w:rsid w:val="433B1FA6"/>
    <w:rsid w:val="433E3D91"/>
    <w:rsid w:val="438020AF"/>
    <w:rsid w:val="43943152"/>
    <w:rsid w:val="43A31847"/>
    <w:rsid w:val="43D54755"/>
    <w:rsid w:val="43DA6864"/>
    <w:rsid w:val="43EC42B9"/>
    <w:rsid w:val="442F1898"/>
    <w:rsid w:val="444A4B8D"/>
    <w:rsid w:val="446C069E"/>
    <w:rsid w:val="44E81CBA"/>
    <w:rsid w:val="4508410A"/>
    <w:rsid w:val="45336CAD"/>
    <w:rsid w:val="453E238D"/>
    <w:rsid w:val="45561319"/>
    <w:rsid w:val="460A5C60"/>
    <w:rsid w:val="4610261B"/>
    <w:rsid w:val="464C0D55"/>
    <w:rsid w:val="46E666CD"/>
    <w:rsid w:val="472E5F22"/>
    <w:rsid w:val="475D3E27"/>
    <w:rsid w:val="47705F96"/>
    <w:rsid w:val="47841A42"/>
    <w:rsid w:val="478B4DBB"/>
    <w:rsid w:val="481B23CA"/>
    <w:rsid w:val="48907EA5"/>
    <w:rsid w:val="48BD20D9"/>
    <w:rsid w:val="49A27AC4"/>
    <w:rsid w:val="49E862B8"/>
    <w:rsid w:val="4A734D89"/>
    <w:rsid w:val="4A765773"/>
    <w:rsid w:val="4AB330F6"/>
    <w:rsid w:val="4B1650A7"/>
    <w:rsid w:val="4B4C2C2A"/>
    <w:rsid w:val="4BAC0BD3"/>
    <w:rsid w:val="4BD50ABE"/>
    <w:rsid w:val="4C0A0B5C"/>
    <w:rsid w:val="4C742085"/>
    <w:rsid w:val="4D0B7FC7"/>
    <w:rsid w:val="4D4A3DCB"/>
    <w:rsid w:val="4D5C1590"/>
    <w:rsid w:val="4DA14831"/>
    <w:rsid w:val="4DDC6134"/>
    <w:rsid w:val="4DEC785C"/>
    <w:rsid w:val="4E151645"/>
    <w:rsid w:val="4E191038"/>
    <w:rsid w:val="4E710F72"/>
    <w:rsid w:val="4E834801"/>
    <w:rsid w:val="4EA03605"/>
    <w:rsid w:val="4EA2112B"/>
    <w:rsid w:val="4EA36C51"/>
    <w:rsid w:val="4EBE1CDD"/>
    <w:rsid w:val="4F194537"/>
    <w:rsid w:val="4F196F13"/>
    <w:rsid w:val="4F742288"/>
    <w:rsid w:val="4F90367A"/>
    <w:rsid w:val="4FB8497E"/>
    <w:rsid w:val="4FC7192C"/>
    <w:rsid w:val="502B5150"/>
    <w:rsid w:val="50707007"/>
    <w:rsid w:val="50926F7D"/>
    <w:rsid w:val="50D250BF"/>
    <w:rsid w:val="50E579F5"/>
    <w:rsid w:val="51063B27"/>
    <w:rsid w:val="512C1731"/>
    <w:rsid w:val="512D3ADB"/>
    <w:rsid w:val="51C0069E"/>
    <w:rsid w:val="51D450E4"/>
    <w:rsid w:val="51FF131A"/>
    <w:rsid w:val="526606C2"/>
    <w:rsid w:val="528441FF"/>
    <w:rsid w:val="52AD4542"/>
    <w:rsid w:val="52F77B3F"/>
    <w:rsid w:val="53235261"/>
    <w:rsid w:val="532E5C75"/>
    <w:rsid w:val="536B7291"/>
    <w:rsid w:val="53B86CFB"/>
    <w:rsid w:val="53CB18B2"/>
    <w:rsid w:val="53CB3901"/>
    <w:rsid w:val="53CE29C2"/>
    <w:rsid w:val="53E94604"/>
    <w:rsid w:val="542B51E8"/>
    <w:rsid w:val="5472334E"/>
    <w:rsid w:val="547A60F6"/>
    <w:rsid w:val="54F77EBC"/>
    <w:rsid w:val="55142657"/>
    <w:rsid w:val="551E5284"/>
    <w:rsid w:val="551E6B2A"/>
    <w:rsid w:val="552F123F"/>
    <w:rsid w:val="552F7491"/>
    <w:rsid w:val="555C7B5A"/>
    <w:rsid w:val="55834775"/>
    <w:rsid w:val="558A556D"/>
    <w:rsid w:val="559B2D78"/>
    <w:rsid w:val="55B00FE3"/>
    <w:rsid w:val="55EC5382"/>
    <w:rsid w:val="55FA17C1"/>
    <w:rsid w:val="56075F62"/>
    <w:rsid w:val="56287DD8"/>
    <w:rsid w:val="56890E23"/>
    <w:rsid w:val="569A4AFE"/>
    <w:rsid w:val="56AE2637"/>
    <w:rsid w:val="56B7772E"/>
    <w:rsid w:val="56BA5480"/>
    <w:rsid w:val="56DA342C"/>
    <w:rsid w:val="56F92566"/>
    <w:rsid w:val="57BE7047"/>
    <w:rsid w:val="57E461A9"/>
    <w:rsid w:val="57F4292C"/>
    <w:rsid w:val="58262413"/>
    <w:rsid w:val="584C035A"/>
    <w:rsid w:val="58522281"/>
    <w:rsid w:val="58734C72"/>
    <w:rsid w:val="58852470"/>
    <w:rsid w:val="58DF7459"/>
    <w:rsid w:val="5932754F"/>
    <w:rsid w:val="593F59DB"/>
    <w:rsid w:val="59824A70"/>
    <w:rsid w:val="59AD782F"/>
    <w:rsid w:val="59BB5797"/>
    <w:rsid w:val="5A366BCB"/>
    <w:rsid w:val="5A484BB2"/>
    <w:rsid w:val="5A551748"/>
    <w:rsid w:val="5A843EBD"/>
    <w:rsid w:val="5A9F29C3"/>
    <w:rsid w:val="5AA224B3"/>
    <w:rsid w:val="5ABF0594"/>
    <w:rsid w:val="5AD92808"/>
    <w:rsid w:val="5AE229A3"/>
    <w:rsid w:val="5B56278C"/>
    <w:rsid w:val="5B7F4BA3"/>
    <w:rsid w:val="5B81031A"/>
    <w:rsid w:val="5B815756"/>
    <w:rsid w:val="5BCB3564"/>
    <w:rsid w:val="5BD957A7"/>
    <w:rsid w:val="5BF049B0"/>
    <w:rsid w:val="5BFC4D5E"/>
    <w:rsid w:val="5C0827EA"/>
    <w:rsid w:val="5C2C110F"/>
    <w:rsid w:val="5C741607"/>
    <w:rsid w:val="5C8C62A8"/>
    <w:rsid w:val="5CAC13C7"/>
    <w:rsid w:val="5CDC1CAC"/>
    <w:rsid w:val="5D35142F"/>
    <w:rsid w:val="5D4B5084"/>
    <w:rsid w:val="5D4D678A"/>
    <w:rsid w:val="5DB6074F"/>
    <w:rsid w:val="5DC60D12"/>
    <w:rsid w:val="5DEF7499"/>
    <w:rsid w:val="5DF870DB"/>
    <w:rsid w:val="5E0019CA"/>
    <w:rsid w:val="5E1216FE"/>
    <w:rsid w:val="5E941919"/>
    <w:rsid w:val="5E9F5687"/>
    <w:rsid w:val="5EBD70D2"/>
    <w:rsid w:val="5EDA046D"/>
    <w:rsid w:val="5EFF5EF7"/>
    <w:rsid w:val="5F3A19DD"/>
    <w:rsid w:val="5F3C4C84"/>
    <w:rsid w:val="5F3F3DA7"/>
    <w:rsid w:val="5F41673E"/>
    <w:rsid w:val="5F6E6E08"/>
    <w:rsid w:val="5F8D7D46"/>
    <w:rsid w:val="5F952EC1"/>
    <w:rsid w:val="5FDE5D3B"/>
    <w:rsid w:val="5FE64732"/>
    <w:rsid w:val="5FE74BAB"/>
    <w:rsid w:val="5FFB68ED"/>
    <w:rsid w:val="6045351B"/>
    <w:rsid w:val="60591866"/>
    <w:rsid w:val="60D24390"/>
    <w:rsid w:val="60DF7FBD"/>
    <w:rsid w:val="611063C8"/>
    <w:rsid w:val="613F0E54"/>
    <w:rsid w:val="614B7400"/>
    <w:rsid w:val="61651BD7"/>
    <w:rsid w:val="617F52FC"/>
    <w:rsid w:val="6189617B"/>
    <w:rsid w:val="61D77A56"/>
    <w:rsid w:val="61DE0DC8"/>
    <w:rsid w:val="61E0345C"/>
    <w:rsid w:val="61F555BE"/>
    <w:rsid w:val="62165C60"/>
    <w:rsid w:val="627E3805"/>
    <w:rsid w:val="628726D3"/>
    <w:rsid w:val="62A741E6"/>
    <w:rsid w:val="62C54F90"/>
    <w:rsid w:val="62CE41FE"/>
    <w:rsid w:val="62EE66A6"/>
    <w:rsid w:val="631B690C"/>
    <w:rsid w:val="632048BD"/>
    <w:rsid w:val="63A614B8"/>
    <w:rsid w:val="63AA27F0"/>
    <w:rsid w:val="63C31D98"/>
    <w:rsid w:val="63CE6105"/>
    <w:rsid w:val="63DC1D65"/>
    <w:rsid w:val="63E402AC"/>
    <w:rsid w:val="63F60B61"/>
    <w:rsid w:val="64080170"/>
    <w:rsid w:val="646D1D84"/>
    <w:rsid w:val="64AC4EAD"/>
    <w:rsid w:val="64C179D9"/>
    <w:rsid w:val="64D21465"/>
    <w:rsid w:val="64D92F75"/>
    <w:rsid w:val="64EB4050"/>
    <w:rsid w:val="64EC16A4"/>
    <w:rsid w:val="650E642B"/>
    <w:rsid w:val="651E51CD"/>
    <w:rsid w:val="658B4EE7"/>
    <w:rsid w:val="658C6239"/>
    <w:rsid w:val="65B732B6"/>
    <w:rsid w:val="65D200F0"/>
    <w:rsid w:val="65E65FB5"/>
    <w:rsid w:val="65EA6980"/>
    <w:rsid w:val="663C4239"/>
    <w:rsid w:val="66652149"/>
    <w:rsid w:val="666D606B"/>
    <w:rsid w:val="666D6070"/>
    <w:rsid w:val="66CC2CC9"/>
    <w:rsid w:val="670001AD"/>
    <w:rsid w:val="6712476F"/>
    <w:rsid w:val="673A29F1"/>
    <w:rsid w:val="67786A75"/>
    <w:rsid w:val="677B0B76"/>
    <w:rsid w:val="67892A30"/>
    <w:rsid w:val="678D417C"/>
    <w:rsid w:val="67F72090"/>
    <w:rsid w:val="680C5410"/>
    <w:rsid w:val="68210EBB"/>
    <w:rsid w:val="685A35F2"/>
    <w:rsid w:val="68927D0C"/>
    <w:rsid w:val="68941085"/>
    <w:rsid w:val="68F24605"/>
    <w:rsid w:val="68F84811"/>
    <w:rsid w:val="690658A1"/>
    <w:rsid w:val="69603C65"/>
    <w:rsid w:val="697C351F"/>
    <w:rsid w:val="697F233D"/>
    <w:rsid w:val="69890289"/>
    <w:rsid w:val="69EA68DE"/>
    <w:rsid w:val="6A0A5B78"/>
    <w:rsid w:val="6A113F65"/>
    <w:rsid w:val="6A8D4E45"/>
    <w:rsid w:val="6A953B9B"/>
    <w:rsid w:val="6A98507A"/>
    <w:rsid w:val="6AA95198"/>
    <w:rsid w:val="6AE262BA"/>
    <w:rsid w:val="6B133BD4"/>
    <w:rsid w:val="6B2B79C9"/>
    <w:rsid w:val="6B3A73C5"/>
    <w:rsid w:val="6B421F06"/>
    <w:rsid w:val="6B476E8A"/>
    <w:rsid w:val="6BA545A9"/>
    <w:rsid w:val="6BA64490"/>
    <w:rsid w:val="6BBB33DE"/>
    <w:rsid w:val="6C021003"/>
    <w:rsid w:val="6C0B78D1"/>
    <w:rsid w:val="6C1D2EDA"/>
    <w:rsid w:val="6C88775B"/>
    <w:rsid w:val="6C8D48B2"/>
    <w:rsid w:val="6C8D5339"/>
    <w:rsid w:val="6CAF0CC0"/>
    <w:rsid w:val="6CD26C28"/>
    <w:rsid w:val="6CD50F40"/>
    <w:rsid w:val="6CF2294A"/>
    <w:rsid w:val="6D09076D"/>
    <w:rsid w:val="6D373F21"/>
    <w:rsid w:val="6D414368"/>
    <w:rsid w:val="6D69549E"/>
    <w:rsid w:val="6DA93E2C"/>
    <w:rsid w:val="6DD53640"/>
    <w:rsid w:val="6DDD7F98"/>
    <w:rsid w:val="6DF8052E"/>
    <w:rsid w:val="6EEB7D76"/>
    <w:rsid w:val="6F0950CD"/>
    <w:rsid w:val="6F316A46"/>
    <w:rsid w:val="6F3A2314"/>
    <w:rsid w:val="6F51498D"/>
    <w:rsid w:val="6F587780"/>
    <w:rsid w:val="6F5B78D4"/>
    <w:rsid w:val="6F7876B4"/>
    <w:rsid w:val="6FC36713"/>
    <w:rsid w:val="6FC92E20"/>
    <w:rsid w:val="707149AA"/>
    <w:rsid w:val="7088334B"/>
    <w:rsid w:val="709541F4"/>
    <w:rsid w:val="70AE1811"/>
    <w:rsid w:val="710436F3"/>
    <w:rsid w:val="71096990"/>
    <w:rsid w:val="71181367"/>
    <w:rsid w:val="7129655E"/>
    <w:rsid w:val="712B431E"/>
    <w:rsid w:val="71954990"/>
    <w:rsid w:val="71B92164"/>
    <w:rsid w:val="71D009C8"/>
    <w:rsid w:val="71EC078C"/>
    <w:rsid w:val="71F80EDE"/>
    <w:rsid w:val="72017C83"/>
    <w:rsid w:val="723839D1"/>
    <w:rsid w:val="724C4BF3"/>
    <w:rsid w:val="726519CA"/>
    <w:rsid w:val="728946EE"/>
    <w:rsid w:val="729675CA"/>
    <w:rsid w:val="73091AC8"/>
    <w:rsid w:val="73C753C0"/>
    <w:rsid w:val="73DB3715"/>
    <w:rsid w:val="74336B6D"/>
    <w:rsid w:val="743B50B2"/>
    <w:rsid w:val="74B96F49"/>
    <w:rsid w:val="74C612F4"/>
    <w:rsid w:val="75095ACB"/>
    <w:rsid w:val="751C24CC"/>
    <w:rsid w:val="75344494"/>
    <w:rsid w:val="758666A6"/>
    <w:rsid w:val="758C1D32"/>
    <w:rsid w:val="75C27C9A"/>
    <w:rsid w:val="75C40F31"/>
    <w:rsid w:val="75CD75E0"/>
    <w:rsid w:val="75D91027"/>
    <w:rsid w:val="75E50E4E"/>
    <w:rsid w:val="7614205F"/>
    <w:rsid w:val="76204CBB"/>
    <w:rsid w:val="771450F9"/>
    <w:rsid w:val="772B3B04"/>
    <w:rsid w:val="77456248"/>
    <w:rsid w:val="774C2801"/>
    <w:rsid w:val="77813724"/>
    <w:rsid w:val="77A318EC"/>
    <w:rsid w:val="77B2085A"/>
    <w:rsid w:val="77EA06EC"/>
    <w:rsid w:val="784A1D68"/>
    <w:rsid w:val="784C276C"/>
    <w:rsid w:val="78CF226D"/>
    <w:rsid w:val="78D35A79"/>
    <w:rsid w:val="78E42141"/>
    <w:rsid w:val="78F65A4C"/>
    <w:rsid w:val="790E548B"/>
    <w:rsid w:val="795D31F5"/>
    <w:rsid w:val="79704C41"/>
    <w:rsid w:val="798968C0"/>
    <w:rsid w:val="799671DA"/>
    <w:rsid w:val="79B37DE1"/>
    <w:rsid w:val="79F93E22"/>
    <w:rsid w:val="7A5924D4"/>
    <w:rsid w:val="7A6D6ED2"/>
    <w:rsid w:val="7AAF6D56"/>
    <w:rsid w:val="7AEA25F7"/>
    <w:rsid w:val="7B2B5A53"/>
    <w:rsid w:val="7B75361D"/>
    <w:rsid w:val="7B9854E0"/>
    <w:rsid w:val="7BB01BFF"/>
    <w:rsid w:val="7C1A6EF7"/>
    <w:rsid w:val="7C3A4157"/>
    <w:rsid w:val="7CA50A98"/>
    <w:rsid w:val="7CB07CB6"/>
    <w:rsid w:val="7CBA4FE2"/>
    <w:rsid w:val="7D146DE8"/>
    <w:rsid w:val="7D1978AF"/>
    <w:rsid w:val="7D4C3C39"/>
    <w:rsid w:val="7D656C97"/>
    <w:rsid w:val="7D675700"/>
    <w:rsid w:val="7D774D25"/>
    <w:rsid w:val="7DB67EA0"/>
    <w:rsid w:val="7DCE66D5"/>
    <w:rsid w:val="7DE71E07"/>
    <w:rsid w:val="7DFC3B04"/>
    <w:rsid w:val="7E6831BC"/>
    <w:rsid w:val="7E81400A"/>
    <w:rsid w:val="7EB77A2B"/>
    <w:rsid w:val="7EBA751C"/>
    <w:rsid w:val="7EDB29C3"/>
    <w:rsid w:val="7F17671C"/>
    <w:rsid w:val="7F2C0419"/>
    <w:rsid w:val="7F62208D"/>
    <w:rsid w:val="7F7114C0"/>
    <w:rsid w:val="7FAE7B28"/>
    <w:rsid w:val="7FBF3500"/>
    <w:rsid w:val="7FE43F48"/>
    <w:rsid w:val="7FE7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Cs w:val="20"/>
    </w:rPr>
  </w:style>
  <w:style w:type="paragraph" w:styleId="6">
    <w:name w:val="Body Text Indent"/>
    <w:basedOn w:val="1"/>
    <w:next w:val="5"/>
    <w:qFormat/>
    <w:uiPriority w:val="0"/>
    <w:pPr>
      <w:spacing w:after="120"/>
      <w:ind w:left="420" w:leftChars="200"/>
    </w:pPr>
  </w:style>
  <w:style w:type="paragraph" w:styleId="7">
    <w:name w:val="Document Map"/>
    <w:basedOn w:val="1"/>
    <w:qFormat/>
    <w:uiPriority w:val="0"/>
    <w:rPr>
      <w:rFonts w:ascii="Helvetica" w:hAnsi="Helvetica"/>
      <w:sz w:val="24"/>
    </w:rPr>
  </w:style>
  <w:style w:type="paragraph" w:styleId="8">
    <w:name w:val="toa heading"/>
    <w:basedOn w:val="1"/>
    <w:next w:val="1"/>
    <w:qFormat/>
    <w:uiPriority w:val="0"/>
    <w:pPr>
      <w:spacing w:before="120"/>
    </w:pPr>
    <w:rPr>
      <w:rFonts w:ascii="Arial" w:hAnsi="Arial"/>
    </w:rPr>
  </w:style>
  <w:style w:type="paragraph" w:styleId="9">
    <w:name w:val="annotation text"/>
    <w:basedOn w:val="1"/>
    <w:link w:val="70"/>
    <w:qFormat/>
    <w:uiPriority w:val="0"/>
    <w:pPr>
      <w:jc w:val="left"/>
    </w:pPr>
  </w:style>
  <w:style w:type="paragraph" w:styleId="10">
    <w:name w:val="Body Text"/>
    <w:basedOn w:val="1"/>
    <w:next w:val="11"/>
    <w:qFormat/>
    <w:uiPriority w:val="0"/>
    <w:pPr>
      <w:spacing w:after="120"/>
    </w:pPr>
  </w:style>
  <w:style w:type="paragraph" w:styleId="11">
    <w:name w:val="Body Text First Indent"/>
    <w:basedOn w:val="10"/>
    <w:next w:val="12"/>
    <w:unhideWhenUsed/>
    <w:qFormat/>
    <w:uiPriority w:val="99"/>
    <w:pPr>
      <w:spacing w:line="360" w:lineRule="auto"/>
      <w:ind w:firstLine="200" w:firstLineChars="200"/>
    </w:pPr>
    <w:rPr>
      <w:rFonts w:ascii="仿宋_GB2312" w:eastAsia="仿宋_GB2312"/>
      <w:bCs/>
      <w:sz w:val="30"/>
    </w:rPr>
  </w:style>
  <w:style w:type="paragraph" w:styleId="12">
    <w:name w:val="toc 6"/>
    <w:basedOn w:val="1"/>
    <w:next w:val="1"/>
    <w:unhideWhenUsed/>
    <w:qFormat/>
    <w:uiPriority w:val="39"/>
    <w:pPr>
      <w:ind w:left="2100" w:leftChars="1000"/>
    </w:pPr>
  </w:style>
  <w:style w:type="paragraph" w:styleId="13">
    <w:name w:val="List 2"/>
    <w:basedOn w:val="1"/>
    <w:qFormat/>
    <w:uiPriority w:val="0"/>
    <w:pPr>
      <w:ind w:left="100" w:leftChars="200" w:hanging="200" w:hangingChars="200"/>
    </w:pPr>
  </w:style>
  <w:style w:type="paragraph" w:styleId="14">
    <w:name w:val="Plain Text"/>
    <w:basedOn w:val="1"/>
    <w:next w:val="1"/>
    <w:qFormat/>
    <w:uiPriority w:val="0"/>
    <w:rPr>
      <w:sz w:val="24"/>
      <w:szCs w:val="20"/>
    </w:rPr>
  </w:style>
  <w:style w:type="paragraph" w:styleId="15">
    <w:name w:val="Date"/>
    <w:basedOn w:val="1"/>
    <w:next w:val="1"/>
    <w:qFormat/>
    <w:uiPriority w:val="0"/>
    <w:pPr>
      <w:ind w:left="2500" w:leftChars="2500"/>
    </w:pPr>
    <w:rPr>
      <w:rFonts w:eastAsia="楷体_GB2312"/>
      <w:sz w:val="32"/>
      <w:szCs w:val="20"/>
    </w:rPr>
  </w:style>
  <w:style w:type="paragraph" w:styleId="16">
    <w:name w:val="Balloon Text"/>
    <w:basedOn w:val="1"/>
    <w:link w:val="68"/>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unhideWhenUsed/>
    <w:qFormat/>
    <w:uiPriority w:val="39"/>
    <w:pPr>
      <w:ind w:left="1260" w:leftChars="600"/>
    </w:pPr>
    <w:rPr>
      <w:rFonts w:ascii="Calibri" w:hAnsi="Calibri"/>
      <w:szCs w:val="22"/>
    </w:rPr>
  </w:style>
  <w:style w:type="paragraph" w:styleId="21">
    <w:name w:val="List"/>
    <w:basedOn w:val="1"/>
    <w:next w:val="1"/>
    <w:unhideWhenUsed/>
    <w:qFormat/>
    <w:uiPriority w:val="0"/>
    <w:pPr>
      <w:topLinePunct/>
      <w:snapToGrid w:val="0"/>
      <w:spacing w:before="160" w:after="160" w:line="240" w:lineRule="atLeast"/>
      <w:ind w:left="200" w:hanging="200" w:hangingChars="200"/>
      <w:jc w:val="left"/>
    </w:pPr>
    <w:rPr>
      <w:szCs w:val="21"/>
    </w:rPr>
  </w:style>
  <w:style w:type="paragraph" w:styleId="22">
    <w:name w:val="Body Text Indent 3"/>
    <w:basedOn w:val="1"/>
    <w:qFormat/>
    <w:uiPriority w:val="0"/>
    <w:pPr>
      <w:ind w:firstLine="435"/>
    </w:pPr>
  </w:style>
  <w:style w:type="paragraph" w:styleId="23">
    <w:name w:val="toc 2"/>
    <w:basedOn w:val="1"/>
    <w:next w:val="1"/>
    <w:qFormat/>
    <w:uiPriority w:val="39"/>
    <w:pPr>
      <w:ind w:left="420" w:leftChars="200"/>
    </w:pPr>
  </w:style>
  <w:style w:type="paragraph" w:styleId="24">
    <w:name w:val="Normal (Web)"/>
    <w:basedOn w:val="1"/>
    <w:next w:val="1"/>
    <w:unhideWhenUsed/>
    <w:qFormat/>
    <w:uiPriority w:val="0"/>
    <w:pPr>
      <w:widowControl/>
      <w:spacing w:before="240" w:after="240"/>
      <w:jc w:val="left"/>
    </w:pPr>
    <w:rPr>
      <w:rFonts w:ascii="宋体" w:hAnsi="宋体" w:cs="宋体"/>
      <w:kern w:val="0"/>
      <w:sz w:val="24"/>
    </w:rPr>
  </w:style>
  <w:style w:type="paragraph" w:styleId="25">
    <w:name w:val="annotation subject"/>
    <w:basedOn w:val="9"/>
    <w:next w:val="9"/>
    <w:link w:val="71"/>
    <w:semiHidden/>
    <w:unhideWhenUsed/>
    <w:qFormat/>
    <w:uiPriority w:val="0"/>
    <w:rPr>
      <w:b/>
      <w:bCs/>
    </w:rPr>
  </w:style>
  <w:style w:type="paragraph" w:styleId="26">
    <w:name w:val="Body Text First Indent 2"/>
    <w:basedOn w:val="6"/>
    <w:next w:val="1"/>
    <w:qFormat/>
    <w:uiPriority w:val="0"/>
    <w:pPr>
      <w:autoSpaceDE w:val="0"/>
      <w:autoSpaceDN w:val="0"/>
      <w:adjustRightInd w:val="0"/>
      <w:ind w:firstLine="420" w:firstLineChars="200"/>
      <w:jc w:val="left"/>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Hyperlink"/>
    <w:qFormat/>
    <w:uiPriority w:val="99"/>
    <w:rPr>
      <w:color w:val="0000FF"/>
      <w:u w:val="single"/>
    </w:rPr>
  </w:style>
  <w:style w:type="character" w:styleId="32">
    <w:name w:val="annotation reference"/>
    <w:basedOn w:val="29"/>
    <w:qFormat/>
    <w:uiPriority w:val="0"/>
    <w:rPr>
      <w:sz w:val="21"/>
      <w:szCs w:val="21"/>
    </w:rPr>
  </w:style>
  <w:style w:type="paragraph" w:customStyle="1" w:styleId="33">
    <w:name w:val="BodyText1I"/>
    <w:basedOn w:val="34"/>
    <w:next w:val="1"/>
    <w:qFormat/>
    <w:uiPriority w:val="0"/>
    <w:pPr>
      <w:ind w:firstLine="420" w:firstLineChars="100"/>
    </w:pPr>
  </w:style>
  <w:style w:type="paragraph" w:customStyle="1" w:styleId="34">
    <w:name w:val="BodyText"/>
    <w:basedOn w:val="1"/>
    <w:next w:val="35"/>
    <w:qFormat/>
    <w:uiPriority w:val="0"/>
    <w:pPr>
      <w:textAlignment w:val="baseline"/>
    </w:pPr>
    <w:rPr>
      <w:rFonts w:ascii="宋体" w:hAnsi="宋体"/>
      <w:szCs w:val="21"/>
      <w:lang w:val="zh-CN" w:bidi="zh-CN"/>
    </w:rPr>
  </w:style>
  <w:style w:type="paragraph" w:customStyle="1" w:styleId="35">
    <w:name w:val="TOC2"/>
    <w:basedOn w:val="1"/>
    <w:next w:val="1"/>
    <w:qFormat/>
    <w:uiPriority w:val="0"/>
    <w:pPr>
      <w:ind w:left="420" w:leftChars="200"/>
      <w:textAlignment w:val="baseline"/>
    </w:pPr>
  </w:style>
  <w:style w:type="paragraph" w:customStyle="1" w:styleId="36">
    <w:name w:val="Default"/>
    <w:next w:val="37"/>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8">
    <w:name w:val="表格文字"/>
    <w:next w:val="10"/>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paragraph" w:customStyle="1" w:styleId="39">
    <w:name w:val="样式 表格正文 + 两端对齐"/>
    <w:basedOn w:val="1"/>
    <w:next w:val="40"/>
    <w:qFormat/>
    <w:uiPriority w:val="0"/>
    <w:pPr>
      <w:spacing w:line="300" w:lineRule="auto"/>
    </w:pPr>
  </w:style>
  <w:style w:type="paragraph" w:customStyle="1" w:styleId="40">
    <w:name w:val="正文1"/>
    <w:basedOn w:val="7"/>
    <w:next w:val="1"/>
    <w:qFormat/>
    <w:uiPriority w:val="99"/>
    <w:pPr>
      <w:widowControl/>
      <w:overflowPunct w:val="0"/>
      <w:autoSpaceDE w:val="0"/>
      <w:autoSpaceDN w:val="0"/>
      <w:adjustRightInd w:val="0"/>
      <w:spacing w:line="400" w:lineRule="exact"/>
      <w:textAlignment w:val="baseline"/>
    </w:pPr>
    <w:rPr>
      <w:kern w:val="0"/>
      <w:szCs w:val="20"/>
    </w:rPr>
  </w:style>
  <w:style w:type="paragraph" w:customStyle="1" w:styleId="41">
    <w:name w:val="U_正文2"/>
    <w:basedOn w:val="1"/>
    <w:qFormat/>
    <w:uiPriority w:val="0"/>
    <w:pPr>
      <w:spacing w:beforeLines="10" w:afterLines="10" w:line="300" w:lineRule="auto"/>
    </w:pPr>
    <w:rPr>
      <w:sz w:val="24"/>
      <w:szCs w:val="20"/>
    </w:rPr>
  </w:style>
  <w:style w:type="paragraph" w:customStyle="1" w:styleId="42">
    <w:name w:val="默认段落字体 Para Char Char Char Char Char Char Char Char Char1 Char Char Char Char"/>
    <w:basedOn w:val="1"/>
    <w:qFormat/>
    <w:uiPriority w:val="0"/>
    <w:rPr>
      <w:rFonts w:ascii="Tahoma" w:hAnsi="Tahoma"/>
      <w:sz w:val="24"/>
      <w:szCs w:val="20"/>
    </w:rPr>
  </w:style>
  <w:style w:type="character" w:customStyle="1" w:styleId="43">
    <w:name w:val="font61"/>
    <w:basedOn w:val="29"/>
    <w:qFormat/>
    <w:uiPriority w:val="0"/>
    <w:rPr>
      <w:rFonts w:hint="eastAsia" w:ascii="宋体" w:hAnsi="宋体" w:eastAsia="宋体" w:cs="宋体"/>
      <w:b/>
      <w:bCs/>
      <w:color w:val="000000"/>
      <w:sz w:val="22"/>
      <w:szCs w:val="22"/>
      <w:u w:val="none"/>
    </w:rPr>
  </w:style>
  <w:style w:type="character" w:customStyle="1" w:styleId="44">
    <w:name w:val="font112"/>
    <w:basedOn w:val="29"/>
    <w:qFormat/>
    <w:uiPriority w:val="0"/>
    <w:rPr>
      <w:rFonts w:hint="eastAsia" w:ascii="宋体" w:hAnsi="宋体" w:eastAsia="宋体" w:cs="宋体"/>
      <w:b/>
      <w:bCs/>
      <w:color w:val="000000"/>
      <w:sz w:val="22"/>
      <w:szCs w:val="22"/>
      <w:u w:val="none"/>
    </w:rPr>
  </w:style>
  <w:style w:type="character" w:customStyle="1" w:styleId="45">
    <w:name w:val="font91"/>
    <w:basedOn w:val="29"/>
    <w:qFormat/>
    <w:uiPriority w:val="0"/>
    <w:rPr>
      <w:rFonts w:hint="default" w:ascii="Times New Roman" w:hAnsi="Times New Roman" w:cs="Times New Roman"/>
      <w:color w:val="000000"/>
      <w:sz w:val="22"/>
      <w:szCs w:val="22"/>
      <w:u w:val="none"/>
    </w:rPr>
  </w:style>
  <w:style w:type="character" w:customStyle="1" w:styleId="46">
    <w:name w:val="font121"/>
    <w:basedOn w:val="29"/>
    <w:qFormat/>
    <w:uiPriority w:val="0"/>
    <w:rPr>
      <w:rFonts w:hint="eastAsia" w:ascii="宋体" w:hAnsi="宋体" w:eastAsia="宋体" w:cs="宋体"/>
      <w:color w:val="000000"/>
      <w:sz w:val="22"/>
      <w:szCs w:val="22"/>
      <w:u w:val="none"/>
    </w:rPr>
  </w:style>
  <w:style w:type="character" w:customStyle="1" w:styleId="47">
    <w:name w:val="font01"/>
    <w:basedOn w:val="29"/>
    <w:qFormat/>
    <w:uiPriority w:val="0"/>
    <w:rPr>
      <w:rFonts w:hint="eastAsia" w:ascii="宋体" w:hAnsi="宋体" w:eastAsia="宋体" w:cs="宋体"/>
      <w:color w:val="000000"/>
      <w:sz w:val="22"/>
      <w:szCs w:val="22"/>
      <w:u w:val="none"/>
    </w:rPr>
  </w:style>
  <w:style w:type="character" w:customStyle="1" w:styleId="48">
    <w:name w:val="font81"/>
    <w:basedOn w:val="29"/>
    <w:qFormat/>
    <w:uiPriority w:val="0"/>
    <w:rPr>
      <w:rFonts w:hint="default" w:ascii="Times New Roman" w:hAnsi="Times New Roman" w:cs="Times New Roman"/>
      <w:color w:val="000000"/>
      <w:sz w:val="22"/>
      <w:szCs w:val="22"/>
      <w:u w:val="none"/>
    </w:rPr>
  </w:style>
  <w:style w:type="character" w:customStyle="1" w:styleId="49">
    <w:name w:val="font41"/>
    <w:basedOn w:val="29"/>
    <w:qFormat/>
    <w:uiPriority w:val="0"/>
    <w:rPr>
      <w:rFonts w:hint="default" w:ascii="Times New Roman" w:hAnsi="Times New Roman" w:cs="Times New Roman"/>
      <w:b/>
      <w:bCs/>
      <w:color w:val="000000"/>
      <w:sz w:val="22"/>
      <w:szCs w:val="22"/>
      <w:u w:val="none"/>
    </w:rPr>
  </w:style>
  <w:style w:type="character" w:customStyle="1" w:styleId="50">
    <w:name w:val="font21"/>
    <w:basedOn w:val="29"/>
    <w:qFormat/>
    <w:uiPriority w:val="0"/>
    <w:rPr>
      <w:rFonts w:hint="default" w:ascii="Times New Roman" w:hAnsi="Times New Roman" w:cs="Times New Roman"/>
      <w:b/>
      <w:bCs/>
      <w:color w:val="FF0000"/>
      <w:sz w:val="22"/>
      <w:szCs w:val="22"/>
      <w:u w:val="none"/>
    </w:rPr>
  </w:style>
  <w:style w:type="character" w:customStyle="1" w:styleId="51">
    <w:name w:val="font181"/>
    <w:basedOn w:val="29"/>
    <w:qFormat/>
    <w:uiPriority w:val="0"/>
    <w:rPr>
      <w:rFonts w:hint="eastAsia" w:ascii="宋体" w:hAnsi="宋体" w:eastAsia="宋体" w:cs="宋体"/>
      <w:b/>
      <w:bCs/>
      <w:color w:val="FF0000"/>
      <w:sz w:val="22"/>
      <w:szCs w:val="22"/>
      <w:u w:val="none"/>
    </w:rPr>
  </w:style>
  <w:style w:type="character" w:customStyle="1" w:styleId="52">
    <w:name w:val="font51"/>
    <w:basedOn w:val="29"/>
    <w:qFormat/>
    <w:uiPriority w:val="0"/>
    <w:rPr>
      <w:rFonts w:hint="default" w:ascii="Times New Roman" w:hAnsi="Times New Roman" w:cs="Times New Roman"/>
      <w:b/>
      <w:bCs/>
      <w:color w:val="000000"/>
      <w:sz w:val="22"/>
      <w:szCs w:val="22"/>
      <w:u w:val="none"/>
    </w:rPr>
  </w:style>
  <w:style w:type="character" w:customStyle="1" w:styleId="53">
    <w:name w:val="font141"/>
    <w:basedOn w:val="29"/>
    <w:qFormat/>
    <w:uiPriority w:val="0"/>
    <w:rPr>
      <w:rFonts w:hint="eastAsia" w:ascii="宋体" w:hAnsi="宋体" w:eastAsia="宋体" w:cs="宋体"/>
      <w:b/>
      <w:bCs/>
      <w:color w:val="000000"/>
      <w:sz w:val="22"/>
      <w:szCs w:val="22"/>
      <w:u w:val="none"/>
    </w:rPr>
  </w:style>
  <w:style w:type="character" w:customStyle="1" w:styleId="54">
    <w:name w:val="font71"/>
    <w:basedOn w:val="29"/>
    <w:qFormat/>
    <w:uiPriority w:val="0"/>
    <w:rPr>
      <w:rFonts w:hint="default" w:ascii="Times New Roman" w:hAnsi="Times New Roman" w:cs="Times New Roman"/>
      <w:color w:val="000000"/>
      <w:sz w:val="22"/>
      <w:szCs w:val="22"/>
      <w:u w:val="none"/>
    </w:rPr>
  </w:style>
  <w:style w:type="character" w:customStyle="1" w:styleId="55">
    <w:name w:val="font101"/>
    <w:basedOn w:val="29"/>
    <w:qFormat/>
    <w:uiPriority w:val="0"/>
    <w:rPr>
      <w:rFonts w:hint="eastAsia" w:ascii="宋体" w:hAnsi="宋体" w:eastAsia="宋体" w:cs="宋体"/>
      <w:b/>
      <w:bCs/>
      <w:color w:val="000000"/>
      <w:sz w:val="22"/>
      <w:szCs w:val="22"/>
      <w:u w:val="none"/>
    </w:rPr>
  </w:style>
  <w:style w:type="character" w:customStyle="1" w:styleId="56">
    <w:name w:val="font31"/>
    <w:basedOn w:val="29"/>
    <w:qFormat/>
    <w:uiPriority w:val="0"/>
    <w:rPr>
      <w:rFonts w:hint="eastAsia" w:ascii="宋体" w:hAnsi="宋体" w:eastAsia="宋体" w:cs="宋体"/>
      <w:color w:val="FF0000"/>
      <w:sz w:val="22"/>
      <w:szCs w:val="22"/>
      <w:u w:val="none"/>
    </w:rPr>
  </w:style>
  <w:style w:type="paragraph" w:styleId="57">
    <w:name w:val="No Spacing"/>
    <w:qFormat/>
    <w:uiPriority w:val="1"/>
    <w:rPr>
      <w:rFonts w:ascii="Calibri" w:hAnsi="Calibri" w:eastAsia="MS Mincho" w:cs="Times New Roman"/>
      <w:sz w:val="24"/>
      <w:szCs w:val="24"/>
      <w:lang w:val="en-US" w:eastAsia="en-US" w:bidi="ar-SA"/>
    </w:rPr>
  </w:style>
  <w:style w:type="character" w:customStyle="1" w:styleId="58">
    <w:name w:val="不明显强调1"/>
    <w:qFormat/>
    <w:uiPriority w:val="19"/>
    <w:rPr>
      <w:i/>
      <w:iCs/>
      <w:color w:val="808080"/>
    </w:rPr>
  </w:style>
  <w:style w:type="character" w:customStyle="1" w:styleId="59">
    <w:name w:val="无"/>
    <w:qFormat/>
    <w:uiPriority w:val="99"/>
  </w:style>
  <w:style w:type="paragraph" w:customStyle="1" w:styleId="60">
    <w:name w:val="表格正文"/>
    <w:qFormat/>
    <w:uiPriority w:val="0"/>
    <w:pPr>
      <w:spacing w:line="360" w:lineRule="auto"/>
      <w:contextualSpacing/>
      <w:jc w:val="both"/>
    </w:pPr>
    <w:rPr>
      <w:rFonts w:ascii="Times New Roman" w:hAnsi="Times New Roman" w:eastAsia="宋体" w:cs="Times New Roman"/>
      <w:kern w:val="2"/>
      <w:sz w:val="21"/>
      <w:szCs w:val="24"/>
      <w:lang w:val="en-US" w:eastAsia="zh-CN" w:bidi="ar-SA"/>
    </w:rPr>
  </w:style>
  <w:style w:type="table" w:customStyle="1" w:styleId="61">
    <w:name w:val="Table Normal"/>
    <w:semiHidden/>
    <w:unhideWhenUsed/>
    <w:qFormat/>
    <w:uiPriority w:val="0"/>
    <w:tblPr>
      <w:tblCellMar>
        <w:top w:w="0" w:type="dxa"/>
        <w:left w:w="0" w:type="dxa"/>
        <w:bottom w:w="0" w:type="dxa"/>
        <w:right w:w="0" w:type="dxa"/>
      </w:tblCellMar>
    </w:tblPr>
  </w:style>
  <w:style w:type="paragraph" w:styleId="62">
    <w:name w:val="List Paragraph"/>
    <w:basedOn w:val="1"/>
    <w:unhideWhenUsed/>
    <w:qFormat/>
    <w:uiPriority w:val="34"/>
    <w:rPr>
      <w:rFonts w:ascii="Calibri" w:hAnsi="Calibri" w:eastAsia="微软雅黑"/>
    </w:rPr>
  </w:style>
  <w:style w:type="paragraph" w:customStyle="1" w:styleId="63">
    <w:name w:val="表正文"/>
    <w:basedOn w:val="1"/>
    <w:next w:val="62"/>
    <w:qFormat/>
    <w:uiPriority w:val="34"/>
    <w:rPr>
      <w:rFonts w:asciiTheme="minorHAnsi" w:hAnsiTheme="minorHAnsi"/>
    </w:rPr>
  </w:style>
  <w:style w:type="character" w:customStyle="1" w:styleId="64">
    <w:name w:val="NormalCharacter"/>
    <w:qFormat/>
    <w:uiPriority w:val="0"/>
    <w:rPr>
      <w:rFonts w:ascii="Calibri" w:hAnsi="Calibri" w:eastAsia="宋体" w:cs="Times New Roman"/>
      <w:kern w:val="2"/>
      <w:sz w:val="21"/>
      <w:szCs w:val="24"/>
      <w:lang w:val="en-US" w:eastAsia="zh-CN" w:bidi="ar-SA"/>
    </w:rPr>
  </w:style>
  <w:style w:type="paragraph" w:customStyle="1" w:styleId="65">
    <w:name w:val="投标正文"/>
    <w:basedOn w:val="1"/>
    <w:qFormat/>
    <w:uiPriority w:val="0"/>
    <w:pPr>
      <w:ind w:firstLine="425" w:firstLineChars="177"/>
    </w:pPr>
    <w:rPr>
      <w:rFonts w:ascii="Calibri" w:hAnsi="Calibri"/>
    </w:rPr>
  </w:style>
  <w:style w:type="paragraph" w:customStyle="1" w:styleId="66">
    <w:name w:val="列表段落1"/>
    <w:basedOn w:val="1"/>
    <w:qFormat/>
    <w:uiPriority w:val="0"/>
    <w:pPr>
      <w:ind w:firstLine="200" w:firstLineChars="200"/>
    </w:pPr>
    <w:rPr>
      <w:rFonts w:ascii="Calibri" w:hAnsi="Calibri"/>
    </w:rPr>
  </w:style>
  <w:style w:type="paragraph" w:customStyle="1" w:styleId="67">
    <w:name w:val="章正文"/>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character" w:customStyle="1" w:styleId="68">
    <w:name w:val="批注框文本 字符"/>
    <w:basedOn w:val="29"/>
    <w:link w:val="16"/>
    <w:qFormat/>
    <w:uiPriority w:val="0"/>
    <w:rPr>
      <w:kern w:val="2"/>
      <w:sz w:val="18"/>
      <w:szCs w:val="18"/>
    </w:rPr>
  </w:style>
  <w:style w:type="paragraph" w:customStyle="1" w:styleId="6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70">
    <w:name w:val="批注文字 字符"/>
    <w:basedOn w:val="29"/>
    <w:link w:val="9"/>
    <w:qFormat/>
    <w:uiPriority w:val="0"/>
    <w:rPr>
      <w:kern w:val="2"/>
      <w:sz w:val="21"/>
      <w:szCs w:val="24"/>
    </w:rPr>
  </w:style>
  <w:style w:type="character" w:customStyle="1" w:styleId="71">
    <w:name w:val="批注主题 字符"/>
    <w:basedOn w:val="70"/>
    <w:link w:val="25"/>
    <w:semiHidden/>
    <w:qFormat/>
    <w:uiPriority w:val="0"/>
    <w:rPr>
      <w:b/>
      <w:bCs/>
      <w:kern w:val="2"/>
      <w:sz w:val="21"/>
      <w:szCs w:val="24"/>
    </w:rPr>
  </w:style>
  <w:style w:type="paragraph" w:customStyle="1" w:styleId="7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41221</Words>
  <Characters>43399</Characters>
  <Lines>341</Lines>
  <Paragraphs>96</Paragraphs>
  <TotalTime>5</TotalTime>
  <ScaleCrop>false</ScaleCrop>
  <LinksUpToDate>false</LinksUpToDate>
  <CharactersWithSpaces>49173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2022-11-25T02:56:00Z</dcterms:created>
  <dc:creator>Z&amp;Y</dc:creator>
  <cp:lastModifiedBy>韦亮</cp:lastModifiedBy>
  <cp:lastPrinted>2023-05-11T07:12:14Z</cp:lastPrinted>
  <dcterms:modified xsi:type="dcterms:W3CDTF">2023-05-11T07:13:00Z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B1119939A38F4411BF2E7638CE654737</vt:lpwstr>
  </property>
</Properties>
</file>