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ageBreakBefore w:val="0"/>
        <w:widowControl w:val="0"/>
        <w:kinsoku/>
        <w:wordWrap/>
        <w:overflowPunct/>
        <w:topLinePunct w:val="0"/>
        <w:autoSpaceDE/>
        <w:autoSpaceDN/>
        <w:bidi w:val="0"/>
        <w:adjustRightInd/>
        <w:snapToGrid/>
        <w:spacing w:line="288" w:lineRule="auto"/>
        <w:jc w:val="center"/>
        <w:textAlignment w:val="auto"/>
        <w:rPr>
          <w:rFonts w:hint="eastAsia" w:ascii="宋体" w:hAnsi="宋体" w:eastAsia="宋体" w:cs="宋体"/>
          <w:b/>
          <w:color w:val="auto"/>
          <w:sz w:val="24"/>
          <w:highlight w:val="none"/>
          <w:lang w:val="en-US" w:eastAsia="zh-CN"/>
        </w:rPr>
      </w:pPr>
    </w:p>
    <w:p>
      <w:pPr>
        <w:rPr>
          <w:rFonts w:hint="eastAsia" w:ascii="宋体" w:hAnsi="宋体" w:eastAsia="宋体" w:cs="宋体"/>
          <w:color w:val="auto"/>
          <w:highlight w:val="none"/>
        </w:rPr>
      </w:pPr>
    </w:p>
    <w:p>
      <w:pPr>
        <w:pageBreakBefore w:val="0"/>
        <w:widowControl w:val="0"/>
        <w:kinsoku/>
        <w:wordWrap/>
        <w:overflowPunct/>
        <w:topLinePunct w:val="0"/>
        <w:autoSpaceDE/>
        <w:autoSpaceDN/>
        <w:bidi w:val="0"/>
        <w:adjustRightInd/>
        <w:snapToGrid/>
        <w:spacing w:line="720" w:lineRule="auto"/>
        <w:jc w:val="center"/>
        <w:textAlignment w:val="auto"/>
        <w:rPr>
          <w:rFonts w:hint="eastAsia" w:ascii="宋体" w:hAnsi="宋体" w:cs="宋体"/>
          <w:b/>
          <w:color w:val="auto"/>
          <w:sz w:val="40"/>
          <w:szCs w:val="40"/>
          <w:highlight w:val="none"/>
          <w:lang w:eastAsia="zh-CN"/>
        </w:rPr>
      </w:pPr>
      <w:r>
        <w:rPr>
          <w:rFonts w:hint="eastAsia" w:ascii="宋体" w:hAnsi="宋体" w:eastAsia="宋体" w:cs="宋体"/>
          <w:b/>
          <w:color w:val="auto"/>
          <w:sz w:val="40"/>
          <w:szCs w:val="40"/>
          <w:highlight w:val="none"/>
          <w:lang w:eastAsia="zh-CN"/>
        </w:rPr>
        <w:t>东阳市鑫盛工程咨询有限公司关于</w:t>
      </w:r>
      <w:r>
        <w:rPr>
          <w:rFonts w:hint="eastAsia" w:ascii="宋体" w:hAnsi="宋体" w:cs="宋体"/>
          <w:b/>
          <w:color w:val="auto"/>
          <w:sz w:val="40"/>
          <w:szCs w:val="40"/>
          <w:highlight w:val="none"/>
          <w:lang w:eastAsia="zh-CN"/>
        </w:rPr>
        <w:t>东阳市横店医院</w:t>
      </w:r>
    </w:p>
    <w:p>
      <w:pPr>
        <w:pageBreakBefore w:val="0"/>
        <w:widowControl w:val="0"/>
        <w:kinsoku/>
        <w:wordWrap/>
        <w:overflowPunct/>
        <w:topLinePunct w:val="0"/>
        <w:autoSpaceDE/>
        <w:autoSpaceDN/>
        <w:bidi w:val="0"/>
        <w:adjustRightInd/>
        <w:snapToGrid/>
        <w:spacing w:line="720" w:lineRule="auto"/>
        <w:jc w:val="center"/>
        <w:textAlignment w:val="auto"/>
        <w:rPr>
          <w:rFonts w:hint="eastAsia" w:ascii="宋体" w:hAnsi="宋体" w:cs="宋体"/>
          <w:b/>
          <w:color w:val="auto"/>
          <w:sz w:val="40"/>
          <w:szCs w:val="40"/>
          <w:highlight w:val="none"/>
          <w:lang w:eastAsia="zh-CN"/>
        </w:rPr>
      </w:pPr>
      <w:r>
        <w:rPr>
          <w:rFonts w:hint="eastAsia" w:ascii="宋体" w:hAnsi="宋体" w:cs="宋体"/>
          <w:b/>
          <w:color w:val="auto"/>
          <w:sz w:val="40"/>
          <w:szCs w:val="40"/>
          <w:highlight w:val="none"/>
          <w:lang w:eastAsia="zh-CN"/>
        </w:rPr>
        <w:t>公共卫生综合楼百级手术室、供应中心净化系统设备</w:t>
      </w:r>
    </w:p>
    <w:p>
      <w:pPr>
        <w:pageBreakBefore w:val="0"/>
        <w:widowControl w:val="0"/>
        <w:kinsoku/>
        <w:wordWrap/>
        <w:overflowPunct/>
        <w:topLinePunct w:val="0"/>
        <w:autoSpaceDE/>
        <w:autoSpaceDN/>
        <w:bidi w:val="0"/>
        <w:adjustRightInd/>
        <w:snapToGrid/>
        <w:spacing w:line="720" w:lineRule="auto"/>
        <w:jc w:val="center"/>
        <w:textAlignment w:val="auto"/>
        <w:rPr>
          <w:rFonts w:hint="eastAsia" w:ascii="宋体" w:hAnsi="宋体" w:eastAsia="宋体" w:cs="宋体"/>
          <w:b/>
          <w:color w:val="auto"/>
          <w:sz w:val="40"/>
          <w:szCs w:val="40"/>
          <w:highlight w:val="none"/>
          <w:lang w:eastAsia="zh-CN"/>
        </w:rPr>
      </w:pPr>
      <w:r>
        <w:rPr>
          <w:rFonts w:hint="eastAsia" w:ascii="宋体" w:hAnsi="宋体" w:cs="宋体"/>
          <w:b/>
          <w:color w:val="auto"/>
          <w:sz w:val="40"/>
          <w:szCs w:val="40"/>
          <w:highlight w:val="none"/>
          <w:lang w:eastAsia="zh-CN"/>
        </w:rPr>
        <w:t>采购及安装项目</w:t>
      </w:r>
    </w:p>
    <w:p>
      <w:pPr>
        <w:bidi w:val="0"/>
        <w:rPr>
          <w:rFonts w:hint="eastAsia"/>
          <w:color w:val="auto"/>
          <w:highlight w:val="none"/>
          <w:lang w:val="en-US" w:eastAsia="zh-CN"/>
        </w:rPr>
      </w:pPr>
      <w:r>
        <w:rPr>
          <w:rFonts w:hint="eastAsia" w:ascii="宋体" w:hAnsi="宋体" w:eastAsia="宋体" w:cs="宋体"/>
          <w:color w:val="auto"/>
          <w:highlight w:val="none"/>
        </w:rPr>
        <w:tab/>
      </w: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jc w:val="center"/>
        <w:rPr>
          <w:rFonts w:hint="eastAsia"/>
          <w:color w:val="auto"/>
          <w:highlight w:val="none"/>
          <w:lang w:val="en-US" w:eastAsia="zh-CN"/>
        </w:rPr>
      </w:pPr>
      <w:r>
        <w:rPr>
          <w:rFonts w:hint="eastAsia" w:ascii="宋体" w:hAnsi="宋体" w:cs="宋体"/>
          <w:b/>
          <w:bCs/>
          <w:color w:val="auto"/>
          <w:sz w:val="72"/>
          <w:szCs w:val="72"/>
          <w:highlight w:val="none"/>
          <w:lang w:val="en-US" w:eastAsia="zh-CN"/>
        </w:rPr>
        <w:t>公开招标文件</w:t>
      </w: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720" w:lineRule="auto"/>
        <w:ind w:left="2249" w:leftChars="306" w:hanging="1606" w:hangingChars="500"/>
        <w:textAlignment w:val="auto"/>
        <w:rPr>
          <w:rFonts w:hint="eastAsia" w:ascii="宋体" w:hAnsi="宋体" w:cs="宋体"/>
          <w:b/>
          <w:color w:val="auto"/>
          <w:kern w:val="0"/>
          <w:sz w:val="32"/>
          <w:szCs w:val="32"/>
          <w:highlight w:val="none"/>
          <w:lang w:eastAsia="zh-CN"/>
        </w:rPr>
      </w:pPr>
      <w:r>
        <w:rPr>
          <w:rFonts w:hint="eastAsia" w:ascii="宋体" w:hAnsi="宋体" w:eastAsia="宋体" w:cs="宋体"/>
          <w:b/>
          <w:color w:val="auto"/>
          <w:kern w:val="0"/>
          <w:sz w:val="32"/>
          <w:szCs w:val="32"/>
          <w:highlight w:val="none"/>
        </w:rPr>
        <w:t>项目名称：</w:t>
      </w:r>
      <w:r>
        <w:rPr>
          <w:rFonts w:hint="eastAsia" w:ascii="宋体" w:hAnsi="宋体" w:cs="宋体"/>
          <w:b/>
          <w:color w:val="auto"/>
          <w:kern w:val="0"/>
          <w:sz w:val="32"/>
          <w:szCs w:val="32"/>
          <w:highlight w:val="none"/>
          <w:lang w:eastAsia="zh-CN"/>
        </w:rPr>
        <w:t>东阳市横店医院公共卫生综合楼百级手术室、</w:t>
      </w:r>
    </w:p>
    <w:p>
      <w:pPr>
        <w:keepNext w:val="0"/>
        <w:keepLines w:val="0"/>
        <w:pageBreakBefore w:val="0"/>
        <w:widowControl w:val="0"/>
        <w:kinsoku/>
        <w:wordWrap/>
        <w:overflowPunct/>
        <w:topLinePunct w:val="0"/>
        <w:autoSpaceDE/>
        <w:autoSpaceDN/>
        <w:bidi w:val="0"/>
        <w:adjustRightInd/>
        <w:snapToGrid/>
        <w:spacing w:line="720" w:lineRule="auto"/>
        <w:ind w:left="2239" w:leftChars="1066" w:firstLine="0" w:firstLineChars="0"/>
        <w:textAlignment w:val="auto"/>
        <w:rPr>
          <w:rFonts w:hint="eastAsia" w:ascii="宋体" w:hAnsi="宋体" w:cs="宋体"/>
          <w:b/>
          <w:color w:val="auto"/>
          <w:kern w:val="0"/>
          <w:sz w:val="32"/>
          <w:szCs w:val="32"/>
          <w:highlight w:val="none"/>
          <w:lang w:eastAsia="zh-CN"/>
        </w:rPr>
      </w:pPr>
      <w:r>
        <w:rPr>
          <w:rFonts w:hint="eastAsia" w:ascii="宋体" w:hAnsi="宋体" w:cs="宋体"/>
          <w:b/>
          <w:color w:val="auto"/>
          <w:kern w:val="0"/>
          <w:sz w:val="32"/>
          <w:szCs w:val="32"/>
          <w:highlight w:val="none"/>
          <w:lang w:eastAsia="zh-CN"/>
        </w:rPr>
        <w:t>供应中心净化系统设备采购及安装项目</w:t>
      </w:r>
    </w:p>
    <w:p>
      <w:pPr>
        <w:keepNext w:val="0"/>
        <w:keepLines w:val="0"/>
        <w:pageBreakBefore w:val="0"/>
        <w:widowControl w:val="0"/>
        <w:kinsoku/>
        <w:wordWrap/>
        <w:overflowPunct/>
        <w:topLinePunct w:val="0"/>
        <w:autoSpaceDE/>
        <w:autoSpaceDN/>
        <w:bidi w:val="0"/>
        <w:adjustRightInd/>
        <w:snapToGrid/>
        <w:spacing w:line="720" w:lineRule="auto"/>
        <w:ind w:left="2249" w:leftChars="306" w:hanging="1606" w:hangingChars="500"/>
        <w:textAlignment w:val="auto"/>
        <w:rPr>
          <w:rFonts w:hint="eastAsia" w:ascii="宋体" w:hAnsi="宋体" w:cs="宋体"/>
          <w:b/>
          <w:color w:val="auto"/>
          <w:kern w:val="0"/>
          <w:sz w:val="32"/>
          <w:szCs w:val="32"/>
          <w:highlight w:val="none"/>
          <w:lang w:eastAsia="zh-CN"/>
        </w:rPr>
      </w:pPr>
      <w:r>
        <w:rPr>
          <w:rFonts w:hint="eastAsia" w:ascii="宋体" w:hAnsi="宋体" w:eastAsia="宋体" w:cs="宋体"/>
          <w:b/>
          <w:color w:val="auto"/>
          <w:kern w:val="0"/>
          <w:sz w:val="32"/>
          <w:szCs w:val="32"/>
          <w:highlight w:val="none"/>
        </w:rPr>
        <w:t>项目编号：</w:t>
      </w:r>
      <w:r>
        <w:rPr>
          <w:rFonts w:hint="eastAsia" w:ascii="宋体" w:hAnsi="宋体" w:cs="宋体"/>
          <w:b/>
          <w:color w:val="auto"/>
          <w:kern w:val="0"/>
          <w:sz w:val="32"/>
          <w:szCs w:val="32"/>
          <w:highlight w:val="none"/>
          <w:lang w:eastAsia="zh-CN"/>
        </w:rPr>
        <w:t>XSZFCGDZ2022-203</w:t>
      </w:r>
    </w:p>
    <w:p>
      <w:pPr>
        <w:keepNext w:val="0"/>
        <w:keepLines w:val="0"/>
        <w:pageBreakBefore w:val="0"/>
        <w:widowControl w:val="0"/>
        <w:kinsoku/>
        <w:wordWrap/>
        <w:overflowPunct/>
        <w:topLinePunct w:val="0"/>
        <w:autoSpaceDE/>
        <w:autoSpaceDN/>
        <w:bidi w:val="0"/>
        <w:adjustRightInd/>
        <w:snapToGrid/>
        <w:spacing w:line="720" w:lineRule="auto"/>
        <w:ind w:left="2249" w:leftChars="306" w:hanging="1606" w:hangingChars="500"/>
        <w:textAlignment w:val="auto"/>
        <w:rPr>
          <w:rFonts w:hint="eastAsia" w:ascii="宋体" w:hAnsi="宋体" w:cs="宋体"/>
          <w:b/>
          <w:color w:val="auto"/>
          <w:kern w:val="0"/>
          <w:sz w:val="32"/>
          <w:szCs w:val="32"/>
          <w:highlight w:val="none"/>
          <w:lang w:eastAsia="zh-CN"/>
        </w:rPr>
      </w:pPr>
      <w:r>
        <w:rPr>
          <w:rFonts w:hint="eastAsia" w:ascii="宋体" w:hAnsi="宋体" w:eastAsia="宋体" w:cs="宋体"/>
          <w:b/>
          <w:color w:val="auto"/>
          <w:kern w:val="0"/>
          <w:sz w:val="32"/>
          <w:szCs w:val="32"/>
          <w:highlight w:val="none"/>
        </w:rPr>
        <w:t>采购单位：</w:t>
      </w:r>
      <w:r>
        <w:rPr>
          <w:rFonts w:hint="eastAsia" w:ascii="宋体" w:hAnsi="宋体" w:cs="宋体"/>
          <w:b/>
          <w:color w:val="auto"/>
          <w:kern w:val="0"/>
          <w:sz w:val="32"/>
          <w:szCs w:val="32"/>
          <w:highlight w:val="none"/>
          <w:lang w:eastAsia="zh-CN"/>
        </w:rPr>
        <w:t>东阳市横店医院</w:t>
      </w:r>
    </w:p>
    <w:p>
      <w:pPr>
        <w:keepNext w:val="0"/>
        <w:keepLines w:val="0"/>
        <w:pageBreakBefore w:val="0"/>
        <w:widowControl w:val="0"/>
        <w:kinsoku/>
        <w:wordWrap/>
        <w:overflowPunct/>
        <w:topLinePunct w:val="0"/>
        <w:autoSpaceDE/>
        <w:autoSpaceDN/>
        <w:bidi w:val="0"/>
        <w:adjustRightInd/>
        <w:snapToGrid/>
        <w:spacing w:line="720" w:lineRule="auto"/>
        <w:ind w:left="2249" w:leftChars="306" w:hanging="1606" w:hangingChars="500"/>
        <w:textAlignment w:val="auto"/>
        <w:rPr>
          <w:rFonts w:hint="eastAsia" w:ascii="宋体" w:hAnsi="宋体" w:eastAsia="宋体" w:cs="宋体"/>
          <w:color w:val="auto"/>
          <w:sz w:val="32"/>
          <w:szCs w:val="32"/>
          <w:highlight w:val="none"/>
        </w:rPr>
      </w:pPr>
      <w:r>
        <w:rPr>
          <w:rFonts w:hint="eastAsia" w:ascii="宋体" w:hAnsi="宋体" w:eastAsia="宋体" w:cs="宋体"/>
          <w:b/>
          <w:color w:val="auto"/>
          <w:kern w:val="0"/>
          <w:sz w:val="32"/>
          <w:szCs w:val="32"/>
          <w:highlight w:val="none"/>
        </w:rPr>
        <w:t>招标机构：东阳市鑫盛工程咨询有限公司</w:t>
      </w:r>
    </w:p>
    <w:p>
      <w:pPr>
        <w:pStyle w:val="12"/>
        <w:pageBreakBefore w:val="0"/>
        <w:widowControl w:val="0"/>
        <w:kinsoku/>
        <w:wordWrap/>
        <w:overflowPunct/>
        <w:topLinePunct w:val="0"/>
        <w:autoSpaceDE/>
        <w:autoSpaceDN/>
        <w:bidi w:val="0"/>
        <w:adjustRightInd/>
        <w:snapToGrid/>
        <w:spacing w:line="480" w:lineRule="auto"/>
        <w:jc w:val="center"/>
        <w:textAlignment w:val="auto"/>
        <w:rPr>
          <w:rFonts w:hint="eastAsia" w:ascii="宋体" w:hAnsi="宋体" w:eastAsia="宋体" w:cs="宋体"/>
          <w:b/>
          <w:color w:val="auto"/>
          <w:sz w:val="32"/>
          <w:szCs w:val="32"/>
          <w:highlight w:val="none"/>
          <w:lang w:val="en-US" w:eastAsia="zh-CN"/>
        </w:rPr>
      </w:pPr>
      <w:r>
        <w:rPr>
          <w:rFonts w:hint="eastAsia" w:ascii="宋体" w:hAnsi="宋体" w:eastAsia="宋体" w:cs="宋体"/>
          <w:b/>
          <w:color w:val="auto"/>
          <w:sz w:val="32"/>
          <w:szCs w:val="32"/>
          <w:highlight w:val="none"/>
        </w:rPr>
        <w:t>202</w:t>
      </w:r>
      <w:r>
        <w:rPr>
          <w:rFonts w:hint="eastAsia" w:ascii="宋体" w:hAnsi="宋体" w:eastAsia="宋体" w:cs="宋体"/>
          <w:b/>
          <w:color w:val="auto"/>
          <w:sz w:val="32"/>
          <w:szCs w:val="32"/>
          <w:highlight w:val="none"/>
          <w:lang w:val="en-US" w:eastAsia="zh-CN"/>
        </w:rPr>
        <w:t>2</w:t>
      </w:r>
      <w:r>
        <w:rPr>
          <w:rFonts w:hint="eastAsia" w:ascii="宋体" w:hAnsi="宋体" w:eastAsia="宋体" w:cs="宋体"/>
          <w:b/>
          <w:color w:val="auto"/>
          <w:sz w:val="32"/>
          <w:szCs w:val="32"/>
          <w:highlight w:val="none"/>
        </w:rPr>
        <w:t>年</w:t>
      </w:r>
      <w:r>
        <w:rPr>
          <w:rFonts w:hint="eastAsia" w:ascii="宋体" w:hAnsi="宋体" w:cs="宋体"/>
          <w:b/>
          <w:color w:val="auto"/>
          <w:sz w:val="32"/>
          <w:szCs w:val="32"/>
          <w:highlight w:val="none"/>
          <w:lang w:val="en-US" w:eastAsia="zh-CN"/>
        </w:rPr>
        <w:t>10</w:t>
      </w:r>
      <w:r>
        <w:rPr>
          <w:rFonts w:hint="eastAsia" w:ascii="宋体" w:hAnsi="宋体" w:eastAsia="宋体" w:cs="宋体"/>
          <w:b/>
          <w:color w:val="auto"/>
          <w:sz w:val="32"/>
          <w:szCs w:val="32"/>
          <w:highlight w:val="none"/>
        </w:rPr>
        <w:t>月</w:t>
      </w:r>
    </w:p>
    <w:p>
      <w:pPr>
        <w:pStyle w:val="12"/>
        <w:pageBreakBefore/>
        <w:spacing w:line="276" w:lineRule="auto"/>
        <w:jc w:val="center"/>
        <w:rPr>
          <w:rFonts w:hint="eastAsia" w:ascii="宋体" w:hAnsi="宋体" w:eastAsia="宋体" w:cs="宋体"/>
          <w:b/>
          <w:color w:val="auto"/>
          <w:szCs w:val="24"/>
          <w:highlight w:val="none"/>
        </w:rPr>
        <w:sectPr>
          <w:headerReference r:id="rId3" w:type="default"/>
          <w:pgSz w:w="11906" w:h="16838"/>
          <w:pgMar w:top="1060" w:right="1174" w:bottom="1060" w:left="1174"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12"/>
        <w:pageBreakBefore/>
        <w:spacing w:line="276" w:lineRule="auto"/>
        <w:jc w:val="center"/>
        <w:rPr>
          <w:rFonts w:hint="eastAsia" w:ascii="宋体" w:hAnsi="宋体" w:eastAsia="宋体" w:cs="宋体"/>
          <w:b/>
          <w:color w:val="auto"/>
          <w:szCs w:val="24"/>
          <w:highlight w:val="none"/>
        </w:rPr>
      </w:pPr>
      <w:r>
        <w:rPr>
          <w:rFonts w:hint="eastAsia" w:ascii="宋体" w:hAnsi="宋体" w:eastAsia="宋体" w:cs="宋体"/>
          <w:b/>
          <w:color w:val="auto"/>
          <w:szCs w:val="24"/>
          <w:highlight w:val="none"/>
        </w:rPr>
        <w:t>目    录</w:t>
      </w:r>
    </w:p>
    <w:p>
      <w:pPr>
        <w:pStyle w:val="16"/>
        <w:tabs>
          <w:tab w:val="right" w:leader="dot" w:pos="9412"/>
        </w:tabs>
        <w:rPr>
          <w:color w:val="auto"/>
          <w:highlight w:val="none"/>
        </w:rPr>
      </w:pPr>
      <w:r>
        <w:rPr>
          <w:rFonts w:hint="eastAsia" w:ascii="宋体" w:hAnsi="宋体" w:eastAsia="宋体" w:cs="宋体"/>
          <w:color w:val="auto"/>
          <w:sz w:val="24"/>
          <w:highlight w:val="none"/>
        </w:rPr>
        <w:fldChar w:fldCharType="begin"/>
      </w:r>
      <w:r>
        <w:rPr>
          <w:rFonts w:hint="eastAsia" w:ascii="宋体" w:hAnsi="宋体" w:eastAsia="宋体" w:cs="宋体"/>
          <w:color w:val="auto"/>
          <w:sz w:val="24"/>
          <w:highlight w:val="none"/>
        </w:rPr>
        <w:instrText xml:space="preserve"> TOC \o "1-2" \h \z \u </w:instrText>
      </w:r>
      <w:r>
        <w:rPr>
          <w:rFonts w:hint="eastAsia" w:ascii="宋体" w:hAnsi="宋体" w:eastAsia="宋体" w:cs="宋体"/>
          <w:color w:val="auto"/>
          <w:sz w:val="24"/>
          <w:highlight w:val="none"/>
        </w:rPr>
        <w:fldChar w:fldCharType="separate"/>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_Toc18559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第一章  公开招标采购公告</w:t>
      </w:r>
      <w:r>
        <w:rPr>
          <w:color w:val="auto"/>
          <w:highlight w:val="none"/>
        </w:rPr>
        <w:tab/>
      </w:r>
      <w:r>
        <w:rPr>
          <w:color w:val="auto"/>
          <w:highlight w:val="none"/>
        </w:rPr>
        <w:fldChar w:fldCharType="begin"/>
      </w:r>
      <w:r>
        <w:rPr>
          <w:color w:val="auto"/>
          <w:highlight w:val="none"/>
        </w:rPr>
        <w:instrText xml:space="preserve"> PAGEREF _Toc18559 \h </w:instrText>
      </w:r>
      <w:r>
        <w:rPr>
          <w:color w:val="auto"/>
          <w:highlight w:val="none"/>
        </w:rPr>
        <w:fldChar w:fldCharType="separate"/>
      </w:r>
      <w:r>
        <w:rPr>
          <w:color w:val="auto"/>
          <w:highlight w:val="none"/>
        </w:rPr>
        <w:t>3</w:t>
      </w:r>
      <w:r>
        <w:rPr>
          <w:color w:val="auto"/>
          <w:highlight w:val="none"/>
        </w:rPr>
        <w:fldChar w:fldCharType="end"/>
      </w:r>
      <w:r>
        <w:rPr>
          <w:rFonts w:hint="eastAsia" w:ascii="宋体" w:hAnsi="宋体" w:eastAsia="宋体" w:cs="宋体"/>
          <w:color w:val="auto"/>
          <w:highlight w:val="none"/>
        </w:rPr>
        <w:fldChar w:fldCharType="end"/>
      </w:r>
    </w:p>
    <w:p>
      <w:pPr>
        <w:pStyle w:val="16"/>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_Toc27408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第二章  招标需求</w:t>
      </w:r>
      <w:r>
        <w:rPr>
          <w:color w:val="auto"/>
          <w:highlight w:val="none"/>
        </w:rPr>
        <w:tab/>
      </w:r>
      <w:r>
        <w:rPr>
          <w:color w:val="auto"/>
          <w:highlight w:val="none"/>
        </w:rPr>
        <w:fldChar w:fldCharType="begin"/>
      </w:r>
      <w:r>
        <w:rPr>
          <w:color w:val="auto"/>
          <w:highlight w:val="none"/>
        </w:rPr>
        <w:instrText xml:space="preserve"> PAGEREF _Toc27408 \h </w:instrText>
      </w:r>
      <w:r>
        <w:rPr>
          <w:color w:val="auto"/>
          <w:highlight w:val="none"/>
        </w:rPr>
        <w:fldChar w:fldCharType="separate"/>
      </w:r>
      <w:r>
        <w:rPr>
          <w:color w:val="auto"/>
          <w:highlight w:val="none"/>
        </w:rPr>
        <w:t>8</w:t>
      </w:r>
      <w:r>
        <w:rPr>
          <w:color w:val="auto"/>
          <w:highlight w:val="none"/>
        </w:rPr>
        <w:fldChar w:fldCharType="end"/>
      </w:r>
      <w:r>
        <w:rPr>
          <w:rFonts w:hint="eastAsia" w:ascii="宋体" w:hAnsi="宋体" w:eastAsia="宋体" w:cs="宋体"/>
          <w:color w:val="auto"/>
          <w:highlight w:val="none"/>
        </w:rPr>
        <w:fldChar w:fldCharType="end"/>
      </w:r>
    </w:p>
    <w:p>
      <w:pPr>
        <w:pStyle w:val="16"/>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_Toc32388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第三章   投标人须知</w:t>
      </w:r>
      <w:r>
        <w:rPr>
          <w:color w:val="auto"/>
          <w:highlight w:val="none"/>
        </w:rPr>
        <w:tab/>
      </w:r>
      <w:r>
        <w:rPr>
          <w:color w:val="auto"/>
          <w:highlight w:val="none"/>
        </w:rPr>
        <w:fldChar w:fldCharType="begin"/>
      </w:r>
      <w:r>
        <w:rPr>
          <w:color w:val="auto"/>
          <w:highlight w:val="none"/>
        </w:rPr>
        <w:instrText xml:space="preserve"> PAGEREF _Toc32388 \h </w:instrText>
      </w:r>
      <w:r>
        <w:rPr>
          <w:color w:val="auto"/>
          <w:highlight w:val="none"/>
        </w:rPr>
        <w:fldChar w:fldCharType="separate"/>
      </w:r>
      <w:r>
        <w:rPr>
          <w:color w:val="auto"/>
          <w:highlight w:val="none"/>
        </w:rPr>
        <w:t>32</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_Toc17314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前附表</w:t>
      </w:r>
      <w:r>
        <w:rPr>
          <w:color w:val="auto"/>
          <w:highlight w:val="none"/>
        </w:rPr>
        <w:tab/>
      </w:r>
      <w:r>
        <w:rPr>
          <w:color w:val="auto"/>
          <w:highlight w:val="none"/>
        </w:rPr>
        <w:fldChar w:fldCharType="begin"/>
      </w:r>
      <w:r>
        <w:rPr>
          <w:color w:val="auto"/>
          <w:highlight w:val="none"/>
        </w:rPr>
        <w:instrText xml:space="preserve"> PAGEREF _Toc17314 \h </w:instrText>
      </w:r>
      <w:r>
        <w:rPr>
          <w:color w:val="auto"/>
          <w:highlight w:val="none"/>
        </w:rPr>
        <w:fldChar w:fldCharType="separate"/>
      </w:r>
      <w:r>
        <w:rPr>
          <w:color w:val="auto"/>
          <w:highlight w:val="none"/>
        </w:rPr>
        <w:t>32</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_Toc25353 </w:instrText>
      </w:r>
      <w:r>
        <w:rPr>
          <w:rFonts w:hint="eastAsia" w:ascii="宋体" w:hAnsi="宋体" w:eastAsia="宋体" w:cs="宋体"/>
          <w:color w:val="auto"/>
          <w:highlight w:val="none"/>
        </w:rPr>
        <w:fldChar w:fldCharType="separate"/>
      </w:r>
      <w:r>
        <w:rPr>
          <w:rFonts w:hint="default" w:ascii="宋体" w:hAnsi="宋体" w:eastAsia="宋体" w:cs="宋体"/>
          <w:color w:val="auto"/>
          <w:szCs w:val="24"/>
          <w:highlight w:val="none"/>
        </w:rPr>
        <w:t xml:space="preserve">一、 </w:t>
      </w:r>
      <w:r>
        <w:rPr>
          <w:rFonts w:hint="eastAsia" w:ascii="宋体" w:hAnsi="宋体" w:eastAsia="宋体" w:cs="宋体"/>
          <w:color w:val="auto"/>
          <w:szCs w:val="24"/>
          <w:highlight w:val="none"/>
        </w:rPr>
        <w:t>总则</w:t>
      </w:r>
      <w:r>
        <w:rPr>
          <w:color w:val="auto"/>
          <w:highlight w:val="none"/>
        </w:rPr>
        <w:tab/>
      </w:r>
      <w:r>
        <w:rPr>
          <w:color w:val="auto"/>
          <w:highlight w:val="none"/>
        </w:rPr>
        <w:fldChar w:fldCharType="begin"/>
      </w:r>
      <w:r>
        <w:rPr>
          <w:color w:val="auto"/>
          <w:highlight w:val="none"/>
        </w:rPr>
        <w:instrText xml:space="preserve"> PAGEREF _Toc25353 \h </w:instrText>
      </w:r>
      <w:r>
        <w:rPr>
          <w:color w:val="auto"/>
          <w:highlight w:val="none"/>
        </w:rPr>
        <w:fldChar w:fldCharType="separate"/>
      </w:r>
      <w:r>
        <w:rPr>
          <w:color w:val="auto"/>
          <w:highlight w:val="none"/>
        </w:rPr>
        <w:t>37</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_Toc12538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二、招标文件</w:t>
      </w:r>
      <w:r>
        <w:rPr>
          <w:color w:val="auto"/>
          <w:highlight w:val="none"/>
        </w:rPr>
        <w:tab/>
      </w:r>
      <w:r>
        <w:rPr>
          <w:color w:val="auto"/>
          <w:highlight w:val="none"/>
        </w:rPr>
        <w:fldChar w:fldCharType="begin"/>
      </w:r>
      <w:r>
        <w:rPr>
          <w:color w:val="auto"/>
          <w:highlight w:val="none"/>
        </w:rPr>
        <w:instrText xml:space="preserve"> PAGEREF _Toc12538 \h </w:instrText>
      </w:r>
      <w:r>
        <w:rPr>
          <w:color w:val="auto"/>
          <w:highlight w:val="none"/>
        </w:rPr>
        <w:fldChar w:fldCharType="separate"/>
      </w:r>
      <w:r>
        <w:rPr>
          <w:color w:val="auto"/>
          <w:highlight w:val="none"/>
        </w:rPr>
        <w:t>42</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_Toc6502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三、投标文件的编制</w:t>
      </w:r>
      <w:r>
        <w:rPr>
          <w:color w:val="auto"/>
          <w:highlight w:val="none"/>
        </w:rPr>
        <w:tab/>
      </w:r>
      <w:r>
        <w:rPr>
          <w:color w:val="auto"/>
          <w:highlight w:val="none"/>
        </w:rPr>
        <w:fldChar w:fldCharType="begin"/>
      </w:r>
      <w:r>
        <w:rPr>
          <w:color w:val="auto"/>
          <w:highlight w:val="none"/>
        </w:rPr>
        <w:instrText xml:space="preserve"> PAGEREF _Toc6502 \h </w:instrText>
      </w:r>
      <w:r>
        <w:rPr>
          <w:color w:val="auto"/>
          <w:highlight w:val="none"/>
        </w:rPr>
        <w:fldChar w:fldCharType="separate"/>
      </w:r>
      <w:r>
        <w:rPr>
          <w:color w:val="auto"/>
          <w:highlight w:val="none"/>
        </w:rPr>
        <w:t>43</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_Toc9559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四、开标</w:t>
      </w:r>
      <w:r>
        <w:rPr>
          <w:color w:val="auto"/>
          <w:highlight w:val="none"/>
        </w:rPr>
        <w:tab/>
      </w:r>
      <w:r>
        <w:rPr>
          <w:color w:val="auto"/>
          <w:highlight w:val="none"/>
        </w:rPr>
        <w:fldChar w:fldCharType="begin"/>
      </w:r>
      <w:r>
        <w:rPr>
          <w:color w:val="auto"/>
          <w:highlight w:val="none"/>
        </w:rPr>
        <w:instrText xml:space="preserve"> PAGEREF _Toc9559 \h </w:instrText>
      </w:r>
      <w:r>
        <w:rPr>
          <w:color w:val="auto"/>
          <w:highlight w:val="none"/>
        </w:rPr>
        <w:fldChar w:fldCharType="separate"/>
      </w:r>
      <w:r>
        <w:rPr>
          <w:color w:val="auto"/>
          <w:highlight w:val="none"/>
        </w:rPr>
        <w:t>49</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_Toc15894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五、评标</w:t>
      </w:r>
      <w:r>
        <w:rPr>
          <w:color w:val="auto"/>
          <w:highlight w:val="none"/>
        </w:rPr>
        <w:tab/>
      </w:r>
      <w:r>
        <w:rPr>
          <w:color w:val="auto"/>
          <w:highlight w:val="none"/>
        </w:rPr>
        <w:fldChar w:fldCharType="begin"/>
      </w:r>
      <w:r>
        <w:rPr>
          <w:color w:val="auto"/>
          <w:highlight w:val="none"/>
        </w:rPr>
        <w:instrText xml:space="preserve"> PAGEREF _Toc15894 \h </w:instrText>
      </w:r>
      <w:r>
        <w:rPr>
          <w:color w:val="auto"/>
          <w:highlight w:val="none"/>
        </w:rPr>
        <w:fldChar w:fldCharType="separate"/>
      </w:r>
      <w:r>
        <w:rPr>
          <w:color w:val="auto"/>
          <w:highlight w:val="none"/>
        </w:rPr>
        <w:t>50</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_Toc22936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六、定标</w:t>
      </w:r>
      <w:r>
        <w:rPr>
          <w:color w:val="auto"/>
          <w:highlight w:val="none"/>
        </w:rPr>
        <w:tab/>
      </w:r>
      <w:r>
        <w:rPr>
          <w:color w:val="auto"/>
          <w:highlight w:val="none"/>
        </w:rPr>
        <w:fldChar w:fldCharType="begin"/>
      </w:r>
      <w:r>
        <w:rPr>
          <w:color w:val="auto"/>
          <w:highlight w:val="none"/>
        </w:rPr>
        <w:instrText xml:space="preserve"> PAGEREF _Toc22936 \h </w:instrText>
      </w:r>
      <w:r>
        <w:rPr>
          <w:color w:val="auto"/>
          <w:highlight w:val="none"/>
        </w:rPr>
        <w:fldChar w:fldCharType="separate"/>
      </w:r>
      <w:r>
        <w:rPr>
          <w:color w:val="auto"/>
          <w:highlight w:val="none"/>
        </w:rPr>
        <w:t>54</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_Toc17283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七、合同授予</w:t>
      </w:r>
      <w:r>
        <w:rPr>
          <w:color w:val="auto"/>
          <w:highlight w:val="none"/>
        </w:rPr>
        <w:tab/>
      </w:r>
      <w:r>
        <w:rPr>
          <w:color w:val="auto"/>
          <w:highlight w:val="none"/>
        </w:rPr>
        <w:fldChar w:fldCharType="begin"/>
      </w:r>
      <w:r>
        <w:rPr>
          <w:color w:val="auto"/>
          <w:highlight w:val="none"/>
        </w:rPr>
        <w:instrText xml:space="preserve"> PAGEREF _Toc17283 \h </w:instrText>
      </w:r>
      <w:r>
        <w:rPr>
          <w:color w:val="auto"/>
          <w:highlight w:val="none"/>
        </w:rPr>
        <w:fldChar w:fldCharType="separate"/>
      </w:r>
      <w:r>
        <w:rPr>
          <w:color w:val="auto"/>
          <w:highlight w:val="none"/>
        </w:rPr>
        <w:t>55</w:t>
      </w:r>
      <w:r>
        <w:rPr>
          <w:color w:val="auto"/>
          <w:highlight w:val="none"/>
        </w:rPr>
        <w:fldChar w:fldCharType="end"/>
      </w:r>
      <w:r>
        <w:rPr>
          <w:rFonts w:hint="eastAsia" w:ascii="宋体" w:hAnsi="宋体" w:eastAsia="宋体" w:cs="宋体"/>
          <w:color w:val="auto"/>
          <w:highlight w:val="none"/>
        </w:rPr>
        <w:fldChar w:fldCharType="end"/>
      </w:r>
    </w:p>
    <w:p>
      <w:pPr>
        <w:pStyle w:val="16"/>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_Toc18271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第四章  评标办法及评分标准</w:t>
      </w:r>
      <w:r>
        <w:rPr>
          <w:color w:val="auto"/>
          <w:highlight w:val="none"/>
        </w:rPr>
        <w:tab/>
      </w:r>
      <w:r>
        <w:rPr>
          <w:color w:val="auto"/>
          <w:highlight w:val="none"/>
        </w:rPr>
        <w:fldChar w:fldCharType="begin"/>
      </w:r>
      <w:r>
        <w:rPr>
          <w:color w:val="auto"/>
          <w:highlight w:val="none"/>
        </w:rPr>
        <w:instrText xml:space="preserve"> PAGEREF _Toc18271 \h </w:instrText>
      </w:r>
      <w:r>
        <w:rPr>
          <w:color w:val="auto"/>
          <w:highlight w:val="none"/>
        </w:rPr>
        <w:fldChar w:fldCharType="separate"/>
      </w:r>
      <w:r>
        <w:rPr>
          <w:color w:val="auto"/>
          <w:highlight w:val="none"/>
        </w:rPr>
        <w:t>56</w:t>
      </w:r>
      <w:r>
        <w:rPr>
          <w:color w:val="auto"/>
          <w:highlight w:val="none"/>
        </w:rPr>
        <w:fldChar w:fldCharType="end"/>
      </w:r>
      <w:r>
        <w:rPr>
          <w:rFonts w:hint="eastAsia" w:ascii="宋体" w:hAnsi="宋体" w:eastAsia="宋体" w:cs="宋体"/>
          <w:color w:val="auto"/>
          <w:highlight w:val="none"/>
        </w:rPr>
        <w:fldChar w:fldCharType="end"/>
      </w:r>
    </w:p>
    <w:p>
      <w:pPr>
        <w:pStyle w:val="16"/>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_Toc21026 </w:instrText>
      </w:r>
      <w:r>
        <w:rPr>
          <w:rFonts w:hint="eastAsia" w:ascii="宋体" w:hAnsi="宋体" w:eastAsia="宋体" w:cs="宋体"/>
          <w:color w:val="auto"/>
          <w:highlight w:val="none"/>
        </w:rPr>
        <w:fldChar w:fldCharType="separate"/>
      </w:r>
      <w:r>
        <w:rPr>
          <w:rFonts w:hint="eastAsia" w:ascii="宋体" w:hAnsi="宋体" w:eastAsia="宋体" w:cs="宋体"/>
          <w:bCs w:val="0"/>
          <w:color w:val="auto"/>
          <w:szCs w:val="32"/>
          <w:highlight w:val="none"/>
        </w:rPr>
        <w:t>第五章 合同主要条款</w:t>
      </w:r>
      <w:r>
        <w:rPr>
          <w:color w:val="auto"/>
          <w:highlight w:val="none"/>
        </w:rPr>
        <w:tab/>
      </w:r>
      <w:r>
        <w:rPr>
          <w:color w:val="auto"/>
          <w:highlight w:val="none"/>
        </w:rPr>
        <w:fldChar w:fldCharType="begin"/>
      </w:r>
      <w:r>
        <w:rPr>
          <w:color w:val="auto"/>
          <w:highlight w:val="none"/>
        </w:rPr>
        <w:instrText xml:space="preserve"> PAGEREF _Toc21026 \h </w:instrText>
      </w:r>
      <w:r>
        <w:rPr>
          <w:color w:val="auto"/>
          <w:highlight w:val="none"/>
        </w:rPr>
        <w:fldChar w:fldCharType="separate"/>
      </w:r>
      <w:r>
        <w:rPr>
          <w:color w:val="auto"/>
          <w:highlight w:val="none"/>
        </w:rPr>
        <w:t>60</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_Toc7487 </w:instrText>
      </w:r>
      <w:r>
        <w:rPr>
          <w:rFonts w:hint="eastAsia" w:ascii="宋体" w:hAnsi="宋体" w:eastAsia="宋体" w:cs="宋体"/>
          <w:color w:val="auto"/>
          <w:highlight w:val="none"/>
        </w:rPr>
        <w:fldChar w:fldCharType="separate"/>
      </w:r>
      <w:r>
        <w:rPr>
          <w:rFonts w:hint="eastAsia" w:ascii="宋体" w:hAnsi="宋体"/>
          <w:color w:val="auto"/>
          <w:szCs w:val="32"/>
          <w:highlight w:val="none"/>
        </w:rPr>
        <w:t>东阳市政府采购合同（样本）</w:t>
      </w:r>
      <w:r>
        <w:rPr>
          <w:color w:val="auto"/>
          <w:highlight w:val="none"/>
        </w:rPr>
        <w:tab/>
      </w:r>
      <w:r>
        <w:rPr>
          <w:color w:val="auto"/>
          <w:highlight w:val="none"/>
        </w:rPr>
        <w:fldChar w:fldCharType="begin"/>
      </w:r>
      <w:r>
        <w:rPr>
          <w:color w:val="auto"/>
          <w:highlight w:val="none"/>
        </w:rPr>
        <w:instrText xml:space="preserve"> PAGEREF _Toc7487 \h </w:instrText>
      </w:r>
      <w:r>
        <w:rPr>
          <w:color w:val="auto"/>
          <w:highlight w:val="none"/>
        </w:rPr>
        <w:fldChar w:fldCharType="separate"/>
      </w:r>
      <w:r>
        <w:rPr>
          <w:color w:val="auto"/>
          <w:highlight w:val="none"/>
        </w:rPr>
        <w:t>60</w:t>
      </w:r>
      <w:r>
        <w:rPr>
          <w:color w:val="auto"/>
          <w:highlight w:val="none"/>
        </w:rPr>
        <w:fldChar w:fldCharType="end"/>
      </w:r>
      <w:r>
        <w:rPr>
          <w:rFonts w:hint="eastAsia" w:ascii="宋体" w:hAnsi="宋体" w:eastAsia="宋体" w:cs="宋体"/>
          <w:color w:val="auto"/>
          <w:highlight w:val="none"/>
        </w:rPr>
        <w:fldChar w:fldCharType="end"/>
      </w:r>
    </w:p>
    <w:p>
      <w:pPr>
        <w:pStyle w:val="16"/>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_Toc11880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第六章　投标文件组成内容及格式</w:t>
      </w:r>
      <w:r>
        <w:rPr>
          <w:color w:val="auto"/>
          <w:highlight w:val="none"/>
        </w:rPr>
        <w:tab/>
      </w:r>
      <w:r>
        <w:rPr>
          <w:color w:val="auto"/>
          <w:highlight w:val="none"/>
        </w:rPr>
        <w:fldChar w:fldCharType="begin"/>
      </w:r>
      <w:r>
        <w:rPr>
          <w:color w:val="auto"/>
          <w:highlight w:val="none"/>
        </w:rPr>
        <w:instrText xml:space="preserve"> PAGEREF _Toc11880 \h </w:instrText>
      </w:r>
      <w:r>
        <w:rPr>
          <w:color w:val="auto"/>
          <w:highlight w:val="none"/>
        </w:rPr>
        <w:fldChar w:fldCharType="separate"/>
      </w:r>
      <w:r>
        <w:rPr>
          <w:color w:val="auto"/>
          <w:highlight w:val="none"/>
        </w:rPr>
        <w:t>64</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_Toc17757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lang w:val="en-US" w:eastAsia="zh-CN"/>
        </w:rPr>
        <w:t>附</w:t>
      </w:r>
      <w:r>
        <w:rPr>
          <w:rFonts w:hint="eastAsia" w:ascii="宋体" w:hAnsi="宋体" w:eastAsia="宋体" w:cs="宋体"/>
          <w:color w:val="auto"/>
          <w:szCs w:val="24"/>
          <w:highlight w:val="none"/>
        </w:rPr>
        <w:t>件一：投标声明书</w:t>
      </w:r>
      <w:r>
        <w:rPr>
          <w:color w:val="auto"/>
          <w:highlight w:val="none"/>
        </w:rPr>
        <w:tab/>
      </w:r>
      <w:r>
        <w:rPr>
          <w:color w:val="auto"/>
          <w:highlight w:val="none"/>
        </w:rPr>
        <w:fldChar w:fldCharType="begin"/>
      </w:r>
      <w:r>
        <w:rPr>
          <w:color w:val="auto"/>
          <w:highlight w:val="none"/>
        </w:rPr>
        <w:instrText xml:space="preserve"> PAGEREF _Toc17757 \h </w:instrText>
      </w:r>
      <w:r>
        <w:rPr>
          <w:color w:val="auto"/>
          <w:highlight w:val="none"/>
        </w:rPr>
        <w:fldChar w:fldCharType="separate"/>
      </w:r>
      <w:r>
        <w:rPr>
          <w:color w:val="auto"/>
          <w:highlight w:val="none"/>
        </w:rPr>
        <w:t>67</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_Toc31581 </w:instrText>
      </w:r>
      <w:r>
        <w:rPr>
          <w:rFonts w:hint="eastAsia" w:ascii="宋体" w:hAnsi="宋体" w:eastAsia="宋体" w:cs="宋体"/>
          <w:color w:val="auto"/>
          <w:highlight w:val="none"/>
        </w:rPr>
        <w:fldChar w:fldCharType="separate"/>
      </w:r>
      <w:r>
        <w:rPr>
          <w:rFonts w:hint="eastAsia" w:ascii="宋体" w:hAnsi="宋体" w:eastAsia="宋体" w:cs="宋体"/>
          <w:bCs w:val="0"/>
          <w:color w:val="auto"/>
          <w:szCs w:val="24"/>
          <w:highlight w:val="none"/>
        </w:rPr>
        <w:t>附件二：</w:t>
      </w:r>
      <w:r>
        <w:rPr>
          <w:rFonts w:hint="eastAsia" w:ascii="宋体" w:hAnsi="宋体" w:eastAsia="宋体" w:cs="宋体"/>
          <w:bCs w:val="0"/>
          <w:color w:val="auto"/>
          <w:szCs w:val="24"/>
          <w:highlight w:val="none"/>
          <w:lang w:val="en-US" w:eastAsia="zh-CN"/>
        </w:rPr>
        <w:t>符合参加政府采购活动应当具备的一般条件的承诺函</w:t>
      </w:r>
      <w:r>
        <w:rPr>
          <w:color w:val="auto"/>
          <w:highlight w:val="none"/>
        </w:rPr>
        <w:tab/>
      </w:r>
      <w:r>
        <w:rPr>
          <w:color w:val="auto"/>
          <w:highlight w:val="none"/>
        </w:rPr>
        <w:fldChar w:fldCharType="begin"/>
      </w:r>
      <w:r>
        <w:rPr>
          <w:color w:val="auto"/>
          <w:highlight w:val="none"/>
        </w:rPr>
        <w:instrText xml:space="preserve"> PAGEREF _Toc31581 \h </w:instrText>
      </w:r>
      <w:r>
        <w:rPr>
          <w:color w:val="auto"/>
          <w:highlight w:val="none"/>
        </w:rPr>
        <w:fldChar w:fldCharType="separate"/>
      </w:r>
      <w:r>
        <w:rPr>
          <w:color w:val="auto"/>
          <w:highlight w:val="none"/>
        </w:rPr>
        <w:t>68</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_Toc6708 </w:instrText>
      </w:r>
      <w:r>
        <w:rPr>
          <w:rFonts w:hint="eastAsia" w:ascii="宋体" w:hAnsi="宋体" w:eastAsia="宋体" w:cs="宋体"/>
          <w:color w:val="auto"/>
          <w:highlight w:val="none"/>
        </w:rPr>
        <w:fldChar w:fldCharType="separate"/>
      </w:r>
      <w:r>
        <w:rPr>
          <w:rFonts w:hint="eastAsia" w:ascii="宋体" w:hAnsi="宋体" w:eastAsia="宋体" w:cs="宋体"/>
          <w:bCs w:val="0"/>
          <w:color w:val="auto"/>
          <w:szCs w:val="24"/>
          <w:highlight w:val="none"/>
        </w:rPr>
        <w:t>附件</w:t>
      </w:r>
      <w:r>
        <w:rPr>
          <w:rFonts w:hint="eastAsia" w:ascii="宋体" w:hAnsi="宋体" w:eastAsia="宋体" w:cs="宋体"/>
          <w:bCs w:val="0"/>
          <w:color w:val="auto"/>
          <w:szCs w:val="24"/>
          <w:highlight w:val="none"/>
          <w:lang w:val="en-US" w:eastAsia="zh-CN"/>
        </w:rPr>
        <w:t>三</w:t>
      </w:r>
      <w:r>
        <w:rPr>
          <w:rFonts w:hint="eastAsia" w:ascii="宋体" w:hAnsi="宋体" w:eastAsia="宋体" w:cs="宋体"/>
          <w:bCs w:val="0"/>
          <w:color w:val="auto"/>
          <w:szCs w:val="24"/>
          <w:highlight w:val="none"/>
        </w:rPr>
        <w:t>：政府采购活动现场确认声明书</w:t>
      </w:r>
      <w:r>
        <w:rPr>
          <w:color w:val="auto"/>
          <w:highlight w:val="none"/>
        </w:rPr>
        <w:tab/>
      </w:r>
      <w:r>
        <w:rPr>
          <w:color w:val="auto"/>
          <w:highlight w:val="none"/>
        </w:rPr>
        <w:fldChar w:fldCharType="begin"/>
      </w:r>
      <w:r>
        <w:rPr>
          <w:color w:val="auto"/>
          <w:highlight w:val="none"/>
        </w:rPr>
        <w:instrText xml:space="preserve"> PAGEREF _Toc6708 \h </w:instrText>
      </w:r>
      <w:r>
        <w:rPr>
          <w:color w:val="auto"/>
          <w:highlight w:val="none"/>
        </w:rPr>
        <w:fldChar w:fldCharType="separate"/>
      </w:r>
      <w:r>
        <w:rPr>
          <w:color w:val="auto"/>
          <w:highlight w:val="none"/>
        </w:rPr>
        <w:t>69</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_Toc9946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附件</w:t>
      </w:r>
      <w:r>
        <w:rPr>
          <w:rFonts w:hint="eastAsia" w:ascii="宋体" w:hAnsi="宋体" w:eastAsia="宋体" w:cs="宋体"/>
          <w:color w:val="auto"/>
          <w:szCs w:val="24"/>
          <w:highlight w:val="none"/>
          <w:lang w:val="en-US" w:eastAsia="zh-CN"/>
        </w:rPr>
        <w:t>四</w:t>
      </w:r>
      <w:r>
        <w:rPr>
          <w:rFonts w:hint="eastAsia" w:ascii="宋体" w:hAnsi="宋体" w:eastAsia="宋体" w:cs="宋体"/>
          <w:color w:val="auto"/>
          <w:szCs w:val="24"/>
          <w:highlight w:val="none"/>
        </w:rPr>
        <w:t>：法定代表人授权委托书</w:t>
      </w:r>
      <w:r>
        <w:rPr>
          <w:color w:val="auto"/>
          <w:highlight w:val="none"/>
        </w:rPr>
        <w:tab/>
      </w:r>
      <w:r>
        <w:rPr>
          <w:color w:val="auto"/>
          <w:highlight w:val="none"/>
        </w:rPr>
        <w:fldChar w:fldCharType="begin"/>
      </w:r>
      <w:r>
        <w:rPr>
          <w:color w:val="auto"/>
          <w:highlight w:val="none"/>
        </w:rPr>
        <w:instrText xml:space="preserve"> PAGEREF _Toc9946 \h </w:instrText>
      </w:r>
      <w:r>
        <w:rPr>
          <w:color w:val="auto"/>
          <w:highlight w:val="none"/>
        </w:rPr>
        <w:fldChar w:fldCharType="separate"/>
      </w:r>
      <w:r>
        <w:rPr>
          <w:color w:val="auto"/>
          <w:highlight w:val="none"/>
        </w:rPr>
        <w:t>70</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_Toc601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lang w:eastAsia="zh-CN"/>
        </w:rPr>
        <w:t>附件</w:t>
      </w:r>
      <w:r>
        <w:rPr>
          <w:rFonts w:hint="eastAsia" w:ascii="宋体" w:hAnsi="宋体" w:eastAsia="宋体" w:cs="宋体"/>
          <w:color w:val="auto"/>
          <w:szCs w:val="24"/>
          <w:highlight w:val="none"/>
          <w:lang w:val="en-US" w:eastAsia="zh-CN"/>
        </w:rPr>
        <w:t>五：</w:t>
      </w:r>
      <w:r>
        <w:rPr>
          <w:rFonts w:hint="eastAsia" w:ascii="宋体" w:hAnsi="宋体" w:eastAsia="宋体" w:cs="宋体"/>
          <w:bCs w:val="0"/>
          <w:color w:val="auto"/>
          <w:kern w:val="2"/>
          <w:szCs w:val="24"/>
          <w:highlight w:val="none"/>
          <w:lang w:val="en-US" w:eastAsia="zh-CN" w:bidi="ar-SA"/>
        </w:rPr>
        <w:t>联合体协议书（联合体投标时提供）</w:t>
      </w:r>
      <w:r>
        <w:rPr>
          <w:color w:val="auto"/>
          <w:highlight w:val="none"/>
        </w:rPr>
        <w:tab/>
      </w:r>
      <w:r>
        <w:rPr>
          <w:color w:val="auto"/>
          <w:highlight w:val="none"/>
        </w:rPr>
        <w:fldChar w:fldCharType="begin"/>
      </w:r>
      <w:r>
        <w:rPr>
          <w:color w:val="auto"/>
          <w:highlight w:val="none"/>
        </w:rPr>
        <w:instrText xml:space="preserve"> PAGEREF _Toc601 \h </w:instrText>
      </w:r>
      <w:r>
        <w:rPr>
          <w:color w:val="auto"/>
          <w:highlight w:val="none"/>
        </w:rPr>
        <w:fldChar w:fldCharType="separate"/>
      </w:r>
      <w:r>
        <w:rPr>
          <w:color w:val="auto"/>
          <w:highlight w:val="none"/>
        </w:rPr>
        <w:t>71</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_Toc29881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附件</w:t>
      </w:r>
      <w:r>
        <w:rPr>
          <w:rFonts w:hint="eastAsia" w:ascii="宋体" w:hAnsi="宋体" w:eastAsia="宋体" w:cs="宋体"/>
          <w:color w:val="auto"/>
          <w:szCs w:val="24"/>
          <w:highlight w:val="none"/>
          <w:lang w:eastAsia="zh-CN"/>
        </w:rPr>
        <w:t>六</w:t>
      </w:r>
      <w:r>
        <w:rPr>
          <w:rFonts w:hint="eastAsia" w:ascii="宋体" w:hAnsi="宋体" w:eastAsia="宋体" w:cs="宋体"/>
          <w:color w:val="auto"/>
          <w:szCs w:val="24"/>
          <w:highlight w:val="none"/>
        </w:rPr>
        <w:t>：</w:t>
      </w:r>
      <w:r>
        <w:rPr>
          <w:rFonts w:hint="eastAsia" w:ascii="宋体" w:hAnsi="宋体" w:eastAsia="宋体" w:cs="宋体"/>
          <w:color w:val="auto"/>
          <w:szCs w:val="24"/>
          <w:highlight w:val="none"/>
          <w:lang w:eastAsia="zh-CN"/>
        </w:rPr>
        <w:t>分包意向协议</w:t>
      </w:r>
      <w:r>
        <w:rPr>
          <w:color w:val="auto"/>
          <w:highlight w:val="none"/>
        </w:rPr>
        <w:tab/>
      </w:r>
      <w:r>
        <w:rPr>
          <w:color w:val="auto"/>
          <w:highlight w:val="none"/>
        </w:rPr>
        <w:fldChar w:fldCharType="begin"/>
      </w:r>
      <w:r>
        <w:rPr>
          <w:color w:val="auto"/>
          <w:highlight w:val="none"/>
        </w:rPr>
        <w:instrText xml:space="preserve"> PAGEREF _Toc29881 \h </w:instrText>
      </w:r>
      <w:r>
        <w:rPr>
          <w:color w:val="auto"/>
          <w:highlight w:val="none"/>
        </w:rPr>
        <w:fldChar w:fldCharType="separate"/>
      </w:r>
      <w:r>
        <w:rPr>
          <w:color w:val="auto"/>
          <w:highlight w:val="none"/>
        </w:rPr>
        <w:t>72</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_Toc13167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附件</w:t>
      </w:r>
      <w:r>
        <w:rPr>
          <w:rFonts w:hint="eastAsia" w:ascii="宋体" w:hAnsi="宋体" w:eastAsia="宋体" w:cs="宋体"/>
          <w:color w:val="auto"/>
          <w:szCs w:val="24"/>
          <w:highlight w:val="none"/>
          <w:lang w:val="en-US" w:eastAsia="zh-CN"/>
        </w:rPr>
        <w:t>七</w:t>
      </w:r>
      <w:r>
        <w:rPr>
          <w:rFonts w:hint="eastAsia" w:ascii="宋体" w:hAnsi="宋体" w:eastAsia="宋体" w:cs="宋体"/>
          <w:color w:val="auto"/>
          <w:szCs w:val="24"/>
          <w:highlight w:val="none"/>
        </w:rPr>
        <w:t>：投标人资信商务、技术自评得分表</w:t>
      </w:r>
      <w:r>
        <w:rPr>
          <w:color w:val="auto"/>
          <w:highlight w:val="none"/>
        </w:rPr>
        <w:tab/>
      </w:r>
      <w:r>
        <w:rPr>
          <w:color w:val="auto"/>
          <w:highlight w:val="none"/>
        </w:rPr>
        <w:fldChar w:fldCharType="begin"/>
      </w:r>
      <w:r>
        <w:rPr>
          <w:color w:val="auto"/>
          <w:highlight w:val="none"/>
        </w:rPr>
        <w:instrText xml:space="preserve"> PAGEREF _Toc13167 \h </w:instrText>
      </w:r>
      <w:r>
        <w:rPr>
          <w:color w:val="auto"/>
          <w:highlight w:val="none"/>
        </w:rPr>
        <w:fldChar w:fldCharType="separate"/>
      </w:r>
      <w:r>
        <w:rPr>
          <w:color w:val="auto"/>
          <w:highlight w:val="none"/>
        </w:rPr>
        <w:t>73</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_Toc2175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附件</w:t>
      </w:r>
      <w:r>
        <w:rPr>
          <w:rFonts w:hint="eastAsia" w:ascii="宋体" w:hAnsi="宋体" w:eastAsia="宋体" w:cs="宋体"/>
          <w:color w:val="auto"/>
          <w:szCs w:val="24"/>
          <w:highlight w:val="none"/>
          <w:lang w:val="en-US" w:eastAsia="zh-CN"/>
        </w:rPr>
        <w:t>八</w:t>
      </w:r>
      <w:r>
        <w:rPr>
          <w:rFonts w:hint="eastAsia" w:ascii="宋体" w:hAnsi="宋体" w:eastAsia="宋体" w:cs="宋体"/>
          <w:color w:val="auto"/>
          <w:szCs w:val="24"/>
          <w:highlight w:val="none"/>
        </w:rPr>
        <w:t>：商务响应表</w:t>
      </w:r>
      <w:r>
        <w:rPr>
          <w:color w:val="auto"/>
          <w:highlight w:val="none"/>
        </w:rPr>
        <w:tab/>
      </w:r>
      <w:r>
        <w:rPr>
          <w:color w:val="auto"/>
          <w:highlight w:val="none"/>
        </w:rPr>
        <w:fldChar w:fldCharType="begin"/>
      </w:r>
      <w:r>
        <w:rPr>
          <w:color w:val="auto"/>
          <w:highlight w:val="none"/>
        </w:rPr>
        <w:instrText xml:space="preserve"> PAGEREF _Toc2175 \h </w:instrText>
      </w:r>
      <w:r>
        <w:rPr>
          <w:color w:val="auto"/>
          <w:highlight w:val="none"/>
        </w:rPr>
        <w:fldChar w:fldCharType="separate"/>
      </w:r>
      <w:r>
        <w:rPr>
          <w:color w:val="auto"/>
          <w:highlight w:val="none"/>
        </w:rPr>
        <w:t>74</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_Toc7595 </w:instrText>
      </w:r>
      <w:r>
        <w:rPr>
          <w:rFonts w:hint="eastAsia" w:ascii="宋体" w:hAnsi="宋体" w:eastAsia="宋体" w:cs="宋体"/>
          <w:color w:val="auto"/>
          <w:highlight w:val="none"/>
        </w:rPr>
        <w:fldChar w:fldCharType="separate"/>
      </w:r>
      <w:r>
        <w:rPr>
          <w:rFonts w:hint="eastAsia" w:ascii="宋体" w:hAnsi="宋体" w:eastAsia="宋体" w:cs="宋体"/>
          <w:bCs w:val="0"/>
          <w:color w:val="auto"/>
          <w:szCs w:val="24"/>
          <w:highlight w:val="none"/>
        </w:rPr>
        <w:t>附件</w:t>
      </w:r>
      <w:r>
        <w:rPr>
          <w:rFonts w:hint="eastAsia" w:ascii="宋体" w:hAnsi="宋体" w:eastAsia="宋体" w:cs="宋体"/>
          <w:bCs w:val="0"/>
          <w:color w:val="auto"/>
          <w:szCs w:val="24"/>
          <w:highlight w:val="none"/>
          <w:lang w:val="en-US" w:eastAsia="zh-CN"/>
        </w:rPr>
        <w:t>九</w:t>
      </w:r>
      <w:r>
        <w:rPr>
          <w:rFonts w:hint="eastAsia" w:ascii="宋体" w:hAnsi="宋体" w:eastAsia="宋体" w:cs="宋体"/>
          <w:bCs w:val="0"/>
          <w:color w:val="auto"/>
          <w:szCs w:val="24"/>
          <w:highlight w:val="none"/>
        </w:rPr>
        <w:t>：技术响应表</w:t>
      </w:r>
      <w:r>
        <w:rPr>
          <w:color w:val="auto"/>
          <w:highlight w:val="none"/>
        </w:rPr>
        <w:tab/>
      </w:r>
      <w:r>
        <w:rPr>
          <w:color w:val="auto"/>
          <w:highlight w:val="none"/>
        </w:rPr>
        <w:fldChar w:fldCharType="begin"/>
      </w:r>
      <w:r>
        <w:rPr>
          <w:color w:val="auto"/>
          <w:highlight w:val="none"/>
        </w:rPr>
        <w:instrText xml:space="preserve"> PAGEREF _Toc7595 \h </w:instrText>
      </w:r>
      <w:r>
        <w:rPr>
          <w:color w:val="auto"/>
          <w:highlight w:val="none"/>
        </w:rPr>
        <w:fldChar w:fldCharType="separate"/>
      </w:r>
      <w:r>
        <w:rPr>
          <w:color w:val="auto"/>
          <w:highlight w:val="none"/>
        </w:rPr>
        <w:t>75</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_Toc2369 </w:instrText>
      </w:r>
      <w:r>
        <w:rPr>
          <w:rFonts w:hint="eastAsia" w:ascii="宋体" w:hAnsi="宋体" w:eastAsia="宋体" w:cs="宋体"/>
          <w:color w:val="auto"/>
          <w:highlight w:val="none"/>
        </w:rPr>
        <w:fldChar w:fldCharType="separate"/>
      </w:r>
      <w:r>
        <w:rPr>
          <w:rFonts w:hint="eastAsia" w:ascii="宋体" w:hAnsi="宋体" w:eastAsia="宋体" w:cs="宋体"/>
          <w:bCs w:val="0"/>
          <w:color w:val="auto"/>
          <w:kern w:val="0"/>
          <w:highlight w:val="none"/>
        </w:rPr>
        <w:t>附件</w:t>
      </w:r>
      <w:r>
        <w:rPr>
          <w:rFonts w:hint="eastAsia" w:ascii="宋体" w:hAnsi="宋体" w:eastAsia="宋体" w:cs="宋体"/>
          <w:bCs w:val="0"/>
          <w:color w:val="auto"/>
          <w:kern w:val="0"/>
          <w:highlight w:val="none"/>
          <w:lang w:val="en-US" w:eastAsia="zh-CN"/>
        </w:rPr>
        <w:t>十</w:t>
      </w:r>
      <w:r>
        <w:rPr>
          <w:rFonts w:hint="eastAsia" w:ascii="宋体" w:hAnsi="宋体" w:eastAsia="宋体" w:cs="宋体"/>
          <w:bCs w:val="0"/>
          <w:color w:val="auto"/>
          <w:kern w:val="0"/>
          <w:highlight w:val="none"/>
        </w:rPr>
        <w:t>：</w:t>
      </w:r>
      <w:r>
        <w:rPr>
          <w:rFonts w:hint="eastAsia" w:ascii="宋体" w:hAnsi="宋体" w:eastAsia="宋体"/>
          <w:bCs w:val="0"/>
          <w:color w:val="auto"/>
          <w:highlight w:val="none"/>
        </w:rPr>
        <w:t>服务项目组成员及简介</w:t>
      </w:r>
      <w:r>
        <w:rPr>
          <w:color w:val="auto"/>
          <w:highlight w:val="none"/>
        </w:rPr>
        <w:tab/>
      </w:r>
      <w:r>
        <w:rPr>
          <w:color w:val="auto"/>
          <w:highlight w:val="none"/>
        </w:rPr>
        <w:fldChar w:fldCharType="begin"/>
      </w:r>
      <w:r>
        <w:rPr>
          <w:color w:val="auto"/>
          <w:highlight w:val="none"/>
        </w:rPr>
        <w:instrText xml:space="preserve"> PAGEREF _Toc2369 \h </w:instrText>
      </w:r>
      <w:r>
        <w:rPr>
          <w:color w:val="auto"/>
          <w:highlight w:val="none"/>
        </w:rPr>
        <w:fldChar w:fldCharType="separate"/>
      </w:r>
      <w:r>
        <w:rPr>
          <w:color w:val="auto"/>
          <w:highlight w:val="none"/>
        </w:rPr>
        <w:t>76</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_Toc19614 </w:instrText>
      </w:r>
      <w:r>
        <w:rPr>
          <w:rFonts w:hint="eastAsia" w:ascii="宋体" w:hAnsi="宋体" w:eastAsia="宋体" w:cs="宋体"/>
          <w:color w:val="auto"/>
          <w:highlight w:val="none"/>
        </w:rPr>
        <w:fldChar w:fldCharType="separate"/>
      </w:r>
      <w:r>
        <w:rPr>
          <w:rFonts w:hint="eastAsia" w:ascii="宋体" w:hAnsi="宋体"/>
          <w:color w:val="auto"/>
          <w:highlight w:val="none"/>
          <w:lang w:eastAsia="zh-CN"/>
        </w:rPr>
        <w:t>附件</w:t>
      </w:r>
      <w:r>
        <w:rPr>
          <w:rFonts w:hint="eastAsia" w:ascii="宋体" w:hAnsi="宋体"/>
          <w:color w:val="auto"/>
          <w:highlight w:val="none"/>
          <w:lang w:val="en-US" w:eastAsia="zh-CN"/>
        </w:rPr>
        <w:t>十一</w:t>
      </w:r>
      <w:r>
        <w:rPr>
          <w:rFonts w:hint="eastAsia" w:ascii="宋体" w:hAnsi="宋体"/>
          <w:color w:val="auto"/>
          <w:highlight w:val="none"/>
          <w:lang w:eastAsia="zh-CN"/>
        </w:rPr>
        <w:t>：</w:t>
      </w:r>
      <w:r>
        <w:rPr>
          <w:rFonts w:hint="eastAsia" w:ascii="宋体" w:hAnsi="宋体" w:cs="宋体"/>
          <w:bCs/>
          <w:color w:val="auto"/>
          <w:szCs w:val="32"/>
          <w:highlight w:val="none"/>
          <w:lang w:val="en-US" w:eastAsia="zh-CN"/>
        </w:rPr>
        <w:t>安全生产</w:t>
      </w:r>
      <w:r>
        <w:rPr>
          <w:rFonts w:hint="eastAsia" w:ascii="宋体" w:hAnsi="宋体" w:cs="宋体"/>
          <w:bCs/>
          <w:color w:val="auto"/>
          <w:szCs w:val="32"/>
          <w:highlight w:val="none"/>
        </w:rPr>
        <w:t>承诺函</w:t>
      </w:r>
      <w:r>
        <w:rPr>
          <w:color w:val="auto"/>
          <w:highlight w:val="none"/>
        </w:rPr>
        <w:tab/>
      </w:r>
      <w:r>
        <w:rPr>
          <w:color w:val="auto"/>
          <w:highlight w:val="none"/>
        </w:rPr>
        <w:fldChar w:fldCharType="begin"/>
      </w:r>
      <w:r>
        <w:rPr>
          <w:color w:val="auto"/>
          <w:highlight w:val="none"/>
        </w:rPr>
        <w:instrText xml:space="preserve"> PAGEREF _Toc19614 \h </w:instrText>
      </w:r>
      <w:r>
        <w:rPr>
          <w:color w:val="auto"/>
          <w:highlight w:val="none"/>
        </w:rPr>
        <w:fldChar w:fldCharType="separate"/>
      </w:r>
      <w:r>
        <w:rPr>
          <w:color w:val="auto"/>
          <w:highlight w:val="none"/>
        </w:rPr>
        <w:t>77</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_Toc6618 </w:instrText>
      </w:r>
      <w:r>
        <w:rPr>
          <w:rFonts w:hint="eastAsia" w:ascii="宋体" w:hAnsi="宋体" w:eastAsia="宋体" w:cs="宋体"/>
          <w:color w:val="auto"/>
          <w:highlight w:val="none"/>
        </w:rPr>
        <w:fldChar w:fldCharType="separate"/>
      </w:r>
      <w:r>
        <w:rPr>
          <w:rFonts w:hint="eastAsia" w:ascii="宋体" w:hAnsi="宋体" w:eastAsia="宋体" w:cs="宋体"/>
          <w:color w:val="auto"/>
          <w:kern w:val="0"/>
          <w:szCs w:val="24"/>
          <w:highlight w:val="none"/>
        </w:rPr>
        <w:t>附件</w:t>
      </w:r>
      <w:r>
        <w:rPr>
          <w:rFonts w:hint="eastAsia" w:ascii="宋体" w:hAnsi="宋体" w:eastAsia="宋体" w:cs="宋体"/>
          <w:color w:val="auto"/>
          <w:kern w:val="0"/>
          <w:szCs w:val="24"/>
          <w:highlight w:val="none"/>
          <w:lang w:eastAsia="zh-CN"/>
        </w:rPr>
        <w:t>十</w:t>
      </w:r>
      <w:r>
        <w:rPr>
          <w:rFonts w:hint="eastAsia" w:ascii="宋体" w:hAnsi="宋体" w:eastAsia="宋体" w:cs="宋体"/>
          <w:color w:val="auto"/>
          <w:kern w:val="0"/>
          <w:szCs w:val="24"/>
          <w:highlight w:val="none"/>
          <w:lang w:val="en-US" w:eastAsia="zh-CN"/>
        </w:rPr>
        <w:t>二</w:t>
      </w:r>
      <w:r>
        <w:rPr>
          <w:rFonts w:hint="eastAsia" w:ascii="宋体" w:hAnsi="宋体" w:eastAsia="宋体" w:cs="宋体"/>
          <w:color w:val="auto"/>
          <w:kern w:val="0"/>
          <w:szCs w:val="24"/>
          <w:highlight w:val="none"/>
        </w:rPr>
        <w:t>：同类项目业绩一览表</w:t>
      </w:r>
      <w:r>
        <w:rPr>
          <w:color w:val="auto"/>
          <w:highlight w:val="none"/>
        </w:rPr>
        <w:tab/>
      </w:r>
      <w:r>
        <w:rPr>
          <w:color w:val="auto"/>
          <w:highlight w:val="none"/>
        </w:rPr>
        <w:fldChar w:fldCharType="begin"/>
      </w:r>
      <w:r>
        <w:rPr>
          <w:color w:val="auto"/>
          <w:highlight w:val="none"/>
        </w:rPr>
        <w:instrText xml:space="preserve"> PAGEREF _Toc6618 \h </w:instrText>
      </w:r>
      <w:r>
        <w:rPr>
          <w:color w:val="auto"/>
          <w:highlight w:val="none"/>
        </w:rPr>
        <w:fldChar w:fldCharType="separate"/>
      </w:r>
      <w:r>
        <w:rPr>
          <w:color w:val="auto"/>
          <w:highlight w:val="none"/>
        </w:rPr>
        <w:t>78</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_Toc12059 </w:instrText>
      </w:r>
      <w:r>
        <w:rPr>
          <w:rFonts w:hint="eastAsia" w:ascii="宋体" w:hAnsi="宋体" w:eastAsia="宋体" w:cs="宋体"/>
          <w:color w:val="auto"/>
          <w:highlight w:val="none"/>
        </w:rPr>
        <w:fldChar w:fldCharType="separate"/>
      </w:r>
      <w:r>
        <w:rPr>
          <w:rFonts w:hint="eastAsia" w:ascii="宋体" w:hAnsi="宋体" w:eastAsia="宋体" w:cs="宋体"/>
          <w:bCs/>
          <w:color w:val="auto"/>
          <w:highlight w:val="none"/>
        </w:rPr>
        <w:t>附件</w:t>
      </w:r>
      <w:r>
        <w:rPr>
          <w:rFonts w:hint="eastAsia" w:ascii="宋体" w:hAnsi="宋体" w:cs="宋体"/>
          <w:bCs/>
          <w:color w:val="auto"/>
          <w:highlight w:val="none"/>
          <w:lang w:val="en-US" w:eastAsia="zh-CN"/>
        </w:rPr>
        <w:t>十三</w:t>
      </w:r>
      <w:r>
        <w:rPr>
          <w:rFonts w:hint="eastAsia" w:ascii="宋体" w:hAnsi="宋体" w:eastAsia="宋体" w:cs="宋体"/>
          <w:bCs/>
          <w:color w:val="auto"/>
          <w:highlight w:val="none"/>
        </w:rPr>
        <w:t>：服务费承诺书</w:t>
      </w:r>
      <w:r>
        <w:rPr>
          <w:color w:val="auto"/>
          <w:highlight w:val="none"/>
        </w:rPr>
        <w:tab/>
      </w:r>
      <w:r>
        <w:rPr>
          <w:color w:val="auto"/>
          <w:highlight w:val="none"/>
        </w:rPr>
        <w:fldChar w:fldCharType="begin"/>
      </w:r>
      <w:r>
        <w:rPr>
          <w:color w:val="auto"/>
          <w:highlight w:val="none"/>
        </w:rPr>
        <w:instrText xml:space="preserve"> PAGEREF _Toc12059 \h </w:instrText>
      </w:r>
      <w:r>
        <w:rPr>
          <w:color w:val="auto"/>
          <w:highlight w:val="none"/>
        </w:rPr>
        <w:fldChar w:fldCharType="separate"/>
      </w:r>
      <w:r>
        <w:rPr>
          <w:color w:val="auto"/>
          <w:highlight w:val="none"/>
        </w:rPr>
        <w:t>79</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_Toc28588 </w:instrText>
      </w:r>
      <w:r>
        <w:rPr>
          <w:rFonts w:hint="eastAsia" w:ascii="宋体" w:hAnsi="宋体" w:eastAsia="宋体" w:cs="宋体"/>
          <w:color w:val="auto"/>
          <w:highlight w:val="none"/>
        </w:rPr>
        <w:fldChar w:fldCharType="separate"/>
      </w:r>
      <w:r>
        <w:rPr>
          <w:rFonts w:hint="eastAsia" w:ascii="宋体" w:hAnsi="宋体" w:eastAsia="宋体" w:cs="宋体"/>
          <w:bCs/>
          <w:color w:val="auto"/>
          <w:highlight w:val="none"/>
        </w:rPr>
        <w:t>附件</w:t>
      </w:r>
      <w:r>
        <w:rPr>
          <w:rFonts w:hint="eastAsia" w:ascii="宋体" w:hAnsi="宋体" w:cs="宋体"/>
          <w:bCs/>
          <w:color w:val="auto"/>
          <w:highlight w:val="none"/>
          <w:lang w:val="en-US" w:eastAsia="zh-CN"/>
        </w:rPr>
        <w:t>十四</w:t>
      </w:r>
      <w:r>
        <w:rPr>
          <w:rFonts w:hint="eastAsia" w:ascii="宋体" w:hAnsi="宋体" w:eastAsia="宋体" w:cs="宋体"/>
          <w:bCs/>
          <w:color w:val="auto"/>
          <w:highlight w:val="none"/>
        </w:rPr>
        <w:t>:</w:t>
      </w:r>
      <w:r>
        <w:rPr>
          <w:rFonts w:hint="eastAsia" w:ascii="宋体" w:hAnsi="宋体" w:cs="宋体"/>
          <w:bCs/>
          <w:color w:val="auto"/>
          <w:highlight w:val="none"/>
          <w:lang w:val="en-US" w:eastAsia="zh-CN"/>
        </w:rPr>
        <w:t xml:space="preserve"> </w:t>
      </w:r>
      <w:r>
        <w:rPr>
          <w:rFonts w:hint="eastAsia" w:ascii="宋体" w:hAnsi="宋体" w:eastAsia="宋体" w:cs="宋体"/>
          <w:bCs/>
          <w:color w:val="auto"/>
          <w:highlight w:val="none"/>
        </w:rPr>
        <w:t>投标函</w:t>
      </w:r>
      <w:r>
        <w:rPr>
          <w:color w:val="auto"/>
          <w:highlight w:val="none"/>
        </w:rPr>
        <w:tab/>
      </w:r>
      <w:r>
        <w:rPr>
          <w:color w:val="auto"/>
          <w:highlight w:val="none"/>
        </w:rPr>
        <w:fldChar w:fldCharType="begin"/>
      </w:r>
      <w:r>
        <w:rPr>
          <w:color w:val="auto"/>
          <w:highlight w:val="none"/>
        </w:rPr>
        <w:instrText xml:space="preserve"> PAGEREF _Toc28588 \h </w:instrText>
      </w:r>
      <w:r>
        <w:rPr>
          <w:color w:val="auto"/>
          <w:highlight w:val="none"/>
        </w:rPr>
        <w:fldChar w:fldCharType="separate"/>
      </w:r>
      <w:r>
        <w:rPr>
          <w:color w:val="auto"/>
          <w:highlight w:val="none"/>
        </w:rPr>
        <w:t>80</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_Toc1901 </w:instrText>
      </w:r>
      <w:r>
        <w:rPr>
          <w:rFonts w:hint="eastAsia" w:ascii="宋体" w:hAnsi="宋体" w:eastAsia="宋体" w:cs="宋体"/>
          <w:color w:val="auto"/>
          <w:highlight w:val="none"/>
        </w:rPr>
        <w:fldChar w:fldCharType="separate"/>
      </w:r>
      <w:r>
        <w:rPr>
          <w:rFonts w:hint="eastAsia" w:ascii="宋体" w:hAnsi="宋体" w:eastAsia="宋体" w:cs="宋体"/>
          <w:bCs/>
          <w:color w:val="auto"/>
          <w:highlight w:val="none"/>
        </w:rPr>
        <w:t>附件十</w:t>
      </w:r>
      <w:r>
        <w:rPr>
          <w:rFonts w:hint="eastAsia" w:ascii="宋体" w:hAnsi="宋体" w:cs="宋体"/>
          <w:bCs/>
          <w:color w:val="auto"/>
          <w:highlight w:val="none"/>
          <w:lang w:val="en-US" w:eastAsia="zh-CN"/>
        </w:rPr>
        <w:t>五</w:t>
      </w:r>
      <w:r>
        <w:rPr>
          <w:rFonts w:hint="eastAsia" w:ascii="宋体" w:hAnsi="宋体" w:eastAsia="宋体" w:cs="宋体"/>
          <w:bCs/>
          <w:color w:val="auto"/>
          <w:highlight w:val="none"/>
        </w:rPr>
        <w:t>：开标一览表</w:t>
      </w:r>
      <w:r>
        <w:rPr>
          <w:color w:val="auto"/>
          <w:highlight w:val="none"/>
        </w:rPr>
        <w:tab/>
      </w:r>
      <w:r>
        <w:rPr>
          <w:color w:val="auto"/>
          <w:highlight w:val="none"/>
        </w:rPr>
        <w:fldChar w:fldCharType="begin"/>
      </w:r>
      <w:r>
        <w:rPr>
          <w:color w:val="auto"/>
          <w:highlight w:val="none"/>
        </w:rPr>
        <w:instrText xml:space="preserve"> PAGEREF _Toc1901 \h </w:instrText>
      </w:r>
      <w:r>
        <w:rPr>
          <w:color w:val="auto"/>
          <w:highlight w:val="none"/>
        </w:rPr>
        <w:fldChar w:fldCharType="separate"/>
      </w:r>
      <w:r>
        <w:rPr>
          <w:color w:val="auto"/>
          <w:highlight w:val="none"/>
        </w:rPr>
        <w:t>81</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_Toc25725 </w:instrText>
      </w:r>
      <w:r>
        <w:rPr>
          <w:rFonts w:hint="eastAsia" w:ascii="宋体" w:hAnsi="宋体" w:eastAsia="宋体" w:cs="宋体"/>
          <w:color w:val="auto"/>
          <w:highlight w:val="none"/>
        </w:rPr>
        <w:fldChar w:fldCharType="separate"/>
      </w:r>
      <w:r>
        <w:rPr>
          <w:rFonts w:hint="eastAsia" w:ascii="宋体" w:hAnsi="宋体" w:cs="宋体"/>
          <w:bCs/>
          <w:color w:val="auto"/>
          <w:highlight w:val="none"/>
        </w:rPr>
        <w:t>附件十</w:t>
      </w:r>
      <w:r>
        <w:rPr>
          <w:rFonts w:hint="eastAsia" w:ascii="宋体" w:hAnsi="宋体" w:cs="宋体"/>
          <w:bCs/>
          <w:color w:val="auto"/>
          <w:highlight w:val="none"/>
          <w:lang w:val="en-US" w:eastAsia="zh-CN"/>
        </w:rPr>
        <w:t>六</w:t>
      </w:r>
      <w:r>
        <w:rPr>
          <w:rFonts w:hint="eastAsia" w:ascii="宋体" w:hAnsi="宋体" w:cs="宋体"/>
          <w:bCs/>
          <w:color w:val="auto"/>
          <w:highlight w:val="none"/>
        </w:rPr>
        <w:t>：报价明细表</w:t>
      </w:r>
      <w:r>
        <w:rPr>
          <w:color w:val="auto"/>
          <w:highlight w:val="none"/>
        </w:rPr>
        <w:tab/>
      </w:r>
      <w:r>
        <w:rPr>
          <w:color w:val="auto"/>
          <w:highlight w:val="none"/>
        </w:rPr>
        <w:fldChar w:fldCharType="begin"/>
      </w:r>
      <w:r>
        <w:rPr>
          <w:color w:val="auto"/>
          <w:highlight w:val="none"/>
        </w:rPr>
        <w:instrText xml:space="preserve"> PAGEREF _Toc25725 \h </w:instrText>
      </w:r>
      <w:r>
        <w:rPr>
          <w:color w:val="auto"/>
          <w:highlight w:val="none"/>
        </w:rPr>
        <w:fldChar w:fldCharType="separate"/>
      </w:r>
      <w:r>
        <w:rPr>
          <w:color w:val="auto"/>
          <w:highlight w:val="none"/>
        </w:rPr>
        <w:t>82</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_Toc3654 </w:instrText>
      </w:r>
      <w:r>
        <w:rPr>
          <w:rFonts w:hint="eastAsia" w:ascii="宋体" w:hAnsi="宋体" w:eastAsia="宋体" w:cs="宋体"/>
          <w:color w:val="auto"/>
          <w:highlight w:val="none"/>
        </w:rPr>
        <w:fldChar w:fldCharType="separate"/>
      </w:r>
      <w:r>
        <w:rPr>
          <w:rFonts w:hint="eastAsia" w:ascii="宋体" w:hAnsi="宋体" w:eastAsia="宋体" w:cs="宋体"/>
          <w:bCs/>
          <w:color w:val="auto"/>
          <w:highlight w:val="none"/>
        </w:rPr>
        <w:t>附件十</w:t>
      </w:r>
      <w:r>
        <w:rPr>
          <w:rFonts w:hint="eastAsia" w:ascii="宋体" w:hAnsi="宋体" w:cs="宋体"/>
          <w:bCs/>
          <w:color w:val="auto"/>
          <w:highlight w:val="none"/>
          <w:lang w:val="en-US" w:eastAsia="zh-CN"/>
        </w:rPr>
        <w:t>七</w:t>
      </w:r>
      <w:r>
        <w:rPr>
          <w:rFonts w:hint="eastAsia" w:ascii="宋体" w:hAnsi="宋体" w:eastAsia="宋体" w:cs="宋体"/>
          <w:bCs/>
          <w:color w:val="auto"/>
          <w:highlight w:val="none"/>
        </w:rPr>
        <w:t>：中小企业声明函（工程、服务）</w:t>
      </w:r>
      <w:r>
        <w:rPr>
          <w:color w:val="auto"/>
          <w:highlight w:val="none"/>
        </w:rPr>
        <w:tab/>
      </w:r>
      <w:r>
        <w:rPr>
          <w:color w:val="auto"/>
          <w:highlight w:val="none"/>
        </w:rPr>
        <w:fldChar w:fldCharType="begin"/>
      </w:r>
      <w:r>
        <w:rPr>
          <w:color w:val="auto"/>
          <w:highlight w:val="none"/>
        </w:rPr>
        <w:instrText xml:space="preserve"> PAGEREF _Toc3654 \h </w:instrText>
      </w:r>
      <w:r>
        <w:rPr>
          <w:color w:val="auto"/>
          <w:highlight w:val="none"/>
        </w:rPr>
        <w:fldChar w:fldCharType="separate"/>
      </w:r>
      <w:r>
        <w:rPr>
          <w:color w:val="auto"/>
          <w:highlight w:val="none"/>
        </w:rPr>
        <w:t>83</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_Toc1074 </w:instrText>
      </w:r>
      <w:r>
        <w:rPr>
          <w:rFonts w:hint="eastAsia" w:ascii="宋体" w:hAnsi="宋体" w:eastAsia="宋体" w:cs="宋体"/>
          <w:color w:val="auto"/>
          <w:highlight w:val="none"/>
        </w:rPr>
        <w:fldChar w:fldCharType="separate"/>
      </w:r>
      <w:r>
        <w:rPr>
          <w:rFonts w:hint="eastAsia" w:ascii="宋体" w:hAnsi="宋体" w:eastAsia="宋体" w:cs="宋体"/>
          <w:bCs/>
          <w:color w:val="auto"/>
          <w:highlight w:val="none"/>
        </w:rPr>
        <w:t>附件十</w:t>
      </w:r>
      <w:r>
        <w:rPr>
          <w:rFonts w:hint="eastAsia" w:ascii="宋体" w:hAnsi="宋体" w:cs="宋体"/>
          <w:bCs/>
          <w:color w:val="auto"/>
          <w:highlight w:val="none"/>
          <w:lang w:val="en-US" w:eastAsia="zh-CN"/>
        </w:rPr>
        <w:t>八</w:t>
      </w:r>
      <w:r>
        <w:rPr>
          <w:rFonts w:hint="eastAsia" w:ascii="宋体" w:hAnsi="宋体" w:eastAsia="宋体" w:cs="宋体"/>
          <w:bCs/>
          <w:color w:val="auto"/>
          <w:highlight w:val="none"/>
        </w:rPr>
        <w:t>：中小企业声明函（工程、服务）</w:t>
      </w:r>
      <w:r>
        <w:rPr>
          <w:color w:val="auto"/>
          <w:highlight w:val="none"/>
        </w:rPr>
        <w:tab/>
      </w:r>
      <w:r>
        <w:rPr>
          <w:color w:val="auto"/>
          <w:highlight w:val="none"/>
        </w:rPr>
        <w:fldChar w:fldCharType="begin"/>
      </w:r>
      <w:r>
        <w:rPr>
          <w:color w:val="auto"/>
          <w:highlight w:val="none"/>
        </w:rPr>
        <w:instrText xml:space="preserve"> PAGEREF _Toc1074 \h </w:instrText>
      </w:r>
      <w:r>
        <w:rPr>
          <w:color w:val="auto"/>
          <w:highlight w:val="none"/>
        </w:rPr>
        <w:fldChar w:fldCharType="separate"/>
      </w:r>
      <w:r>
        <w:rPr>
          <w:color w:val="auto"/>
          <w:highlight w:val="none"/>
        </w:rPr>
        <w:t>84</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_Toc26117 </w:instrText>
      </w:r>
      <w:r>
        <w:rPr>
          <w:rFonts w:hint="eastAsia" w:ascii="宋体" w:hAnsi="宋体" w:eastAsia="宋体" w:cs="宋体"/>
          <w:color w:val="auto"/>
          <w:highlight w:val="none"/>
        </w:rPr>
        <w:fldChar w:fldCharType="separate"/>
      </w:r>
      <w:r>
        <w:rPr>
          <w:rFonts w:hint="eastAsia" w:ascii="宋体" w:hAnsi="宋体" w:eastAsia="宋体" w:cs="宋体"/>
          <w:bCs/>
          <w:color w:val="auto"/>
          <w:highlight w:val="none"/>
        </w:rPr>
        <w:t>附件</w:t>
      </w:r>
      <w:r>
        <w:rPr>
          <w:rFonts w:hint="eastAsia" w:ascii="宋体" w:hAnsi="宋体" w:cs="宋体"/>
          <w:bCs/>
          <w:color w:val="auto"/>
          <w:highlight w:val="none"/>
          <w:lang w:val="en-US" w:eastAsia="zh-CN"/>
        </w:rPr>
        <w:t>十九</w:t>
      </w:r>
      <w:r>
        <w:rPr>
          <w:rFonts w:hint="eastAsia" w:ascii="宋体" w:hAnsi="宋体" w:eastAsia="宋体" w:cs="宋体"/>
          <w:bCs/>
          <w:color w:val="auto"/>
          <w:highlight w:val="none"/>
        </w:rPr>
        <w:t>：东阳市采购项目验收方案</w:t>
      </w:r>
      <w:r>
        <w:rPr>
          <w:color w:val="auto"/>
          <w:highlight w:val="none"/>
        </w:rPr>
        <w:tab/>
      </w:r>
      <w:r>
        <w:rPr>
          <w:color w:val="auto"/>
          <w:highlight w:val="none"/>
        </w:rPr>
        <w:fldChar w:fldCharType="begin"/>
      </w:r>
      <w:r>
        <w:rPr>
          <w:color w:val="auto"/>
          <w:highlight w:val="none"/>
        </w:rPr>
        <w:instrText xml:space="preserve"> PAGEREF _Toc26117 \h </w:instrText>
      </w:r>
      <w:r>
        <w:rPr>
          <w:color w:val="auto"/>
          <w:highlight w:val="none"/>
        </w:rPr>
        <w:fldChar w:fldCharType="separate"/>
      </w:r>
      <w:r>
        <w:rPr>
          <w:color w:val="auto"/>
          <w:highlight w:val="none"/>
        </w:rPr>
        <w:t>85</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_Toc23929 </w:instrText>
      </w:r>
      <w:r>
        <w:rPr>
          <w:rFonts w:hint="eastAsia" w:ascii="宋体" w:hAnsi="宋体" w:eastAsia="宋体" w:cs="宋体"/>
          <w:color w:val="auto"/>
          <w:highlight w:val="none"/>
        </w:rPr>
        <w:fldChar w:fldCharType="separate"/>
      </w:r>
      <w:r>
        <w:rPr>
          <w:rFonts w:hint="eastAsia" w:ascii="宋体" w:hAnsi="宋体" w:eastAsia="宋体" w:cs="宋体"/>
          <w:bCs/>
          <w:color w:val="auto"/>
          <w:highlight w:val="none"/>
        </w:rPr>
        <w:t>附件</w:t>
      </w:r>
      <w:r>
        <w:rPr>
          <w:rFonts w:hint="eastAsia" w:ascii="宋体" w:hAnsi="宋体" w:cs="宋体"/>
          <w:bCs/>
          <w:color w:val="auto"/>
          <w:highlight w:val="none"/>
          <w:lang w:val="en-US" w:eastAsia="zh-CN"/>
        </w:rPr>
        <w:t>二十</w:t>
      </w:r>
      <w:r>
        <w:rPr>
          <w:rFonts w:hint="eastAsia" w:ascii="宋体" w:hAnsi="宋体" w:eastAsia="宋体" w:cs="宋体"/>
          <w:bCs/>
          <w:color w:val="auto"/>
          <w:highlight w:val="none"/>
        </w:rPr>
        <w:t>：东阳市政府采购代理机构社会评价表</w:t>
      </w:r>
      <w:r>
        <w:rPr>
          <w:color w:val="auto"/>
          <w:highlight w:val="none"/>
        </w:rPr>
        <w:tab/>
      </w:r>
      <w:r>
        <w:rPr>
          <w:color w:val="auto"/>
          <w:highlight w:val="none"/>
        </w:rPr>
        <w:fldChar w:fldCharType="begin"/>
      </w:r>
      <w:r>
        <w:rPr>
          <w:color w:val="auto"/>
          <w:highlight w:val="none"/>
        </w:rPr>
        <w:instrText xml:space="preserve"> PAGEREF _Toc23929 \h </w:instrText>
      </w:r>
      <w:r>
        <w:rPr>
          <w:color w:val="auto"/>
          <w:highlight w:val="none"/>
        </w:rPr>
        <w:fldChar w:fldCharType="separate"/>
      </w:r>
      <w:r>
        <w:rPr>
          <w:color w:val="auto"/>
          <w:highlight w:val="none"/>
        </w:rPr>
        <w:t>86</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_Toc10564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附件</w:t>
      </w:r>
      <w:r>
        <w:rPr>
          <w:rFonts w:hint="eastAsia" w:ascii="宋体" w:hAnsi="宋体" w:eastAsia="宋体" w:cs="宋体"/>
          <w:color w:val="auto"/>
          <w:szCs w:val="24"/>
          <w:highlight w:val="none"/>
          <w:lang w:val="en-US" w:eastAsia="zh-CN"/>
        </w:rPr>
        <w:t>二十一</w:t>
      </w:r>
      <w:r>
        <w:rPr>
          <w:rFonts w:hint="eastAsia" w:ascii="宋体" w:hAnsi="宋体" w:eastAsia="宋体" w:cs="宋体"/>
          <w:color w:val="auto"/>
          <w:szCs w:val="24"/>
          <w:highlight w:val="none"/>
        </w:rPr>
        <w:t>：办理保函需提供资料</w:t>
      </w:r>
      <w:r>
        <w:rPr>
          <w:color w:val="auto"/>
          <w:highlight w:val="none"/>
        </w:rPr>
        <w:tab/>
      </w:r>
      <w:r>
        <w:rPr>
          <w:color w:val="auto"/>
          <w:highlight w:val="none"/>
        </w:rPr>
        <w:fldChar w:fldCharType="begin"/>
      </w:r>
      <w:r>
        <w:rPr>
          <w:color w:val="auto"/>
          <w:highlight w:val="none"/>
        </w:rPr>
        <w:instrText xml:space="preserve"> PAGEREF _Toc10564 \h </w:instrText>
      </w:r>
      <w:r>
        <w:rPr>
          <w:color w:val="auto"/>
          <w:highlight w:val="none"/>
        </w:rPr>
        <w:fldChar w:fldCharType="separate"/>
      </w:r>
      <w:r>
        <w:rPr>
          <w:color w:val="auto"/>
          <w:highlight w:val="none"/>
        </w:rPr>
        <w:t>87</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_Toc21662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附件</w:t>
      </w:r>
      <w:r>
        <w:rPr>
          <w:rFonts w:hint="eastAsia" w:ascii="宋体" w:hAnsi="宋体" w:eastAsia="宋体" w:cs="宋体"/>
          <w:color w:val="auto"/>
          <w:highlight w:val="none"/>
          <w:lang w:val="en-US" w:eastAsia="zh-CN"/>
        </w:rPr>
        <w:t>二十二</w:t>
      </w:r>
      <w:r>
        <w:rPr>
          <w:rFonts w:hint="eastAsia" w:ascii="宋体" w:hAnsi="宋体" w:eastAsia="宋体" w:cs="宋体"/>
          <w:color w:val="auto"/>
          <w:highlight w:val="none"/>
        </w:rPr>
        <w:t>：质疑函范本</w:t>
      </w:r>
      <w:r>
        <w:rPr>
          <w:color w:val="auto"/>
          <w:highlight w:val="none"/>
        </w:rPr>
        <w:tab/>
      </w:r>
      <w:r>
        <w:rPr>
          <w:color w:val="auto"/>
          <w:highlight w:val="none"/>
        </w:rPr>
        <w:fldChar w:fldCharType="begin"/>
      </w:r>
      <w:r>
        <w:rPr>
          <w:color w:val="auto"/>
          <w:highlight w:val="none"/>
        </w:rPr>
        <w:instrText xml:space="preserve"> PAGEREF _Toc21662 \h </w:instrText>
      </w:r>
      <w:r>
        <w:rPr>
          <w:color w:val="auto"/>
          <w:highlight w:val="none"/>
        </w:rPr>
        <w:fldChar w:fldCharType="separate"/>
      </w:r>
      <w:r>
        <w:rPr>
          <w:color w:val="auto"/>
          <w:highlight w:val="none"/>
        </w:rPr>
        <w:t>89</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_Toc30418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附件</w:t>
      </w:r>
      <w:r>
        <w:rPr>
          <w:rFonts w:hint="eastAsia" w:ascii="宋体" w:hAnsi="宋体" w:eastAsia="宋体" w:cs="宋体"/>
          <w:color w:val="auto"/>
          <w:highlight w:val="none"/>
          <w:lang w:val="en-US" w:eastAsia="zh-CN"/>
        </w:rPr>
        <w:t>二十三</w:t>
      </w:r>
      <w:r>
        <w:rPr>
          <w:rFonts w:hint="eastAsia" w:ascii="宋体" w:hAnsi="宋体" w:eastAsia="宋体" w:cs="宋体"/>
          <w:color w:val="auto"/>
          <w:highlight w:val="none"/>
        </w:rPr>
        <w:t>：投诉书范本</w:t>
      </w:r>
      <w:r>
        <w:rPr>
          <w:color w:val="auto"/>
          <w:highlight w:val="none"/>
        </w:rPr>
        <w:tab/>
      </w:r>
      <w:r>
        <w:rPr>
          <w:color w:val="auto"/>
          <w:highlight w:val="none"/>
        </w:rPr>
        <w:fldChar w:fldCharType="begin"/>
      </w:r>
      <w:r>
        <w:rPr>
          <w:color w:val="auto"/>
          <w:highlight w:val="none"/>
        </w:rPr>
        <w:instrText xml:space="preserve"> PAGEREF _Toc30418 \h </w:instrText>
      </w:r>
      <w:r>
        <w:rPr>
          <w:color w:val="auto"/>
          <w:highlight w:val="none"/>
        </w:rPr>
        <w:fldChar w:fldCharType="separate"/>
      </w:r>
      <w:r>
        <w:rPr>
          <w:color w:val="auto"/>
          <w:highlight w:val="none"/>
        </w:rPr>
        <w:t>91</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_Toc29210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附件二十</w:t>
      </w:r>
      <w:r>
        <w:rPr>
          <w:rFonts w:hint="eastAsia" w:ascii="宋体" w:hAnsi="宋体" w:eastAsia="宋体" w:cs="宋体"/>
          <w:color w:val="auto"/>
          <w:highlight w:val="none"/>
          <w:lang w:val="en-US" w:eastAsia="zh-CN"/>
        </w:rPr>
        <w:t>四</w:t>
      </w:r>
      <w:r>
        <w:rPr>
          <w:rFonts w:hint="eastAsia" w:ascii="宋体" w:hAnsi="宋体" w:eastAsia="宋体" w:cs="宋体"/>
          <w:color w:val="auto"/>
          <w:highlight w:val="none"/>
        </w:rPr>
        <w:t>：采购清单</w:t>
      </w:r>
      <w:r>
        <w:rPr>
          <w:color w:val="auto"/>
          <w:highlight w:val="none"/>
        </w:rPr>
        <w:tab/>
      </w:r>
      <w:r>
        <w:rPr>
          <w:color w:val="auto"/>
          <w:highlight w:val="none"/>
        </w:rPr>
        <w:fldChar w:fldCharType="begin"/>
      </w:r>
      <w:r>
        <w:rPr>
          <w:color w:val="auto"/>
          <w:highlight w:val="none"/>
        </w:rPr>
        <w:instrText xml:space="preserve"> PAGEREF _Toc29210 \h </w:instrText>
      </w:r>
      <w:r>
        <w:rPr>
          <w:color w:val="auto"/>
          <w:highlight w:val="none"/>
        </w:rPr>
        <w:fldChar w:fldCharType="separate"/>
      </w:r>
      <w:r>
        <w:rPr>
          <w:color w:val="auto"/>
          <w:highlight w:val="none"/>
        </w:rPr>
        <w:t>93</w:t>
      </w:r>
      <w:r>
        <w:rPr>
          <w:color w:val="auto"/>
          <w:highlight w:val="none"/>
        </w:rPr>
        <w:fldChar w:fldCharType="end"/>
      </w:r>
      <w:r>
        <w:rPr>
          <w:rFonts w:hint="eastAsia" w:ascii="宋体" w:hAnsi="宋体" w:eastAsia="宋体" w:cs="宋体"/>
          <w:color w:val="auto"/>
          <w:highlight w:val="none"/>
        </w:rPr>
        <w:fldChar w:fldCharType="end"/>
      </w:r>
    </w:p>
    <w:p>
      <w:pPr>
        <w:pStyle w:val="18"/>
        <w:tabs>
          <w:tab w:val="right" w:leader="dot" w:pos="9412"/>
        </w:tabs>
        <w:rPr>
          <w:color w:val="auto"/>
          <w:highlight w:val="none"/>
        </w:rPr>
      </w:pP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\l _Toc11911 </w:instrText>
      </w:r>
      <w:r>
        <w:rPr>
          <w:rFonts w:hint="eastAsia" w:ascii="宋体" w:hAnsi="宋体" w:eastAsia="宋体" w:cs="宋体"/>
          <w:color w:val="auto"/>
          <w:highlight w:val="none"/>
        </w:rPr>
        <w:fldChar w:fldCharType="separate"/>
      </w:r>
      <w:r>
        <w:rPr>
          <w:rFonts w:hint="eastAsia" w:cs="宋体"/>
          <w:color w:val="auto"/>
          <w:highlight w:val="none"/>
        </w:rPr>
        <w:t>附件</w:t>
      </w:r>
      <w:r>
        <w:rPr>
          <w:rFonts w:hint="eastAsia" w:cs="宋体"/>
          <w:color w:val="auto"/>
          <w:highlight w:val="none"/>
          <w:lang w:val="en-US"/>
        </w:rPr>
        <w:t>二十</w:t>
      </w:r>
      <w:r>
        <w:rPr>
          <w:rFonts w:hint="eastAsia" w:cs="宋体"/>
          <w:color w:val="auto"/>
          <w:highlight w:val="none"/>
          <w:lang w:val="en-US" w:eastAsia="zh-CN"/>
        </w:rPr>
        <w:t>五</w:t>
      </w:r>
      <w:r>
        <w:rPr>
          <w:rFonts w:hint="eastAsia" w:cs="宋体"/>
          <w:color w:val="auto"/>
          <w:highlight w:val="none"/>
        </w:rPr>
        <w:t>：</w:t>
      </w:r>
      <w:r>
        <w:rPr>
          <w:rFonts w:hint="eastAsia" w:cs="宋体"/>
          <w:color w:val="auto"/>
          <w:highlight w:val="none"/>
          <w:lang w:val="en-US"/>
        </w:rPr>
        <w:t>图纸</w:t>
      </w:r>
      <w:r>
        <w:rPr>
          <w:color w:val="auto"/>
          <w:highlight w:val="none"/>
        </w:rPr>
        <w:tab/>
      </w:r>
      <w:r>
        <w:rPr>
          <w:color w:val="auto"/>
          <w:highlight w:val="none"/>
        </w:rPr>
        <w:fldChar w:fldCharType="begin"/>
      </w:r>
      <w:r>
        <w:rPr>
          <w:color w:val="auto"/>
          <w:highlight w:val="none"/>
        </w:rPr>
        <w:instrText xml:space="preserve"> PAGEREF _Toc11911 \h </w:instrText>
      </w:r>
      <w:r>
        <w:rPr>
          <w:color w:val="auto"/>
          <w:highlight w:val="none"/>
        </w:rPr>
        <w:fldChar w:fldCharType="separate"/>
      </w:r>
      <w:r>
        <w:rPr>
          <w:color w:val="auto"/>
          <w:highlight w:val="none"/>
        </w:rPr>
        <w:t>118</w:t>
      </w:r>
      <w:r>
        <w:rPr>
          <w:color w:val="auto"/>
          <w:highlight w:val="none"/>
        </w:rPr>
        <w:fldChar w:fldCharType="end"/>
      </w:r>
      <w:r>
        <w:rPr>
          <w:rFonts w:hint="eastAsia" w:ascii="宋体" w:hAnsi="宋体" w:eastAsia="宋体" w:cs="宋体"/>
          <w:color w:val="auto"/>
          <w:highlight w:val="none"/>
        </w:rPr>
        <w:fldChar w:fldCharType="end"/>
      </w:r>
    </w:p>
    <w:p>
      <w:pPr>
        <w:pStyle w:val="16"/>
        <w:tabs>
          <w:tab w:val="right" w:leader="dot" w:pos="9402"/>
        </w:tabs>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highlight w:val="none"/>
        </w:rPr>
        <w:fldChar w:fldCharType="end"/>
      </w:r>
    </w:p>
    <w:p>
      <w:pPr>
        <w:pStyle w:val="16"/>
        <w:keepNext w:val="0"/>
        <w:keepLines w:val="0"/>
        <w:pageBreakBefore/>
        <w:tabs>
          <w:tab w:val="right" w:leader="dot" w:pos="9402"/>
        </w:tabs>
        <w:kinsoku/>
        <w:wordWrap/>
        <w:overflowPunct/>
        <w:topLinePunct w:val="0"/>
        <w:autoSpaceDE/>
        <w:autoSpaceDN/>
        <w:bidi w:val="0"/>
        <w:adjustRightInd/>
        <w:spacing w:line="520" w:lineRule="exact"/>
        <w:jc w:val="center"/>
        <w:textAlignment w:val="auto"/>
        <w:outlineLvl w:val="0"/>
        <w:rPr>
          <w:rFonts w:hint="eastAsia" w:ascii="宋体" w:hAnsi="宋体" w:eastAsia="宋体" w:cs="宋体"/>
          <w:b/>
          <w:color w:val="auto"/>
          <w:sz w:val="24"/>
          <w:highlight w:val="none"/>
        </w:rPr>
      </w:pPr>
      <w:bookmarkStart w:id="0" w:name="_Toc18559"/>
      <w:r>
        <w:rPr>
          <w:rFonts w:hint="eastAsia" w:ascii="宋体" w:hAnsi="宋体" w:eastAsia="宋体" w:cs="宋体"/>
          <w:b/>
          <w:color w:val="auto"/>
          <w:sz w:val="24"/>
          <w:highlight w:val="none"/>
        </w:rPr>
        <w:t>第一章  公开招标采购公告</w:t>
      </w:r>
      <w:bookmarkEnd w:id="0"/>
      <w:r>
        <w:rPr>
          <w:rFonts w:hint="eastAsia" w:ascii="宋体" w:hAnsi="宋体" w:eastAsia="宋体" w:cs="宋体"/>
          <w:b/>
          <w:color w:val="auto"/>
          <w:sz w:val="24"/>
          <w:highlight w:val="none"/>
        </w:rPr>
        <w:t xml:space="preserve"> </w:t>
      </w:r>
    </w:p>
    <w:p>
      <w:pPr>
        <w:keepNext w:val="0"/>
        <w:keepLines w:val="0"/>
        <w:pageBreakBefore w:val="0"/>
        <w:pBdr>
          <w:top w:val="single" w:color="auto" w:sz="4" w:space="1"/>
          <w:left w:val="single" w:color="auto" w:sz="4" w:space="4"/>
          <w:bottom w:val="single" w:color="auto" w:sz="4" w:space="1"/>
          <w:right w:val="single" w:color="auto" w:sz="4" w:space="4"/>
        </w:pBdr>
        <w:kinsoku/>
        <w:wordWrap/>
        <w:overflowPunct/>
        <w:topLinePunct w:val="0"/>
        <w:autoSpaceDE/>
        <w:autoSpaceDN/>
        <w:bidi w:val="0"/>
        <w:adjustRightInd/>
        <w:spacing w:line="520" w:lineRule="exact"/>
        <w:ind w:firstLine="482" w:firstLineChars="200"/>
        <w:textAlignment w:val="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项目概况</w:t>
      </w:r>
    </w:p>
    <w:p>
      <w:pPr>
        <w:keepNext w:val="0"/>
        <w:keepLines w:val="0"/>
        <w:pageBreakBefore w:val="0"/>
        <w:pBdr>
          <w:top w:val="single" w:color="auto" w:sz="4" w:space="1"/>
          <w:left w:val="single" w:color="auto" w:sz="4" w:space="4"/>
          <w:bottom w:val="single" w:color="auto" w:sz="4" w:space="1"/>
          <w:right w:val="single" w:color="auto" w:sz="4" w:space="4"/>
        </w:pBdr>
        <w:kinsoku/>
        <w:wordWrap/>
        <w:overflowPunct/>
        <w:topLinePunct w:val="0"/>
        <w:autoSpaceDE/>
        <w:autoSpaceDN/>
        <w:bidi w:val="0"/>
        <w:adjustRightInd/>
        <w:spacing w:line="520" w:lineRule="exact"/>
        <w:ind w:firstLine="480" w:firstLineChars="200"/>
        <w:textAlignment w:val="auto"/>
        <w:rPr>
          <w:rFonts w:hint="eastAsia" w:ascii="宋体" w:hAnsi="宋体" w:eastAsia="宋体" w:cs="宋体"/>
          <w:color w:val="auto"/>
          <w:sz w:val="24"/>
          <w:highlight w:val="none"/>
        </w:rPr>
      </w:pPr>
      <w:r>
        <w:rPr>
          <w:rFonts w:hint="eastAsia" w:ascii="宋体" w:hAnsi="宋体" w:cs="宋体"/>
          <w:color w:val="auto"/>
          <w:sz w:val="24"/>
          <w:highlight w:val="none"/>
          <w:lang w:eastAsia="zh-CN"/>
        </w:rPr>
        <w:t>东阳市横店医院公共卫生综合楼百级手术室、供应中心净化系统设备采购及安装项目</w:t>
      </w:r>
      <w:r>
        <w:rPr>
          <w:rFonts w:hint="eastAsia" w:ascii="宋体" w:hAnsi="宋体" w:eastAsia="宋体" w:cs="宋体"/>
          <w:color w:val="auto"/>
          <w:sz w:val="24"/>
          <w:highlight w:val="none"/>
        </w:rPr>
        <w:t>的潜在投标人应在浙江政府采购网（http://zfcg.czt.zj.gov.cn/）；东阳市公共资源交易网(http://www.dongyang.gov.cn/ggzyjy/index.html)获取（下载）招标文件，并于</w:t>
      </w:r>
      <w:r>
        <w:rPr>
          <w:rFonts w:hint="eastAsia" w:ascii="宋体" w:hAnsi="宋体" w:cs="宋体"/>
          <w:color w:val="auto"/>
          <w:sz w:val="24"/>
          <w:highlight w:val="none"/>
          <w:lang w:eastAsia="zh-CN"/>
        </w:rPr>
        <w:t>2022年</w:t>
      </w:r>
      <w:r>
        <w:rPr>
          <w:rFonts w:hint="eastAsia" w:ascii="宋体" w:hAnsi="宋体" w:cs="宋体"/>
          <w:color w:val="auto"/>
          <w:sz w:val="24"/>
          <w:highlight w:val="none"/>
          <w:lang w:val="en-US" w:eastAsia="zh-CN"/>
        </w:rPr>
        <w:t>11</w:t>
      </w:r>
      <w:r>
        <w:rPr>
          <w:rFonts w:hint="eastAsia" w:ascii="宋体" w:hAnsi="宋体" w:cs="宋体"/>
          <w:color w:val="auto"/>
          <w:sz w:val="24"/>
          <w:highlight w:val="none"/>
          <w:lang w:eastAsia="zh-CN"/>
        </w:rPr>
        <w:t>月</w:t>
      </w:r>
      <w:r>
        <w:rPr>
          <w:rFonts w:hint="eastAsia" w:ascii="宋体" w:hAnsi="宋体" w:cs="宋体"/>
          <w:color w:val="auto"/>
          <w:sz w:val="24"/>
          <w:highlight w:val="none"/>
          <w:lang w:val="en-US" w:eastAsia="zh-CN"/>
        </w:rPr>
        <w:t>9</w:t>
      </w:r>
      <w:r>
        <w:rPr>
          <w:rFonts w:hint="eastAsia" w:ascii="宋体" w:hAnsi="宋体" w:cs="宋体"/>
          <w:color w:val="auto"/>
          <w:sz w:val="24"/>
          <w:highlight w:val="none"/>
          <w:lang w:eastAsia="zh-CN"/>
        </w:rPr>
        <w:t>日</w:t>
      </w:r>
      <w:r>
        <w:rPr>
          <w:rFonts w:hint="eastAsia" w:ascii="宋体" w:hAnsi="宋体" w:cs="宋体"/>
          <w:color w:val="auto"/>
          <w:sz w:val="24"/>
          <w:highlight w:val="none"/>
          <w:lang w:val="en-US" w:eastAsia="zh-CN"/>
        </w:rPr>
        <w:t>8：30</w:t>
      </w:r>
      <w:r>
        <w:rPr>
          <w:rFonts w:hint="eastAsia" w:ascii="宋体" w:hAnsi="宋体" w:cs="宋体"/>
          <w:color w:val="auto"/>
          <w:sz w:val="24"/>
          <w:highlight w:val="none"/>
          <w:lang w:eastAsia="zh-CN"/>
        </w:rPr>
        <w:t>分</w:t>
      </w:r>
      <w:r>
        <w:rPr>
          <w:rFonts w:hint="eastAsia" w:ascii="宋体" w:hAnsi="宋体" w:eastAsia="宋体" w:cs="宋体"/>
          <w:color w:val="auto"/>
          <w:sz w:val="24"/>
          <w:highlight w:val="none"/>
        </w:rPr>
        <w:t>（北京时间）前递交（上传）电子投标文件。</w:t>
      </w:r>
    </w:p>
    <w:p>
      <w:pPr>
        <w:keepNext w:val="0"/>
        <w:keepLines w:val="0"/>
        <w:pageBreakBefore w:val="0"/>
        <w:numPr>
          <w:ilvl w:val="0"/>
          <w:numId w:val="1"/>
        </w:numPr>
        <w:kinsoku/>
        <w:wordWrap/>
        <w:overflowPunct/>
        <w:topLinePunct w:val="0"/>
        <w:autoSpaceDE/>
        <w:autoSpaceDN/>
        <w:bidi w:val="0"/>
        <w:adjustRightInd/>
        <w:snapToGrid w:val="0"/>
        <w:spacing w:line="520" w:lineRule="exact"/>
        <w:textAlignment w:val="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项目基本情况</w:t>
      </w:r>
    </w:p>
    <w:p>
      <w:pPr>
        <w:keepNext w:val="0"/>
        <w:keepLines w:val="0"/>
        <w:pageBreakBefore w:val="0"/>
        <w:kinsoku/>
        <w:wordWrap/>
        <w:overflowPunct/>
        <w:topLinePunct w:val="0"/>
        <w:autoSpaceDE/>
        <w:autoSpaceDN/>
        <w:bidi w:val="0"/>
        <w:adjustRightInd/>
        <w:spacing w:line="520" w:lineRule="exact"/>
        <w:ind w:firstLine="482" w:firstLineChars="200"/>
        <w:textAlignment w:val="auto"/>
        <w:rPr>
          <w:rFonts w:hint="eastAsia" w:ascii="宋体" w:hAnsi="宋体" w:eastAsia="宋体" w:cs="宋体"/>
          <w:color w:val="auto"/>
          <w:sz w:val="24"/>
          <w:highlight w:val="none"/>
          <w:lang w:val="en-US" w:eastAsia="zh-CN"/>
        </w:rPr>
      </w:pPr>
      <w:r>
        <w:rPr>
          <w:rFonts w:hint="eastAsia" w:ascii="宋体" w:hAnsi="宋体" w:eastAsia="宋体" w:cs="宋体"/>
          <w:b/>
          <w:bCs/>
          <w:color w:val="auto"/>
          <w:sz w:val="24"/>
          <w:highlight w:val="none"/>
        </w:rPr>
        <w:t>项目编号：</w:t>
      </w:r>
      <w:r>
        <w:rPr>
          <w:rFonts w:hint="eastAsia" w:ascii="宋体" w:hAnsi="宋体" w:cs="宋体"/>
          <w:b/>
          <w:bCs/>
          <w:color w:val="auto"/>
          <w:sz w:val="24"/>
          <w:highlight w:val="none"/>
          <w:lang w:eastAsia="zh-CN"/>
        </w:rPr>
        <w:t>XSZFCGDZ2022-203</w:t>
      </w:r>
    </w:p>
    <w:p>
      <w:pPr>
        <w:keepNext w:val="0"/>
        <w:keepLines w:val="0"/>
        <w:pageBreakBefore w:val="0"/>
        <w:kinsoku/>
        <w:wordWrap/>
        <w:overflowPunct/>
        <w:topLinePunct w:val="0"/>
        <w:autoSpaceDE/>
        <w:autoSpaceDN/>
        <w:bidi w:val="0"/>
        <w:adjustRightInd/>
        <w:spacing w:line="520" w:lineRule="exact"/>
        <w:ind w:left="1684" w:leftChars="228" w:hanging="1205" w:hangingChars="500"/>
        <w:textAlignment w:val="auto"/>
        <w:rPr>
          <w:rFonts w:hint="eastAsia" w:ascii="宋体" w:hAnsi="宋体" w:eastAsia="宋体" w:cs="宋体"/>
          <w:color w:val="auto"/>
          <w:sz w:val="24"/>
          <w:highlight w:val="none"/>
          <w:lang w:eastAsia="zh-CN"/>
        </w:rPr>
      </w:pPr>
      <w:r>
        <w:rPr>
          <w:rFonts w:hint="eastAsia" w:ascii="宋体" w:hAnsi="宋体" w:eastAsia="宋体" w:cs="宋体"/>
          <w:b/>
          <w:bCs/>
          <w:color w:val="auto"/>
          <w:sz w:val="24"/>
          <w:highlight w:val="none"/>
        </w:rPr>
        <w:t>项目名称：</w:t>
      </w:r>
      <w:r>
        <w:rPr>
          <w:rFonts w:hint="eastAsia" w:ascii="宋体" w:hAnsi="宋体" w:cs="宋体"/>
          <w:b/>
          <w:bCs/>
          <w:color w:val="auto"/>
          <w:sz w:val="24"/>
          <w:highlight w:val="none"/>
          <w:lang w:eastAsia="zh-CN"/>
        </w:rPr>
        <w:t>东阳市横店医院公共卫生综合楼百级手术室、供应中心净化系统设备采购及安装项目</w:t>
      </w:r>
    </w:p>
    <w:p>
      <w:pPr>
        <w:keepNext w:val="0"/>
        <w:keepLines w:val="0"/>
        <w:pageBreakBefore w:val="0"/>
        <w:kinsoku/>
        <w:wordWrap/>
        <w:overflowPunct/>
        <w:topLinePunct w:val="0"/>
        <w:autoSpaceDE/>
        <w:autoSpaceDN/>
        <w:bidi w:val="0"/>
        <w:adjustRightInd/>
        <w:spacing w:line="520" w:lineRule="exact"/>
        <w:ind w:firstLine="480" w:firstLineChars="200"/>
        <w:textAlignment w:val="auto"/>
        <w:rPr>
          <w:rFonts w:hint="default" w:ascii="宋体" w:hAnsi="宋体" w:cs="宋体"/>
          <w:bCs/>
          <w:color w:val="auto"/>
          <w:sz w:val="24"/>
          <w:highlight w:val="none"/>
          <w:lang w:val="en-US" w:eastAsia="zh-CN"/>
        </w:rPr>
      </w:pPr>
      <w:r>
        <w:rPr>
          <w:rFonts w:hint="eastAsia" w:ascii="宋体" w:hAnsi="宋体" w:eastAsia="宋体" w:cs="宋体"/>
          <w:bCs/>
          <w:color w:val="auto"/>
          <w:sz w:val="24"/>
          <w:highlight w:val="none"/>
        </w:rPr>
        <w:t>预算金额（元）：</w:t>
      </w:r>
      <w:r>
        <w:rPr>
          <w:rFonts w:hint="eastAsia" w:ascii="宋体" w:hAnsi="宋体" w:cs="宋体"/>
          <w:bCs/>
          <w:color w:val="auto"/>
          <w:sz w:val="24"/>
          <w:highlight w:val="none"/>
          <w:lang w:val="en-US" w:eastAsia="zh-CN"/>
        </w:rPr>
        <w:t xml:space="preserve">992.04万元；  </w:t>
      </w:r>
    </w:p>
    <w:p>
      <w:pPr>
        <w:keepNext w:val="0"/>
        <w:keepLines w:val="0"/>
        <w:pageBreakBefore w:val="0"/>
        <w:kinsoku/>
        <w:wordWrap/>
        <w:overflowPunct/>
        <w:topLinePunct w:val="0"/>
        <w:autoSpaceDE/>
        <w:autoSpaceDN/>
        <w:bidi w:val="0"/>
        <w:adjustRightInd/>
        <w:spacing w:line="520" w:lineRule="exact"/>
        <w:ind w:firstLine="480" w:firstLineChars="200"/>
        <w:textAlignment w:val="auto"/>
        <w:rPr>
          <w:rFonts w:hint="default" w:ascii="宋体" w:hAnsi="宋体" w:eastAsia="宋体" w:cs="宋体"/>
          <w:bCs/>
          <w:color w:val="auto"/>
          <w:sz w:val="24"/>
          <w:highlight w:val="none"/>
          <w:lang w:val="en-US" w:eastAsia="zh-CN"/>
        </w:rPr>
      </w:pPr>
      <w:r>
        <w:rPr>
          <w:rFonts w:hint="eastAsia" w:ascii="宋体" w:hAnsi="宋体" w:eastAsia="宋体" w:cs="宋体"/>
          <w:bCs/>
          <w:color w:val="auto"/>
          <w:sz w:val="24"/>
          <w:highlight w:val="none"/>
        </w:rPr>
        <w:t>最高限价（元）：</w:t>
      </w:r>
      <w:r>
        <w:rPr>
          <w:rFonts w:hint="eastAsia" w:ascii="宋体" w:hAnsi="宋体" w:cs="宋体"/>
          <w:bCs/>
          <w:color w:val="auto"/>
          <w:sz w:val="24"/>
          <w:highlight w:val="none"/>
          <w:lang w:val="en-US" w:eastAsia="zh-CN"/>
        </w:rPr>
        <w:t xml:space="preserve">772.8205万元；   </w:t>
      </w:r>
    </w:p>
    <w:p>
      <w:pPr>
        <w:pStyle w:val="8"/>
        <w:keepNext w:val="0"/>
        <w:keepLines w:val="0"/>
        <w:pageBreakBefore w:val="0"/>
        <w:kinsoku/>
        <w:wordWrap/>
        <w:overflowPunct/>
        <w:topLinePunct w:val="0"/>
        <w:autoSpaceDE/>
        <w:autoSpaceDN/>
        <w:bidi w:val="0"/>
        <w:adjustRightInd/>
        <w:spacing w:line="520" w:lineRule="exact"/>
        <w:ind w:firstLine="482" w:firstLineChars="200"/>
        <w:textAlignment w:val="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采购需求：</w:t>
      </w:r>
    </w:p>
    <w:p>
      <w:pPr>
        <w:pStyle w:val="8"/>
        <w:keepNext w:val="0"/>
        <w:keepLines w:val="0"/>
        <w:pageBreakBefore w:val="0"/>
        <w:kinsoku/>
        <w:wordWrap/>
        <w:overflowPunct/>
        <w:topLinePunct w:val="0"/>
        <w:autoSpaceDE/>
        <w:autoSpaceDN/>
        <w:bidi w:val="0"/>
        <w:adjustRightInd/>
        <w:spacing w:line="520" w:lineRule="exact"/>
        <w:ind w:left="1679" w:leftChars="228" w:hanging="1200" w:hangingChars="500"/>
        <w:textAlignment w:val="auto"/>
        <w:rPr>
          <w:rFonts w:hint="eastAsia" w:ascii="宋体" w:hAnsi="宋体" w:eastAsia="宋体" w:cs="宋体"/>
          <w:b w:val="0"/>
          <w:bCs w:val="0"/>
          <w:color w:val="auto"/>
          <w:sz w:val="24"/>
          <w:highlight w:val="none"/>
          <w:lang w:eastAsia="zh-CN"/>
        </w:rPr>
      </w:pPr>
      <w:r>
        <w:rPr>
          <w:rFonts w:hint="eastAsia" w:ascii="宋体" w:hAnsi="宋体" w:eastAsia="宋体" w:cs="宋体"/>
          <w:color w:val="auto"/>
          <w:sz w:val="24"/>
          <w:highlight w:val="none"/>
        </w:rPr>
        <w:t>标项名称：东阳市横店医院公共卫生综合楼百级手术室、供应中心净化系统设备采购及安装项目</w:t>
      </w:r>
    </w:p>
    <w:p>
      <w:pPr>
        <w:pStyle w:val="8"/>
        <w:keepNext w:val="0"/>
        <w:keepLines w:val="0"/>
        <w:pageBreakBefore w:val="0"/>
        <w:kinsoku/>
        <w:wordWrap/>
        <w:overflowPunct/>
        <w:topLinePunct w:val="0"/>
        <w:autoSpaceDE/>
        <w:autoSpaceDN/>
        <w:bidi w:val="0"/>
        <w:adjustRightInd/>
        <w:spacing w:line="520" w:lineRule="exact"/>
        <w:ind w:firstLine="480" w:firstLineChars="200"/>
        <w:textAlignment w:val="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rPr>
        <w:t>数量：1</w:t>
      </w:r>
      <w:r>
        <w:rPr>
          <w:rFonts w:hint="eastAsia" w:ascii="宋体" w:hAnsi="宋体" w:cs="宋体"/>
          <w:color w:val="auto"/>
          <w:sz w:val="24"/>
          <w:highlight w:val="none"/>
          <w:lang w:val="en-US" w:eastAsia="zh-CN"/>
        </w:rPr>
        <w:t>项</w:t>
      </w:r>
    </w:p>
    <w:p>
      <w:pPr>
        <w:keepNext w:val="0"/>
        <w:keepLines w:val="0"/>
        <w:pageBreakBefore w:val="0"/>
        <w:kinsoku/>
        <w:wordWrap/>
        <w:overflowPunct/>
        <w:topLinePunct w:val="0"/>
        <w:autoSpaceDE/>
        <w:autoSpaceDN/>
        <w:bidi w:val="0"/>
        <w:adjustRightInd/>
        <w:spacing w:line="520" w:lineRule="exact"/>
        <w:ind w:firstLine="480" w:firstLineChars="200"/>
        <w:textAlignment w:val="auto"/>
        <w:rPr>
          <w:rFonts w:hint="default" w:ascii="宋体" w:hAnsi="宋体" w:cs="宋体"/>
          <w:bCs/>
          <w:color w:val="auto"/>
          <w:sz w:val="24"/>
          <w:highlight w:val="none"/>
          <w:lang w:val="en-US" w:eastAsia="zh-CN"/>
        </w:rPr>
      </w:pPr>
      <w:r>
        <w:rPr>
          <w:rFonts w:hint="eastAsia" w:ascii="宋体" w:hAnsi="宋体" w:eastAsia="宋体" w:cs="宋体"/>
          <w:color w:val="auto"/>
          <w:sz w:val="24"/>
          <w:highlight w:val="none"/>
        </w:rPr>
        <w:t>预算金额（元）：</w:t>
      </w:r>
      <w:r>
        <w:rPr>
          <w:rFonts w:hint="eastAsia" w:ascii="宋体" w:hAnsi="宋体" w:cs="宋体"/>
          <w:bCs/>
          <w:color w:val="auto"/>
          <w:sz w:val="24"/>
          <w:highlight w:val="none"/>
          <w:lang w:val="en-US" w:eastAsia="zh-CN"/>
        </w:rPr>
        <w:t xml:space="preserve">992.04万元；  </w:t>
      </w:r>
    </w:p>
    <w:p>
      <w:pPr>
        <w:pStyle w:val="8"/>
        <w:keepNext w:val="0"/>
        <w:keepLines w:val="0"/>
        <w:pageBreakBefore w:val="0"/>
        <w:kinsoku/>
        <w:wordWrap/>
        <w:overflowPunct/>
        <w:topLinePunct w:val="0"/>
        <w:autoSpaceDE/>
        <w:autoSpaceDN/>
        <w:bidi w:val="0"/>
        <w:adjustRightInd/>
        <w:spacing w:line="52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简要规格描述或项目基本概况介绍、用途：具体要求详见第二章招标需求</w:t>
      </w:r>
    </w:p>
    <w:p>
      <w:pPr>
        <w:pStyle w:val="8"/>
        <w:keepNext w:val="0"/>
        <w:keepLines w:val="0"/>
        <w:pageBreakBefore w:val="0"/>
        <w:kinsoku/>
        <w:wordWrap/>
        <w:overflowPunct/>
        <w:topLinePunct w:val="0"/>
        <w:autoSpaceDE/>
        <w:autoSpaceDN/>
        <w:bidi w:val="0"/>
        <w:adjustRightInd/>
        <w:spacing w:line="520" w:lineRule="exact"/>
        <w:ind w:firstLine="480" w:firstLineChars="200"/>
        <w:textAlignment w:val="auto"/>
        <w:rPr>
          <w:rFonts w:hint="eastAsia"/>
          <w:color w:val="auto"/>
          <w:highlight w:val="none"/>
        </w:rPr>
      </w:pPr>
      <w:r>
        <w:rPr>
          <w:rFonts w:hint="eastAsia" w:ascii="宋体" w:hAnsi="宋体" w:eastAsia="宋体" w:cs="宋体"/>
          <w:color w:val="auto"/>
          <w:sz w:val="24"/>
          <w:highlight w:val="none"/>
        </w:rPr>
        <w:t>备注：</w:t>
      </w:r>
    </w:p>
    <w:p>
      <w:pPr>
        <w:pStyle w:val="8"/>
        <w:keepNext w:val="0"/>
        <w:keepLines w:val="0"/>
        <w:pageBreakBefore w:val="0"/>
        <w:kinsoku/>
        <w:wordWrap/>
        <w:overflowPunct/>
        <w:topLinePunct w:val="0"/>
        <w:autoSpaceDE/>
        <w:autoSpaceDN/>
        <w:bidi w:val="0"/>
        <w:adjustRightInd/>
        <w:spacing w:line="52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合同履约期限：详见招标文件</w:t>
      </w:r>
    </w:p>
    <w:p>
      <w:pPr>
        <w:pStyle w:val="8"/>
        <w:keepNext w:val="0"/>
        <w:keepLines w:val="0"/>
        <w:pageBreakBefore w:val="0"/>
        <w:kinsoku/>
        <w:wordWrap/>
        <w:overflowPunct/>
        <w:topLinePunct w:val="0"/>
        <w:autoSpaceDE/>
        <w:autoSpaceDN/>
        <w:bidi w:val="0"/>
        <w:adjustRightInd/>
        <w:spacing w:line="52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本项目</w:t>
      </w: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是</w:t>
      </w: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接受</w:t>
      </w:r>
      <w:r>
        <w:rPr>
          <w:rFonts w:hint="eastAsia" w:ascii="宋体" w:hAnsi="宋体" w:eastAsia="宋体" w:cs="宋体"/>
          <w:color w:val="auto"/>
          <w:sz w:val="24"/>
          <w:highlight w:val="none"/>
        </w:rPr>
        <w:t>联合体投标</w:t>
      </w:r>
    </w:p>
    <w:p>
      <w:pPr>
        <w:keepNext w:val="0"/>
        <w:keepLines w:val="0"/>
        <w:pageBreakBefore w:val="0"/>
        <w:kinsoku/>
        <w:wordWrap/>
        <w:overflowPunct/>
        <w:topLinePunct w:val="0"/>
        <w:autoSpaceDE/>
        <w:autoSpaceDN/>
        <w:bidi w:val="0"/>
        <w:adjustRightInd/>
        <w:snapToGrid w:val="0"/>
        <w:spacing w:line="520" w:lineRule="exact"/>
        <w:textAlignment w:val="auto"/>
        <w:rPr>
          <w:rFonts w:hint="eastAsia" w:ascii="宋体" w:hAnsi="宋体" w:eastAsia="宋体" w:cs="宋体"/>
          <w:b/>
          <w:bCs/>
          <w:strike/>
          <w:color w:val="auto"/>
          <w:sz w:val="24"/>
          <w:highlight w:val="none"/>
        </w:rPr>
      </w:pPr>
      <w:r>
        <w:rPr>
          <w:rFonts w:hint="eastAsia" w:ascii="宋体" w:hAnsi="宋体" w:eastAsia="宋体" w:cs="宋体"/>
          <w:b/>
          <w:bCs/>
          <w:color w:val="auto"/>
          <w:sz w:val="24"/>
          <w:highlight w:val="none"/>
        </w:rPr>
        <w:t xml:space="preserve">▲二、申请人的资格要求： </w:t>
      </w:r>
    </w:p>
    <w:p>
      <w:pPr>
        <w:pStyle w:val="8"/>
        <w:keepNext w:val="0"/>
        <w:keepLines w:val="0"/>
        <w:pageBreakBefore w:val="0"/>
        <w:numPr>
          <w:ilvl w:val="0"/>
          <w:numId w:val="0"/>
        </w:numPr>
        <w:kinsoku/>
        <w:wordWrap/>
        <w:overflowPunct/>
        <w:topLinePunct w:val="0"/>
        <w:autoSpaceDE/>
        <w:autoSpaceDN/>
        <w:bidi w:val="0"/>
        <w:adjustRightInd/>
        <w:spacing w:line="520" w:lineRule="exact"/>
        <w:ind w:firstLine="480" w:firstLineChars="200"/>
        <w:textAlignment w:val="auto"/>
        <w:rPr>
          <w:rFonts w:hint="eastAsia" w:ascii="宋体" w:hAnsi="宋体" w:eastAsia="宋体" w:cs="宋体"/>
          <w:color w:val="auto"/>
          <w:sz w:val="24"/>
          <w:highlight w:val="none"/>
        </w:rPr>
      </w:pPr>
      <w:r>
        <w:rPr>
          <w:rFonts w:hint="eastAsia" w:ascii="宋体" w:hAnsi="宋体" w:cs="宋体"/>
          <w:color w:val="auto"/>
          <w:sz w:val="24"/>
          <w:highlight w:val="none"/>
          <w:lang w:val="en-US" w:eastAsia="zh-CN"/>
        </w:rPr>
        <w:t>1.</w:t>
      </w:r>
      <w:r>
        <w:rPr>
          <w:rFonts w:hint="eastAsia" w:ascii="宋体" w:hAnsi="宋体" w:eastAsia="宋体" w:cs="宋体"/>
          <w:color w:val="auto"/>
          <w:sz w:val="24"/>
          <w:highlight w:val="none"/>
        </w:rPr>
        <w:t>满足《中华人民共和国政府采购法》第二十二条规定；未被“信用中国”（www.creditchina.gov.cn)、中国政府采购网（www.ccgp.gov.cn）列入失信被执行人、重大税收违法案件当事人名单、政府采购严重违法失信行为记录名单。</w:t>
      </w:r>
    </w:p>
    <w:p>
      <w:pPr>
        <w:pStyle w:val="8"/>
        <w:keepNext w:val="0"/>
        <w:keepLines w:val="0"/>
        <w:pageBreakBefore w:val="0"/>
        <w:kinsoku/>
        <w:wordWrap/>
        <w:overflowPunct/>
        <w:topLinePunct w:val="0"/>
        <w:autoSpaceDE/>
        <w:autoSpaceDN/>
        <w:bidi w:val="0"/>
        <w:adjustRightInd/>
        <w:spacing w:line="520" w:lineRule="exact"/>
        <w:ind w:firstLine="480" w:firstLineChars="200"/>
        <w:textAlignment w:val="auto"/>
        <w:rPr>
          <w:rFonts w:hint="eastAsia" w:ascii="宋体" w:hAnsi="宋体" w:eastAsia="宋体" w:cs="宋体"/>
          <w:bCs/>
          <w:color w:val="auto"/>
          <w:kern w:val="2"/>
          <w:sz w:val="24"/>
          <w:szCs w:val="24"/>
          <w:highlight w:val="none"/>
          <w:lang w:val="en-US" w:eastAsia="zh-CN" w:bidi="ar-SA"/>
        </w:rPr>
      </w:pPr>
      <w:r>
        <w:rPr>
          <w:rFonts w:hint="eastAsia" w:ascii="宋体" w:hAnsi="宋体" w:eastAsia="宋体" w:cs="宋体"/>
          <w:bCs/>
          <w:color w:val="auto"/>
          <w:kern w:val="2"/>
          <w:sz w:val="24"/>
          <w:szCs w:val="24"/>
          <w:highlight w:val="none"/>
          <w:lang w:val="en-US" w:eastAsia="zh-CN" w:bidi="ar-SA"/>
        </w:rPr>
        <w:t>2.落实政府采购政策需满足的资格要求：</w:t>
      </w:r>
    </w:p>
    <w:p>
      <w:pPr>
        <w:pStyle w:val="8"/>
        <w:keepNext w:val="0"/>
        <w:keepLines w:val="0"/>
        <w:pageBreakBefore w:val="0"/>
        <w:kinsoku/>
        <w:wordWrap/>
        <w:overflowPunct/>
        <w:topLinePunct w:val="0"/>
        <w:autoSpaceDE/>
        <w:autoSpaceDN/>
        <w:bidi w:val="0"/>
        <w:adjustRightInd/>
        <w:spacing w:line="520" w:lineRule="exact"/>
        <w:ind w:firstLine="480" w:firstLineChars="200"/>
        <w:textAlignment w:val="auto"/>
        <w:rPr>
          <w:rFonts w:hint="eastAsia" w:ascii="宋体" w:hAnsi="宋体" w:eastAsia="宋体" w:cs="宋体"/>
          <w:bCs/>
          <w:color w:val="auto"/>
          <w:kern w:val="2"/>
          <w:sz w:val="24"/>
          <w:szCs w:val="24"/>
          <w:highlight w:val="none"/>
          <w:lang w:val="en-US" w:eastAsia="zh-CN" w:bidi="ar-SA"/>
        </w:rPr>
      </w:pPr>
      <w:r>
        <w:rPr>
          <w:rFonts w:hint="eastAsia" w:ascii="宋体" w:hAnsi="宋体" w:eastAsia="宋体" w:cs="宋体"/>
          <w:bCs/>
          <w:color w:val="auto"/>
          <w:kern w:val="2"/>
          <w:sz w:val="24"/>
          <w:szCs w:val="24"/>
          <w:highlight w:val="none"/>
          <w:lang w:val="en-US" w:eastAsia="zh-CN" w:bidi="ar-SA"/>
        </w:rPr>
        <w:t>本项目不限制大型企业和中小企业组成联合体投标，大型企业参与本项目投标的，必须以联合体或分包形式投标，且中小企业合同金额不小于40%。联合体投标/分包的须提供联合体协议/分包意向协议和中小企业声明函，联合体协议/分包意向协议中中小企业合同金额不小于40%，如果供应商本身提供所有标的均由中小企业制造、承建或承接，视同符合了资格条件，无需再与其他中小企业组成联合体/分包参加政府采购活动，无需提供联合体协议/分包意向协议。</w:t>
      </w:r>
    </w:p>
    <w:p>
      <w:pPr>
        <w:pStyle w:val="8"/>
        <w:keepNext w:val="0"/>
        <w:keepLines w:val="0"/>
        <w:pageBreakBefore w:val="0"/>
        <w:numPr>
          <w:ilvl w:val="0"/>
          <w:numId w:val="0"/>
        </w:numPr>
        <w:kinsoku/>
        <w:wordWrap/>
        <w:overflowPunct/>
        <w:topLinePunct w:val="0"/>
        <w:autoSpaceDE/>
        <w:autoSpaceDN/>
        <w:bidi w:val="0"/>
        <w:adjustRightInd/>
        <w:spacing w:line="520" w:lineRule="exact"/>
        <w:ind w:firstLine="480" w:firstLineChars="200"/>
        <w:textAlignment w:val="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3.本项目的特定资格要求：</w:t>
      </w:r>
    </w:p>
    <w:p>
      <w:pPr>
        <w:pStyle w:val="8"/>
        <w:keepNext w:val="0"/>
        <w:keepLines w:val="0"/>
        <w:pageBreakBefore w:val="0"/>
        <w:kinsoku/>
        <w:wordWrap/>
        <w:overflowPunct/>
        <w:topLinePunct w:val="0"/>
        <w:autoSpaceDE/>
        <w:autoSpaceDN/>
        <w:bidi w:val="0"/>
        <w:adjustRightInd/>
        <w:spacing w:line="520" w:lineRule="exact"/>
        <w:ind w:firstLine="480" w:firstLineChars="200"/>
        <w:textAlignment w:val="auto"/>
        <w:rPr>
          <w:rFonts w:hint="default" w:ascii="宋体" w:hAnsi="宋体" w:eastAsia="宋体" w:cs="宋体"/>
          <w:bCs/>
          <w:color w:val="auto"/>
          <w:kern w:val="2"/>
          <w:sz w:val="24"/>
          <w:szCs w:val="24"/>
          <w:highlight w:val="none"/>
          <w:lang w:val="en-US" w:eastAsia="zh-CN" w:bidi="ar-SA"/>
        </w:rPr>
      </w:pPr>
      <w:r>
        <w:rPr>
          <w:rFonts w:hint="eastAsia" w:ascii="宋体" w:hAnsi="宋体" w:eastAsia="宋体" w:cs="宋体"/>
          <w:bCs/>
          <w:color w:val="auto"/>
          <w:kern w:val="2"/>
          <w:sz w:val="24"/>
          <w:szCs w:val="24"/>
          <w:highlight w:val="none"/>
          <w:lang w:val="en-US" w:eastAsia="zh-CN" w:bidi="ar-SA"/>
        </w:rPr>
        <w:t>（1）</w:t>
      </w:r>
      <w:r>
        <w:rPr>
          <w:rFonts w:hint="eastAsia" w:ascii="宋体" w:hAnsi="宋体" w:eastAsia="宋体" w:cs="宋体"/>
          <w:bCs/>
          <w:strike w:val="0"/>
          <w:dstrike w:val="0"/>
          <w:color w:val="auto"/>
          <w:kern w:val="2"/>
          <w:sz w:val="24"/>
          <w:szCs w:val="24"/>
          <w:highlight w:val="none"/>
          <w:lang w:val="en-US" w:eastAsia="zh-CN" w:bidi="ar-SA"/>
        </w:rPr>
        <w:t>具有医疗器械经营许可资格</w:t>
      </w:r>
      <w:r>
        <w:rPr>
          <w:rFonts w:hint="eastAsia" w:ascii="宋体" w:hAnsi="宋体" w:eastAsia="宋体" w:cs="宋体"/>
          <w:bCs/>
          <w:color w:val="auto"/>
          <w:kern w:val="2"/>
          <w:sz w:val="24"/>
          <w:szCs w:val="24"/>
          <w:highlight w:val="none"/>
          <w:lang w:val="en-US" w:eastAsia="zh-CN" w:bidi="ar-SA"/>
        </w:rPr>
        <w:t>；</w:t>
      </w:r>
    </w:p>
    <w:p>
      <w:pPr>
        <w:pStyle w:val="8"/>
        <w:keepNext w:val="0"/>
        <w:keepLines w:val="0"/>
        <w:pageBreakBefore w:val="0"/>
        <w:kinsoku/>
        <w:wordWrap/>
        <w:overflowPunct/>
        <w:topLinePunct w:val="0"/>
        <w:autoSpaceDE/>
        <w:autoSpaceDN/>
        <w:bidi w:val="0"/>
        <w:adjustRightInd/>
        <w:spacing w:line="520" w:lineRule="exact"/>
        <w:ind w:firstLine="480" w:firstLineChars="200"/>
        <w:textAlignment w:val="auto"/>
        <w:rPr>
          <w:rFonts w:hint="default" w:ascii="宋体" w:hAnsi="宋体" w:eastAsia="宋体" w:cs="宋体"/>
          <w:bCs/>
          <w:color w:val="auto"/>
          <w:kern w:val="2"/>
          <w:sz w:val="24"/>
          <w:szCs w:val="24"/>
          <w:highlight w:val="none"/>
          <w:lang w:val="en-US" w:eastAsia="zh-CN" w:bidi="ar-SA"/>
        </w:rPr>
      </w:pPr>
      <w:r>
        <w:rPr>
          <w:rFonts w:hint="eastAsia" w:ascii="宋体" w:hAnsi="宋体" w:eastAsia="宋体" w:cs="宋体"/>
          <w:bCs/>
          <w:color w:val="auto"/>
          <w:kern w:val="2"/>
          <w:sz w:val="24"/>
          <w:szCs w:val="24"/>
          <w:highlight w:val="none"/>
          <w:lang w:val="en-US" w:eastAsia="zh-CN" w:bidi="ar-SA"/>
        </w:rPr>
        <w:t>（2）具有建筑机电安装工程专业承包三级及以上资质；</w:t>
      </w:r>
    </w:p>
    <w:p>
      <w:pPr>
        <w:pStyle w:val="8"/>
        <w:keepNext w:val="0"/>
        <w:keepLines w:val="0"/>
        <w:pageBreakBefore w:val="0"/>
        <w:numPr>
          <w:ilvl w:val="0"/>
          <w:numId w:val="0"/>
        </w:numPr>
        <w:kinsoku/>
        <w:wordWrap/>
        <w:overflowPunct/>
        <w:topLinePunct w:val="0"/>
        <w:autoSpaceDE/>
        <w:autoSpaceDN/>
        <w:bidi w:val="0"/>
        <w:adjustRightInd/>
        <w:spacing w:line="520" w:lineRule="exact"/>
        <w:ind w:firstLine="480" w:firstLineChars="200"/>
        <w:textAlignment w:val="auto"/>
        <w:rPr>
          <w:rFonts w:hint="eastAsia" w:ascii="宋体" w:hAnsi="宋体" w:eastAsia="宋体" w:cs="宋体"/>
          <w:color w:val="auto"/>
          <w:sz w:val="24"/>
          <w:highlight w:val="none"/>
          <w:lang w:val="en-US" w:eastAsia="zh-CN"/>
        </w:rPr>
      </w:pPr>
      <w:r>
        <w:rPr>
          <w:rFonts w:hint="eastAsia" w:ascii="宋体" w:hAnsi="宋体" w:eastAsia="宋体" w:cs="宋体"/>
          <w:bCs/>
          <w:color w:val="auto"/>
          <w:kern w:val="2"/>
          <w:sz w:val="24"/>
          <w:szCs w:val="24"/>
          <w:highlight w:val="none"/>
          <w:lang w:val="en-US" w:eastAsia="zh-CN" w:bidi="ar-SA"/>
        </w:rPr>
        <w:t>（</w:t>
      </w:r>
      <w:r>
        <w:rPr>
          <w:rFonts w:hint="eastAsia" w:ascii="宋体" w:hAnsi="宋体" w:cs="宋体"/>
          <w:bCs/>
          <w:color w:val="auto"/>
          <w:kern w:val="2"/>
          <w:sz w:val="24"/>
          <w:szCs w:val="24"/>
          <w:highlight w:val="none"/>
          <w:lang w:val="en-US" w:eastAsia="zh-CN" w:bidi="ar-SA"/>
        </w:rPr>
        <w:t>3</w:t>
      </w:r>
      <w:r>
        <w:rPr>
          <w:rFonts w:hint="eastAsia" w:ascii="宋体" w:hAnsi="宋体" w:eastAsia="宋体" w:cs="宋体"/>
          <w:bCs/>
          <w:color w:val="auto"/>
          <w:kern w:val="2"/>
          <w:sz w:val="24"/>
          <w:szCs w:val="24"/>
          <w:highlight w:val="none"/>
          <w:lang w:val="en-US" w:eastAsia="zh-CN" w:bidi="ar-SA"/>
        </w:rPr>
        <w:t>）具有</w:t>
      </w:r>
      <w:r>
        <w:rPr>
          <w:rFonts w:hint="eastAsia" w:ascii="宋体" w:hAnsi="宋体" w:cs="宋体"/>
          <w:bCs/>
          <w:color w:val="auto"/>
          <w:kern w:val="2"/>
          <w:sz w:val="24"/>
          <w:szCs w:val="24"/>
          <w:highlight w:val="none"/>
          <w:lang w:val="en-US" w:eastAsia="zh-CN" w:bidi="ar-SA"/>
        </w:rPr>
        <w:t>有效的</w:t>
      </w:r>
      <w:r>
        <w:rPr>
          <w:rFonts w:hint="eastAsia" w:ascii="宋体" w:hAnsi="宋体" w:eastAsia="宋体" w:cs="宋体"/>
          <w:bCs/>
          <w:color w:val="auto"/>
          <w:kern w:val="2"/>
          <w:sz w:val="24"/>
          <w:szCs w:val="24"/>
          <w:highlight w:val="none"/>
          <w:lang w:val="en-US" w:eastAsia="zh-CN" w:bidi="ar-SA"/>
        </w:rPr>
        <w:t>安全生产许可证资质；</w:t>
      </w:r>
    </w:p>
    <w:p>
      <w:pPr>
        <w:pStyle w:val="8"/>
        <w:keepNext w:val="0"/>
        <w:keepLines w:val="0"/>
        <w:pageBreakBefore w:val="0"/>
        <w:numPr>
          <w:ilvl w:val="0"/>
          <w:numId w:val="0"/>
        </w:numPr>
        <w:kinsoku/>
        <w:wordWrap/>
        <w:overflowPunct/>
        <w:topLinePunct w:val="0"/>
        <w:autoSpaceDE/>
        <w:autoSpaceDN/>
        <w:bidi w:val="0"/>
        <w:adjustRightInd/>
        <w:spacing w:line="520" w:lineRule="exact"/>
        <w:ind w:firstLine="480" w:firstLineChars="200"/>
        <w:textAlignment w:val="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w:t>
      </w:r>
      <w:r>
        <w:rPr>
          <w:rFonts w:hint="eastAsia" w:ascii="宋体" w:hAnsi="宋体" w:cs="宋体"/>
          <w:color w:val="auto"/>
          <w:sz w:val="24"/>
          <w:highlight w:val="none"/>
          <w:lang w:val="en-US" w:eastAsia="zh-CN"/>
        </w:rPr>
        <w:t>4</w:t>
      </w:r>
      <w:r>
        <w:rPr>
          <w:rFonts w:hint="eastAsia" w:ascii="宋体" w:hAnsi="宋体" w:eastAsia="宋体" w:cs="宋体"/>
          <w:color w:val="auto"/>
          <w:sz w:val="24"/>
          <w:highlight w:val="none"/>
          <w:lang w:val="en-US" w:eastAsia="zh-CN"/>
        </w:rPr>
        <w:t>）投标人须为浙江政府采购网注册的正式供应商或承诺中标后30天内注册为浙江政府采购网正式供应商。</w:t>
      </w:r>
    </w:p>
    <w:p>
      <w:pPr>
        <w:pStyle w:val="8"/>
        <w:keepNext w:val="0"/>
        <w:keepLines w:val="0"/>
        <w:pageBreakBefore w:val="0"/>
        <w:kinsoku/>
        <w:wordWrap/>
        <w:overflowPunct/>
        <w:topLinePunct w:val="0"/>
        <w:autoSpaceDE/>
        <w:autoSpaceDN/>
        <w:bidi w:val="0"/>
        <w:adjustRightInd/>
        <w:spacing w:line="520" w:lineRule="exact"/>
        <w:ind w:firstLine="480" w:firstLineChars="200"/>
        <w:textAlignment w:val="auto"/>
        <w:rPr>
          <w:rFonts w:hint="eastAsia" w:ascii="宋体" w:hAnsi="宋体" w:eastAsia="宋体" w:cs="宋体"/>
          <w:bCs/>
          <w:color w:val="auto"/>
          <w:kern w:val="2"/>
          <w:sz w:val="24"/>
          <w:szCs w:val="24"/>
          <w:highlight w:val="none"/>
          <w:lang w:val="en-US" w:eastAsia="zh-CN" w:bidi="ar-SA"/>
        </w:rPr>
      </w:pPr>
      <w:r>
        <w:rPr>
          <w:rFonts w:hint="eastAsia" w:ascii="宋体" w:hAnsi="宋体" w:eastAsia="宋体" w:cs="宋体"/>
          <w:bCs/>
          <w:color w:val="auto"/>
          <w:kern w:val="2"/>
          <w:sz w:val="24"/>
          <w:szCs w:val="24"/>
          <w:highlight w:val="none"/>
          <w:lang w:val="en-US" w:eastAsia="zh-CN" w:bidi="ar-SA"/>
        </w:rPr>
        <w:t>（</w:t>
      </w:r>
      <w:r>
        <w:rPr>
          <w:rFonts w:hint="eastAsia" w:ascii="宋体" w:hAnsi="宋体" w:cs="宋体"/>
          <w:bCs/>
          <w:color w:val="auto"/>
          <w:kern w:val="2"/>
          <w:sz w:val="24"/>
          <w:szCs w:val="24"/>
          <w:highlight w:val="none"/>
          <w:lang w:val="en-US" w:eastAsia="zh-CN" w:bidi="ar-SA"/>
        </w:rPr>
        <w:t>5</w:t>
      </w:r>
      <w:r>
        <w:rPr>
          <w:rFonts w:hint="eastAsia" w:ascii="宋体" w:hAnsi="宋体" w:eastAsia="宋体" w:cs="宋体"/>
          <w:bCs/>
          <w:color w:val="auto"/>
          <w:kern w:val="2"/>
          <w:sz w:val="24"/>
          <w:szCs w:val="24"/>
          <w:highlight w:val="none"/>
          <w:lang w:val="en-US" w:eastAsia="zh-CN" w:bidi="ar-SA"/>
        </w:rPr>
        <w:t>）本项目接受联合体投标，联合体成员不得超过</w:t>
      </w:r>
      <w:r>
        <w:rPr>
          <w:rFonts w:hint="eastAsia" w:ascii="宋体" w:hAnsi="宋体" w:cs="宋体"/>
          <w:bCs/>
          <w:color w:val="auto"/>
          <w:kern w:val="2"/>
          <w:sz w:val="24"/>
          <w:szCs w:val="24"/>
          <w:highlight w:val="none"/>
          <w:lang w:val="en-US" w:eastAsia="zh-CN" w:bidi="ar-SA"/>
        </w:rPr>
        <w:t>3</w:t>
      </w:r>
      <w:r>
        <w:rPr>
          <w:rFonts w:hint="eastAsia" w:ascii="宋体" w:hAnsi="宋体" w:eastAsia="宋体" w:cs="宋体"/>
          <w:bCs/>
          <w:color w:val="auto"/>
          <w:kern w:val="2"/>
          <w:sz w:val="24"/>
          <w:szCs w:val="24"/>
          <w:highlight w:val="none"/>
          <w:lang w:val="en-US" w:eastAsia="zh-CN" w:bidi="ar-SA"/>
        </w:rPr>
        <w:t>家(含牵头人)，以联合体形式投标的，联合体各方应签订联合体协议书，明确约定各方拟承担的工作和责任，并将联合体协议书连同投标文件一并提交。联合体各方不得再以自己名义单独或组成新的联合体参加同一项目投标；联合体各方承担连带责任。</w:t>
      </w:r>
    </w:p>
    <w:p>
      <w:pPr>
        <w:keepNext w:val="0"/>
        <w:keepLines w:val="0"/>
        <w:pageBreakBefore w:val="0"/>
        <w:kinsoku/>
        <w:wordWrap/>
        <w:overflowPunct/>
        <w:topLinePunct w:val="0"/>
        <w:autoSpaceDE/>
        <w:autoSpaceDN/>
        <w:bidi w:val="0"/>
        <w:adjustRightInd/>
        <w:snapToGrid w:val="0"/>
        <w:spacing w:line="520" w:lineRule="exact"/>
        <w:textAlignment w:val="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 xml:space="preserve">▲三、获取招标文件： </w:t>
      </w:r>
    </w:p>
    <w:p>
      <w:pPr>
        <w:keepNext w:val="0"/>
        <w:keepLines w:val="0"/>
        <w:pageBreakBefore w:val="0"/>
        <w:kinsoku/>
        <w:wordWrap/>
        <w:overflowPunct/>
        <w:topLinePunct w:val="0"/>
        <w:autoSpaceDE/>
        <w:autoSpaceDN/>
        <w:bidi w:val="0"/>
        <w:adjustRightInd/>
        <w:spacing w:line="520" w:lineRule="exact"/>
        <w:ind w:firstLine="64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时间：/至</w:t>
      </w:r>
      <w:r>
        <w:rPr>
          <w:rFonts w:hint="eastAsia" w:ascii="宋体" w:hAnsi="宋体" w:cs="宋体"/>
          <w:color w:val="auto"/>
          <w:sz w:val="24"/>
          <w:highlight w:val="none"/>
          <w:lang w:eastAsia="zh-CN"/>
        </w:rPr>
        <w:t>2022年</w:t>
      </w:r>
      <w:r>
        <w:rPr>
          <w:rFonts w:hint="eastAsia" w:ascii="宋体" w:hAnsi="宋体" w:cs="宋体"/>
          <w:color w:val="auto"/>
          <w:sz w:val="24"/>
          <w:highlight w:val="none"/>
          <w:lang w:val="en-US" w:eastAsia="zh-CN"/>
        </w:rPr>
        <w:t>11</w:t>
      </w:r>
      <w:r>
        <w:rPr>
          <w:rFonts w:hint="eastAsia" w:ascii="宋体" w:hAnsi="宋体" w:cs="宋体"/>
          <w:color w:val="auto"/>
          <w:sz w:val="24"/>
          <w:highlight w:val="none"/>
          <w:lang w:eastAsia="zh-CN"/>
        </w:rPr>
        <w:t>月</w:t>
      </w:r>
      <w:r>
        <w:rPr>
          <w:rFonts w:hint="eastAsia" w:ascii="宋体" w:hAnsi="宋体" w:cs="宋体"/>
          <w:color w:val="auto"/>
          <w:sz w:val="24"/>
          <w:highlight w:val="none"/>
          <w:lang w:val="en-US" w:eastAsia="zh-CN"/>
        </w:rPr>
        <w:t>9</w:t>
      </w:r>
      <w:r>
        <w:rPr>
          <w:rFonts w:hint="eastAsia" w:ascii="宋体" w:hAnsi="宋体" w:cs="宋体"/>
          <w:color w:val="auto"/>
          <w:sz w:val="24"/>
          <w:highlight w:val="none"/>
          <w:lang w:eastAsia="zh-CN"/>
        </w:rPr>
        <w:t>日</w:t>
      </w:r>
      <w:r>
        <w:rPr>
          <w:rFonts w:hint="eastAsia" w:ascii="宋体" w:hAnsi="宋体" w:cs="宋体"/>
          <w:color w:val="auto"/>
          <w:sz w:val="24"/>
          <w:highlight w:val="none"/>
          <w:lang w:val="en-US" w:eastAsia="zh-CN"/>
        </w:rPr>
        <w:t>8</w:t>
      </w:r>
      <w:r>
        <w:rPr>
          <w:rFonts w:hint="eastAsia" w:ascii="宋体" w:hAnsi="宋体" w:cs="宋体"/>
          <w:color w:val="auto"/>
          <w:sz w:val="24"/>
          <w:highlight w:val="none"/>
          <w:lang w:eastAsia="zh-CN"/>
        </w:rPr>
        <w:t>时</w:t>
      </w:r>
      <w:r>
        <w:rPr>
          <w:rFonts w:hint="eastAsia" w:ascii="宋体" w:hAnsi="宋体" w:cs="宋体"/>
          <w:color w:val="auto"/>
          <w:sz w:val="24"/>
          <w:highlight w:val="none"/>
          <w:lang w:val="en-US" w:eastAsia="zh-CN"/>
        </w:rPr>
        <w:t>30</w:t>
      </w:r>
      <w:r>
        <w:rPr>
          <w:rFonts w:hint="eastAsia" w:ascii="宋体" w:hAnsi="宋体" w:cs="宋体"/>
          <w:color w:val="auto"/>
          <w:sz w:val="24"/>
          <w:highlight w:val="none"/>
          <w:lang w:eastAsia="zh-CN"/>
        </w:rPr>
        <w:t>分</w:t>
      </w:r>
      <w:r>
        <w:rPr>
          <w:rFonts w:hint="eastAsia" w:ascii="宋体" w:hAnsi="宋体" w:eastAsia="宋体" w:cs="宋体"/>
          <w:color w:val="auto"/>
          <w:sz w:val="24"/>
          <w:highlight w:val="none"/>
        </w:rPr>
        <w:t>，每天上午00：00至12:00，下午12:00至23:59（北京时间，线上获取法定节假日均可，线下获取文件法定节假日除外）</w:t>
      </w:r>
    </w:p>
    <w:p>
      <w:pPr>
        <w:keepNext w:val="0"/>
        <w:keepLines w:val="0"/>
        <w:pageBreakBefore w:val="0"/>
        <w:kinsoku/>
        <w:wordWrap/>
        <w:overflowPunct/>
        <w:topLinePunct w:val="0"/>
        <w:autoSpaceDE/>
        <w:autoSpaceDN/>
        <w:bidi w:val="0"/>
        <w:adjustRightInd/>
        <w:spacing w:line="520" w:lineRule="exact"/>
        <w:ind w:firstLine="64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地点（网址）：浙江政府采购网（http://zfcg.czt.zj.gov.cn/）； 东阳市公共资源交易网(http://www.dongyang.gov.cn/ggzyjy/index.html)</w:t>
      </w:r>
    </w:p>
    <w:p>
      <w:pPr>
        <w:keepNext w:val="0"/>
        <w:keepLines w:val="0"/>
        <w:pageBreakBefore w:val="0"/>
        <w:kinsoku/>
        <w:wordWrap/>
        <w:overflowPunct/>
        <w:topLinePunct w:val="0"/>
        <w:autoSpaceDE/>
        <w:autoSpaceDN/>
        <w:bidi w:val="0"/>
        <w:adjustRightInd/>
        <w:snapToGrid w:val="0"/>
        <w:spacing w:line="52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方式：1、由投标人通过登录浙江省政府采购网(http://zfcg.czt.zj.gov.cn/)上的政采云系统进行获取（首次参加投标的单位应先登录浙江省政府采购网(http://zfcg.czt.zj.gov.cn/)进行账户注册，注册完毕待审核成功后方可登录政采云系统获取；注册流程见网址</w:t>
      </w:r>
    </w:p>
    <w:p>
      <w:pPr>
        <w:keepNext w:val="0"/>
        <w:keepLines w:val="0"/>
        <w:pageBreakBefore w:val="0"/>
        <w:kinsoku/>
        <w:wordWrap/>
        <w:overflowPunct/>
        <w:topLinePunct w:val="0"/>
        <w:autoSpaceDE/>
        <w:autoSpaceDN/>
        <w:bidi w:val="0"/>
        <w:adjustRightInd/>
        <w:snapToGrid w:val="0"/>
        <w:spacing w:line="520" w:lineRule="exact"/>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http://zfcg.czt.zj.gov.cn/register/2017-07-24/6728.html?_=2017-11-13%2011:10:28）；</w:t>
      </w:r>
    </w:p>
    <w:p>
      <w:pPr>
        <w:keepNext w:val="0"/>
        <w:keepLines w:val="0"/>
        <w:pageBreakBefore w:val="0"/>
        <w:kinsoku/>
        <w:wordWrap/>
        <w:overflowPunct/>
        <w:topLinePunct w:val="0"/>
        <w:autoSpaceDE/>
        <w:autoSpaceDN/>
        <w:bidi w:val="0"/>
        <w:adjustRightInd/>
        <w:snapToGrid w:val="0"/>
        <w:spacing w:line="52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2、招标文件获取流程：浙江政府采购网-政采云用户登录-用户中心-项目采购-获取采购文件管理。</w:t>
      </w:r>
    </w:p>
    <w:p>
      <w:pPr>
        <w:keepNext w:val="0"/>
        <w:keepLines w:val="0"/>
        <w:pageBreakBefore w:val="0"/>
        <w:kinsoku/>
        <w:wordWrap/>
        <w:overflowPunct/>
        <w:topLinePunct w:val="0"/>
        <w:autoSpaceDE/>
        <w:autoSpaceDN/>
        <w:bidi w:val="0"/>
        <w:adjustRightInd/>
        <w:snapToGrid w:val="0"/>
        <w:spacing w:line="52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3、浙江政府采购网上以“游客”身份获取的采购文件仅供阅览；潜在供应商应按上述方式获取采购文件；未按上述方式获取采购文件的，不得对采购文件提起质疑投诉。</w:t>
      </w:r>
    </w:p>
    <w:p>
      <w:pPr>
        <w:keepNext w:val="0"/>
        <w:keepLines w:val="0"/>
        <w:pageBreakBefore w:val="0"/>
        <w:kinsoku/>
        <w:wordWrap/>
        <w:overflowPunct/>
        <w:topLinePunct w:val="0"/>
        <w:autoSpaceDE/>
        <w:autoSpaceDN/>
        <w:bidi w:val="0"/>
        <w:adjustRightInd/>
        <w:snapToGrid w:val="0"/>
        <w:spacing w:line="52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售价（元）：0</w:t>
      </w:r>
    </w:p>
    <w:p>
      <w:pPr>
        <w:keepNext w:val="0"/>
        <w:keepLines w:val="0"/>
        <w:pageBreakBefore w:val="0"/>
        <w:kinsoku/>
        <w:wordWrap/>
        <w:overflowPunct/>
        <w:topLinePunct w:val="0"/>
        <w:autoSpaceDE/>
        <w:autoSpaceDN/>
        <w:bidi w:val="0"/>
        <w:adjustRightInd/>
        <w:snapToGrid w:val="0"/>
        <w:spacing w:line="520" w:lineRule="exact"/>
        <w:textAlignment w:val="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四、提交投标文件截止时间、开标时间和地点</w:t>
      </w:r>
    </w:p>
    <w:p>
      <w:pPr>
        <w:keepNext w:val="0"/>
        <w:keepLines w:val="0"/>
        <w:pageBreakBefore w:val="0"/>
        <w:kinsoku/>
        <w:wordWrap/>
        <w:overflowPunct/>
        <w:topLinePunct w:val="0"/>
        <w:autoSpaceDE/>
        <w:autoSpaceDN/>
        <w:bidi w:val="0"/>
        <w:adjustRightInd/>
        <w:snapToGrid w:val="0"/>
        <w:spacing w:line="52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提交投标文件截止时间：</w:t>
      </w:r>
      <w:r>
        <w:rPr>
          <w:rFonts w:hint="eastAsia" w:ascii="宋体" w:hAnsi="宋体" w:cs="宋体"/>
          <w:color w:val="auto"/>
          <w:sz w:val="24"/>
          <w:highlight w:val="none"/>
          <w:lang w:eastAsia="zh-CN"/>
        </w:rPr>
        <w:t>2022年</w:t>
      </w:r>
      <w:r>
        <w:rPr>
          <w:rFonts w:hint="eastAsia" w:ascii="宋体" w:hAnsi="宋体" w:cs="宋体"/>
          <w:color w:val="auto"/>
          <w:sz w:val="24"/>
          <w:highlight w:val="none"/>
          <w:lang w:val="en-US" w:eastAsia="zh-CN"/>
        </w:rPr>
        <w:t>11</w:t>
      </w:r>
      <w:r>
        <w:rPr>
          <w:rFonts w:hint="eastAsia" w:ascii="宋体" w:hAnsi="宋体" w:cs="宋体"/>
          <w:color w:val="auto"/>
          <w:sz w:val="24"/>
          <w:highlight w:val="none"/>
          <w:lang w:eastAsia="zh-CN"/>
        </w:rPr>
        <w:t>月</w:t>
      </w:r>
      <w:r>
        <w:rPr>
          <w:rFonts w:hint="eastAsia" w:ascii="宋体" w:hAnsi="宋体" w:cs="宋体"/>
          <w:color w:val="auto"/>
          <w:sz w:val="24"/>
          <w:highlight w:val="none"/>
          <w:lang w:val="en-US" w:eastAsia="zh-CN"/>
        </w:rPr>
        <w:t>9</w:t>
      </w:r>
      <w:r>
        <w:rPr>
          <w:rFonts w:hint="eastAsia" w:ascii="宋体" w:hAnsi="宋体" w:cs="宋体"/>
          <w:color w:val="auto"/>
          <w:sz w:val="24"/>
          <w:highlight w:val="none"/>
          <w:lang w:eastAsia="zh-CN"/>
        </w:rPr>
        <w:t>日</w:t>
      </w:r>
      <w:r>
        <w:rPr>
          <w:rFonts w:hint="eastAsia" w:ascii="宋体" w:hAnsi="宋体" w:cs="宋体"/>
          <w:color w:val="auto"/>
          <w:sz w:val="24"/>
          <w:highlight w:val="none"/>
          <w:lang w:val="en-US" w:eastAsia="zh-CN"/>
        </w:rPr>
        <w:t>8</w:t>
      </w:r>
      <w:r>
        <w:rPr>
          <w:rFonts w:hint="eastAsia" w:ascii="宋体" w:hAnsi="宋体" w:cs="宋体"/>
          <w:color w:val="auto"/>
          <w:sz w:val="24"/>
          <w:highlight w:val="none"/>
          <w:lang w:eastAsia="zh-CN"/>
        </w:rPr>
        <w:t>时</w:t>
      </w:r>
      <w:r>
        <w:rPr>
          <w:rFonts w:hint="eastAsia" w:ascii="宋体" w:hAnsi="宋体" w:cs="宋体"/>
          <w:color w:val="auto"/>
          <w:sz w:val="24"/>
          <w:highlight w:val="none"/>
          <w:lang w:val="en-US" w:eastAsia="zh-CN"/>
        </w:rPr>
        <w:t>30</w:t>
      </w:r>
      <w:r>
        <w:rPr>
          <w:rFonts w:hint="eastAsia" w:ascii="宋体" w:hAnsi="宋体" w:cs="宋体"/>
          <w:color w:val="auto"/>
          <w:sz w:val="24"/>
          <w:highlight w:val="none"/>
          <w:lang w:eastAsia="zh-CN"/>
        </w:rPr>
        <w:t>分</w:t>
      </w:r>
      <w:r>
        <w:rPr>
          <w:rFonts w:hint="eastAsia" w:ascii="宋体" w:hAnsi="宋体" w:eastAsia="宋体" w:cs="宋体"/>
          <w:color w:val="auto"/>
          <w:sz w:val="24"/>
          <w:highlight w:val="none"/>
        </w:rPr>
        <w:t>（北京时间）</w:t>
      </w:r>
    </w:p>
    <w:p>
      <w:pPr>
        <w:keepNext w:val="0"/>
        <w:keepLines w:val="0"/>
        <w:pageBreakBefore w:val="0"/>
        <w:kinsoku/>
        <w:wordWrap/>
        <w:overflowPunct/>
        <w:topLinePunct w:val="0"/>
        <w:autoSpaceDE/>
        <w:autoSpaceDN/>
        <w:bidi w:val="0"/>
        <w:adjustRightInd/>
        <w:snapToGrid w:val="0"/>
        <w:spacing w:line="52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投标地点（网址）：政采云平台</w:t>
      </w:r>
    </w:p>
    <w:p>
      <w:pPr>
        <w:keepNext w:val="0"/>
        <w:keepLines w:val="0"/>
        <w:pageBreakBefore w:val="0"/>
        <w:kinsoku/>
        <w:wordWrap/>
        <w:overflowPunct/>
        <w:topLinePunct w:val="0"/>
        <w:autoSpaceDE/>
        <w:autoSpaceDN/>
        <w:bidi w:val="0"/>
        <w:adjustRightInd/>
        <w:snapToGrid w:val="0"/>
        <w:spacing w:line="520" w:lineRule="exact"/>
        <w:ind w:firstLine="480" w:firstLineChars="200"/>
        <w:textAlignment w:val="auto"/>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开标时间：</w:t>
      </w:r>
      <w:r>
        <w:rPr>
          <w:rFonts w:hint="eastAsia" w:ascii="宋体" w:hAnsi="宋体" w:cs="宋体"/>
          <w:color w:val="auto"/>
          <w:sz w:val="24"/>
          <w:highlight w:val="none"/>
          <w:lang w:eastAsia="zh-CN"/>
        </w:rPr>
        <w:t>2022年</w:t>
      </w:r>
      <w:r>
        <w:rPr>
          <w:rFonts w:hint="eastAsia" w:ascii="宋体" w:hAnsi="宋体" w:cs="宋体"/>
          <w:color w:val="auto"/>
          <w:sz w:val="24"/>
          <w:highlight w:val="none"/>
          <w:lang w:val="en-US" w:eastAsia="zh-CN"/>
        </w:rPr>
        <w:t>11</w:t>
      </w:r>
      <w:r>
        <w:rPr>
          <w:rFonts w:hint="eastAsia" w:ascii="宋体" w:hAnsi="宋体" w:cs="宋体"/>
          <w:color w:val="auto"/>
          <w:sz w:val="24"/>
          <w:highlight w:val="none"/>
          <w:lang w:eastAsia="zh-CN"/>
        </w:rPr>
        <w:t>月</w:t>
      </w:r>
      <w:r>
        <w:rPr>
          <w:rFonts w:hint="eastAsia" w:ascii="宋体" w:hAnsi="宋体" w:cs="宋体"/>
          <w:color w:val="auto"/>
          <w:sz w:val="24"/>
          <w:highlight w:val="none"/>
          <w:lang w:val="en-US" w:eastAsia="zh-CN"/>
        </w:rPr>
        <w:t>9</w:t>
      </w:r>
      <w:r>
        <w:rPr>
          <w:rFonts w:hint="eastAsia" w:ascii="宋体" w:hAnsi="宋体" w:cs="宋体"/>
          <w:color w:val="auto"/>
          <w:sz w:val="24"/>
          <w:highlight w:val="none"/>
          <w:lang w:eastAsia="zh-CN"/>
        </w:rPr>
        <w:t>日</w:t>
      </w:r>
      <w:r>
        <w:rPr>
          <w:rFonts w:hint="eastAsia" w:ascii="宋体" w:hAnsi="宋体" w:cs="宋体"/>
          <w:color w:val="auto"/>
          <w:sz w:val="24"/>
          <w:highlight w:val="none"/>
          <w:lang w:val="en-US" w:eastAsia="zh-CN"/>
        </w:rPr>
        <w:t>8</w:t>
      </w:r>
      <w:r>
        <w:rPr>
          <w:rFonts w:hint="eastAsia" w:ascii="宋体" w:hAnsi="宋体" w:cs="宋体"/>
          <w:color w:val="auto"/>
          <w:sz w:val="24"/>
          <w:highlight w:val="none"/>
          <w:lang w:eastAsia="zh-CN"/>
        </w:rPr>
        <w:t>时</w:t>
      </w:r>
      <w:r>
        <w:rPr>
          <w:rFonts w:hint="eastAsia" w:ascii="宋体" w:hAnsi="宋体" w:cs="宋体"/>
          <w:color w:val="auto"/>
          <w:sz w:val="24"/>
          <w:highlight w:val="none"/>
          <w:lang w:val="en-US" w:eastAsia="zh-CN"/>
        </w:rPr>
        <w:t>30</w:t>
      </w:r>
      <w:r>
        <w:rPr>
          <w:rFonts w:hint="eastAsia" w:ascii="宋体" w:hAnsi="宋体" w:cs="宋体"/>
          <w:color w:val="auto"/>
          <w:sz w:val="24"/>
          <w:highlight w:val="none"/>
          <w:lang w:eastAsia="zh-CN"/>
        </w:rPr>
        <w:t>分</w:t>
      </w:r>
    </w:p>
    <w:p>
      <w:pPr>
        <w:keepNext w:val="0"/>
        <w:keepLines w:val="0"/>
        <w:pageBreakBefore w:val="0"/>
        <w:kinsoku/>
        <w:wordWrap/>
        <w:overflowPunct/>
        <w:topLinePunct w:val="0"/>
        <w:autoSpaceDE/>
        <w:autoSpaceDN/>
        <w:bidi w:val="0"/>
        <w:adjustRightInd/>
        <w:snapToGrid w:val="0"/>
        <w:spacing w:line="520" w:lineRule="exact"/>
        <w:ind w:firstLine="481"/>
        <w:textAlignment w:val="auto"/>
        <w:rPr>
          <w:rFonts w:hint="eastAsia" w:ascii="宋体" w:hAnsi="宋体" w:eastAsia="宋体" w:cs="宋体"/>
          <w:b/>
          <w:bCs/>
          <w:color w:val="auto"/>
          <w:sz w:val="24"/>
          <w:highlight w:val="none"/>
        </w:rPr>
      </w:pPr>
      <w:r>
        <w:rPr>
          <w:rFonts w:hint="eastAsia" w:ascii="宋体" w:hAnsi="宋体" w:eastAsia="宋体" w:cs="宋体"/>
          <w:color w:val="auto"/>
          <w:sz w:val="24"/>
          <w:highlight w:val="none"/>
        </w:rPr>
        <w:t>开标地点（网址）：政采云平台</w:t>
      </w:r>
    </w:p>
    <w:p>
      <w:pPr>
        <w:keepNext w:val="0"/>
        <w:keepLines w:val="0"/>
        <w:pageBreakBefore w:val="0"/>
        <w:numPr>
          <w:ilvl w:val="0"/>
          <w:numId w:val="2"/>
        </w:numPr>
        <w:kinsoku/>
        <w:wordWrap/>
        <w:overflowPunct/>
        <w:topLinePunct w:val="0"/>
        <w:autoSpaceDE/>
        <w:autoSpaceDN/>
        <w:bidi w:val="0"/>
        <w:adjustRightInd/>
        <w:snapToGrid w:val="0"/>
        <w:spacing w:line="520" w:lineRule="exact"/>
        <w:textAlignment w:val="auto"/>
        <w:rPr>
          <w:rFonts w:hint="eastAsia" w:ascii="宋体" w:hAnsi="宋体" w:eastAsia="宋体" w:cs="宋体"/>
          <w:b/>
          <w:bCs/>
          <w:color w:val="auto"/>
          <w:sz w:val="24"/>
          <w:highlight w:val="none"/>
          <w:lang w:val="en-US" w:eastAsia="zh-CN"/>
        </w:rPr>
      </w:pPr>
      <w:r>
        <w:rPr>
          <w:rFonts w:hint="eastAsia" w:ascii="宋体" w:hAnsi="宋体" w:eastAsia="宋体" w:cs="宋体"/>
          <w:b/>
          <w:bCs/>
          <w:color w:val="auto"/>
          <w:sz w:val="24"/>
          <w:highlight w:val="none"/>
          <w:lang w:val="en-US" w:eastAsia="zh-CN"/>
        </w:rPr>
        <w:t>采购意向公开链接</w:t>
      </w:r>
    </w:p>
    <w:p>
      <w:pPr>
        <w:keepNext w:val="0"/>
        <w:keepLines w:val="0"/>
        <w:pageBreakBefore w:val="0"/>
        <w:kinsoku/>
        <w:wordWrap/>
        <w:overflowPunct/>
        <w:topLinePunct w:val="0"/>
        <w:autoSpaceDE/>
        <w:autoSpaceDN/>
        <w:bidi w:val="0"/>
        <w:adjustRightInd/>
        <w:snapToGrid w:val="0"/>
        <w:spacing w:line="520" w:lineRule="exact"/>
        <w:jc w:val="left"/>
        <w:textAlignment w:val="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fldChar w:fldCharType="begin"/>
      </w:r>
      <w:r>
        <w:rPr>
          <w:rFonts w:hint="eastAsia" w:ascii="宋体" w:hAnsi="宋体" w:eastAsia="宋体" w:cs="宋体"/>
          <w:color w:val="auto"/>
          <w:sz w:val="24"/>
          <w:highlight w:val="none"/>
          <w:lang w:val="en-US" w:eastAsia="zh-CN"/>
        </w:rPr>
        <w:instrText xml:space="preserve"> HYPERLINK "https://zfcg.czt.zj.gov.cn/innerUsed_noticeDetails/index.html?noticeId=8697383&amp;utm=web-government-front.2e418808.0.0.f3b52140dc9311ec83de817b152ed923" </w:instrText>
      </w:r>
      <w:r>
        <w:rPr>
          <w:rFonts w:hint="eastAsia" w:ascii="宋体" w:hAnsi="宋体" w:eastAsia="宋体" w:cs="宋体"/>
          <w:color w:val="auto"/>
          <w:sz w:val="24"/>
          <w:highlight w:val="none"/>
          <w:lang w:val="en-US" w:eastAsia="zh-CN"/>
        </w:rPr>
        <w:fldChar w:fldCharType="separate"/>
      </w:r>
      <w:r>
        <w:rPr>
          <w:rStyle w:val="26"/>
          <w:rFonts w:hint="eastAsia" w:ascii="宋体" w:hAnsi="宋体" w:eastAsia="宋体" w:cs="宋体"/>
          <w:color w:val="auto"/>
          <w:sz w:val="24"/>
          <w:highlight w:val="none"/>
          <w:lang w:val="en-US" w:eastAsia="zh-CN"/>
        </w:rPr>
        <w:t>https://zfcg.czt.zj.gov.cn/innerUsed_noticeDetails/index.html?noticeId=8697383&amp;utm=web-government-front.2e418808.0.0.f3b52140dc9311ec83de817b152ed923</w:t>
      </w:r>
      <w:r>
        <w:rPr>
          <w:rFonts w:hint="eastAsia" w:ascii="宋体" w:hAnsi="宋体" w:eastAsia="宋体" w:cs="宋体"/>
          <w:color w:val="auto"/>
          <w:sz w:val="24"/>
          <w:highlight w:val="none"/>
          <w:lang w:val="en-US" w:eastAsia="zh-CN"/>
        </w:rPr>
        <w:fldChar w:fldCharType="end"/>
      </w:r>
    </w:p>
    <w:p>
      <w:pPr>
        <w:keepNext w:val="0"/>
        <w:keepLines w:val="0"/>
        <w:pageBreakBefore w:val="0"/>
        <w:kinsoku/>
        <w:wordWrap/>
        <w:overflowPunct/>
        <w:topLinePunct w:val="0"/>
        <w:autoSpaceDE/>
        <w:autoSpaceDN/>
        <w:bidi w:val="0"/>
        <w:adjustRightInd/>
        <w:snapToGrid w:val="0"/>
        <w:spacing w:line="520" w:lineRule="exact"/>
        <w:jc w:val="left"/>
        <w:textAlignment w:val="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lang w:val="en-US" w:eastAsia="zh-CN"/>
        </w:rPr>
        <w:t>六、</w:t>
      </w:r>
      <w:r>
        <w:rPr>
          <w:rFonts w:hint="eastAsia" w:ascii="宋体" w:hAnsi="宋体" w:eastAsia="宋体" w:cs="宋体"/>
          <w:b/>
          <w:bCs/>
          <w:color w:val="auto"/>
          <w:sz w:val="24"/>
          <w:highlight w:val="none"/>
        </w:rPr>
        <w:t>公告期限</w:t>
      </w:r>
    </w:p>
    <w:p>
      <w:pPr>
        <w:keepNext w:val="0"/>
        <w:keepLines w:val="0"/>
        <w:pageBreakBefore w:val="0"/>
        <w:kinsoku/>
        <w:wordWrap/>
        <w:overflowPunct/>
        <w:topLinePunct w:val="0"/>
        <w:autoSpaceDE/>
        <w:autoSpaceDN/>
        <w:bidi w:val="0"/>
        <w:adjustRightInd/>
        <w:snapToGrid w:val="0"/>
        <w:spacing w:line="52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自本公告发布之日起5个工作日</w:t>
      </w:r>
    </w:p>
    <w:p>
      <w:pPr>
        <w:keepNext w:val="0"/>
        <w:keepLines w:val="0"/>
        <w:pageBreakBefore w:val="0"/>
        <w:numPr>
          <w:ilvl w:val="0"/>
          <w:numId w:val="0"/>
        </w:numPr>
        <w:kinsoku/>
        <w:wordWrap/>
        <w:overflowPunct/>
        <w:topLinePunct w:val="0"/>
        <w:autoSpaceDE/>
        <w:autoSpaceDN/>
        <w:bidi w:val="0"/>
        <w:adjustRightInd/>
        <w:snapToGrid w:val="0"/>
        <w:spacing w:line="520" w:lineRule="exact"/>
        <w:textAlignment w:val="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lang w:val="en-US" w:eastAsia="zh-CN"/>
        </w:rPr>
        <w:t>七、</w:t>
      </w:r>
      <w:r>
        <w:rPr>
          <w:rFonts w:hint="eastAsia" w:ascii="宋体" w:hAnsi="宋体" w:eastAsia="宋体" w:cs="宋体"/>
          <w:b/>
          <w:bCs/>
          <w:color w:val="auto"/>
          <w:sz w:val="24"/>
          <w:highlight w:val="none"/>
        </w:rPr>
        <w:t>其他补充事宜</w:t>
      </w:r>
    </w:p>
    <w:p>
      <w:pPr>
        <w:pStyle w:val="19"/>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430" w:lineRule="exact"/>
        <w:ind w:left="0" w:firstLine="0"/>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highlight w:val="none"/>
        </w:rPr>
        <w:t xml:space="preserve">  </w:t>
      </w:r>
      <w:bookmarkStart w:id="1" w:name="_Toc35393627"/>
      <w:bookmarkStart w:id="2" w:name="_Toc28359085"/>
      <w:bookmarkStart w:id="3" w:name="_Toc28359008"/>
      <w:bookmarkStart w:id="4" w:name="_Toc35393796"/>
      <w:r>
        <w:rPr>
          <w:rFonts w:hint="eastAsia" w:ascii="宋体" w:hAnsi="宋体" w:cs="宋体"/>
          <w:color w:val="auto"/>
          <w:sz w:val="24"/>
          <w:highlight w:val="none"/>
        </w:rPr>
        <w:t xml:space="preserve"> </w:t>
      </w:r>
      <w:r>
        <w:rPr>
          <w:rFonts w:hint="eastAsia" w:ascii="宋体" w:hAnsi="宋体" w:eastAsia="宋体" w:cs="宋体"/>
          <w:color w:val="auto"/>
          <w:kern w:val="2"/>
          <w:sz w:val="24"/>
          <w:szCs w:val="24"/>
          <w:highlight w:val="none"/>
          <w:lang w:val="en-US" w:eastAsia="zh-CN" w:bidi="ar-SA"/>
        </w:rPr>
        <w:t>1、供应商认为采购文件使自己的权益受到损害的，可以自获取采购文件之日或者采购文件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pStyle w:val="19"/>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430" w:lineRule="exact"/>
        <w:ind w:left="0" w:firstLine="480" w:firstLineChars="200"/>
        <w:jc w:val="both"/>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2、其他事项：1.《浙江省财政厅关于进一步发挥政府采购政策功能全力推动经济稳进提质的通知》 （浙财采监（〔2022〕3号）、《浙江省财政厅关于进一步促进政府采购公平竞争打造最优营商环境的通知》（浙财采监〔2021〕22号）、《浙江省财政厅关于进一步加大政府采购支持中小企业力度 助力扎实稳住经济的通知》（浙财采监〔2022〕8号）已分别于2022年1月29日、2022年2月1日和2022年7月1日开始实施，此前有关规定与上述文件内容不一致的，按上述文件要求执行。</w:t>
      </w:r>
    </w:p>
    <w:p>
      <w:pPr>
        <w:pStyle w:val="19"/>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430" w:lineRule="exact"/>
        <w:ind w:left="0" w:firstLine="240" w:firstLineChars="100"/>
        <w:jc w:val="both"/>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 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keepNext w:val="0"/>
        <w:keepLines w:val="0"/>
        <w:pageBreakBefore w:val="0"/>
        <w:kinsoku/>
        <w:wordWrap/>
        <w:overflowPunct/>
        <w:topLinePunct w:val="0"/>
        <w:autoSpaceDE/>
        <w:autoSpaceDN/>
        <w:bidi w:val="0"/>
        <w:spacing w:line="430" w:lineRule="exact"/>
        <w:ind w:firstLine="480" w:firstLineChars="200"/>
        <w:textAlignment w:val="auto"/>
        <w:rPr>
          <w:rFonts w:hint="eastAsia" w:ascii="宋体" w:hAnsi="宋体" w:eastAsia="宋体" w:cs="宋体"/>
          <w:color w:val="auto"/>
          <w:sz w:val="24"/>
          <w:highlight w:val="none"/>
          <w:lang w:eastAsia="zh-CN"/>
        </w:rPr>
      </w:pPr>
      <w:r>
        <w:rPr>
          <w:rFonts w:hint="eastAsia" w:ascii="宋体" w:hAnsi="宋体" w:eastAsia="宋体" w:cs="宋体"/>
          <w:color w:val="auto"/>
          <w:kern w:val="2"/>
          <w:sz w:val="24"/>
          <w:szCs w:val="24"/>
          <w:highlight w:val="none"/>
          <w:lang w:val="en-US" w:eastAsia="zh-CN" w:bidi="ar-SA"/>
        </w:rPr>
        <w:t>3.企业信用融资:省财政厅、浙江银监局、省金融办制定了《浙江省政府采购支持中小企业信用融资试点办法》浙财采监[2012]13号)，所称的政府采购信用融资，是指银行业金融机构(以下简称银行)以政府采购诚信考核和信用审查为基础，凭借政府采购合同，按优于一般中小企业的贷款利率直接向申请贷款的投标人发放贷款的一种融资方式。投标人可登</w:t>
      </w:r>
      <w:r>
        <w:rPr>
          <w:rFonts w:hint="eastAsia" w:ascii="宋体" w:hAnsi="宋体" w:cs="宋体"/>
          <w:color w:val="auto"/>
          <w:kern w:val="2"/>
          <w:sz w:val="24"/>
          <w:szCs w:val="24"/>
          <w:highlight w:val="none"/>
          <w:lang w:val="en-US" w:eastAsia="zh-CN" w:bidi="ar-SA"/>
        </w:rPr>
        <w:t>录</w:t>
      </w:r>
      <w:r>
        <w:rPr>
          <w:rFonts w:hint="eastAsia" w:ascii="宋体" w:hAnsi="宋体" w:eastAsia="宋体" w:cs="宋体"/>
          <w:color w:val="auto"/>
          <w:kern w:val="2"/>
          <w:sz w:val="24"/>
          <w:szCs w:val="24"/>
          <w:highlight w:val="none"/>
          <w:lang w:val="en-US" w:eastAsia="zh-CN" w:bidi="ar-SA"/>
        </w:rPr>
        <w:t>浙江政府采购( https://zfcg.czt.zj.gov.cn)的中小企业信用融资栏目了解相关信息。 供应商可以通过浙江政府采购网(https://zfcg. czt.zj. gov.cn/)首页的“浙江政采贷”模块进入申请，还可以通过政府采购云平台(https://wwwzcygov.cn/)首页的“金融服务”模块进入申请。</w:t>
      </w:r>
    </w:p>
    <w:p>
      <w:pPr>
        <w:keepNext w:val="0"/>
        <w:keepLines w:val="0"/>
        <w:pageBreakBefore w:val="0"/>
        <w:kinsoku/>
        <w:wordWrap/>
        <w:overflowPunct/>
        <w:topLinePunct w:val="0"/>
        <w:autoSpaceDE/>
        <w:autoSpaceDN/>
        <w:bidi w:val="0"/>
        <w:snapToGrid w:val="0"/>
        <w:spacing w:line="430" w:lineRule="exact"/>
        <w:ind w:firstLine="480" w:firstLineChars="200"/>
        <w:textAlignment w:val="auto"/>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4.根据《浙江省财政厅关于进一步加大政府采购支持中小企业力度 助力扎实稳住经济的通知》（浙财采监〔2022〕8号）简化对政府采购供应商资格条件的形式审查，供应商书面承诺符合参与政府采购活动资格条件的，不需要再提供财务状况报告、依法缴纳税收和社会保障资金记录、无重大违法记录等证明材料。</w:t>
      </w:r>
    </w:p>
    <w:p>
      <w:pPr>
        <w:keepNext w:val="0"/>
        <w:keepLines w:val="0"/>
        <w:pageBreakBefore w:val="0"/>
        <w:kinsoku/>
        <w:wordWrap/>
        <w:overflowPunct/>
        <w:topLinePunct w:val="0"/>
        <w:autoSpaceDE/>
        <w:autoSpaceDN/>
        <w:bidi w:val="0"/>
        <w:snapToGrid w:val="0"/>
        <w:spacing w:line="430" w:lineRule="exact"/>
        <w:ind w:firstLine="480" w:firstLineChars="200"/>
        <w:textAlignment w:val="auto"/>
        <w:rPr>
          <w:rFonts w:hint="eastAsia" w:ascii="宋体" w:hAnsi="宋体" w:eastAsia="宋体" w:cs="宋体"/>
          <w:color w:val="auto"/>
          <w:sz w:val="24"/>
          <w:highlight w:val="none"/>
        </w:rPr>
      </w:pPr>
      <w:r>
        <w:rPr>
          <w:rFonts w:hint="eastAsia" w:ascii="宋体" w:hAnsi="宋体" w:cs="宋体"/>
          <w:color w:val="auto"/>
          <w:sz w:val="24"/>
          <w:highlight w:val="none"/>
          <w:lang w:val="en-US" w:eastAsia="zh-CN"/>
        </w:rPr>
        <w:t>5</w:t>
      </w:r>
      <w:r>
        <w:rPr>
          <w:rFonts w:hint="eastAsia" w:ascii="宋体" w:hAnsi="宋体" w:eastAsia="宋体" w:cs="宋体"/>
          <w:color w:val="auto"/>
          <w:kern w:val="2"/>
          <w:sz w:val="24"/>
          <w:szCs w:val="24"/>
          <w:highlight w:val="none"/>
          <w:lang w:val="en-US" w:eastAsia="zh-CN" w:bidi="ar-SA"/>
        </w:rPr>
        <w:t>.</w:t>
      </w:r>
      <w:r>
        <w:rPr>
          <w:rFonts w:hint="eastAsia" w:ascii="宋体" w:hAnsi="宋体" w:eastAsia="宋体" w:cs="宋体"/>
          <w:color w:val="auto"/>
          <w:sz w:val="24"/>
          <w:highlight w:val="none"/>
        </w:rPr>
        <w:t>本项目实行电子投标，投标文件应按照本项目招标文件和政采云平台的要求编制、加密并递交。投标人在使用系统进行投标的过程中遇到涉及平台使用的任何问题，可致电政采云平台技术支持热线咨询，联系方式：400-881-7190。</w:t>
      </w:r>
    </w:p>
    <w:p>
      <w:pPr>
        <w:keepNext w:val="0"/>
        <w:keepLines w:val="0"/>
        <w:pageBreakBefore w:val="0"/>
        <w:kinsoku/>
        <w:wordWrap/>
        <w:overflowPunct/>
        <w:topLinePunct w:val="0"/>
        <w:autoSpaceDE/>
        <w:autoSpaceDN/>
        <w:bidi w:val="0"/>
        <w:snapToGrid w:val="0"/>
        <w:spacing w:line="430" w:lineRule="exact"/>
        <w:ind w:firstLine="480" w:firstLineChars="200"/>
        <w:textAlignment w:val="auto"/>
        <w:rPr>
          <w:rFonts w:hint="eastAsia" w:ascii="宋体" w:hAnsi="宋体" w:eastAsia="宋体" w:cs="宋体"/>
          <w:color w:val="auto"/>
          <w:sz w:val="24"/>
          <w:highlight w:val="none"/>
        </w:rPr>
      </w:pPr>
      <w:r>
        <w:rPr>
          <w:rFonts w:hint="eastAsia" w:ascii="宋体" w:hAnsi="宋体" w:cs="宋体"/>
          <w:color w:val="auto"/>
          <w:sz w:val="24"/>
          <w:highlight w:val="none"/>
          <w:lang w:val="en-US" w:eastAsia="zh-CN"/>
        </w:rPr>
        <w:t>6</w:t>
      </w:r>
      <w:r>
        <w:rPr>
          <w:rFonts w:hint="eastAsia" w:ascii="宋体" w:hAnsi="宋体" w:eastAsia="宋体" w:cs="宋体"/>
          <w:color w:val="auto"/>
          <w:kern w:val="2"/>
          <w:sz w:val="24"/>
          <w:szCs w:val="24"/>
          <w:highlight w:val="none"/>
          <w:lang w:val="en-US" w:eastAsia="zh-CN" w:bidi="ar-SA"/>
        </w:rPr>
        <w:t>.</w:t>
      </w:r>
      <w:r>
        <w:rPr>
          <w:rFonts w:hint="eastAsia" w:ascii="宋体" w:hAnsi="宋体" w:eastAsia="宋体" w:cs="宋体"/>
          <w:color w:val="auto"/>
          <w:sz w:val="24"/>
          <w:highlight w:val="none"/>
        </w:rPr>
        <w:t xml:space="preserve"> 投 标 人 应 在 开 标 前 完 成 CA 数 字 证 书 办 理 。 （ 办 理 流 程 详 见http://zfcg.czt.zj.gov.cn/bidClientTemplate/2019-05-27/12945.html）。完成 CA 数字证书办理预计一周左右，建议各投标人抓紧时间办理。</w:t>
      </w:r>
    </w:p>
    <w:p>
      <w:pPr>
        <w:keepNext w:val="0"/>
        <w:keepLines w:val="0"/>
        <w:pageBreakBefore w:val="0"/>
        <w:kinsoku/>
        <w:wordWrap/>
        <w:overflowPunct/>
        <w:topLinePunct w:val="0"/>
        <w:autoSpaceDE/>
        <w:autoSpaceDN/>
        <w:bidi w:val="0"/>
        <w:snapToGrid w:val="0"/>
        <w:spacing w:line="430" w:lineRule="exact"/>
        <w:ind w:firstLine="480" w:firstLineChars="200"/>
        <w:textAlignment w:val="auto"/>
        <w:rPr>
          <w:rFonts w:hint="eastAsia" w:ascii="宋体" w:hAnsi="宋体" w:eastAsia="宋体" w:cs="宋体"/>
          <w:color w:val="auto"/>
          <w:sz w:val="24"/>
          <w:highlight w:val="none"/>
        </w:rPr>
      </w:pPr>
      <w:r>
        <w:rPr>
          <w:rFonts w:hint="eastAsia" w:ascii="宋体" w:hAnsi="宋体" w:cs="宋体"/>
          <w:color w:val="auto"/>
          <w:sz w:val="24"/>
          <w:highlight w:val="none"/>
          <w:lang w:val="en-US" w:eastAsia="zh-CN"/>
        </w:rPr>
        <w:t>7</w:t>
      </w:r>
      <w:r>
        <w:rPr>
          <w:rFonts w:hint="eastAsia" w:ascii="宋体" w:hAnsi="宋体" w:eastAsia="宋体" w:cs="宋体"/>
          <w:color w:val="auto"/>
          <w:kern w:val="2"/>
          <w:sz w:val="24"/>
          <w:szCs w:val="24"/>
          <w:highlight w:val="none"/>
          <w:lang w:val="en-US" w:eastAsia="zh-CN" w:bidi="ar-SA"/>
        </w:rPr>
        <w:t>.</w:t>
      </w:r>
      <w:r>
        <w:rPr>
          <w:rFonts w:hint="eastAsia" w:ascii="宋体" w:hAnsi="宋体" w:eastAsia="宋体" w:cs="宋体"/>
          <w:color w:val="auto"/>
          <w:sz w:val="24"/>
          <w:highlight w:val="none"/>
        </w:rPr>
        <w:t>投标人通过政采云平台电子投标工具制作投标文件，电子投标工具请供应商自行前往浙江省政府采购网下载并安装，（下载网址：http://zfcg.czt.zj.gov.cn/bidClientTemplate/2019-08-30/12975.html），</w:t>
      </w:r>
    </w:p>
    <w:p>
      <w:pPr>
        <w:keepNext w:val="0"/>
        <w:keepLines w:val="0"/>
        <w:pageBreakBefore w:val="0"/>
        <w:kinsoku/>
        <w:wordWrap/>
        <w:overflowPunct/>
        <w:topLinePunct w:val="0"/>
        <w:autoSpaceDE/>
        <w:autoSpaceDN/>
        <w:bidi w:val="0"/>
        <w:snapToGrid w:val="0"/>
        <w:spacing w:line="430" w:lineRule="exact"/>
        <w:textAlignment w:val="auto"/>
        <w:rPr>
          <w:rStyle w:val="26"/>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电 子 投 标 相 关 学 习 网 址 ： </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"https://edu.zcygov.cn/luban/e-biding?utm=a0004.2ef5001f.0001.0109.2d44db10df9111e9b92b0f36d4889416。）" </w:instrText>
      </w:r>
      <w:r>
        <w:rPr>
          <w:rFonts w:hint="eastAsia" w:ascii="宋体" w:hAnsi="宋体" w:eastAsia="宋体" w:cs="宋体"/>
          <w:color w:val="auto"/>
          <w:highlight w:val="none"/>
        </w:rPr>
        <w:fldChar w:fldCharType="separate"/>
      </w:r>
      <w:r>
        <w:rPr>
          <w:rStyle w:val="26"/>
          <w:rFonts w:hint="eastAsia" w:ascii="宋体" w:hAnsi="宋体" w:eastAsia="宋体" w:cs="宋体"/>
          <w:color w:val="auto"/>
          <w:sz w:val="24"/>
          <w:highlight w:val="none"/>
        </w:rPr>
        <w:t>https://edu.zcygov.cn/luban/e-biding?utm=a0004.2ef5001f.0001.0109.2d44db10df9111e9b92b0f36d4889416。）</w:t>
      </w:r>
      <w:r>
        <w:rPr>
          <w:rStyle w:val="26"/>
          <w:rFonts w:hint="eastAsia" w:ascii="宋体" w:hAnsi="宋体" w:eastAsia="宋体" w:cs="宋体"/>
          <w:color w:val="auto"/>
          <w:sz w:val="24"/>
          <w:highlight w:val="none"/>
        </w:rPr>
        <w:fldChar w:fldCharType="end"/>
      </w:r>
    </w:p>
    <w:p>
      <w:pPr>
        <w:keepNext w:val="0"/>
        <w:keepLines w:val="0"/>
        <w:pageBreakBefore w:val="0"/>
        <w:kinsoku/>
        <w:wordWrap/>
        <w:overflowPunct/>
        <w:topLinePunct w:val="0"/>
        <w:autoSpaceDE/>
        <w:autoSpaceDN/>
        <w:bidi w:val="0"/>
        <w:adjustRightInd/>
        <w:spacing w:line="430" w:lineRule="exact"/>
        <w:ind w:firstLine="482" w:firstLineChars="200"/>
        <w:textAlignment w:val="auto"/>
        <w:rPr>
          <w:rFonts w:hint="eastAsia" w:ascii="宋体" w:hAnsi="宋体" w:cs="宋体"/>
          <w:b/>
          <w:bCs/>
          <w:color w:val="auto"/>
          <w:sz w:val="24"/>
          <w:highlight w:val="none"/>
          <w:lang w:val="en-US" w:eastAsia="zh-CN"/>
        </w:rPr>
      </w:pPr>
      <w:r>
        <w:rPr>
          <w:rFonts w:hint="eastAsia" w:ascii="宋体" w:hAnsi="宋体" w:cs="宋体"/>
          <w:b/>
          <w:bCs/>
          <w:color w:val="auto"/>
          <w:sz w:val="24"/>
          <w:highlight w:val="none"/>
          <w:lang w:val="en-US" w:eastAsia="zh-CN"/>
        </w:rPr>
        <w:t>8</w:t>
      </w:r>
      <w:r>
        <w:rPr>
          <w:rFonts w:hint="eastAsia" w:ascii="宋体" w:hAnsi="宋体" w:eastAsia="宋体" w:cs="宋体"/>
          <w:color w:val="auto"/>
          <w:kern w:val="2"/>
          <w:sz w:val="24"/>
          <w:szCs w:val="24"/>
          <w:highlight w:val="none"/>
          <w:lang w:val="en-US" w:eastAsia="zh-CN" w:bidi="ar-SA"/>
        </w:rPr>
        <w:t>.</w:t>
      </w:r>
      <w:r>
        <w:rPr>
          <w:rFonts w:hint="eastAsia" w:ascii="宋体" w:hAnsi="宋体" w:cs="宋体"/>
          <w:b/>
          <w:bCs/>
          <w:color w:val="auto"/>
          <w:sz w:val="24"/>
          <w:highlight w:val="none"/>
          <w:lang w:val="en-US" w:eastAsia="zh-CN"/>
        </w:rPr>
        <w:t xml:space="preserve">政府采购金融服务提示：为扩大政府采购金融服务面，除政采云网上金融服务合作银行外，东阳市范围内增加浙商银行金华分行东阳支行作为线下合作银行。   </w:t>
      </w:r>
    </w:p>
    <w:p>
      <w:pPr>
        <w:keepNext w:val="0"/>
        <w:keepLines w:val="0"/>
        <w:pageBreakBefore w:val="0"/>
        <w:kinsoku/>
        <w:wordWrap/>
        <w:overflowPunct/>
        <w:topLinePunct w:val="0"/>
        <w:autoSpaceDE/>
        <w:autoSpaceDN/>
        <w:bidi w:val="0"/>
        <w:adjustRightInd/>
        <w:spacing w:line="430" w:lineRule="exact"/>
        <w:ind w:firstLine="482" w:firstLineChars="200"/>
        <w:textAlignment w:val="auto"/>
        <w:rPr>
          <w:rFonts w:hint="eastAsia" w:ascii="宋体" w:hAnsi="宋体" w:cs="宋体"/>
          <w:b/>
          <w:bCs/>
          <w:color w:val="auto"/>
          <w:sz w:val="24"/>
          <w:highlight w:val="none"/>
        </w:rPr>
      </w:pPr>
      <w:r>
        <w:rPr>
          <w:rFonts w:hint="eastAsia" w:ascii="宋体" w:hAnsi="宋体" w:cs="宋体"/>
          <w:b/>
          <w:bCs/>
          <w:color w:val="auto"/>
          <w:sz w:val="24"/>
          <w:highlight w:val="none"/>
          <w:lang w:val="en-US" w:eastAsia="zh-CN"/>
        </w:rPr>
        <w:t>浙商银行金华东阳支行  联系人：</w:t>
      </w:r>
      <w:r>
        <w:rPr>
          <w:rFonts w:hint="eastAsia" w:ascii="宋体" w:hAnsi="宋体" w:cs="宋体"/>
          <w:b/>
          <w:bCs/>
          <w:color w:val="auto"/>
          <w:sz w:val="24"/>
          <w:highlight w:val="none"/>
        </w:rPr>
        <w:t>许燕  联系电话：13967983441  0579-86222992</w:t>
      </w:r>
    </w:p>
    <w:p>
      <w:pPr>
        <w:keepNext w:val="0"/>
        <w:keepLines w:val="0"/>
        <w:pageBreakBefore w:val="0"/>
        <w:kinsoku/>
        <w:wordWrap/>
        <w:overflowPunct/>
        <w:topLinePunct w:val="0"/>
        <w:autoSpaceDE/>
        <w:autoSpaceDN/>
        <w:bidi w:val="0"/>
        <w:adjustRightInd/>
        <w:spacing w:line="520" w:lineRule="exact"/>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lang w:val="en-US" w:eastAsia="zh-CN"/>
        </w:rPr>
        <w:t>八</w:t>
      </w:r>
      <w:r>
        <w:rPr>
          <w:rFonts w:hint="eastAsia" w:ascii="宋体" w:hAnsi="宋体" w:eastAsia="宋体" w:cs="宋体"/>
          <w:b/>
          <w:color w:val="auto"/>
          <w:sz w:val="24"/>
          <w:highlight w:val="none"/>
        </w:rPr>
        <w:t>、</w:t>
      </w:r>
      <w:bookmarkEnd w:id="1"/>
      <w:bookmarkEnd w:id="2"/>
      <w:bookmarkEnd w:id="3"/>
      <w:bookmarkEnd w:id="4"/>
      <w:r>
        <w:rPr>
          <w:rFonts w:hint="eastAsia" w:ascii="宋体" w:hAnsi="宋体" w:eastAsia="宋体" w:cs="宋体"/>
          <w:b/>
          <w:color w:val="auto"/>
          <w:sz w:val="24"/>
          <w:highlight w:val="none"/>
        </w:rPr>
        <w:t>对本次采购提出询问、质疑、投诉，请按以下方式联系。</w:t>
      </w:r>
    </w:p>
    <w:p>
      <w:pPr>
        <w:keepNext w:val="0"/>
        <w:keepLines w:val="0"/>
        <w:pageBreakBefore w:val="0"/>
        <w:kinsoku/>
        <w:wordWrap/>
        <w:overflowPunct/>
        <w:topLinePunct w:val="0"/>
        <w:autoSpaceDE/>
        <w:autoSpaceDN/>
        <w:bidi w:val="0"/>
        <w:adjustRightInd/>
        <w:spacing w:line="520" w:lineRule="exact"/>
        <w:ind w:firstLine="723" w:firstLineChars="300"/>
        <w:textAlignment w:val="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 xml:space="preserve">1.采购人信息  </w:t>
      </w:r>
    </w:p>
    <w:p>
      <w:pPr>
        <w:keepNext w:val="0"/>
        <w:keepLines w:val="0"/>
        <w:pageBreakBefore w:val="0"/>
        <w:kinsoku/>
        <w:wordWrap/>
        <w:overflowPunct/>
        <w:topLinePunct w:val="0"/>
        <w:autoSpaceDE/>
        <w:autoSpaceDN/>
        <w:bidi w:val="0"/>
        <w:adjustRightInd/>
        <w:spacing w:line="520" w:lineRule="exact"/>
        <w:ind w:firstLine="720" w:firstLineChars="300"/>
        <w:textAlignment w:val="auto"/>
        <w:rPr>
          <w:rFonts w:hint="eastAsia" w:ascii="宋体" w:hAnsi="宋体" w:cs="宋体"/>
          <w:color w:val="auto"/>
          <w:sz w:val="24"/>
          <w:highlight w:val="none"/>
          <w:lang w:eastAsia="zh-CN"/>
        </w:rPr>
      </w:pPr>
      <w:bookmarkStart w:id="5" w:name="_Toc28359009"/>
      <w:bookmarkStart w:id="6" w:name="_Toc28359086"/>
      <w:r>
        <w:rPr>
          <w:rFonts w:hint="eastAsia" w:ascii="宋体" w:hAnsi="宋体" w:eastAsia="宋体" w:cs="宋体"/>
          <w:color w:val="auto"/>
          <w:sz w:val="24"/>
          <w:highlight w:val="none"/>
        </w:rPr>
        <w:t>名</w:t>
      </w:r>
      <w:r>
        <w:rPr>
          <w:rFonts w:hint="eastAsia" w:ascii="宋体" w:hAnsi="宋体" w:cs="宋体"/>
          <w:color w:val="auto"/>
          <w:sz w:val="24"/>
          <w:highlight w:val="none"/>
          <w:lang w:val="en-US" w:eastAsia="zh-CN"/>
        </w:rPr>
        <w:t xml:space="preserve"> </w:t>
      </w:r>
      <w:r>
        <w:rPr>
          <w:rFonts w:hint="eastAsia" w:ascii="宋体" w:hAnsi="宋体" w:eastAsia="宋体" w:cs="宋体"/>
          <w:color w:val="auto"/>
          <w:sz w:val="24"/>
          <w:highlight w:val="none"/>
        </w:rPr>
        <w:t>称：</w:t>
      </w:r>
      <w:r>
        <w:rPr>
          <w:rFonts w:hint="eastAsia" w:ascii="宋体" w:hAnsi="宋体" w:cs="宋体"/>
          <w:color w:val="auto"/>
          <w:sz w:val="24"/>
          <w:highlight w:val="none"/>
          <w:lang w:eastAsia="zh-CN"/>
        </w:rPr>
        <w:t>东阳市横店医院</w:t>
      </w:r>
    </w:p>
    <w:p>
      <w:pPr>
        <w:keepNext w:val="0"/>
        <w:keepLines w:val="0"/>
        <w:kinsoku/>
        <w:wordWrap/>
        <w:overflowPunct/>
        <w:topLinePunct w:val="0"/>
        <w:autoSpaceDE/>
        <w:autoSpaceDN/>
        <w:bidi w:val="0"/>
        <w:adjustRightInd/>
        <w:spacing w:line="520" w:lineRule="exact"/>
        <w:ind w:firstLine="720" w:firstLineChars="300"/>
        <w:textAlignment w:val="auto"/>
        <w:rPr>
          <w:rFonts w:ascii="宋体" w:hAnsi="宋体" w:cs="宋体"/>
          <w:color w:val="auto"/>
          <w:sz w:val="24"/>
          <w:highlight w:val="none"/>
        </w:rPr>
      </w:pPr>
      <w:r>
        <w:rPr>
          <w:rFonts w:hint="eastAsia" w:ascii="宋体" w:hAnsi="宋体" w:cs="宋体"/>
          <w:color w:val="auto"/>
          <w:sz w:val="24"/>
          <w:highlight w:val="none"/>
        </w:rPr>
        <w:t>地址：东阳市横店镇江南路212号</w:t>
      </w:r>
    </w:p>
    <w:p>
      <w:pPr>
        <w:keepNext w:val="0"/>
        <w:keepLines w:val="0"/>
        <w:kinsoku/>
        <w:wordWrap/>
        <w:overflowPunct/>
        <w:topLinePunct w:val="0"/>
        <w:autoSpaceDE/>
        <w:autoSpaceDN/>
        <w:bidi w:val="0"/>
        <w:adjustRightInd/>
        <w:spacing w:line="520" w:lineRule="exact"/>
        <w:ind w:firstLine="720" w:firstLineChars="300"/>
        <w:textAlignment w:val="auto"/>
        <w:rPr>
          <w:rFonts w:ascii="宋体" w:hAnsi="宋体" w:cs="宋体"/>
          <w:color w:val="auto"/>
          <w:sz w:val="24"/>
          <w:highlight w:val="none"/>
        </w:rPr>
      </w:pPr>
      <w:r>
        <w:rPr>
          <w:rFonts w:hint="eastAsia" w:ascii="宋体" w:hAnsi="宋体" w:cs="宋体"/>
          <w:color w:val="auto"/>
          <w:sz w:val="24"/>
          <w:highlight w:val="none"/>
        </w:rPr>
        <w:t>项目联系人（询问）：陈鲜萍      项目联系方式（询问）：0579-86099815</w:t>
      </w:r>
    </w:p>
    <w:p>
      <w:pPr>
        <w:keepNext w:val="0"/>
        <w:keepLines w:val="0"/>
        <w:kinsoku/>
        <w:wordWrap/>
        <w:overflowPunct/>
        <w:topLinePunct w:val="0"/>
        <w:autoSpaceDE/>
        <w:autoSpaceDN/>
        <w:bidi w:val="0"/>
        <w:adjustRightInd/>
        <w:spacing w:line="520" w:lineRule="exact"/>
        <w:ind w:firstLine="720" w:firstLineChars="300"/>
        <w:textAlignment w:val="auto"/>
        <w:rPr>
          <w:rFonts w:ascii="宋体" w:hAnsi="宋体" w:cs="宋体"/>
          <w:color w:val="auto"/>
          <w:sz w:val="24"/>
          <w:highlight w:val="none"/>
        </w:rPr>
      </w:pPr>
      <w:r>
        <w:rPr>
          <w:rFonts w:hint="eastAsia" w:ascii="宋体" w:hAnsi="宋体" w:cs="宋体"/>
          <w:color w:val="auto"/>
          <w:sz w:val="24"/>
          <w:highlight w:val="none"/>
        </w:rPr>
        <w:t>质疑联系人： 任美玲             质疑联系方式：18267059830</w:t>
      </w:r>
    </w:p>
    <w:p>
      <w:pPr>
        <w:keepNext w:val="0"/>
        <w:keepLines w:val="0"/>
        <w:pageBreakBefore w:val="0"/>
        <w:kinsoku/>
        <w:wordWrap/>
        <w:overflowPunct/>
        <w:topLinePunct w:val="0"/>
        <w:autoSpaceDE/>
        <w:autoSpaceDN/>
        <w:bidi w:val="0"/>
        <w:adjustRightInd/>
        <w:spacing w:line="520" w:lineRule="exact"/>
        <w:ind w:firstLine="723" w:firstLineChars="300"/>
        <w:textAlignment w:val="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2.采购代理机构</w:t>
      </w:r>
      <w:bookmarkEnd w:id="5"/>
      <w:bookmarkEnd w:id="6"/>
      <w:r>
        <w:rPr>
          <w:rFonts w:hint="eastAsia" w:ascii="宋体" w:hAnsi="宋体" w:eastAsia="宋体" w:cs="宋体"/>
          <w:b/>
          <w:bCs/>
          <w:color w:val="auto"/>
          <w:sz w:val="24"/>
          <w:highlight w:val="none"/>
        </w:rPr>
        <w:t>信息</w:t>
      </w:r>
    </w:p>
    <w:p>
      <w:pPr>
        <w:keepNext w:val="0"/>
        <w:keepLines w:val="0"/>
        <w:pageBreakBefore w:val="0"/>
        <w:kinsoku/>
        <w:wordWrap/>
        <w:overflowPunct/>
        <w:topLinePunct w:val="0"/>
        <w:autoSpaceDE/>
        <w:autoSpaceDN/>
        <w:bidi w:val="0"/>
        <w:adjustRightInd/>
        <w:spacing w:line="520" w:lineRule="exact"/>
        <w:ind w:firstLine="720" w:firstLineChars="3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名 称：东阳市鑫盛工程咨询有限公司 </w:t>
      </w:r>
    </w:p>
    <w:p>
      <w:pPr>
        <w:keepNext w:val="0"/>
        <w:keepLines w:val="0"/>
        <w:pageBreakBefore w:val="0"/>
        <w:kinsoku/>
        <w:wordWrap/>
        <w:overflowPunct/>
        <w:topLinePunct w:val="0"/>
        <w:autoSpaceDE/>
        <w:autoSpaceDN/>
        <w:bidi w:val="0"/>
        <w:adjustRightInd/>
        <w:spacing w:line="520" w:lineRule="exact"/>
        <w:ind w:firstLine="720" w:firstLineChars="3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地 址：</w:t>
      </w:r>
      <w:r>
        <w:rPr>
          <w:rFonts w:hint="eastAsia" w:ascii="宋体" w:hAnsi="宋体" w:eastAsia="宋体" w:cs="宋体"/>
          <w:color w:val="auto"/>
          <w:sz w:val="24"/>
          <w:highlight w:val="none"/>
          <w:lang w:eastAsia="zh-CN"/>
        </w:rPr>
        <w:t>东阳市白云街道八华南路63号</w:t>
      </w:r>
      <w:r>
        <w:rPr>
          <w:rFonts w:hint="eastAsia" w:ascii="宋体" w:hAnsi="宋体" w:eastAsia="宋体" w:cs="宋体"/>
          <w:color w:val="auto"/>
          <w:sz w:val="24"/>
          <w:highlight w:val="none"/>
        </w:rPr>
        <w:t xml:space="preserve">      传</w:t>
      </w:r>
      <w:r>
        <w:rPr>
          <w:rFonts w:hint="eastAsia" w:ascii="宋体" w:hAnsi="宋体" w:cs="宋体"/>
          <w:color w:val="auto"/>
          <w:sz w:val="24"/>
          <w:highlight w:val="none"/>
          <w:lang w:val="en-US" w:eastAsia="zh-CN"/>
        </w:rPr>
        <w:t xml:space="preserve"> </w:t>
      </w:r>
      <w:r>
        <w:rPr>
          <w:rFonts w:hint="eastAsia" w:ascii="宋体" w:hAnsi="宋体" w:eastAsia="宋体" w:cs="宋体"/>
          <w:color w:val="auto"/>
          <w:sz w:val="24"/>
          <w:highlight w:val="none"/>
        </w:rPr>
        <w:t xml:space="preserve">真：0579-86633123 </w:t>
      </w:r>
    </w:p>
    <w:p>
      <w:pPr>
        <w:keepNext w:val="0"/>
        <w:keepLines w:val="0"/>
        <w:pageBreakBefore w:val="0"/>
        <w:kinsoku/>
        <w:wordWrap/>
        <w:overflowPunct/>
        <w:topLinePunct w:val="0"/>
        <w:autoSpaceDE/>
        <w:autoSpaceDN/>
        <w:bidi w:val="0"/>
        <w:adjustRightInd/>
        <w:spacing w:line="520" w:lineRule="exact"/>
        <w:ind w:firstLine="720" w:firstLineChars="3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项目联系人（询问）：</w:t>
      </w:r>
      <w:r>
        <w:rPr>
          <w:rFonts w:hint="eastAsia" w:ascii="宋体" w:hAnsi="宋体" w:cs="宋体"/>
          <w:color w:val="auto"/>
          <w:sz w:val="24"/>
          <w:highlight w:val="none"/>
          <w:lang w:eastAsia="zh-CN"/>
        </w:rPr>
        <w:t>胡丹春</w:t>
      </w:r>
      <w:r>
        <w:rPr>
          <w:rFonts w:hint="eastAsia" w:ascii="宋体" w:hAnsi="宋体" w:eastAsia="宋体" w:cs="宋体"/>
          <w:color w:val="auto"/>
          <w:sz w:val="24"/>
          <w:highlight w:val="none"/>
        </w:rPr>
        <w:t xml:space="preserve">        </w:t>
      </w:r>
      <w:r>
        <w:rPr>
          <w:rFonts w:hint="eastAsia" w:ascii="宋体" w:hAnsi="宋体" w:eastAsia="宋体" w:cs="宋体"/>
          <w:color w:val="auto"/>
          <w:sz w:val="24"/>
          <w:highlight w:val="none"/>
          <w:lang w:val="en-US" w:eastAsia="zh-CN"/>
        </w:rPr>
        <w:t xml:space="preserve"> </w:t>
      </w:r>
      <w:r>
        <w:rPr>
          <w:rFonts w:hint="eastAsia" w:ascii="宋体" w:hAnsi="宋体" w:cs="宋体"/>
          <w:color w:val="auto"/>
          <w:sz w:val="24"/>
          <w:highlight w:val="none"/>
          <w:lang w:val="en-US" w:eastAsia="zh-CN"/>
        </w:rPr>
        <w:t xml:space="preserve">  </w:t>
      </w:r>
      <w:r>
        <w:rPr>
          <w:rFonts w:hint="eastAsia" w:ascii="宋体" w:hAnsi="宋体" w:eastAsia="宋体" w:cs="宋体"/>
          <w:color w:val="auto"/>
          <w:sz w:val="24"/>
          <w:highlight w:val="none"/>
        </w:rPr>
        <w:t>项目联系方式（询问）：</w:t>
      </w:r>
      <w:r>
        <w:rPr>
          <w:rFonts w:hint="eastAsia" w:ascii="宋体" w:hAnsi="宋体" w:cs="宋体"/>
          <w:color w:val="auto"/>
          <w:sz w:val="24"/>
          <w:highlight w:val="none"/>
          <w:lang w:val="en-US" w:eastAsia="zh-CN"/>
        </w:rPr>
        <w:t>0579-</w:t>
      </w:r>
      <w:r>
        <w:rPr>
          <w:rFonts w:hint="eastAsia" w:ascii="宋体" w:hAnsi="宋体" w:eastAsia="宋体" w:cs="宋体"/>
          <w:color w:val="auto"/>
          <w:sz w:val="24"/>
          <w:highlight w:val="none"/>
          <w:lang w:eastAsia="zh-CN"/>
        </w:rPr>
        <w:t>866</w:t>
      </w:r>
      <w:r>
        <w:rPr>
          <w:rFonts w:hint="eastAsia" w:ascii="宋体" w:hAnsi="宋体" w:cs="宋体"/>
          <w:color w:val="auto"/>
          <w:sz w:val="24"/>
          <w:highlight w:val="none"/>
          <w:lang w:val="en-US" w:eastAsia="zh-CN"/>
        </w:rPr>
        <w:t>8</w:t>
      </w:r>
      <w:r>
        <w:rPr>
          <w:rFonts w:hint="eastAsia" w:ascii="宋体" w:hAnsi="宋体" w:eastAsia="宋体" w:cs="宋体"/>
          <w:color w:val="auto"/>
          <w:sz w:val="24"/>
          <w:highlight w:val="none"/>
          <w:lang w:eastAsia="zh-CN"/>
        </w:rPr>
        <w:t>31</w:t>
      </w: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lang w:eastAsia="zh-CN"/>
        </w:rPr>
        <w:t>3</w:t>
      </w:r>
    </w:p>
    <w:p>
      <w:pPr>
        <w:keepNext w:val="0"/>
        <w:keepLines w:val="0"/>
        <w:pageBreakBefore w:val="0"/>
        <w:kinsoku/>
        <w:wordWrap/>
        <w:overflowPunct/>
        <w:topLinePunct w:val="0"/>
        <w:autoSpaceDE/>
        <w:autoSpaceDN/>
        <w:bidi w:val="0"/>
        <w:adjustRightInd/>
        <w:spacing w:line="520" w:lineRule="exact"/>
        <w:ind w:firstLine="720" w:firstLineChars="300"/>
        <w:textAlignment w:val="auto"/>
        <w:rPr>
          <w:rFonts w:hint="default" w:ascii="宋体" w:hAnsi="宋体" w:eastAsia="宋体" w:cs="宋体"/>
          <w:color w:val="auto"/>
          <w:sz w:val="24"/>
          <w:highlight w:val="none"/>
          <w:lang w:val="en-US" w:eastAsia="zh-CN"/>
        </w:rPr>
      </w:pPr>
      <w:r>
        <w:rPr>
          <w:rFonts w:hint="eastAsia" w:ascii="宋体" w:hAnsi="宋体" w:eastAsia="宋体" w:cs="宋体"/>
          <w:color w:val="auto"/>
          <w:sz w:val="24"/>
          <w:highlight w:val="none"/>
        </w:rPr>
        <w:t>质疑联系人：</w:t>
      </w:r>
      <w:r>
        <w:rPr>
          <w:rFonts w:hint="eastAsia" w:ascii="宋体" w:hAnsi="宋体" w:cs="宋体"/>
          <w:color w:val="auto"/>
          <w:sz w:val="24"/>
          <w:highlight w:val="none"/>
          <w:lang w:val="en-US" w:eastAsia="zh-CN"/>
        </w:rPr>
        <w:t>张英华</w:t>
      </w:r>
      <w:r>
        <w:rPr>
          <w:rFonts w:hint="eastAsia" w:ascii="宋体" w:hAnsi="宋体" w:eastAsia="宋体" w:cs="宋体"/>
          <w:color w:val="auto"/>
          <w:sz w:val="24"/>
          <w:highlight w:val="none"/>
        </w:rPr>
        <w:t xml:space="preserve">                 质疑联系方式：</w:t>
      </w:r>
      <w:bookmarkStart w:id="7" w:name="_Toc28359010"/>
      <w:bookmarkStart w:id="8" w:name="_Toc28359087"/>
      <w:r>
        <w:rPr>
          <w:rFonts w:hint="eastAsia" w:ascii="宋体" w:hAnsi="宋体" w:eastAsia="宋体" w:cs="宋体"/>
          <w:color w:val="auto"/>
          <w:sz w:val="24"/>
          <w:highlight w:val="none"/>
        </w:rPr>
        <w:t>0579-</w:t>
      </w:r>
      <w:r>
        <w:rPr>
          <w:rFonts w:hint="eastAsia" w:ascii="宋体" w:hAnsi="宋体" w:cs="宋体"/>
          <w:color w:val="auto"/>
          <w:sz w:val="24"/>
          <w:highlight w:val="none"/>
          <w:lang w:val="en-US" w:eastAsia="zh-CN"/>
        </w:rPr>
        <w:t>86018279</w:t>
      </w:r>
    </w:p>
    <w:p>
      <w:pPr>
        <w:keepNext w:val="0"/>
        <w:keepLines w:val="0"/>
        <w:pageBreakBefore w:val="0"/>
        <w:kinsoku/>
        <w:wordWrap/>
        <w:overflowPunct/>
        <w:topLinePunct w:val="0"/>
        <w:autoSpaceDE/>
        <w:autoSpaceDN/>
        <w:bidi w:val="0"/>
        <w:adjustRightInd/>
        <w:spacing w:line="520" w:lineRule="exact"/>
        <w:ind w:firstLine="723" w:firstLineChars="300"/>
        <w:textAlignment w:val="auto"/>
        <w:rPr>
          <w:rFonts w:hint="eastAsia" w:ascii="宋体" w:hAnsi="宋体" w:eastAsia="宋体" w:cs="宋体"/>
          <w:color w:val="auto"/>
          <w:sz w:val="24"/>
          <w:highlight w:val="none"/>
          <w:u w:val="single"/>
        </w:rPr>
      </w:pPr>
      <w:r>
        <w:rPr>
          <w:rFonts w:hint="eastAsia" w:ascii="宋体" w:hAnsi="宋体" w:eastAsia="宋体" w:cs="宋体"/>
          <w:b/>
          <w:bCs/>
          <w:color w:val="auto"/>
          <w:sz w:val="24"/>
          <w:highlight w:val="none"/>
        </w:rPr>
        <w:t>3.</w:t>
      </w:r>
      <w:bookmarkEnd w:id="7"/>
      <w:bookmarkEnd w:id="8"/>
      <w:r>
        <w:rPr>
          <w:rFonts w:hint="eastAsia" w:ascii="宋体" w:hAnsi="宋体" w:eastAsia="宋体" w:cs="宋体"/>
          <w:b/>
          <w:bCs/>
          <w:color w:val="auto"/>
          <w:sz w:val="24"/>
          <w:highlight w:val="none"/>
        </w:rPr>
        <w:t>同级政府采购监督管理部门：</w:t>
      </w:r>
    </w:p>
    <w:p>
      <w:pPr>
        <w:keepNext w:val="0"/>
        <w:keepLines w:val="0"/>
        <w:pageBreakBefore w:val="0"/>
        <w:kinsoku/>
        <w:wordWrap/>
        <w:overflowPunct/>
        <w:topLinePunct w:val="0"/>
        <w:autoSpaceDE/>
        <w:autoSpaceDN/>
        <w:bidi w:val="0"/>
        <w:adjustRightInd/>
        <w:spacing w:line="520" w:lineRule="exact"/>
        <w:ind w:firstLine="720" w:firstLineChars="3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名称：东阳市财政局采监科              地址：东阳市人民路8号</w:t>
      </w:r>
    </w:p>
    <w:p>
      <w:pPr>
        <w:keepNext w:val="0"/>
        <w:keepLines w:val="0"/>
        <w:pageBreakBefore w:val="0"/>
        <w:kinsoku/>
        <w:wordWrap/>
        <w:overflowPunct/>
        <w:topLinePunct w:val="0"/>
        <w:autoSpaceDE/>
        <w:autoSpaceDN/>
        <w:bidi w:val="0"/>
        <w:adjustRightInd/>
        <w:spacing w:line="520" w:lineRule="exact"/>
        <w:ind w:firstLine="720" w:firstLineChars="300"/>
        <w:textAlignment w:val="auto"/>
        <w:rPr>
          <w:rFonts w:hint="eastAsia" w:ascii="宋体" w:hAnsi="宋体" w:eastAsia="宋体" w:cs="宋体"/>
          <w:b/>
          <w:color w:val="auto"/>
          <w:sz w:val="24"/>
          <w:highlight w:val="none"/>
        </w:rPr>
      </w:pPr>
      <w:r>
        <w:rPr>
          <w:rFonts w:hint="eastAsia" w:ascii="宋体" w:hAnsi="宋体" w:eastAsia="宋体" w:cs="宋体"/>
          <w:color w:val="auto"/>
          <w:sz w:val="24"/>
          <w:highlight w:val="none"/>
        </w:rPr>
        <w:t>监督投诉电话：0579-86662677</w:t>
      </w:r>
    </w:p>
    <w:p>
      <w:pPr>
        <w:keepNext w:val="0"/>
        <w:keepLines w:val="0"/>
        <w:pageBreakBefore w:val="0"/>
        <w:kinsoku/>
        <w:wordWrap/>
        <w:overflowPunct/>
        <w:topLinePunct w:val="0"/>
        <w:autoSpaceDE/>
        <w:autoSpaceDN/>
        <w:bidi w:val="0"/>
        <w:adjustRightInd/>
        <w:snapToGrid w:val="0"/>
        <w:spacing w:line="520" w:lineRule="exact"/>
        <w:ind w:firstLine="723" w:firstLineChars="300"/>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附件：</w:t>
      </w:r>
      <w:r>
        <w:rPr>
          <w:rFonts w:hint="eastAsia" w:ascii="宋体" w:hAnsi="宋体" w:cs="宋体"/>
          <w:b/>
          <w:color w:val="auto"/>
          <w:sz w:val="24"/>
          <w:highlight w:val="none"/>
          <w:lang w:eastAsia="zh-CN"/>
        </w:rPr>
        <w:t>东阳市横店医院公共卫生综合楼百级手术室、供应中心净化系统设备采购及安装项目</w:t>
      </w:r>
      <w:r>
        <w:rPr>
          <w:rFonts w:hint="eastAsia" w:ascii="宋体" w:hAnsi="宋体" w:eastAsia="宋体" w:cs="宋体"/>
          <w:b/>
          <w:color w:val="auto"/>
          <w:sz w:val="24"/>
          <w:highlight w:val="none"/>
        </w:rPr>
        <w:t xml:space="preserve">   </w:t>
      </w:r>
    </w:p>
    <w:p>
      <w:pPr>
        <w:keepNext w:val="0"/>
        <w:keepLines w:val="0"/>
        <w:pageBreakBefore w:val="0"/>
        <w:kinsoku/>
        <w:wordWrap/>
        <w:overflowPunct/>
        <w:topLinePunct w:val="0"/>
        <w:autoSpaceDE/>
        <w:autoSpaceDN/>
        <w:bidi w:val="0"/>
        <w:adjustRightInd/>
        <w:snapToGrid w:val="0"/>
        <w:spacing w:line="520" w:lineRule="exact"/>
        <w:ind w:left="5799" w:leftChars="237" w:right="198" w:hanging="5301" w:hangingChars="2200"/>
        <w:jc w:val="center"/>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                                         </w:t>
      </w:r>
      <w:r>
        <w:rPr>
          <w:rFonts w:hint="eastAsia" w:ascii="宋体" w:hAnsi="宋体" w:cs="宋体"/>
          <w:b/>
          <w:color w:val="auto"/>
          <w:sz w:val="24"/>
          <w:highlight w:val="none"/>
          <w:lang w:eastAsia="zh-CN"/>
        </w:rPr>
        <w:t>东阳市横店医院</w:t>
      </w:r>
      <w:r>
        <w:rPr>
          <w:rFonts w:hint="eastAsia" w:ascii="宋体" w:hAnsi="宋体" w:eastAsia="宋体" w:cs="宋体"/>
          <w:b/>
          <w:color w:val="auto"/>
          <w:sz w:val="24"/>
          <w:highlight w:val="none"/>
        </w:rPr>
        <w:t xml:space="preserve">                           </w:t>
      </w:r>
    </w:p>
    <w:p>
      <w:pPr>
        <w:keepNext w:val="0"/>
        <w:keepLines w:val="0"/>
        <w:pageBreakBefore w:val="0"/>
        <w:kinsoku/>
        <w:wordWrap/>
        <w:overflowPunct/>
        <w:topLinePunct w:val="0"/>
        <w:autoSpaceDE/>
        <w:autoSpaceDN/>
        <w:bidi w:val="0"/>
        <w:adjustRightInd/>
        <w:snapToGrid w:val="0"/>
        <w:spacing w:line="520" w:lineRule="exact"/>
        <w:ind w:left="5799" w:leftChars="237" w:right="198" w:hanging="5301" w:hangingChars="2200"/>
        <w:jc w:val="center"/>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                                         东阳市鑫盛工程咨询有限公司</w:t>
      </w:r>
    </w:p>
    <w:p>
      <w:pPr>
        <w:keepNext w:val="0"/>
        <w:keepLines w:val="0"/>
        <w:pageBreakBefore w:val="0"/>
        <w:kinsoku/>
        <w:wordWrap/>
        <w:overflowPunct/>
        <w:topLinePunct w:val="0"/>
        <w:autoSpaceDE/>
        <w:autoSpaceDN/>
        <w:bidi w:val="0"/>
        <w:adjustRightInd/>
        <w:snapToGrid w:val="0"/>
        <w:spacing w:line="520" w:lineRule="exact"/>
        <w:ind w:right="198" w:firstLine="6505" w:firstLineChars="2700"/>
        <w:textAlignment w:val="auto"/>
        <w:rPr>
          <w:rFonts w:hint="eastAsia" w:ascii="宋体" w:hAnsi="宋体" w:eastAsia="宋体" w:cs="宋体"/>
          <w:color w:val="auto"/>
          <w:kern w:val="0"/>
          <w:sz w:val="24"/>
          <w:highlight w:val="none"/>
          <w:lang w:bidi="ar"/>
        </w:rPr>
      </w:pPr>
      <w:r>
        <w:rPr>
          <w:rFonts w:hint="eastAsia" w:ascii="宋体" w:hAnsi="宋体" w:eastAsia="宋体" w:cs="宋体"/>
          <w:b/>
          <w:color w:val="auto"/>
          <w:sz w:val="24"/>
          <w:highlight w:val="none"/>
        </w:rPr>
        <w:t>202</w:t>
      </w:r>
      <w:r>
        <w:rPr>
          <w:rFonts w:hint="eastAsia" w:ascii="宋体" w:hAnsi="宋体" w:eastAsia="宋体" w:cs="宋体"/>
          <w:b/>
          <w:color w:val="auto"/>
          <w:sz w:val="24"/>
          <w:highlight w:val="none"/>
          <w:lang w:val="en-US" w:eastAsia="zh-CN"/>
        </w:rPr>
        <w:t>2</w:t>
      </w:r>
      <w:r>
        <w:rPr>
          <w:rFonts w:hint="eastAsia" w:ascii="宋体" w:hAnsi="宋体" w:eastAsia="宋体" w:cs="宋体"/>
          <w:b/>
          <w:color w:val="auto"/>
          <w:sz w:val="24"/>
          <w:highlight w:val="none"/>
        </w:rPr>
        <w:t>年</w:t>
      </w:r>
      <w:r>
        <w:rPr>
          <w:rFonts w:hint="eastAsia" w:ascii="宋体" w:hAnsi="宋体" w:cs="宋体"/>
          <w:b/>
          <w:color w:val="auto"/>
          <w:sz w:val="24"/>
          <w:highlight w:val="none"/>
          <w:lang w:val="en-US" w:eastAsia="zh-CN"/>
        </w:rPr>
        <w:t>10</w:t>
      </w:r>
      <w:r>
        <w:rPr>
          <w:rFonts w:hint="eastAsia" w:ascii="宋体" w:hAnsi="宋体" w:eastAsia="宋体" w:cs="宋体"/>
          <w:b/>
          <w:color w:val="auto"/>
          <w:sz w:val="24"/>
          <w:highlight w:val="none"/>
        </w:rPr>
        <w:t>月</w:t>
      </w:r>
      <w:r>
        <w:rPr>
          <w:rFonts w:hint="eastAsia" w:ascii="宋体" w:hAnsi="宋体" w:cs="宋体"/>
          <w:b/>
          <w:color w:val="auto"/>
          <w:sz w:val="24"/>
          <w:highlight w:val="none"/>
          <w:lang w:val="en-US" w:eastAsia="zh-CN"/>
        </w:rPr>
        <w:t>17</w:t>
      </w:r>
      <w:r>
        <w:rPr>
          <w:rFonts w:hint="eastAsia" w:ascii="宋体" w:hAnsi="宋体" w:eastAsia="宋体" w:cs="宋体"/>
          <w:b/>
          <w:color w:val="auto"/>
          <w:sz w:val="24"/>
          <w:highlight w:val="none"/>
        </w:rPr>
        <w:t>日</w:t>
      </w:r>
    </w:p>
    <w:p>
      <w:pPr>
        <w:keepNext w:val="0"/>
        <w:keepLines w:val="0"/>
        <w:pageBreakBefore w:val="0"/>
        <w:kinsoku/>
        <w:wordWrap/>
        <w:overflowPunct/>
        <w:topLinePunct w:val="0"/>
        <w:autoSpaceDE/>
        <w:autoSpaceDN/>
        <w:bidi w:val="0"/>
        <w:adjustRightInd/>
        <w:snapToGrid w:val="0"/>
        <w:spacing w:line="520" w:lineRule="exact"/>
        <w:ind w:right="198"/>
        <w:textAlignment w:val="auto"/>
        <w:rPr>
          <w:rFonts w:hint="eastAsia" w:ascii="宋体" w:hAnsi="宋体" w:eastAsia="宋体" w:cs="宋体"/>
          <w:color w:val="auto"/>
          <w:kern w:val="0"/>
          <w:sz w:val="22"/>
          <w:szCs w:val="22"/>
          <w:highlight w:val="none"/>
          <w:lang w:bidi="ar"/>
        </w:rPr>
      </w:pPr>
    </w:p>
    <w:p>
      <w:pPr>
        <w:keepNext w:val="0"/>
        <w:keepLines w:val="0"/>
        <w:pageBreakBefore w:val="0"/>
        <w:kinsoku/>
        <w:wordWrap/>
        <w:overflowPunct/>
        <w:topLinePunct w:val="0"/>
        <w:autoSpaceDE/>
        <w:autoSpaceDN/>
        <w:bidi w:val="0"/>
        <w:adjustRightInd/>
        <w:snapToGrid w:val="0"/>
        <w:spacing w:line="520" w:lineRule="exact"/>
        <w:ind w:right="198"/>
        <w:textAlignment w:val="auto"/>
        <w:rPr>
          <w:rFonts w:hint="eastAsia" w:ascii="宋体" w:hAnsi="宋体" w:eastAsia="宋体" w:cs="宋体"/>
          <w:color w:val="auto"/>
          <w:sz w:val="22"/>
          <w:szCs w:val="22"/>
          <w:highlight w:val="none"/>
        </w:rPr>
      </w:pPr>
      <w:r>
        <w:rPr>
          <w:rFonts w:hint="eastAsia" w:ascii="宋体" w:hAnsi="宋体" w:eastAsia="宋体" w:cs="宋体"/>
          <w:color w:val="auto"/>
          <w:kern w:val="0"/>
          <w:sz w:val="22"/>
          <w:szCs w:val="22"/>
          <w:highlight w:val="none"/>
          <w:lang w:bidi="ar"/>
        </w:rPr>
        <w:t>若对项目采购电子交易系统操作有疑问，可登录政采云（https://www.zcygov.cn/），点击右侧咨询小采，获取采小蜜智能服务管家帮助，或拨打政采云服务热线400-881-7190获取热线服务帮助。</w:t>
      </w:r>
    </w:p>
    <w:p>
      <w:pPr>
        <w:keepNext w:val="0"/>
        <w:keepLines w:val="0"/>
        <w:pageBreakBefore w:val="0"/>
        <w:widowControl/>
        <w:kinsoku/>
        <w:wordWrap/>
        <w:overflowPunct/>
        <w:topLinePunct w:val="0"/>
        <w:autoSpaceDE/>
        <w:autoSpaceDN/>
        <w:bidi w:val="0"/>
        <w:adjustRightInd/>
        <w:spacing w:line="520" w:lineRule="exact"/>
        <w:jc w:val="left"/>
        <w:textAlignment w:val="auto"/>
        <w:rPr>
          <w:rFonts w:hint="eastAsia" w:ascii="宋体" w:hAnsi="宋体" w:eastAsia="宋体" w:cs="宋体"/>
          <w:color w:val="auto"/>
          <w:sz w:val="22"/>
          <w:szCs w:val="22"/>
          <w:highlight w:val="none"/>
        </w:rPr>
      </w:pPr>
      <w:r>
        <w:rPr>
          <w:rFonts w:hint="eastAsia" w:ascii="宋体" w:hAnsi="宋体" w:eastAsia="宋体" w:cs="宋体"/>
          <w:color w:val="auto"/>
          <w:kern w:val="0"/>
          <w:sz w:val="22"/>
          <w:szCs w:val="22"/>
          <w:highlight w:val="none"/>
          <w:lang w:bidi="ar"/>
        </w:rPr>
        <w:t>CA问题联系电话（人工）：汇信CA 400-888-4636；天谷CA 400-087-8198。</w:t>
      </w:r>
    </w:p>
    <w:p>
      <w:pPr>
        <w:pStyle w:val="12"/>
        <w:pageBreakBefore/>
        <w:snapToGrid w:val="0"/>
        <w:spacing w:before="120" w:after="120" w:line="360" w:lineRule="auto"/>
        <w:jc w:val="center"/>
        <w:outlineLvl w:val="0"/>
        <w:rPr>
          <w:rFonts w:hint="eastAsia" w:ascii="宋体" w:hAnsi="宋体" w:eastAsia="宋体" w:cs="宋体"/>
          <w:b/>
          <w:color w:val="auto"/>
          <w:szCs w:val="24"/>
          <w:highlight w:val="none"/>
        </w:rPr>
      </w:pPr>
      <w:bookmarkStart w:id="9" w:name="_Toc27408"/>
      <w:r>
        <w:rPr>
          <w:rFonts w:hint="eastAsia" w:ascii="宋体" w:hAnsi="宋体" w:eastAsia="宋体" w:cs="宋体"/>
          <w:b/>
          <w:color w:val="auto"/>
          <w:szCs w:val="24"/>
          <w:highlight w:val="none"/>
        </w:rPr>
        <w:t>第二章  招标需求</w:t>
      </w:r>
      <w:bookmarkEnd w:id="9"/>
    </w:p>
    <w:p>
      <w:pPr>
        <w:numPr>
          <w:ilvl w:val="0"/>
          <w:numId w:val="3"/>
        </w:numPr>
        <w:spacing w:line="360" w:lineRule="auto"/>
        <w:outlineLvl w:val="9"/>
        <w:rPr>
          <w:rFonts w:hint="eastAsia" w:ascii="宋体" w:hAnsi="宋体" w:cs="宋体"/>
          <w:b/>
          <w:color w:val="auto"/>
          <w:sz w:val="24"/>
          <w:szCs w:val="22"/>
          <w:highlight w:val="none"/>
          <w:lang w:eastAsia="zh-CN"/>
        </w:rPr>
      </w:pPr>
      <w:r>
        <w:rPr>
          <w:rFonts w:hint="eastAsia" w:ascii="宋体" w:hAnsi="宋体" w:cs="宋体"/>
          <w:b/>
          <w:color w:val="auto"/>
          <w:sz w:val="24"/>
          <w:szCs w:val="22"/>
          <w:highlight w:val="none"/>
          <w:lang w:eastAsia="zh-CN"/>
        </w:rPr>
        <w:t>项目编号：XSZFCGDZ2022-203</w:t>
      </w:r>
    </w:p>
    <w:p>
      <w:pPr>
        <w:numPr>
          <w:ilvl w:val="0"/>
          <w:numId w:val="3"/>
        </w:numPr>
        <w:spacing w:line="360" w:lineRule="auto"/>
        <w:outlineLvl w:val="9"/>
        <w:rPr>
          <w:rFonts w:hint="eastAsia" w:ascii="宋体" w:hAnsi="宋体" w:cs="宋体"/>
          <w:b/>
          <w:color w:val="auto"/>
          <w:sz w:val="28"/>
          <w:highlight w:val="none"/>
          <w:lang w:eastAsia="zh-CN"/>
        </w:rPr>
      </w:pPr>
      <w:r>
        <w:rPr>
          <w:rFonts w:hint="eastAsia" w:ascii="宋体" w:hAnsi="宋体" w:cs="宋体"/>
          <w:b/>
          <w:color w:val="auto"/>
          <w:sz w:val="24"/>
          <w:szCs w:val="22"/>
          <w:highlight w:val="none"/>
          <w:lang w:eastAsia="zh-CN"/>
        </w:rPr>
        <w:t>采购项目名称：</w:t>
      </w:r>
      <w:bookmarkStart w:id="10" w:name="_Toc495926918"/>
      <w:r>
        <w:rPr>
          <w:rFonts w:hint="eastAsia" w:ascii="宋体" w:hAnsi="宋体" w:cs="宋体"/>
          <w:b/>
          <w:color w:val="auto"/>
          <w:sz w:val="24"/>
          <w:szCs w:val="22"/>
          <w:highlight w:val="none"/>
          <w:lang w:eastAsia="zh-CN"/>
        </w:rPr>
        <w:t>东阳市横店医院公共卫生综合楼百级手术室、供应中心净化系统设备采购及安装项目</w:t>
      </w:r>
      <w:r>
        <w:rPr>
          <w:rFonts w:hint="eastAsia" w:ascii="宋体" w:hAnsi="宋体" w:cs="宋体"/>
          <w:b/>
          <w:color w:val="auto"/>
          <w:sz w:val="28"/>
          <w:highlight w:val="none"/>
          <w:lang w:eastAsia="zh-CN"/>
        </w:rPr>
        <w:t xml:space="preserve">   </w:t>
      </w:r>
    </w:p>
    <w:tbl>
      <w:tblPr>
        <w:tblStyle w:val="22"/>
        <w:tblW w:w="95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2"/>
        <w:gridCol w:w="3354"/>
        <w:gridCol w:w="2145"/>
        <w:gridCol w:w="1910"/>
        <w:gridCol w:w="10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112" w:type="dxa"/>
            <w:vAlign w:val="center"/>
          </w:tcPr>
          <w:p>
            <w:pPr>
              <w:widowControl/>
              <w:overflowPunct w:val="0"/>
              <w:autoSpaceDE w:val="0"/>
              <w:autoSpaceDN w:val="0"/>
              <w:adjustRightInd w:val="0"/>
              <w:spacing w:line="460" w:lineRule="exact"/>
              <w:jc w:val="center"/>
              <w:textAlignment w:val="baseline"/>
              <w:outlineLvl w:val="9"/>
              <w:rPr>
                <w:rFonts w:hint="eastAsia" w:eastAsia="宋体"/>
                <w:color w:val="auto"/>
                <w:sz w:val="24"/>
                <w:highlight w:val="none"/>
                <w:lang w:eastAsia="zh-CN"/>
              </w:rPr>
            </w:pPr>
            <w:r>
              <w:rPr>
                <w:rFonts w:hint="eastAsia"/>
                <w:color w:val="auto"/>
                <w:sz w:val="24"/>
                <w:highlight w:val="none"/>
                <w:lang w:eastAsia="zh-CN"/>
              </w:rPr>
              <w:t>标项</w:t>
            </w:r>
          </w:p>
        </w:tc>
        <w:tc>
          <w:tcPr>
            <w:tcW w:w="3354" w:type="dxa"/>
            <w:vAlign w:val="center"/>
          </w:tcPr>
          <w:p>
            <w:pPr>
              <w:widowControl/>
              <w:overflowPunct w:val="0"/>
              <w:autoSpaceDE w:val="0"/>
              <w:autoSpaceDN w:val="0"/>
              <w:adjustRightInd w:val="0"/>
              <w:spacing w:line="460" w:lineRule="exact"/>
              <w:jc w:val="center"/>
              <w:textAlignment w:val="baseline"/>
              <w:outlineLvl w:val="9"/>
              <w:rPr>
                <w:rFonts w:hint="eastAsia" w:ascii="宋体" w:hAnsi="宋体"/>
                <w:bCs/>
                <w:color w:val="auto"/>
                <w:kern w:val="0"/>
                <w:sz w:val="24"/>
                <w:highlight w:val="none"/>
              </w:rPr>
            </w:pPr>
            <w:r>
              <w:rPr>
                <w:rFonts w:hint="eastAsia" w:ascii="宋体" w:hAnsi="宋体"/>
                <w:bCs/>
                <w:color w:val="auto"/>
                <w:kern w:val="0"/>
                <w:sz w:val="24"/>
                <w:highlight w:val="none"/>
              </w:rPr>
              <w:t>采购内容</w:t>
            </w:r>
          </w:p>
        </w:tc>
        <w:tc>
          <w:tcPr>
            <w:tcW w:w="2145" w:type="dxa"/>
            <w:vAlign w:val="center"/>
          </w:tcPr>
          <w:p>
            <w:pPr>
              <w:widowControl/>
              <w:overflowPunct w:val="0"/>
              <w:autoSpaceDE w:val="0"/>
              <w:autoSpaceDN w:val="0"/>
              <w:adjustRightInd w:val="0"/>
              <w:spacing w:line="460" w:lineRule="exact"/>
              <w:jc w:val="center"/>
              <w:textAlignment w:val="baseline"/>
              <w:outlineLvl w:val="9"/>
              <w:rPr>
                <w:rFonts w:hint="eastAsia" w:ascii="Times New Roman" w:hAnsi="Times New Roman" w:eastAsia="宋体" w:cs="Times New Roman"/>
                <w:color w:val="auto"/>
                <w:kern w:val="2"/>
                <w:sz w:val="24"/>
                <w:szCs w:val="24"/>
                <w:highlight w:val="none"/>
                <w:lang w:val="en-US" w:eastAsia="zh-CN" w:bidi="ar-SA"/>
              </w:rPr>
            </w:pPr>
            <w:r>
              <w:rPr>
                <w:rFonts w:hint="eastAsia" w:ascii="宋体" w:hAnsi="宋体"/>
                <w:bCs/>
                <w:color w:val="auto"/>
                <w:kern w:val="0"/>
                <w:sz w:val="24"/>
                <w:highlight w:val="none"/>
              </w:rPr>
              <w:t>预算金额</w:t>
            </w:r>
          </w:p>
        </w:tc>
        <w:tc>
          <w:tcPr>
            <w:tcW w:w="1910" w:type="dxa"/>
            <w:vAlign w:val="center"/>
          </w:tcPr>
          <w:p>
            <w:pPr>
              <w:widowControl/>
              <w:overflowPunct w:val="0"/>
              <w:autoSpaceDE w:val="0"/>
              <w:autoSpaceDN w:val="0"/>
              <w:adjustRightInd w:val="0"/>
              <w:spacing w:line="460" w:lineRule="exact"/>
              <w:jc w:val="center"/>
              <w:textAlignment w:val="baseline"/>
              <w:outlineLvl w:val="9"/>
              <w:rPr>
                <w:rFonts w:hint="default" w:ascii="宋体" w:hAnsi="宋体" w:eastAsia="宋体"/>
                <w:bCs/>
                <w:color w:val="auto"/>
                <w:kern w:val="0"/>
                <w:sz w:val="24"/>
                <w:highlight w:val="none"/>
                <w:lang w:val="en-US" w:eastAsia="zh-CN"/>
              </w:rPr>
            </w:pPr>
            <w:r>
              <w:rPr>
                <w:rFonts w:hint="eastAsia" w:ascii="宋体" w:hAnsi="宋体"/>
                <w:bCs/>
                <w:color w:val="auto"/>
                <w:kern w:val="0"/>
                <w:sz w:val="24"/>
                <w:highlight w:val="none"/>
                <w:lang w:val="en-US" w:eastAsia="zh-CN"/>
              </w:rPr>
              <w:t>最高限价</w:t>
            </w:r>
          </w:p>
        </w:tc>
        <w:tc>
          <w:tcPr>
            <w:tcW w:w="1004" w:type="dxa"/>
            <w:vAlign w:val="center"/>
          </w:tcPr>
          <w:p>
            <w:pPr>
              <w:widowControl/>
              <w:overflowPunct w:val="0"/>
              <w:autoSpaceDE w:val="0"/>
              <w:autoSpaceDN w:val="0"/>
              <w:adjustRightInd w:val="0"/>
              <w:spacing w:line="460" w:lineRule="exact"/>
              <w:jc w:val="center"/>
              <w:textAlignment w:val="baseline"/>
              <w:outlineLvl w:val="9"/>
              <w:rPr>
                <w:rFonts w:hint="eastAsia" w:ascii="宋体" w:hAnsi="宋体"/>
                <w:bCs/>
                <w:color w:val="auto"/>
                <w:kern w:val="0"/>
                <w:sz w:val="24"/>
                <w:highlight w:val="none"/>
                <w:lang w:val="en-US" w:eastAsia="zh-CN"/>
              </w:rPr>
            </w:pPr>
            <w:r>
              <w:rPr>
                <w:rFonts w:hint="eastAsia" w:ascii="宋体" w:hAnsi="宋体"/>
                <w:bCs/>
                <w:color w:val="auto"/>
                <w:kern w:val="0"/>
                <w:sz w:val="24"/>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8" w:hRule="atLeast"/>
          <w:jc w:val="center"/>
        </w:trPr>
        <w:tc>
          <w:tcPr>
            <w:tcW w:w="1112" w:type="dxa"/>
            <w:vAlign w:val="center"/>
          </w:tcPr>
          <w:p>
            <w:pPr>
              <w:spacing w:line="380" w:lineRule="exact"/>
              <w:jc w:val="center"/>
              <w:outlineLvl w:val="9"/>
              <w:rPr>
                <w:rFonts w:hint="default" w:ascii="宋体" w:hAnsi="宋体" w:cs="宋体"/>
                <w:color w:val="auto"/>
                <w:sz w:val="24"/>
                <w:highlight w:val="none"/>
                <w:lang w:val="en-US" w:eastAsia="zh-CN"/>
              </w:rPr>
            </w:pPr>
            <w:r>
              <w:rPr>
                <w:rFonts w:hint="eastAsia" w:ascii="宋体" w:hAnsi="宋体" w:cs="宋体"/>
                <w:color w:val="auto"/>
                <w:sz w:val="24"/>
                <w:highlight w:val="none"/>
                <w:lang w:val="en-US" w:eastAsia="zh-CN"/>
              </w:rPr>
              <w:t>一</w:t>
            </w:r>
          </w:p>
        </w:tc>
        <w:tc>
          <w:tcPr>
            <w:tcW w:w="3354" w:type="dxa"/>
            <w:vAlign w:val="center"/>
          </w:tcPr>
          <w:p>
            <w:pPr>
              <w:spacing w:line="380" w:lineRule="exact"/>
              <w:jc w:val="center"/>
              <w:outlineLvl w:val="9"/>
              <w:rPr>
                <w:rFonts w:hint="eastAsia" w:ascii="Times New Roman" w:hAnsi="Times New Roman" w:cs="Times New Roman"/>
                <w:color w:val="auto"/>
                <w:sz w:val="24"/>
                <w:highlight w:val="none"/>
                <w:lang w:val="en-US" w:eastAsia="zh-CN"/>
              </w:rPr>
            </w:pPr>
            <w:r>
              <w:rPr>
                <w:rFonts w:hint="eastAsia" w:ascii="宋体" w:hAnsi="宋体" w:cs="宋体"/>
                <w:b w:val="0"/>
                <w:bCs w:val="0"/>
                <w:color w:val="auto"/>
                <w:sz w:val="24"/>
                <w:highlight w:val="none"/>
                <w:lang w:eastAsia="zh-CN"/>
              </w:rPr>
              <w:t>东阳市横店医院公共卫生综合楼百级手术室、供应中心净化系统设备采购及安装项目</w:t>
            </w:r>
          </w:p>
        </w:tc>
        <w:tc>
          <w:tcPr>
            <w:tcW w:w="2145" w:type="dxa"/>
            <w:vAlign w:val="center"/>
          </w:tcPr>
          <w:p>
            <w:pPr>
              <w:spacing w:line="380" w:lineRule="exact"/>
              <w:jc w:val="center"/>
              <w:outlineLvl w:val="9"/>
              <w:rPr>
                <w:rFonts w:hint="default"/>
                <w:color w:val="auto"/>
                <w:sz w:val="24"/>
                <w:highlight w:val="none"/>
                <w:lang w:val="en-US" w:eastAsia="zh-CN"/>
              </w:rPr>
            </w:pPr>
            <w:r>
              <w:rPr>
                <w:rFonts w:hint="eastAsia" w:ascii="宋体" w:hAnsi="宋体" w:cs="宋体"/>
                <w:bCs/>
                <w:color w:val="auto"/>
                <w:sz w:val="24"/>
                <w:highlight w:val="none"/>
                <w:lang w:val="en-US" w:eastAsia="zh-CN"/>
              </w:rPr>
              <w:t>992.04万元</w:t>
            </w:r>
          </w:p>
        </w:tc>
        <w:tc>
          <w:tcPr>
            <w:tcW w:w="1910" w:type="dxa"/>
            <w:vAlign w:val="center"/>
          </w:tcPr>
          <w:p>
            <w:pPr>
              <w:spacing w:line="380" w:lineRule="exact"/>
              <w:jc w:val="center"/>
              <w:outlineLvl w:val="9"/>
              <w:rPr>
                <w:rFonts w:hint="eastAsia"/>
                <w:color w:val="auto"/>
                <w:sz w:val="24"/>
                <w:highlight w:val="none"/>
                <w:lang w:val="en-US" w:eastAsia="zh-CN"/>
              </w:rPr>
            </w:pPr>
            <w:r>
              <w:rPr>
                <w:rFonts w:hint="eastAsia" w:ascii="宋体" w:hAnsi="宋体" w:cs="宋体"/>
                <w:bCs/>
                <w:color w:val="auto"/>
                <w:sz w:val="24"/>
                <w:highlight w:val="none"/>
                <w:lang w:val="en-US" w:eastAsia="zh-CN"/>
              </w:rPr>
              <w:t>772.8205万元</w:t>
            </w:r>
          </w:p>
        </w:tc>
        <w:tc>
          <w:tcPr>
            <w:tcW w:w="1004" w:type="dxa"/>
            <w:vAlign w:val="center"/>
          </w:tcPr>
          <w:p>
            <w:pPr>
              <w:spacing w:line="380" w:lineRule="exact"/>
              <w:jc w:val="center"/>
              <w:outlineLvl w:val="9"/>
              <w:rPr>
                <w:rFonts w:hint="eastAsia"/>
                <w:color w:val="auto"/>
                <w:sz w:val="24"/>
                <w:highlight w:val="none"/>
                <w:lang w:val="en-US" w:eastAsia="zh-CN"/>
              </w:rPr>
            </w:pPr>
          </w:p>
        </w:tc>
      </w:tr>
      <w:bookmarkEnd w:id="10"/>
    </w:tbl>
    <w:p>
      <w:pPr>
        <w:numPr>
          <w:ilvl w:val="0"/>
          <w:numId w:val="3"/>
        </w:numPr>
        <w:spacing w:line="360" w:lineRule="auto"/>
        <w:outlineLvl w:val="9"/>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项目概况</w:t>
      </w:r>
    </w:p>
    <w:p>
      <w:pPr>
        <w:snapToGrid w:val="0"/>
        <w:spacing w:line="360" w:lineRule="auto"/>
        <w:ind w:firstLine="482" w:firstLineChars="200"/>
        <w:outlineLvl w:val="9"/>
        <w:rPr>
          <w:rFonts w:hint="default" w:ascii="宋体" w:hAnsi="宋体" w:eastAsia="宋体" w:cs="宋体"/>
          <w:b/>
          <w:color w:val="auto"/>
          <w:sz w:val="24"/>
          <w:szCs w:val="24"/>
          <w:highlight w:val="none"/>
          <w:lang w:val="en-US" w:eastAsia="zh-CN"/>
        </w:rPr>
      </w:pPr>
      <w:r>
        <w:rPr>
          <w:rFonts w:hint="eastAsia" w:ascii="宋体" w:hAnsi="宋体" w:eastAsia="宋体" w:cs="宋体"/>
          <w:b/>
          <w:color w:val="auto"/>
          <w:sz w:val="24"/>
          <w:szCs w:val="24"/>
          <w:highlight w:val="none"/>
        </w:rPr>
        <w:t>（一）项目概述</w:t>
      </w:r>
      <w:r>
        <w:rPr>
          <w:rFonts w:hint="eastAsia" w:ascii="宋体" w:hAnsi="宋体" w:cs="宋体"/>
          <w:b/>
          <w:color w:val="auto"/>
          <w:sz w:val="24"/>
          <w:szCs w:val="24"/>
          <w:highlight w:val="none"/>
          <w:lang w:val="en-US" w:eastAsia="zh-CN"/>
        </w:rPr>
        <w:t xml:space="preserve">   </w:t>
      </w:r>
    </w:p>
    <w:p>
      <w:pPr>
        <w:spacing w:before="120" w:beforeLines="50"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本项目为东阳市横店医院公共卫生综合楼百级手术室、供应中心净化系统设备采购及安装项目。</w:t>
      </w:r>
    </w:p>
    <w:p>
      <w:pPr>
        <w:snapToGrid w:val="0"/>
        <w:spacing w:line="360" w:lineRule="auto"/>
        <w:ind w:firstLine="482" w:firstLineChars="200"/>
        <w:outlineLvl w:val="9"/>
        <w:rPr>
          <w:rFonts w:ascii="宋体" w:hAnsi="宋体" w:cs="宋体"/>
          <w:b/>
          <w:color w:val="auto"/>
          <w:sz w:val="24"/>
          <w:szCs w:val="24"/>
          <w:highlight w:val="none"/>
        </w:rPr>
      </w:pPr>
      <w:r>
        <w:rPr>
          <w:rFonts w:hint="eastAsia" w:ascii="宋体" w:hAnsi="宋体" w:cs="宋体"/>
          <w:b/>
          <w:color w:val="auto"/>
          <w:sz w:val="24"/>
          <w:szCs w:val="24"/>
          <w:highlight w:val="none"/>
        </w:rPr>
        <w:t>1、</w:t>
      </w:r>
      <w:r>
        <w:rPr>
          <w:rStyle w:val="52"/>
          <w:rFonts w:hint="eastAsia" w:ascii="宋体" w:hAnsi="宋体" w:cs="宋体"/>
          <w:b/>
          <w:bCs/>
          <w:color w:val="auto"/>
          <w:sz w:val="24"/>
          <w:szCs w:val="24"/>
          <w:highlight w:val="none"/>
        </w:rPr>
        <w:t>项目</w:t>
      </w:r>
      <w:r>
        <w:rPr>
          <w:rFonts w:hint="eastAsia" w:ascii="宋体" w:hAnsi="宋体" w:cs="宋体"/>
          <w:b/>
          <w:color w:val="auto"/>
          <w:sz w:val="24"/>
          <w:szCs w:val="24"/>
          <w:highlight w:val="none"/>
        </w:rPr>
        <w:t>范围</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本项目净化专项区域包括四层净化手术部、三层供应中心等区域的净化装饰、基本装备、空调、电气、给排水系统的采购及安装、调试、检测、保修。具体内容如下：</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四层洁净手术部：共设计4间手术室设有防辐射百级（Ⅰ级）手术室2间、万级（Ⅲ级）手术室1间、万级（Ⅲ级）正负压切换手术室1间，平面设计均采用双走廊形式，内洁净走道为病人、洁物、医护人员走道，外洁净走道为污物通道，做到了洁污分流，流线清晰；配套设计相关辅房，走廊。</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三层供应中心：去污区、检查打包区、无菌发放区及相关辅房；</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一层急诊区域医用气体系统。</w:t>
      </w:r>
    </w:p>
    <w:p>
      <w:pPr>
        <w:snapToGrid w:val="0"/>
        <w:spacing w:line="360" w:lineRule="auto"/>
        <w:ind w:firstLine="482" w:firstLineChars="200"/>
        <w:outlineLvl w:val="9"/>
        <w:rPr>
          <w:rFonts w:hint="eastAsia" w:ascii="宋体" w:hAnsi="宋体" w:cs="宋体"/>
          <w:b/>
          <w:bCs/>
          <w:color w:val="auto"/>
          <w:sz w:val="24"/>
          <w:szCs w:val="24"/>
          <w:highlight w:val="none"/>
        </w:rPr>
      </w:pPr>
      <w:r>
        <w:rPr>
          <w:rFonts w:hint="eastAsia" w:ascii="宋体" w:hAnsi="宋体" w:cs="宋体"/>
          <w:b/>
          <w:bCs/>
          <w:color w:val="auto"/>
          <w:sz w:val="24"/>
          <w:szCs w:val="24"/>
          <w:highlight w:val="none"/>
        </w:rPr>
        <w:t>2、采购清单：见附件</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 xml:space="preserve">   </w:t>
      </w:r>
    </w:p>
    <w:p>
      <w:pPr>
        <w:snapToGrid w:val="0"/>
        <w:spacing w:line="360" w:lineRule="auto"/>
        <w:ind w:firstLine="482" w:firstLineChars="200"/>
        <w:outlineLvl w:val="9"/>
        <w:rPr>
          <w:rFonts w:ascii="宋体" w:hAnsi="宋体" w:cs="宋体"/>
          <w:b/>
          <w:bCs/>
          <w:color w:val="auto"/>
          <w:sz w:val="24"/>
          <w:szCs w:val="24"/>
          <w:highlight w:val="none"/>
        </w:rPr>
      </w:pPr>
      <w:r>
        <w:rPr>
          <w:rFonts w:hint="eastAsia" w:ascii="宋体" w:hAnsi="宋体" w:cs="宋体"/>
          <w:b/>
          <w:bCs/>
          <w:color w:val="auto"/>
          <w:sz w:val="24"/>
          <w:szCs w:val="24"/>
          <w:highlight w:val="none"/>
        </w:rPr>
        <w:t>3、基本服务内容</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本项目技术服务至少应包括以下内容：</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提供设备和材料并负责运输至现场并就位；</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净化空调机组和相关设备的安装；</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调试、检测和接受主管部门验收直至合格；</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用户培训；</w:t>
      </w:r>
    </w:p>
    <w:p>
      <w:pPr>
        <w:widowControl w:val="0"/>
        <w:numPr>
          <w:ilvl w:val="0"/>
          <w:numId w:val="4"/>
        </w:numPr>
        <w:snapToGrid w:val="0"/>
        <w:spacing w:line="360" w:lineRule="auto"/>
        <w:ind w:firstLine="480" w:firstLineChars="200"/>
        <w:jc w:val="both"/>
        <w:outlineLvl w:val="9"/>
        <w:rPr>
          <w:rFonts w:ascii="宋体" w:hAnsi="宋体" w:cs="宋体"/>
          <w:color w:val="auto"/>
          <w:sz w:val="24"/>
          <w:szCs w:val="24"/>
          <w:highlight w:val="none"/>
        </w:rPr>
      </w:pPr>
      <w:r>
        <w:rPr>
          <w:rFonts w:hint="eastAsia" w:ascii="宋体" w:hAnsi="宋体" w:cs="宋体"/>
          <w:color w:val="auto"/>
          <w:sz w:val="24"/>
          <w:szCs w:val="24"/>
          <w:highlight w:val="none"/>
        </w:rPr>
        <w:t>交付采购人正式启用；</w:t>
      </w:r>
    </w:p>
    <w:p>
      <w:pPr>
        <w:widowControl w:val="0"/>
        <w:numPr>
          <w:ilvl w:val="0"/>
          <w:numId w:val="4"/>
        </w:numPr>
        <w:snapToGrid w:val="0"/>
        <w:spacing w:line="360" w:lineRule="auto"/>
        <w:ind w:firstLine="480" w:firstLineChars="200"/>
        <w:jc w:val="both"/>
        <w:outlineLvl w:val="9"/>
        <w:rPr>
          <w:rFonts w:ascii="宋体" w:hAnsi="宋体" w:cs="宋体"/>
          <w:color w:val="auto"/>
          <w:sz w:val="24"/>
          <w:szCs w:val="24"/>
          <w:highlight w:val="none"/>
        </w:rPr>
      </w:pPr>
      <w:r>
        <w:rPr>
          <w:rFonts w:hint="eastAsia" w:ascii="宋体" w:hAnsi="宋体" w:cs="宋体"/>
          <w:color w:val="auto"/>
          <w:sz w:val="24"/>
          <w:szCs w:val="24"/>
          <w:highlight w:val="none"/>
        </w:rPr>
        <w:t>售后服务。</w:t>
      </w:r>
    </w:p>
    <w:p>
      <w:pPr>
        <w:widowControl w:val="0"/>
        <w:numPr>
          <w:ilvl w:val="0"/>
          <w:numId w:val="4"/>
        </w:numPr>
        <w:snapToGrid w:val="0"/>
        <w:spacing w:line="360" w:lineRule="auto"/>
        <w:ind w:firstLine="480" w:firstLineChars="200"/>
        <w:jc w:val="both"/>
        <w:outlineLvl w:val="9"/>
        <w:rPr>
          <w:rFonts w:ascii="宋体" w:hAnsi="宋体" w:cs="宋体"/>
          <w:color w:val="auto"/>
          <w:sz w:val="24"/>
          <w:szCs w:val="24"/>
          <w:highlight w:val="none"/>
        </w:rPr>
      </w:pPr>
      <w:r>
        <w:rPr>
          <w:rFonts w:hint="eastAsia" w:ascii="宋体" w:hAnsi="宋体" w:cs="宋体"/>
          <w:color w:val="auto"/>
          <w:sz w:val="24"/>
          <w:szCs w:val="24"/>
          <w:highlight w:val="none"/>
        </w:rPr>
        <w:t>净化系统所包含的所有设备以及所需配套安装，净化风管、水、电、医用气体、蒸汽管线等均需安装到位，除采购人另有要求外，其余费用自行计算进投标报价，后期不做更改。</w:t>
      </w:r>
    </w:p>
    <w:p>
      <w:pPr>
        <w:snapToGrid w:val="0"/>
        <w:spacing w:line="360" w:lineRule="auto"/>
        <w:ind w:firstLine="482" w:firstLineChars="200"/>
        <w:outlineLvl w:val="9"/>
        <w:rPr>
          <w:rFonts w:ascii="宋体" w:hAnsi="宋体" w:cs="宋体"/>
          <w:b/>
          <w:color w:val="auto"/>
          <w:sz w:val="24"/>
          <w:szCs w:val="24"/>
          <w:highlight w:val="none"/>
        </w:rPr>
      </w:pPr>
      <w:bookmarkStart w:id="11" w:name="_Toc385114460"/>
      <w:bookmarkStart w:id="12" w:name="_Toc385114024"/>
      <w:bookmarkStart w:id="13" w:name="_Toc385167592"/>
      <w:bookmarkStart w:id="14" w:name="_Toc301809065"/>
      <w:bookmarkStart w:id="15" w:name="_Toc282266134"/>
      <w:bookmarkStart w:id="16" w:name="_Toc282180548"/>
      <w:r>
        <w:rPr>
          <w:rFonts w:hint="eastAsia" w:ascii="宋体" w:hAnsi="宋体" w:cs="宋体"/>
          <w:b/>
          <w:color w:val="auto"/>
          <w:sz w:val="24"/>
          <w:szCs w:val="24"/>
          <w:highlight w:val="none"/>
        </w:rPr>
        <w:t>4、系统调试验收</w:t>
      </w:r>
      <w:bookmarkEnd w:id="11"/>
      <w:bookmarkEnd w:id="12"/>
      <w:bookmarkEnd w:id="13"/>
      <w:bookmarkEnd w:id="14"/>
      <w:bookmarkEnd w:id="15"/>
      <w:bookmarkEnd w:id="16"/>
    </w:p>
    <w:p>
      <w:pPr>
        <w:widowControl w:val="0"/>
        <w:numPr>
          <w:ilvl w:val="0"/>
          <w:numId w:val="5"/>
        </w:numPr>
        <w:snapToGrid w:val="0"/>
        <w:spacing w:line="360" w:lineRule="auto"/>
        <w:ind w:firstLine="480" w:firstLineChars="200"/>
        <w:jc w:val="both"/>
        <w:outlineLvl w:val="9"/>
        <w:rPr>
          <w:rFonts w:ascii="宋体" w:hAnsi="宋体" w:cs="宋体"/>
          <w:color w:val="auto"/>
          <w:sz w:val="24"/>
          <w:szCs w:val="24"/>
          <w:highlight w:val="none"/>
        </w:rPr>
      </w:pPr>
      <w:r>
        <w:rPr>
          <w:rFonts w:hint="eastAsia" w:ascii="宋体" w:hAnsi="宋体" w:cs="宋体"/>
          <w:color w:val="auto"/>
          <w:sz w:val="24"/>
          <w:szCs w:val="24"/>
          <w:highlight w:val="none"/>
        </w:rPr>
        <w:t>中标人在系统安装和接线全部完成后，由采购人负责请当地疾控中心（市级及以上）或经采购人认可的第三方具备检测资质的检验权威机构对本净化项目进行测试，并出具检测报告。</w:t>
      </w:r>
    </w:p>
    <w:p>
      <w:pPr>
        <w:widowControl w:val="0"/>
        <w:numPr>
          <w:ilvl w:val="0"/>
          <w:numId w:val="5"/>
        </w:numPr>
        <w:snapToGrid w:val="0"/>
        <w:spacing w:line="360" w:lineRule="auto"/>
        <w:ind w:firstLine="480" w:firstLineChars="200"/>
        <w:jc w:val="both"/>
        <w:outlineLvl w:val="9"/>
        <w:rPr>
          <w:rFonts w:ascii="宋体" w:hAnsi="宋体" w:cs="宋体"/>
          <w:color w:val="auto"/>
          <w:sz w:val="24"/>
          <w:szCs w:val="24"/>
          <w:highlight w:val="none"/>
        </w:rPr>
      </w:pPr>
      <w:r>
        <w:rPr>
          <w:rFonts w:hint="eastAsia" w:ascii="宋体" w:hAnsi="宋体" w:cs="宋体"/>
          <w:color w:val="auto"/>
          <w:sz w:val="24"/>
          <w:szCs w:val="24"/>
          <w:highlight w:val="none"/>
        </w:rPr>
        <w:t>净化测试项目为：静压差、温度、相对湿度、噪声、洁净度、照度、尘埃粒子，具体项目遵照设计和相关规范的要求执行。</w:t>
      </w:r>
    </w:p>
    <w:p>
      <w:pPr>
        <w:widowControl w:val="0"/>
        <w:numPr>
          <w:ilvl w:val="0"/>
          <w:numId w:val="5"/>
        </w:numPr>
        <w:snapToGrid w:val="0"/>
        <w:spacing w:line="360" w:lineRule="auto"/>
        <w:ind w:firstLine="480" w:firstLineChars="200"/>
        <w:jc w:val="both"/>
        <w:outlineLvl w:val="9"/>
        <w:rPr>
          <w:rFonts w:ascii="宋体" w:hAnsi="宋体" w:cs="宋体"/>
          <w:color w:val="auto"/>
          <w:sz w:val="24"/>
          <w:szCs w:val="24"/>
          <w:highlight w:val="none"/>
        </w:rPr>
      </w:pPr>
      <w:r>
        <w:rPr>
          <w:rFonts w:hint="eastAsia" w:ascii="宋体" w:hAnsi="宋体" w:cs="宋体"/>
          <w:color w:val="auto"/>
          <w:sz w:val="24"/>
          <w:szCs w:val="24"/>
          <w:highlight w:val="none"/>
        </w:rPr>
        <w:t>对测试不合格项目，中标</w:t>
      </w:r>
      <w:r>
        <w:rPr>
          <w:rFonts w:hint="eastAsia" w:ascii="宋体" w:hAnsi="宋体" w:cs="宋体"/>
          <w:color w:val="auto"/>
          <w:sz w:val="24"/>
          <w:szCs w:val="24"/>
          <w:highlight w:val="none"/>
          <w:lang w:val="en-US" w:eastAsia="zh-CN"/>
        </w:rPr>
        <w:t>人</w:t>
      </w:r>
      <w:r>
        <w:rPr>
          <w:rFonts w:hint="eastAsia" w:ascii="宋体" w:hAnsi="宋体" w:cs="宋体"/>
          <w:color w:val="auto"/>
          <w:sz w:val="24"/>
          <w:szCs w:val="24"/>
          <w:highlight w:val="none"/>
        </w:rPr>
        <w:t>应及时整改，在整改后，主要指标仍不能达标的，采购人将保留追究其经济及法律责任的权利。</w:t>
      </w:r>
    </w:p>
    <w:p>
      <w:pPr>
        <w:widowControl w:val="0"/>
        <w:numPr>
          <w:ilvl w:val="0"/>
          <w:numId w:val="5"/>
        </w:numPr>
        <w:snapToGrid w:val="0"/>
        <w:spacing w:line="360" w:lineRule="auto"/>
        <w:ind w:firstLine="480" w:firstLineChars="200"/>
        <w:jc w:val="both"/>
        <w:outlineLvl w:val="9"/>
        <w:rPr>
          <w:rFonts w:ascii="宋体" w:hAnsi="宋体" w:cs="宋体"/>
          <w:color w:val="auto"/>
          <w:sz w:val="24"/>
          <w:szCs w:val="24"/>
          <w:highlight w:val="none"/>
        </w:rPr>
      </w:pPr>
      <w:r>
        <w:rPr>
          <w:rFonts w:hint="eastAsia" w:ascii="宋体" w:hAnsi="宋体" w:cs="宋体"/>
          <w:color w:val="auto"/>
          <w:sz w:val="24"/>
          <w:szCs w:val="24"/>
          <w:highlight w:val="none"/>
        </w:rPr>
        <w:t>所有的测试运行结束后，系统的技术文字资料和有关的事项必须经过采购人审批，完全符合要求后，方可正式交付采购人。</w:t>
      </w:r>
    </w:p>
    <w:p>
      <w:pPr>
        <w:snapToGrid w:val="0"/>
        <w:spacing w:line="360" w:lineRule="auto"/>
        <w:ind w:firstLine="482" w:firstLineChars="200"/>
        <w:outlineLvl w:val="9"/>
        <w:rPr>
          <w:rFonts w:ascii="宋体" w:hAnsi="宋体" w:cs="宋体"/>
          <w:b/>
          <w:color w:val="auto"/>
          <w:sz w:val="24"/>
          <w:szCs w:val="24"/>
          <w:highlight w:val="none"/>
        </w:rPr>
      </w:pPr>
      <w:bookmarkStart w:id="17" w:name="_Toc282266135"/>
      <w:bookmarkStart w:id="18" w:name="_Toc385167593"/>
      <w:bookmarkStart w:id="19" w:name="_Toc301809066"/>
      <w:bookmarkStart w:id="20" w:name="_Toc282180549"/>
      <w:bookmarkStart w:id="21" w:name="_Toc385114025"/>
      <w:bookmarkStart w:id="22" w:name="_Toc385114461"/>
      <w:bookmarkStart w:id="23" w:name="_Toc114930404"/>
      <w:r>
        <w:rPr>
          <w:rFonts w:hint="eastAsia" w:ascii="宋体" w:hAnsi="宋体" w:cs="宋体"/>
          <w:b/>
          <w:color w:val="auto"/>
          <w:sz w:val="24"/>
          <w:szCs w:val="24"/>
          <w:highlight w:val="none"/>
        </w:rPr>
        <w:t>5、用户培训</w:t>
      </w:r>
      <w:bookmarkEnd w:id="17"/>
      <w:bookmarkEnd w:id="18"/>
      <w:bookmarkEnd w:id="19"/>
      <w:bookmarkEnd w:id="20"/>
      <w:bookmarkEnd w:id="21"/>
      <w:bookmarkEnd w:id="22"/>
      <w:bookmarkEnd w:id="23"/>
    </w:p>
    <w:p>
      <w:pPr>
        <w:widowControl w:val="0"/>
        <w:numPr>
          <w:ilvl w:val="0"/>
          <w:numId w:val="6"/>
        </w:numPr>
        <w:snapToGrid w:val="0"/>
        <w:spacing w:line="360" w:lineRule="auto"/>
        <w:ind w:left="840" w:hanging="420"/>
        <w:jc w:val="both"/>
        <w:outlineLvl w:val="9"/>
        <w:rPr>
          <w:rFonts w:ascii="宋体" w:hAnsi="宋体" w:cs="宋体"/>
          <w:color w:val="auto"/>
          <w:sz w:val="24"/>
          <w:szCs w:val="24"/>
          <w:highlight w:val="none"/>
        </w:rPr>
      </w:pPr>
      <w:r>
        <w:rPr>
          <w:rFonts w:hint="eastAsia" w:ascii="宋体" w:hAnsi="宋体" w:cs="宋体"/>
          <w:color w:val="auto"/>
          <w:sz w:val="24"/>
          <w:szCs w:val="24"/>
          <w:highlight w:val="none"/>
        </w:rPr>
        <w:t>系统安装前介绍系统的接线、配电要求、安装要求。</w:t>
      </w:r>
    </w:p>
    <w:p>
      <w:pPr>
        <w:widowControl w:val="0"/>
        <w:numPr>
          <w:ilvl w:val="0"/>
          <w:numId w:val="6"/>
        </w:numPr>
        <w:snapToGrid w:val="0"/>
        <w:spacing w:line="360" w:lineRule="auto"/>
        <w:ind w:firstLine="480" w:firstLineChars="200"/>
        <w:jc w:val="both"/>
        <w:outlineLvl w:val="9"/>
        <w:rPr>
          <w:rFonts w:ascii="宋体" w:hAnsi="宋体" w:cs="宋体"/>
          <w:color w:val="auto"/>
          <w:sz w:val="24"/>
          <w:szCs w:val="24"/>
          <w:highlight w:val="none"/>
        </w:rPr>
      </w:pPr>
      <w:r>
        <w:rPr>
          <w:rFonts w:hint="eastAsia" w:ascii="宋体" w:hAnsi="宋体" w:cs="宋体"/>
          <w:color w:val="auto"/>
          <w:sz w:val="24"/>
          <w:szCs w:val="24"/>
          <w:highlight w:val="none"/>
        </w:rPr>
        <w:t>调试中应安排采购人的管理人员跟随调试的全过程，使他们熟悉整个系统的结构，调试过程以及操作过程中的注意事项。</w:t>
      </w:r>
    </w:p>
    <w:p>
      <w:pPr>
        <w:widowControl w:val="0"/>
        <w:numPr>
          <w:ilvl w:val="0"/>
          <w:numId w:val="6"/>
        </w:numPr>
        <w:snapToGrid w:val="0"/>
        <w:spacing w:line="360" w:lineRule="auto"/>
        <w:ind w:firstLine="480" w:firstLineChars="200"/>
        <w:jc w:val="both"/>
        <w:outlineLvl w:val="9"/>
        <w:rPr>
          <w:rFonts w:ascii="宋体" w:hAnsi="宋体" w:cs="宋体"/>
          <w:color w:val="auto"/>
          <w:sz w:val="24"/>
          <w:szCs w:val="24"/>
          <w:highlight w:val="none"/>
        </w:rPr>
      </w:pPr>
      <w:r>
        <w:rPr>
          <w:rFonts w:hint="eastAsia" w:ascii="宋体" w:hAnsi="宋体" w:cs="宋体"/>
          <w:color w:val="auto"/>
          <w:sz w:val="24"/>
          <w:szCs w:val="24"/>
          <w:highlight w:val="none"/>
        </w:rPr>
        <w:t>对维护和操作人员进行全面培训。</w:t>
      </w:r>
    </w:p>
    <w:p>
      <w:pPr>
        <w:snapToGrid w:val="0"/>
        <w:spacing w:line="360" w:lineRule="auto"/>
        <w:ind w:firstLine="482" w:firstLineChars="200"/>
        <w:outlineLvl w:val="9"/>
        <w:rPr>
          <w:rFonts w:hint="eastAsia" w:ascii="宋体" w:hAnsi="宋体" w:eastAsia="宋体" w:cs="宋体"/>
          <w:b/>
          <w:color w:val="auto"/>
          <w:sz w:val="24"/>
          <w:szCs w:val="24"/>
          <w:highlight w:val="none"/>
        </w:rPr>
      </w:pPr>
    </w:p>
    <w:p>
      <w:pPr>
        <w:snapToGrid w:val="0"/>
        <w:spacing w:line="360" w:lineRule="auto"/>
        <w:ind w:firstLine="482" w:firstLineChars="200"/>
        <w:outlineLvl w:val="9"/>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（二）技术标准与规范</w:t>
      </w:r>
    </w:p>
    <w:p>
      <w:pPr>
        <w:snapToGrid w:val="0"/>
        <w:spacing w:line="360" w:lineRule="auto"/>
        <w:ind w:firstLine="480" w:firstLineChars="200"/>
        <w:outlineLvl w:val="9"/>
        <w:rPr>
          <w:rFonts w:ascii="宋体" w:hAnsi="宋体" w:cs="宋体"/>
          <w:color w:val="auto"/>
          <w:sz w:val="24"/>
          <w:szCs w:val="24"/>
          <w:highlight w:val="none"/>
        </w:rPr>
      </w:pPr>
      <w:bookmarkStart w:id="24" w:name="OLE_LINK6"/>
      <w:r>
        <w:rPr>
          <w:rFonts w:hint="eastAsia" w:ascii="宋体" w:hAnsi="宋体" w:cs="宋体"/>
          <w:color w:val="auto"/>
          <w:sz w:val="24"/>
          <w:szCs w:val="24"/>
          <w:highlight w:val="none"/>
        </w:rPr>
        <w:t>本项目所有设备和材料所涉及的设计标准与规范、产品标准与规范、标准与规范等必须符合中华人民共和国相应的最新版标准和规范。主要包括（但不局限于）：</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《综合医院建筑设计规范》　GB51039</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《医院洁净手术部建筑技术规范》　GB50333</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《洁净室施工及验收规范》　GB50591</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《重症医学科建设与管理指南（试行）》</w:t>
      </w:r>
      <w:bookmarkStart w:id="121" w:name="_GoBack"/>
      <w:bookmarkEnd w:id="121"/>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《建筑设计防火规范》 GB50016</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《建筑装饰装修工程质量验收规范》  GB502101</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《建筑内部装修设计防火规范》　GB50222</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《民用建筑供暖通风及空气调节设计规范》  GB50736</w:t>
      </w:r>
    </w:p>
    <w:bookmarkEnd w:id="24"/>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《通风与空调工程施工规范》　GB50738</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《民用建筑电气设计规范》　JGJ16</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《建筑照明设计标准》GB50034</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《医疗建筑电气设计规范》　JGJ312</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《建筑给水排水设计规范》　GB50015</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《医用气体工程技术规范》GB50751</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《医用中心吸引系统通用技术条件》　YY/T 0186</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《医用中心供氧系统通用技术条件》　YY/T 0187</w:t>
      </w:r>
    </w:p>
    <w:p>
      <w:pPr>
        <w:tabs>
          <w:tab w:val="left" w:pos="7020"/>
        </w:tabs>
        <w:snapToGrid w:val="0"/>
        <w:spacing w:line="360" w:lineRule="auto"/>
        <w:ind w:firstLine="482" w:firstLineChars="200"/>
        <w:outlineLvl w:val="9"/>
        <w:rPr>
          <w:rFonts w:ascii="宋体" w:hAnsi="宋体" w:cs="宋体"/>
          <w:b/>
          <w:color w:val="auto"/>
          <w:sz w:val="24"/>
          <w:szCs w:val="24"/>
          <w:highlight w:val="none"/>
        </w:rPr>
      </w:pPr>
      <w:r>
        <w:rPr>
          <w:rFonts w:hint="eastAsia" w:ascii="宋体" w:hAnsi="宋体" w:cs="宋体"/>
          <w:b/>
          <w:color w:val="auto"/>
          <w:sz w:val="24"/>
          <w:szCs w:val="24"/>
          <w:highlight w:val="none"/>
        </w:rPr>
        <w:t>5、其他要求</w:t>
      </w:r>
    </w:p>
    <w:p>
      <w:pPr>
        <w:adjustRightInd w:val="0"/>
        <w:snapToGrid w:val="0"/>
        <w:spacing w:line="360" w:lineRule="auto"/>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原土建墙体上防火门、防火窗、外围结构、土建墙体的修建与拆除、电梯厅、楼梯间、外墙窗户的安装，空调机组基础及防水、空调风管预留洞及防水、空调机房装修、空调机房地漏。上述内容不在招标范围内。</w:t>
      </w:r>
    </w:p>
    <w:p>
      <w:pPr>
        <w:snapToGrid w:val="0"/>
        <w:spacing w:line="360" w:lineRule="auto"/>
        <w:ind w:firstLine="600" w:firstLineChars="25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（2）招标范围内各区域总配电箱及上桩头电缆由甲方提供。屋面风冷热泵机组配电箱AP-KT3、五层空调机组配电箱5AP-KT在本次招标范围内。</w:t>
      </w:r>
    </w:p>
    <w:p>
      <w:pPr>
        <w:adjustRightInd w:val="0"/>
        <w:snapToGrid w:val="0"/>
        <w:spacing w:line="360" w:lineRule="auto"/>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（3）屋面风冷热泵机组基础及结构加固不在招标范围内。</w:t>
      </w:r>
    </w:p>
    <w:p>
      <w:pPr>
        <w:adjustRightInd w:val="0"/>
        <w:snapToGrid w:val="0"/>
        <w:spacing w:line="360" w:lineRule="auto"/>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（4）消防系统：①消防栓、消防喷淋管道；②消防报警；③原土建墙体上防火门；④消防排烟系统；⑤消防应急系统(含应急诱导灯、应急疏散灯和安全出口灯等)等不在招标范围内；</w:t>
      </w:r>
    </w:p>
    <w:p>
      <w:pPr>
        <w:adjustRightInd w:val="0"/>
        <w:snapToGrid w:val="0"/>
        <w:spacing w:line="360" w:lineRule="auto"/>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（5）排水管由甲方在立管预留接驳点。 </w:t>
      </w:r>
    </w:p>
    <w:p>
      <w:pPr>
        <w:adjustRightInd w:val="0"/>
        <w:snapToGrid w:val="0"/>
        <w:spacing w:line="360" w:lineRule="auto"/>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（6）五层设备间区域不在招标范围内（除防辐射手术室正上方的硫酸钡地面）。</w:t>
      </w:r>
    </w:p>
    <w:p>
      <w:pPr>
        <w:adjustRightInd w:val="0"/>
        <w:snapToGrid w:val="0"/>
        <w:spacing w:line="360" w:lineRule="auto"/>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（7）氧气、压缩空气、负压吸引主管引自院区原主管，室外部分气体管道不在招标范围内。</w:t>
      </w:r>
    </w:p>
    <w:p>
      <w:pPr>
        <w:tabs>
          <w:tab w:val="left" w:pos="7020"/>
        </w:tabs>
        <w:spacing w:line="360" w:lineRule="auto"/>
        <w:ind w:firstLine="482" w:firstLineChars="200"/>
        <w:outlineLvl w:val="9"/>
        <w:rPr>
          <w:rFonts w:hint="eastAsia" w:ascii="宋体" w:hAnsi="宋体" w:cs="宋体"/>
          <w:b/>
          <w:color w:val="auto"/>
          <w:sz w:val="24"/>
          <w:szCs w:val="24"/>
          <w:highlight w:val="none"/>
        </w:rPr>
      </w:pPr>
    </w:p>
    <w:p>
      <w:pPr>
        <w:tabs>
          <w:tab w:val="left" w:pos="7020"/>
        </w:tabs>
        <w:spacing w:line="360" w:lineRule="auto"/>
        <w:ind w:firstLine="482" w:firstLineChars="200"/>
        <w:outlineLvl w:val="9"/>
        <w:rPr>
          <w:rFonts w:ascii="宋体" w:hAnsi="宋体" w:cs="宋体"/>
          <w:color w:val="auto"/>
          <w:sz w:val="24"/>
          <w:szCs w:val="24"/>
          <w:highlight w:val="none"/>
        </w:rPr>
      </w:pPr>
      <w:r>
        <w:rPr>
          <w:rFonts w:hint="eastAsia" w:ascii="宋体" w:hAnsi="宋体" w:cs="宋体"/>
          <w:b/>
          <w:color w:val="auto"/>
          <w:sz w:val="24"/>
          <w:szCs w:val="24"/>
          <w:highlight w:val="none"/>
        </w:rPr>
        <w:t>五、各系统技术要求</w:t>
      </w:r>
    </w:p>
    <w:p>
      <w:pPr>
        <w:widowControl w:val="0"/>
        <w:numPr>
          <w:ilvl w:val="0"/>
          <w:numId w:val="7"/>
        </w:numPr>
        <w:tabs>
          <w:tab w:val="left" w:pos="720"/>
        </w:tabs>
        <w:spacing w:line="360" w:lineRule="auto"/>
        <w:ind w:left="0" w:firstLine="482" w:firstLineChars="200"/>
        <w:outlineLvl w:val="9"/>
        <w:rPr>
          <w:rFonts w:ascii="宋体" w:hAnsi="宋体" w:cs="宋体"/>
          <w:b/>
          <w:bCs/>
          <w:color w:val="auto"/>
          <w:sz w:val="24"/>
          <w:szCs w:val="24"/>
          <w:highlight w:val="none"/>
        </w:rPr>
      </w:pPr>
      <w:r>
        <w:rPr>
          <w:rFonts w:hint="eastAsia" w:ascii="宋体" w:hAnsi="宋体" w:cs="宋体"/>
          <w:b/>
          <w:color w:val="auto"/>
          <w:sz w:val="24"/>
          <w:szCs w:val="24"/>
          <w:highlight w:val="none"/>
        </w:rPr>
        <w:t>装饰装修、基本装备系统</w:t>
      </w:r>
    </w:p>
    <w:p>
      <w:pPr>
        <w:widowControl w:val="0"/>
        <w:numPr>
          <w:ilvl w:val="0"/>
          <w:numId w:val="8"/>
        </w:numPr>
        <w:spacing w:line="360" w:lineRule="auto"/>
        <w:ind w:left="0" w:firstLine="482" w:firstLineChars="200"/>
        <w:outlineLvl w:val="9"/>
        <w:rPr>
          <w:rFonts w:ascii="宋体" w:hAnsi="宋体" w:cs="宋体"/>
          <w:b/>
          <w:color w:val="auto"/>
          <w:sz w:val="24"/>
          <w:szCs w:val="24"/>
          <w:highlight w:val="none"/>
        </w:rPr>
      </w:pPr>
      <w:r>
        <w:rPr>
          <w:rFonts w:hint="eastAsia" w:ascii="宋体" w:hAnsi="宋体" w:cs="宋体"/>
          <w:b/>
          <w:color w:val="auto"/>
          <w:sz w:val="24"/>
          <w:szCs w:val="24"/>
          <w:highlight w:val="none"/>
        </w:rPr>
        <w:t>装饰装修系统：</w:t>
      </w:r>
    </w:p>
    <w:p>
      <w:pPr>
        <w:snapToGrid w:val="0"/>
        <w:spacing w:line="360" w:lineRule="auto"/>
        <w:ind w:firstLine="480" w:firstLineChars="200"/>
        <w:outlineLvl w:val="9"/>
        <w:rPr>
          <w:rFonts w:ascii="宋体" w:hAnsi="宋体" w:cs="宋体"/>
          <w:bCs/>
          <w:color w:val="auto"/>
          <w:sz w:val="24"/>
          <w:szCs w:val="24"/>
          <w:highlight w:val="none"/>
        </w:rPr>
      </w:pPr>
      <w:r>
        <w:rPr>
          <w:rFonts w:hint="eastAsia" w:ascii="宋体" w:hAnsi="宋体" w:cs="宋体"/>
          <w:bCs/>
          <w:color w:val="auto"/>
          <w:sz w:val="24"/>
          <w:szCs w:val="24"/>
          <w:highlight w:val="none"/>
        </w:rPr>
        <w:t>系统设计总体要求：</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设计方案应布局合理，功能完善，符合消防疏散、功能流程短捷、洁污分区的原则。严格执行国家各项规范、标准，尤其是强制性标准要求。</w:t>
      </w:r>
    </w:p>
    <w:p>
      <w:pPr>
        <w:spacing w:line="400" w:lineRule="exact"/>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建筑装饰应遵循不产尘、不积尘、耐腐蚀、防潮防霉、容易清洁和符合消防规范要求的总原则。洁净区范围内与空气直接接触的外露材料不得使用木材和石膏等。</w:t>
      </w:r>
    </w:p>
    <w:p>
      <w:pPr>
        <w:widowControl w:val="0"/>
        <w:numPr>
          <w:ilvl w:val="0"/>
          <w:numId w:val="8"/>
        </w:numPr>
        <w:tabs>
          <w:tab w:val="clear" w:pos="720"/>
        </w:tabs>
        <w:spacing w:line="360" w:lineRule="auto"/>
        <w:ind w:left="0" w:firstLine="482" w:firstLineChars="200"/>
        <w:outlineLvl w:val="9"/>
        <w:rPr>
          <w:rFonts w:ascii="宋体" w:hAnsi="宋体" w:cs="宋体"/>
          <w:b/>
          <w:color w:val="auto"/>
          <w:sz w:val="28"/>
          <w:szCs w:val="28"/>
          <w:highlight w:val="none"/>
        </w:rPr>
      </w:pPr>
      <w:r>
        <w:rPr>
          <w:rFonts w:hint="eastAsia" w:ascii="宋体" w:hAnsi="宋体" w:cs="宋体"/>
          <w:b/>
          <w:color w:val="auto"/>
          <w:sz w:val="24"/>
          <w:szCs w:val="24"/>
          <w:highlight w:val="none"/>
        </w:rPr>
        <w:t>洁净手术室基本装备</w:t>
      </w:r>
    </w:p>
    <w:tbl>
      <w:tblPr>
        <w:tblStyle w:val="22"/>
        <w:tblW w:w="8930" w:type="dxa"/>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2"/>
        <w:gridCol w:w="1418"/>
        <w:gridCol w:w="5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842"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装备名称</w:t>
            </w:r>
          </w:p>
        </w:tc>
        <w:tc>
          <w:tcPr>
            <w:tcW w:w="1418"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数量</w:t>
            </w:r>
          </w:p>
        </w:tc>
        <w:tc>
          <w:tcPr>
            <w:tcW w:w="5670"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配 置 要 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842"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 xml:space="preserve"> 中央控制面板</w:t>
            </w:r>
          </w:p>
        </w:tc>
        <w:tc>
          <w:tcPr>
            <w:tcW w:w="1418"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1套</w:t>
            </w:r>
          </w:p>
        </w:tc>
        <w:tc>
          <w:tcPr>
            <w:tcW w:w="5670"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六联：①时钟；②计时钟；③空调系统启停、监控，温湿度显示及控制，高效过滤网堵塞报警；④照明系统控制，麻醉废气排放启停、监控，消防报警；⑤免提电话面板；⑥医气系统监控、报警。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842"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内嵌式器械柜</w:t>
            </w:r>
          </w:p>
        </w:tc>
        <w:tc>
          <w:tcPr>
            <w:tcW w:w="1418"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1套</w:t>
            </w:r>
          </w:p>
        </w:tc>
        <w:tc>
          <w:tcPr>
            <w:tcW w:w="5670"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304不锈钢材料，每间各设2个，不锈钢材料，900*1700*350，分四门开启（移门），上下两层内均有高强度之玻璃拖架，可放置足量手术器械。柜体采用1.2mm磨砂白钢板，柜门色调与手术室主色调颜色相近或相同，周边采用不锈钢包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842"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内嵌式麻醉柜</w:t>
            </w:r>
          </w:p>
        </w:tc>
        <w:tc>
          <w:tcPr>
            <w:tcW w:w="1418"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1套</w:t>
            </w:r>
          </w:p>
        </w:tc>
        <w:tc>
          <w:tcPr>
            <w:tcW w:w="5670"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304不锈钢材料，每间各设1个，不锈钢材料，900*1700*350，分四门开启（移门），中间设置2抽屉上下两层内均有高强度之玻璃拖架，可放置足量手术器械。柜体采用1.2mm磨砂白钢板，柜门色调与手术室主色调颜色相近或相同，周边采用不锈钢包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842"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内嵌式药品柜</w:t>
            </w:r>
          </w:p>
        </w:tc>
        <w:tc>
          <w:tcPr>
            <w:tcW w:w="1418"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1套</w:t>
            </w:r>
          </w:p>
        </w:tc>
        <w:tc>
          <w:tcPr>
            <w:tcW w:w="5670"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304不锈钢材料，每间各设1个，不锈钢材料，900*1700*350，采用上移门，下部设抽屉，上层内均有高强度之玻璃拖架，可放置足量手术器械。柜体采用1.2mm磨砂白钢板，柜门色调与手术室主色调颜色相近或相同，周边采用不锈钢包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842"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X光观片箱</w:t>
            </w:r>
          </w:p>
        </w:tc>
        <w:tc>
          <w:tcPr>
            <w:tcW w:w="1418"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1套</w:t>
            </w:r>
          </w:p>
        </w:tc>
        <w:tc>
          <w:tcPr>
            <w:tcW w:w="5670"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采用内嵌式六联观片箱，LED光源。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1842"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内嵌式书写台</w:t>
            </w:r>
          </w:p>
        </w:tc>
        <w:tc>
          <w:tcPr>
            <w:tcW w:w="1418"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1套</w:t>
            </w:r>
          </w:p>
        </w:tc>
        <w:tc>
          <w:tcPr>
            <w:tcW w:w="5670"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每间各设1个。不锈钢材料，700*400*300，带照明。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1842"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输液导轨</w:t>
            </w:r>
          </w:p>
        </w:tc>
        <w:tc>
          <w:tcPr>
            <w:tcW w:w="1418"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1套</w:t>
            </w:r>
          </w:p>
        </w:tc>
        <w:tc>
          <w:tcPr>
            <w:tcW w:w="5670"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每套含4个吊钩。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842"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组合电源插座箱</w:t>
            </w:r>
          </w:p>
        </w:tc>
        <w:tc>
          <w:tcPr>
            <w:tcW w:w="1418"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4组</w:t>
            </w:r>
          </w:p>
        </w:tc>
        <w:tc>
          <w:tcPr>
            <w:tcW w:w="5670"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其中3组为4个220V 10A多功能插座，2个接地端子；1组为1个三相380V 20A插座，3个220V 10A多功能插座，2个接地端子，均为内嵌式。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842"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藏墙医用气体</w:t>
            </w:r>
          </w:p>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箱</w:t>
            </w:r>
          </w:p>
        </w:tc>
        <w:tc>
          <w:tcPr>
            <w:tcW w:w="1418"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2套</w:t>
            </w:r>
          </w:p>
        </w:tc>
        <w:tc>
          <w:tcPr>
            <w:tcW w:w="5670"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墙面和吊塔各一套，墙面箱体由本项目中标人提供。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842"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麻醉废气排放系统</w:t>
            </w:r>
          </w:p>
        </w:tc>
        <w:tc>
          <w:tcPr>
            <w:tcW w:w="1418"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1套</w:t>
            </w:r>
          </w:p>
        </w:tc>
        <w:tc>
          <w:tcPr>
            <w:tcW w:w="5670" w:type="dxa"/>
            <w:noWrap w:val="0"/>
            <w:vAlign w:val="center"/>
          </w:tcPr>
          <w:p>
            <w:pPr>
              <w:spacing w:line="360" w:lineRule="auto"/>
              <w:outlineLvl w:val="9"/>
              <w:rPr>
                <w:rFonts w:ascii="宋体" w:hAnsi="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1842"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刷手池</w:t>
            </w:r>
          </w:p>
        </w:tc>
        <w:tc>
          <w:tcPr>
            <w:tcW w:w="1418" w:type="dxa"/>
            <w:noWrap w:val="0"/>
            <w:vAlign w:val="center"/>
          </w:tcPr>
          <w:p>
            <w:pPr>
              <w:spacing w:line="360" w:lineRule="auto"/>
              <w:outlineLvl w:val="9"/>
              <w:rPr>
                <w:rFonts w:ascii="宋体" w:hAnsi="宋体" w:cs="宋体"/>
                <w:color w:val="auto"/>
                <w:sz w:val="21"/>
                <w:szCs w:val="21"/>
                <w:highlight w:val="none"/>
              </w:rPr>
            </w:pPr>
          </w:p>
        </w:tc>
        <w:tc>
          <w:tcPr>
            <w:tcW w:w="5670"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池体采用不锈钢制作，感应龙头，数量配置符合规范要求。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1842"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手术室吊塔</w:t>
            </w:r>
          </w:p>
        </w:tc>
        <w:tc>
          <w:tcPr>
            <w:tcW w:w="1418"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5670"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数量详见平面图，设备甲供，中标</w:t>
            </w:r>
            <w:r>
              <w:rPr>
                <w:rFonts w:hint="eastAsia" w:ascii="宋体" w:hAnsi="宋体" w:cs="宋体"/>
                <w:color w:val="auto"/>
                <w:sz w:val="21"/>
                <w:szCs w:val="21"/>
                <w:highlight w:val="none"/>
                <w:lang w:val="en-US" w:eastAsia="zh-CN"/>
              </w:rPr>
              <w:t>人</w:t>
            </w:r>
            <w:r>
              <w:rPr>
                <w:rFonts w:hint="eastAsia" w:ascii="宋体" w:hAnsi="宋体" w:cs="宋体"/>
                <w:color w:val="auto"/>
                <w:sz w:val="21"/>
                <w:szCs w:val="21"/>
                <w:highlight w:val="none"/>
              </w:rPr>
              <w:t>配合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842"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手术室无影灯</w:t>
            </w:r>
          </w:p>
        </w:tc>
        <w:tc>
          <w:tcPr>
            <w:tcW w:w="1418"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5670" w:type="dxa"/>
            <w:noWrap w:val="0"/>
            <w:vAlign w:val="center"/>
          </w:tcPr>
          <w:p>
            <w:pPr>
              <w:spacing w:line="360" w:lineRule="auto"/>
              <w:outlineLvl w:val="9"/>
              <w:rPr>
                <w:rFonts w:ascii="宋体" w:hAnsi="宋体" w:cs="宋体"/>
                <w:color w:val="auto"/>
                <w:sz w:val="21"/>
                <w:szCs w:val="21"/>
                <w:highlight w:val="none"/>
              </w:rPr>
            </w:pPr>
            <w:r>
              <w:rPr>
                <w:rFonts w:hint="eastAsia" w:ascii="宋体" w:hAnsi="宋体" w:cs="宋体"/>
                <w:color w:val="auto"/>
                <w:sz w:val="21"/>
                <w:szCs w:val="21"/>
                <w:highlight w:val="none"/>
              </w:rPr>
              <w:t>数量详见平面图，设备甲供，中标</w:t>
            </w:r>
            <w:r>
              <w:rPr>
                <w:rFonts w:hint="eastAsia" w:ascii="宋体" w:hAnsi="宋体" w:cs="宋体"/>
                <w:color w:val="auto"/>
                <w:sz w:val="21"/>
                <w:szCs w:val="21"/>
                <w:highlight w:val="none"/>
                <w:lang w:val="en-US" w:eastAsia="zh-CN"/>
              </w:rPr>
              <w:t>人</w:t>
            </w:r>
            <w:r>
              <w:rPr>
                <w:rFonts w:hint="eastAsia" w:ascii="宋体" w:hAnsi="宋体" w:cs="宋体"/>
                <w:color w:val="auto"/>
                <w:sz w:val="21"/>
                <w:szCs w:val="21"/>
                <w:highlight w:val="none"/>
              </w:rPr>
              <w:t>配合</w:t>
            </w:r>
          </w:p>
        </w:tc>
      </w:tr>
    </w:tbl>
    <w:p>
      <w:pPr>
        <w:widowControl w:val="0"/>
        <w:numPr>
          <w:ilvl w:val="0"/>
          <w:numId w:val="8"/>
        </w:numPr>
        <w:tabs>
          <w:tab w:val="clear" w:pos="720"/>
        </w:tabs>
        <w:snapToGrid w:val="0"/>
        <w:spacing w:line="360" w:lineRule="auto"/>
        <w:ind w:left="0" w:firstLine="482" w:firstLineChars="200"/>
        <w:outlineLvl w:val="9"/>
        <w:rPr>
          <w:rFonts w:ascii="宋体" w:hAnsi="宋体" w:cs="宋体"/>
          <w:b/>
          <w:color w:val="auto"/>
          <w:sz w:val="24"/>
          <w:szCs w:val="24"/>
          <w:highlight w:val="none"/>
        </w:rPr>
      </w:pPr>
      <w:r>
        <w:rPr>
          <w:rFonts w:hint="eastAsia" w:ascii="宋体" w:hAnsi="宋体" w:cs="宋体"/>
          <w:b/>
          <w:color w:val="auto"/>
          <w:sz w:val="24"/>
          <w:szCs w:val="24"/>
          <w:highlight w:val="none"/>
        </w:rPr>
        <w:t>墙面装饰装修</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3.1洁净手术部手术室墙面采用30*50*1.2mm镀锌方钢管龙骨挂防锈、耐冲击、耐擦洗、耐酸碱、不变色、防火、隔音保温的1.2mm厚电解钢板，墙板表面喷涂抗菌涂料，墙板背面衬9.5mm石膏板。墙面拐角及与吊顶衔接处采用大圆弧形或八角形设计；</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3.2有防辐射要求的手术室墙面，另采用2.0mm铅板防护（四面防护），安装高度至楼板底；</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3.3各区域招标范围内的湿区辅房墙面采用防潮防滑处理；湿区辅房指拖把间、清洗打包间、洁具间、卫生间等；</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3.4手术部的办公辅房墙面采用75轻钢龙骨（内填充50mm岩棉）+12mm纸面石膏板作为基层，批腻子刷防霉乳胶漆面层，土建墙采用批腻子刷防霉乳胶漆面层；</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3.5手术部洁净辅房、走廊、ICU区域（除湿区外），墙面均采用75轻钢龙骨（内填充50mm防火岩棉）+12mm纸面石膏板作为基层，面层装饰采用6mm厚无机预涂板；</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3.6手术室污物走廊内侧墙体采用采用75轻钢龙骨（内填充50mm岩棉）+12mm纸面石膏板作为基层批腻子刷防霉乳胶漆面层；</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3.7以上墙体耐火等级均应满足《建筑设计防火规范》GB50016-2014表5.1.2各项要求，如无法满足可采用墙体内填塞岩棉板等耐火材料等措施满足耐火极限要求。</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3.8所有轻钢龙骨安装高度到顶板或梁底，隔墙内均加装50mm厚防火岩棉。吊顶以上区域部安装12mm纸面石膏板基层板。</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3.9各招标区域内所有阳角安装防撞护角，安装高度与走廊吊顶高度相同；</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3.10手术部洁净走廊、换车间、污物走廊墙面；均安装200mm不锈钢防撞带，材质1.2mm不锈钢拉丝板，安装高度距地800mm。</w:t>
      </w:r>
    </w:p>
    <w:p>
      <w:pPr>
        <w:widowControl w:val="0"/>
        <w:numPr>
          <w:ilvl w:val="0"/>
          <w:numId w:val="8"/>
        </w:numPr>
        <w:tabs>
          <w:tab w:val="clear" w:pos="720"/>
        </w:tabs>
        <w:snapToGrid w:val="0"/>
        <w:spacing w:line="360" w:lineRule="auto"/>
        <w:ind w:left="0" w:firstLine="482" w:firstLineChars="200"/>
        <w:outlineLvl w:val="9"/>
        <w:rPr>
          <w:rFonts w:ascii="宋体" w:hAnsi="宋体" w:cs="宋体"/>
          <w:b/>
          <w:color w:val="auto"/>
          <w:sz w:val="24"/>
          <w:szCs w:val="24"/>
          <w:highlight w:val="none"/>
        </w:rPr>
      </w:pPr>
      <w:r>
        <w:rPr>
          <w:rFonts w:hint="eastAsia" w:ascii="宋体" w:hAnsi="宋体" w:cs="宋体"/>
          <w:b/>
          <w:color w:val="auto"/>
          <w:sz w:val="24"/>
          <w:szCs w:val="24"/>
          <w:highlight w:val="none"/>
        </w:rPr>
        <w:t>地面装饰装修：</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4.1手术室地面3mm厚自流平处理后铺贴耐腐蚀、耐污染、耐擦洗、防滑、防尘、防水、耐压、耐磨、静音2.0mm橡胶地板，踢脚线高度100mm；</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4.2各区域招标范围内的湿区辅房地面采用防潮防滑处理，并采用2mm聚氨酯防水涂料做防水处理。</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4.3各区域招标范围内除手术室、湿区辅房外，其余所有的走廊及辅房墙面均采用3mm自流平处理后铺贴耐腐蚀、耐污染、耐擦洗、防滑、防尘、防水、耐压、耐磨、静音2.0mmPVC地板，踢脚线高度100mm；</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4.4防辐射手术室地面浇筑50mm厚硫酸钡水泥，达到射线防护要求。</w:t>
      </w:r>
    </w:p>
    <w:p>
      <w:pPr>
        <w:widowControl w:val="0"/>
        <w:numPr>
          <w:ilvl w:val="0"/>
          <w:numId w:val="8"/>
        </w:numPr>
        <w:tabs>
          <w:tab w:val="clear" w:pos="720"/>
        </w:tabs>
        <w:snapToGrid w:val="0"/>
        <w:spacing w:line="360" w:lineRule="auto"/>
        <w:ind w:left="0" w:firstLine="482" w:firstLineChars="200"/>
        <w:outlineLvl w:val="9"/>
        <w:rPr>
          <w:rFonts w:ascii="宋体" w:hAnsi="宋体" w:cs="宋体"/>
          <w:b/>
          <w:color w:val="auto"/>
          <w:sz w:val="24"/>
          <w:szCs w:val="24"/>
          <w:highlight w:val="none"/>
        </w:rPr>
      </w:pPr>
      <w:r>
        <w:rPr>
          <w:rFonts w:hint="eastAsia" w:ascii="宋体" w:hAnsi="宋体" w:cs="宋体"/>
          <w:b/>
          <w:color w:val="auto"/>
          <w:sz w:val="24"/>
          <w:szCs w:val="24"/>
          <w:highlight w:val="none"/>
        </w:rPr>
        <w:t>顶面装饰装修：</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5.1所有顶面材料防火等级：要求通过A级检测GB/T20284-2006</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5.2手术室设计吊顶高度为3米；其它所有区域设计吊顶高度为2.6米。</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5.3手术室吊顶采用50*30*1.5方钢管龙骨挂1.2mm厚电解钢板，表面喷涂抗菌涂料，墙板背面衬9.5mm石膏板。</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5.4手术部内的洁净辅房、污物走廊及辅房、办公区域、湿区辅房吊顶采用轻钢龙骨600x600x0.8mm厚铝扣板吊顶。</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5.5所有吊顶的房间，灯具、风口的规格及安装位置，应根据不同板材的规格和排列情况，并结合各专业图纸予以确定。</w:t>
      </w:r>
    </w:p>
    <w:p>
      <w:pPr>
        <w:widowControl w:val="0"/>
        <w:numPr>
          <w:ilvl w:val="0"/>
          <w:numId w:val="8"/>
        </w:numPr>
        <w:tabs>
          <w:tab w:val="clear" w:pos="720"/>
        </w:tabs>
        <w:snapToGrid w:val="0"/>
        <w:spacing w:line="360" w:lineRule="auto"/>
        <w:ind w:left="0" w:firstLine="482" w:firstLineChars="200"/>
        <w:outlineLvl w:val="9"/>
        <w:rPr>
          <w:rFonts w:ascii="宋体" w:hAnsi="宋体" w:cs="宋体"/>
          <w:b/>
          <w:color w:val="auto"/>
          <w:sz w:val="24"/>
          <w:szCs w:val="24"/>
          <w:highlight w:val="none"/>
        </w:rPr>
      </w:pPr>
      <w:r>
        <w:rPr>
          <w:rFonts w:hint="eastAsia" w:ascii="宋体" w:hAnsi="宋体" w:cs="宋体"/>
          <w:b/>
          <w:color w:val="auto"/>
          <w:sz w:val="24"/>
          <w:szCs w:val="24"/>
          <w:highlight w:val="none"/>
        </w:rPr>
        <w:t>门窗：</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6.1手术室病人换车区主门为感应式电动趟门，应同时具有膝感应、电动、手动三种开启方式，带延时关闭功能，运行速度可作调校，门自由通过尺寸不小于1500×2100mm。</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6.2洁净走廊进入手术室门为感应式电动趟门，应同时具有膝感应、电动、手动三种开启方式，带延时关闭功能，运行速度可作调校，门自由通过尺寸不小于1500×2100mm，手术室门头盖上需有“手术中”指示灯。防X射线手术室门加设“放射中”指示灯，并加装射线防护。</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净化区内其它门及辅助用等选用平开门，护工入口及工作人员入口（通往工作区域的外门）需配备可停型进口闭门器。门扇表面均采用镀锌钢板表面静电喷粉处理，色调与墙面协调，具气密封，门体表面安装不锈钢防撞带。</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6.3要求门体运行平稳宁静，门体构造能抵挡日常碰撞而不致残损变形。</w:t>
      </w:r>
    </w:p>
    <w:p>
      <w:pPr>
        <w:widowControl w:val="0"/>
        <w:numPr>
          <w:ilvl w:val="0"/>
          <w:numId w:val="8"/>
        </w:numPr>
        <w:tabs>
          <w:tab w:val="left" w:pos="540"/>
          <w:tab w:val="clear" w:pos="720"/>
        </w:tabs>
        <w:snapToGrid w:val="0"/>
        <w:spacing w:line="360" w:lineRule="auto"/>
        <w:ind w:left="0" w:firstLine="482" w:firstLineChars="200"/>
        <w:outlineLvl w:val="9"/>
        <w:rPr>
          <w:rFonts w:ascii="宋体" w:hAnsi="宋体" w:cs="宋体"/>
          <w:b/>
          <w:color w:val="auto"/>
          <w:sz w:val="24"/>
          <w:szCs w:val="24"/>
          <w:highlight w:val="none"/>
        </w:rPr>
      </w:pPr>
      <w:r>
        <w:rPr>
          <w:rFonts w:hint="eastAsia" w:ascii="宋体" w:hAnsi="宋体" w:cs="宋体"/>
          <w:b/>
          <w:color w:val="auto"/>
          <w:sz w:val="24"/>
          <w:szCs w:val="24"/>
          <w:highlight w:val="none"/>
        </w:rPr>
        <w:t>其他：</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7.1洁净走廊墙面设置1.5mm厚不锈钢防撞带，距地安装高度800mm。</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7.2洁净走廊及污物走廊所有阳角处设置不锈钢防撞护角至吊顶。</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7.3防辐射手术室，须四面墙体及顶板设置铅板进行射线防护，防护要求不小于2个铅当量，地面采用50mm硫酸钡水泥防护，所有射线防护房间必须达到国家标准。</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7.4所有外窗均应设置厚20mm大理石窗台板及无窗帘盒。</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7.5吊塔、无影灯安装由采购人负责完成，中标</w:t>
      </w:r>
      <w:r>
        <w:rPr>
          <w:rFonts w:hint="eastAsia" w:ascii="宋体" w:hAnsi="宋体" w:cs="宋体"/>
          <w:color w:val="auto"/>
          <w:sz w:val="24"/>
          <w:szCs w:val="24"/>
          <w:highlight w:val="none"/>
          <w:lang w:val="en-US" w:eastAsia="zh-CN"/>
        </w:rPr>
        <w:t>人</w:t>
      </w:r>
      <w:r>
        <w:rPr>
          <w:rFonts w:hint="eastAsia" w:ascii="宋体" w:hAnsi="宋体" w:cs="宋体"/>
          <w:color w:val="auto"/>
          <w:sz w:val="24"/>
          <w:szCs w:val="24"/>
          <w:highlight w:val="none"/>
        </w:rPr>
        <w:t>负责配合完成。</w:t>
      </w:r>
    </w:p>
    <w:p>
      <w:pPr>
        <w:widowControl w:val="0"/>
        <w:numPr>
          <w:ilvl w:val="0"/>
          <w:numId w:val="8"/>
        </w:numPr>
        <w:snapToGrid w:val="0"/>
        <w:spacing w:line="360" w:lineRule="auto"/>
        <w:ind w:left="0" w:firstLine="482" w:firstLineChars="200"/>
        <w:outlineLvl w:val="9"/>
        <w:rPr>
          <w:rFonts w:ascii="宋体" w:hAnsi="宋体" w:cs="宋体"/>
          <w:b/>
          <w:color w:val="auto"/>
          <w:sz w:val="24"/>
          <w:szCs w:val="24"/>
          <w:highlight w:val="none"/>
        </w:rPr>
      </w:pPr>
      <w:r>
        <w:rPr>
          <w:rFonts w:hint="eastAsia" w:ascii="宋体" w:hAnsi="宋体" w:cs="宋体"/>
          <w:b/>
          <w:color w:val="auto"/>
          <w:sz w:val="24"/>
          <w:szCs w:val="24"/>
          <w:highlight w:val="none"/>
        </w:rPr>
        <w:t>装饰装修、基本装备系统技术、质量要求：</w:t>
      </w:r>
    </w:p>
    <w:p>
      <w:pPr>
        <w:tabs>
          <w:tab w:val="left" w:pos="360"/>
        </w:tabs>
        <w:snapToGrid w:val="0"/>
        <w:spacing w:line="360" w:lineRule="auto"/>
        <w:ind w:left="422"/>
        <w:outlineLvl w:val="9"/>
        <w:rPr>
          <w:rFonts w:ascii="宋体" w:hAnsi="宋体" w:cs="宋体"/>
          <w:b/>
          <w:color w:val="auto"/>
          <w:sz w:val="24"/>
          <w:szCs w:val="24"/>
          <w:highlight w:val="none"/>
        </w:rPr>
      </w:pPr>
      <w:r>
        <w:rPr>
          <w:rFonts w:hint="eastAsia" w:ascii="宋体" w:hAnsi="宋体" w:cs="宋体"/>
          <w:b/>
          <w:color w:val="auto"/>
          <w:sz w:val="24"/>
          <w:szCs w:val="24"/>
          <w:highlight w:val="none"/>
        </w:rPr>
        <w:t>(1)橡胶地板：</w:t>
      </w:r>
    </w:p>
    <w:p>
      <w:pPr>
        <w:snapToGrid w:val="0"/>
        <w:spacing w:line="360" w:lineRule="auto"/>
        <w:ind w:left="420" w:leftChars="200" w:firstLine="360" w:firstLineChars="15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橡胶卷材地板，厚度为2mm。应具有极佳的防静电性，耐荷重、耐磨、耐化学药物，并具有良好的防火性能,多色碎花颗粒装饰效果，表面皮纹处理，单层均质透芯。</w:t>
      </w:r>
    </w:p>
    <w:p>
      <w:pPr>
        <w:tabs>
          <w:tab w:val="left" w:pos="360"/>
        </w:tabs>
        <w:snapToGrid w:val="0"/>
        <w:spacing w:line="360" w:lineRule="auto"/>
        <w:ind w:left="422"/>
        <w:outlineLvl w:val="9"/>
        <w:rPr>
          <w:rFonts w:ascii="宋体" w:hAnsi="宋体" w:cs="宋体"/>
          <w:b/>
          <w:color w:val="auto"/>
          <w:sz w:val="24"/>
          <w:szCs w:val="24"/>
          <w:highlight w:val="none"/>
        </w:rPr>
      </w:pPr>
      <w:r>
        <w:rPr>
          <w:rFonts w:hint="eastAsia" w:ascii="宋体" w:hAnsi="宋体" w:cs="宋体"/>
          <w:b/>
          <w:color w:val="auto"/>
          <w:sz w:val="24"/>
          <w:szCs w:val="24"/>
          <w:highlight w:val="none"/>
        </w:rPr>
        <w:t>(2)PVC胶地板：</w:t>
      </w:r>
    </w:p>
    <w:p>
      <w:pPr>
        <w:snapToGrid w:val="0"/>
        <w:spacing w:line="360" w:lineRule="auto"/>
        <w:ind w:left="420" w:leftChars="200" w:firstLine="600" w:firstLineChars="250"/>
        <w:outlineLvl w:val="9"/>
        <w:rPr>
          <w:rFonts w:ascii="宋体" w:hAnsi="宋体" w:cs="宋体"/>
          <w:color w:val="auto"/>
          <w:sz w:val="24"/>
          <w:szCs w:val="24"/>
          <w:highlight w:val="none"/>
        </w:rPr>
      </w:pPr>
      <w:r>
        <w:rPr>
          <w:rFonts w:hint="eastAsia" w:ascii="宋体" w:hAnsi="宋体" w:cs="宋体"/>
          <w:color w:val="auto"/>
          <w:sz w:val="24"/>
          <w:szCs w:val="24"/>
          <w:highlight w:val="none"/>
        </w:rPr>
        <w:t>PVC卷材，厚度为2mm，应具有良好的耐磨、耐化学药物、防水、防火性能；四色立体感大理石纹理，单层均质透芯；</w:t>
      </w:r>
    </w:p>
    <w:p>
      <w:pPr>
        <w:tabs>
          <w:tab w:val="left" w:pos="360"/>
        </w:tabs>
        <w:snapToGrid w:val="0"/>
        <w:spacing w:line="360" w:lineRule="auto"/>
        <w:ind w:left="422"/>
        <w:outlineLvl w:val="9"/>
        <w:rPr>
          <w:rFonts w:ascii="宋体" w:hAnsi="宋体" w:cs="宋体"/>
          <w:b/>
          <w:color w:val="auto"/>
          <w:sz w:val="24"/>
          <w:szCs w:val="24"/>
          <w:highlight w:val="none"/>
        </w:rPr>
      </w:pPr>
      <w:r>
        <w:rPr>
          <w:rFonts w:hint="eastAsia" w:ascii="宋体" w:hAnsi="宋体" w:cs="宋体"/>
          <w:b/>
          <w:color w:val="auto"/>
          <w:sz w:val="24"/>
          <w:szCs w:val="24"/>
          <w:highlight w:val="none"/>
        </w:rPr>
        <w:t>(3)电解钢板抗菌涂料：</w:t>
      </w:r>
    </w:p>
    <w:p>
      <w:pPr>
        <w:spacing w:line="360" w:lineRule="auto"/>
        <w:outlineLvl w:val="9"/>
        <w:rPr>
          <w:rFonts w:ascii="宋体" w:hAnsi="宋体" w:cs="宋体"/>
          <w:color w:val="auto"/>
          <w:sz w:val="24"/>
          <w:szCs w:val="24"/>
          <w:highlight w:val="none"/>
        </w:rPr>
      </w:pPr>
      <w:r>
        <w:rPr>
          <w:rFonts w:hint="eastAsia" w:ascii="宋体" w:hAnsi="宋体" w:cs="宋体"/>
          <w:color w:val="auto"/>
          <w:sz w:val="24"/>
          <w:szCs w:val="24"/>
          <w:highlight w:val="none"/>
        </w:rPr>
        <w:t>选用环保、抗菌水性涂料，喷涂后形成的漆膜应具有良好的抗菌性与耐腐蚀性；应选用专用于金属表面的底面两用产品系列；光泽：平光；通过HG/T3950 - 2007标准检测七大抗菌率为99.99%以上，提供检测报告。</w:t>
      </w:r>
    </w:p>
    <w:p>
      <w:pPr>
        <w:tabs>
          <w:tab w:val="left" w:pos="360"/>
        </w:tabs>
        <w:snapToGrid w:val="0"/>
        <w:spacing w:line="360" w:lineRule="auto"/>
        <w:ind w:left="422"/>
        <w:outlineLvl w:val="9"/>
        <w:rPr>
          <w:rFonts w:ascii="宋体" w:hAnsi="宋体" w:cs="宋体"/>
          <w:b/>
          <w:color w:val="auto"/>
          <w:sz w:val="24"/>
          <w:szCs w:val="24"/>
          <w:highlight w:val="none"/>
        </w:rPr>
      </w:pPr>
      <w:r>
        <w:rPr>
          <w:rFonts w:hint="eastAsia" w:ascii="宋体" w:hAnsi="宋体" w:cs="宋体"/>
          <w:b/>
          <w:color w:val="auto"/>
          <w:sz w:val="24"/>
          <w:szCs w:val="24"/>
          <w:highlight w:val="none"/>
        </w:rPr>
        <w:t>(4)铝扣板：</w:t>
      </w:r>
    </w:p>
    <w:p>
      <w:pPr>
        <w:snapToGrid w:val="0"/>
        <w:spacing w:line="360" w:lineRule="auto"/>
        <w:ind w:left="420" w:leftChars="200" w:firstLine="600" w:firstLineChars="250"/>
        <w:outlineLvl w:val="9"/>
        <w:rPr>
          <w:rFonts w:ascii="宋体" w:hAnsi="宋体" w:cs="宋体"/>
          <w:color w:val="auto"/>
          <w:sz w:val="24"/>
          <w:szCs w:val="24"/>
          <w:highlight w:val="none"/>
        </w:rPr>
      </w:pPr>
      <w:r>
        <w:rPr>
          <w:rFonts w:hint="eastAsia" w:ascii="宋体" w:hAnsi="宋体" w:cs="宋体"/>
          <w:color w:val="auto"/>
          <w:sz w:val="24"/>
          <w:szCs w:val="24"/>
          <w:highlight w:val="none"/>
        </w:rPr>
        <w:t>厚度0.8mm，应具有良好的柔韧性与强度，防腐蚀、防火、易清洁，色彩柔和。</w:t>
      </w:r>
    </w:p>
    <w:p>
      <w:pPr>
        <w:tabs>
          <w:tab w:val="left" w:pos="360"/>
        </w:tabs>
        <w:snapToGrid w:val="0"/>
        <w:spacing w:line="360" w:lineRule="auto"/>
        <w:ind w:left="422"/>
        <w:outlineLvl w:val="9"/>
        <w:rPr>
          <w:rFonts w:ascii="宋体" w:hAnsi="宋体" w:cs="宋体"/>
          <w:b/>
          <w:color w:val="auto"/>
          <w:sz w:val="24"/>
          <w:szCs w:val="24"/>
          <w:highlight w:val="none"/>
        </w:rPr>
      </w:pPr>
      <w:r>
        <w:rPr>
          <w:rFonts w:hint="eastAsia" w:ascii="宋体" w:hAnsi="宋体" w:cs="宋体"/>
          <w:b/>
          <w:color w:val="auto"/>
          <w:sz w:val="24"/>
          <w:szCs w:val="24"/>
          <w:highlight w:val="none"/>
        </w:rPr>
        <w:t>(5)6mm厚无机预涂板：</w:t>
      </w:r>
    </w:p>
    <w:p>
      <w:pPr>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★具有相关检测资质的检测机构出具的（耐洗刷性不小于10000次不露底，耐水性不小于168h无异常，耐酸性不小于168h无异常，划格试验1级或更优，良好的耐沾污性，耐湿热性不小于1000h不起泡、不生锈、不脱落, 耐溶剂酒精、丁酮擦拭不小于100次不露底）检测报告；</w:t>
      </w:r>
    </w:p>
    <w:p>
      <w:pPr>
        <w:spacing w:line="360" w:lineRule="auto"/>
        <w:ind w:firstLine="482" w:firstLineChars="200"/>
        <w:outlineLvl w:val="9"/>
        <w:rPr>
          <w:rFonts w:hint="eastAsia" w:ascii="宋体" w:hAnsi="宋体" w:cs="宋体"/>
          <w:color w:val="auto"/>
          <w:sz w:val="24"/>
          <w:szCs w:val="24"/>
          <w:highlight w:val="none"/>
        </w:rPr>
      </w:pPr>
      <w:r>
        <w:rPr>
          <w:rFonts w:hint="eastAsia"/>
          <w:b/>
          <w:bCs/>
          <w:strike w:val="0"/>
          <w:dstrike w:val="0"/>
          <w:color w:val="auto"/>
          <w:sz w:val="24"/>
          <w:szCs w:val="24"/>
          <w:highlight w:val="none"/>
        </w:rPr>
        <w:t>★</w:t>
      </w:r>
      <w:r>
        <w:rPr>
          <w:rFonts w:hint="eastAsia" w:ascii="宋体" w:hAnsi="宋体" w:cs="宋体"/>
          <w:color w:val="auto"/>
          <w:sz w:val="24"/>
          <w:szCs w:val="24"/>
          <w:highlight w:val="none"/>
        </w:rPr>
        <w:t>具有相关检测资质的检测机构出具的（要求抗菌性能大肠杆菌、金黄色葡萄球菌、白色念珠菌、铜绿假单胞菌、肺炎克雷伯氏菌等，满足 JIS Z 2801：2010《抗菌制品抗菌性能的检测与评价》检测结果抗菌率不低于99%）检测报告；</w:t>
      </w:r>
    </w:p>
    <w:p>
      <w:pPr>
        <w:spacing w:line="360" w:lineRule="auto"/>
        <w:ind w:firstLine="482" w:firstLineChars="200"/>
        <w:outlineLvl w:val="9"/>
        <w:rPr>
          <w:rFonts w:ascii="宋体" w:hAnsi="宋体" w:cs="宋体"/>
          <w:color w:val="auto"/>
          <w:sz w:val="24"/>
          <w:szCs w:val="24"/>
          <w:highlight w:val="none"/>
        </w:rPr>
      </w:pPr>
      <w:r>
        <w:rPr>
          <w:rFonts w:hint="eastAsia"/>
          <w:b/>
          <w:bCs/>
          <w:strike w:val="0"/>
          <w:dstrike w:val="0"/>
          <w:color w:val="auto"/>
          <w:sz w:val="24"/>
          <w:szCs w:val="24"/>
          <w:highlight w:val="none"/>
        </w:rPr>
        <w:t>★</w:t>
      </w:r>
      <w:r>
        <w:rPr>
          <w:rFonts w:hint="eastAsia" w:ascii="宋体" w:hAnsi="宋体" w:cs="宋体"/>
          <w:color w:val="auto"/>
          <w:sz w:val="24"/>
          <w:szCs w:val="24"/>
          <w:highlight w:val="none"/>
        </w:rPr>
        <w:t>具有相关检测资质的检测机构出具的（要求良好的环保性能，甲醛释放量＜0.012mg/m³）检测报告；</w:t>
      </w:r>
    </w:p>
    <w:p>
      <w:pPr>
        <w:spacing w:line="360" w:lineRule="auto"/>
        <w:ind w:firstLine="720" w:firstLineChars="300"/>
        <w:outlineLvl w:val="9"/>
        <w:rPr>
          <w:rFonts w:ascii="宋体" w:hAnsi="宋体" w:cs="宋体"/>
          <w:color w:val="auto"/>
          <w:sz w:val="24"/>
          <w:szCs w:val="24"/>
          <w:highlight w:val="none"/>
        </w:rPr>
      </w:pPr>
      <w:r>
        <w:rPr>
          <w:rFonts w:hint="eastAsia" w:ascii="宋体" w:hAnsi="宋体" w:cs="宋体"/>
          <w:color w:val="auto"/>
          <w:sz w:val="24"/>
          <w:szCs w:val="24"/>
          <w:highlight w:val="none"/>
        </w:rPr>
        <w:t>具有相关检测资质的检测机构出具的（要求放射性核素达到A类产品的要求）检测报告；</w:t>
      </w:r>
    </w:p>
    <w:p>
      <w:pPr>
        <w:spacing w:line="360" w:lineRule="auto"/>
        <w:ind w:firstLine="482" w:firstLineChars="200"/>
        <w:outlineLvl w:val="9"/>
        <w:rPr>
          <w:rFonts w:ascii="宋体" w:hAnsi="宋体" w:cs="宋体"/>
          <w:color w:val="auto"/>
          <w:sz w:val="24"/>
          <w:szCs w:val="24"/>
          <w:highlight w:val="none"/>
        </w:rPr>
      </w:pPr>
      <w:r>
        <w:rPr>
          <w:rFonts w:hint="eastAsia"/>
          <w:b/>
          <w:bCs/>
          <w:strike w:val="0"/>
          <w:dstrike w:val="0"/>
          <w:color w:val="auto"/>
          <w:sz w:val="24"/>
          <w:szCs w:val="24"/>
          <w:highlight w:val="none"/>
        </w:rPr>
        <w:t>★</w:t>
      </w:r>
      <w:r>
        <w:rPr>
          <w:rFonts w:hint="eastAsia" w:ascii="宋体" w:hAnsi="宋体" w:cs="宋体"/>
          <w:color w:val="auto"/>
          <w:sz w:val="24"/>
          <w:szCs w:val="24"/>
          <w:highlight w:val="none"/>
        </w:rPr>
        <w:t>具有相关检测资质的检测机构出具的（建筑材料及制品燃烧性能分级不小于A2-sl,do级不燃）检测报告；</w:t>
      </w:r>
    </w:p>
    <w:p>
      <w:pPr>
        <w:spacing w:line="360" w:lineRule="auto"/>
        <w:ind w:firstLine="720" w:firstLineChars="300"/>
        <w:outlineLvl w:val="9"/>
        <w:rPr>
          <w:rFonts w:ascii="宋体" w:hAnsi="宋体" w:cs="宋体"/>
          <w:color w:val="auto"/>
          <w:sz w:val="24"/>
          <w:szCs w:val="24"/>
          <w:highlight w:val="none"/>
        </w:rPr>
      </w:pPr>
      <w:r>
        <w:rPr>
          <w:rFonts w:hint="eastAsia" w:ascii="宋体" w:hAnsi="宋体" w:cs="宋体"/>
          <w:color w:val="auto"/>
          <w:sz w:val="24"/>
          <w:szCs w:val="24"/>
          <w:highlight w:val="none"/>
        </w:rPr>
        <w:t>具有相关检测资质的检测机构出具的（无铅、汞、镉、铬、苯等有毒物质）检测报告；</w:t>
      </w:r>
    </w:p>
    <w:p>
      <w:pPr>
        <w:numPr>
          <w:ilvl w:val="0"/>
          <w:numId w:val="9"/>
        </w:numPr>
        <w:tabs>
          <w:tab w:val="left" w:pos="360"/>
          <w:tab w:val="clear" w:pos="312"/>
        </w:tabs>
        <w:snapToGrid w:val="0"/>
        <w:spacing w:line="360" w:lineRule="auto"/>
        <w:ind w:firstLine="472" w:firstLineChars="196"/>
        <w:outlineLvl w:val="9"/>
        <w:rPr>
          <w:rFonts w:hint="eastAsia" w:ascii="宋体" w:hAnsi="宋体" w:cs="宋体"/>
          <w:b/>
          <w:color w:val="auto"/>
          <w:sz w:val="24"/>
          <w:szCs w:val="24"/>
          <w:highlight w:val="none"/>
        </w:rPr>
      </w:pPr>
      <w:r>
        <w:rPr>
          <w:rFonts w:hint="eastAsia" w:ascii="宋体" w:hAnsi="宋体" w:cs="宋体"/>
          <w:b/>
          <w:color w:val="auto"/>
          <w:sz w:val="24"/>
          <w:szCs w:val="24"/>
          <w:highlight w:val="none"/>
        </w:rPr>
        <w:t>自动平移门</w:t>
      </w:r>
    </w:p>
    <w:p>
      <w:pPr>
        <w:spacing w:line="360" w:lineRule="auto"/>
        <w:ind w:firstLine="710" w:firstLineChars="296"/>
        <w:outlineLvl w:val="9"/>
        <w:rPr>
          <w:rFonts w:ascii="宋体" w:hAnsi="宋体" w:cs="宋体"/>
          <w:color w:val="auto"/>
          <w:sz w:val="24"/>
          <w:szCs w:val="24"/>
          <w:highlight w:val="none"/>
        </w:rPr>
      </w:pPr>
      <w:r>
        <w:rPr>
          <w:rFonts w:hint="eastAsia" w:ascii="宋体" w:hAnsi="宋体" w:cs="宋体"/>
          <w:color w:val="auto"/>
          <w:sz w:val="24"/>
          <w:szCs w:val="24"/>
          <w:highlight w:val="none"/>
        </w:rPr>
        <w:t>产品具有官方相关部门认证，门体生产厂家应具有ISO9001质量管理体系认证、ISO14001绿色环保体系认证、ISO45001职业健康安全管理体系认证。</w:t>
      </w:r>
    </w:p>
    <w:p>
      <w:pPr>
        <w:spacing w:line="360" w:lineRule="auto"/>
        <w:ind w:firstLine="720" w:firstLineChars="300"/>
        <w:outlineLvl w:val="9"/>
        <w:rPr>
          <w:rFonts w:ascii="宋体" w:hAnsi="宋体" w:cs="宋体"/>
          <w:color w:val="auto"/>
          <w:sz w:val="24"/>
          <w:szCs w:val="24"/>
          <w:highlight w:val="none"/>
        </w:rPr>
      </w:pPr>
      <w:r>
        <w:rPr>
          <w:rFonts w:hint="eastAsia" w:ascii="宋体" w:hAnsi="宋体" w:cs="宋体"/>
          <w:color w:val="auto"/>
          <w:sz w:val="24"/>
          <w:szCs w:val="24"/>
          <w:highlight w:val="none"/>
        </w:rPr>
        <w:t>产品符合国家住建部行业标准（JG/T 257-2009），门体在运行过程中，遇阻反弹力小于170N。紧闭力&gt;70N,手动推力&lt;120N，整机消耗功率&lt;150W。</w:t>
      </w:r>
    </w:p>
    <w:p>
      <w:pPr>
        <w:spacing w:line="360" w:lineRule="auto"/>
        <w:ind w:firstLine="720" w:firstLineChars="300"/>
        <w:outlineLvl w:val="9"/>
        <w:rPr>
          <w:rFonts w:ascii="宋体" w:hAnsi="宋体" w:cs="宋体"/>
          <w:color w:val="auto"/>
          <w:sz w:val="24"/>
          <w:szCs w:val="24"/>
          <w:highlight w:val="none"/>
        </w:rPr>
      </w:pPr>
      <w:r>
        <w:rPr>
          <w:rFonts w:hint="eastAsia" w:ascii="宋体" w:hAnsi="宋体" w:cs="宋体"/>
          <w:color w:val="auto"/>
          <w:sz w:val="24"/>
          <w:szCs w:val="24"/>
          <w:highlight w:val="none"/>
        </w:rPr>
        <w:t>开门速度：不大于300MM/S（可调）。闭门速度：不大于180MM/S（可调）</w:t>
      </w:r>
    </w:p>
    <w:p>
      <w:pPr>
        <w:spacing w:line="360" w:lineRule="auto"/>
        <w:ind w:firstLine="720" w:firstLineChars="300"/>
        <w:outlineLvl w:val="9"/>
        <w:rPr>
          <w:rFonts w:ascii="宋体" w:hAnsi="宋体" w:cs="宋体"/>
          <w:color w:val="auto"/>
          <w:sz w:val="24"/>
          <w:szCs w:val="24"/>
          <w:highlight w:val="none"/>
        </w:rPr>
      </w:pPr>
      <w:r>
        <w:rPr>
          <w:rFonts w:hint="eastAsia" w:ascii="宋体" w:hAnsi="宋体" w:cs="宋体"/>
          <w:color w:val="auto"/>
          <w:sz w:val="24"/>
          <w:szCs w:val="24"/>
          <w:highlight w:val="none"/>
        </w:rPr>
        <w:t>门体开放时间：1~20S之间(可调)。气密门运行噪音低于52dB。</w:t>
      </w:r>
    </w:p>
    <w:p>
      <w:pPr>
        <w:spacing w:line="360" w:lineRule="auto"/>
        <w:ind w:firstLine="720" w:firstLineChars="300"/>
        <w:outlineLvl w:val="9"/>
        <w:rPr>
          <w:rFonts w:ascii="宋体" w:hAnsi="宋体" w:cs="宋体"/>
          <w:color w:val="auto"/>
          <w:sz w:val="24"/>
          <w:szCs w:val="24"/>
          <w:highlight w:val="none"/>
        </w:rPr>
      </w:pPr>
      <w:r>
        <w:rPr>
          <w:rFonts w:hint="eastAsia" w:ascii="宋体" w:hAnsi="宋体" w:cs="宋体"/>
          <w:color w:val="auto"/>
          <w:sz w:val="24"/>
          <w:szCs w:val="24"/>
          <w:highlight w:val="none"/>
        </w:rPr>
        <w:t>安全光线和脚感应开关</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确保自动门运行可靠、稳定、安全。门机，经过欧盟CE权威认证，符合欧盟EN16005-2012标准。</w:t>
      </w:r>
    </w:p>
    <w:p>
      <w:pPr>
        <w:spacing w:line="360" w:lineRule="auto"/>
        <w:ind w:firstLine="720" w:firstLineChars="300"/>
        <w:outlineLvl w:val="9"/>
        <w:rPr>
          <w:rFonts w:ascii="宋体" w:hAnsi="宋体" w:cs="宋体"/>
          <w:color w:val="auto"/>
          <w:sz w:val="24"/>
          <w:szCs w:val="24"/>
          <w:highlight w:val="none"/>
        </w:rPr>
      </w:pPr>
      <w:r>
        <w:rPr>
          <w:rFonts w:hint="eastAsia" w:ascii="宋体" w:hAnsi="宋体" w:cs="宋体"/>
          <w:color w:val="auto"/>
          <w:sz w:val="24"/>
          <w:szCs w:val="24"/>
          <w:highlight w:val="none"/>
        </w:rPr>
        <w:t>门体和门套方面：a.门体表面采用实厚1MM厚度镀锌钢板静电喷塑，门体内部采用铝合金龙骨，铝蜂窝填充，门扇四周设优质密封条。b.门套采用铝合金前后包套形式。观察窗为圆角平面双面无框R25圆角平面窗。</w:t>
      </w:r>
    </w:p>
    <w:p>
      <w:pPr>
        <w:spacing w:line="360" w:lineRule="auto"/>
        <w:ind w:firstLine="723" w:firstLineChars="300"/>
        <w:outlineLvl w:val="9"/>
        <w:rPr>
          <w:rFonts w:hint="eastAsia" w:ascii="宋体" w:hAnsi="宋体" w:cs="宋体"/>
          <w:color w:val="auto"/>
          <w:sz w:val="24"/>
          <w:szCs w:val="24"/>
          <w:highlight w:val="none"/>
        </w:rPr>
      </w:pPr>
      <w:r>
        <w:rPr>
          <w:rFonts w:hint="eastAsia"/>
          <w:b/>
          <w:bCs/>
          <w:strike w:val="0"/>
          <w:dstrike w:val="0"/>
          <w:color w:val="auto"/>
          <w:sz w:val="24"/>
          <w:szCs w:val="24"/>
          <w:highlight w:val="none"/>
        </w:rPr>
        <w:t>★</w:t>
      </w:r>
      <w:r>
        <w:rPr>
          <w:rFonts w:hint="eastAsia" w:ascii="宋体" w:hAnsi="宋体" w:cs="宋体"/>
          <w:color w:val="auto"/>
          <w:sz w:val="24"/>
          <w:szCs w:val="24"/>
          <w:highlight w:val="none"/>
        </w:rPr>
        <w:t xml:space="preserve">铅防护自动门提供中国疾病预防控制中心辐射防护与核安全医学所出具的检测报告，测试铅板当量为&gt;2.0mmPb(120kv 2.5mmA1) </w:t>
      </w:r>
    </w:p>
    <w:p>
      <w:pPr>
        <w:pStyle w:val="12"/>
        <w:spacing w:line="360" w:lineRule="auto"/>
        <w:ind w:firstLine="720" w:firstLineChars="300"/>
        <w:outlineLvl w:val="9"/>
        <w:rPr>
          <w:rFonts w:hint="eastAsia" w:hAnsi="宋体" w:eastAsia="宋体" w:cs="宋体"/>
          <w:color w:val="auto"/>
          <w:sz w:val="24"/>
          <w:szCs w:val="24"/>
          <w:highlight w:val="none"/>
          <w:lang w:val="en-US" w:eastAsia="zh-CN"/>
        </w:rPr>
      </w:pPr>
      <w:r>
        <w:rPr>
          <w:rFonts w:hint="eastAsia" w:hAnsi="宋体" w:eastAsia="宋体" w:cs="宋体"/>
          <w:strike w:val="0"/>
          <w:dstrike w:val="0"/>
          <w:color w:val="auto"/>
          <w:sz w:val="24"/>
          <w:szCs w:val="24"/>
          <w:highlight w:val="none"/>
          <w:lang w:val="en-US" w:eastAsia="zh-CN"/>
        </w:rPr>
        <w:t>★</w:t>
      </w:r>
      <w:r>
        <w:rPr>
          <w:rFonts w:hint="eastAsia" w:hAnsi="宋体" w:eastAsia="宋体" w:cs="宋体"/>
          <w:color w:val="auto"/>
          <w:sz w:val="24"/>
          <w:szCs w:val="24"/>
          <w:highlight w:val="none"/>
          <w:lang w:val="en-US" w:eastAsia="zh-CN"/>
        </w:rPr>
        <w:t>气密性能符合国家标准（GB/T 7106-2008），正负压均为第8级（最高等级），</w:t>
      </w:r>
      <w:r>
        <w:rPr>
          <w:rFonts w:hint="eastAsia" w:ascii="宋体" w:hAnsi="宋体" w:cs="宋体"/>
          <w:color w:val="auto"/>
          <w:sz w:val="24"/>
          <w:szCs w:val="24"/>
          <w:highlight w:val="none"/>
        </w:rPr>
        <w:t>具有相关检测资质的检测机构</w:t>
      </w:r>
      <w:r>
        <w:rPr>
          <w:rFonts w:hint="eastAsia" w:ascii="宋体" w:hAnsi="宋体" w:cs="宋体"/>
          <w:color w:val="auto"/>
          <w:sz w:val="24"/>
          <w:szCs w:val="24"/>
          <w:highlight w:val="none"/>
          <w:lang w:val="en-US" w:eastAsia="zh-CN"/>
        </w:rPr>
        <w:t>出具的</w:t>
      </w:r>
      <w:r>
        <w:rPr>
          <w:rFonts w:hint="eastAsia" w:hAnsi="宋体" w:eastAsia="宋体" w:cs="宋体"/>
          <w:color w:val="auto"/>
          <w:sz w:val="24"/>
          <w:szCs w:val="24"/>
          <w:highlight w:val="none"/>
          <w:lang w:val="en-US" w:eastAsia="zh-CN"/>
        </w:rPr>
        <w:t>气密性检测报告。</w:t>
      </w:r>
    </w:p>
    <w:p>
      <w:pPr>
        <w:spacing w:line="360" w:lineRule="auto"/>
        <w:ind w:firstLine="720" w:firstLineChars="300"/>
        <w:outlineLvl w:val="9"/>
        <w:rPr>
          <w:rFonts w:hint="eastAsia" w:ascii="宋体" w:hAnsi="宋体" w:cs="宋体"/>
          <w:color w:val="auto"/>
          <w:sz w:val="24"/>
          <w:szCs w:val="24"/>
          <w:highlight w:val="none"/>
        </w:rPr>
      </w:pPr>
    </w:p>
    <w:p>
      <w:pPr>
        <w:widowControl w:val="0"/>
        <w:numPr>
          <w:ilvl w:val="0"/>
          <w:numId w:val="7"/>
        </w:numPr>
        <w:tabs>
          <w:tab w:val="left" w:pos="720"/>
        </w:tabs>
        <w:spacing w:line="360" w:lineRule="auto"/>
        <w:ind w:left="0" w:firstLine="482" w:firstLineChars="200"/>
        <w:outlineLvl w:val="9"/>
        <w:rPr>
          <w:rFonts w:ascii="宋体" w:hAnsi="宋体" w:cs="宋体"/>
          <w:b/>
          <w:color w:val="auto"/>
          <w:sz w:val="24"/>
          <w:szCs w:val="24"/>
          <w:highlight w:val="none"/>
        </w:rPr>
      </w:pPr>
      <w:r>
        <w:rPr>
          <w:rFonts w:hint="eastAsia" w:ascii="宋体" w:hAnsi="宋体" w:cs="宋体"/>
          <w:b/>
          <w:color w:val="auto"/>
          <w:sz w:val="24"/>
          <w:szCs w:val="24"/>
          <w:highlight w:val="none"/>
        </w:rPr>
        <w:t>净化空气处理系统技术要求</w:t>
      </w:r>
    </w:p>
    <w:p>
      <w:pPr>
        <w:spacing w:line="360" w:lineRule="auto"/>
        <w:ind w:firstLine="482" w:firstLineChars="200"/>
        <w:outlineLvl w:val="9"/>
        <w:rPr>
          <w:rFonts w:ascii="宋体" w:hAnsi="宋体" w:cs="宋体"/>
          <w:b/>
          <w:color w:val="auto"/>
          <w:sz w:val="24"/>
          <w:szCs w:val="24"/>
          <w:highlight w:val="none"/>
        </w:rPr>
      </w:pPr>
      <w:r>
        <w:rPr>
          <w:rFonts w:hint="eastAsia" w:ascii="宋体" w:hAnsi="宋体" w:cs="宋体"/>
          <w:b/>
          <w:color w:val="auto"/>
          <w:sz w:val="24"/>
          <w:szCs w:val="24"/>
          <w:highlight w:val="none"/>
        </w:rPr>
        <w:t>整体要求：</w:t>
      </w:r>
    </w:p>
    <w:p>
      <w:pPr>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选用节能环保的空气净化系统和先进的气流组织模式，各净化区应按国家现行相关规范的要求设置其相对邻室的气压，以保持洁净室的级别及无菌净化要求，并使洁净区处于受控状态。</w:t>
      </w:r>
    </w:p>
    <w:p>
      <w:pPr>
        <w:snapToGrid w:val="0"/>
        <w:spacing w:line="360" w:lineRule="auto"/>
        <w:outlineLvl w:val="9"/>
        <w:rPr>
          <w:rFonts w:ascii="宋体" w:hAnsi="宋体" w:cs="宋体"/>
          <w:b/>
          <w:color w:val="auto"/>
          <w:sz w:val="24"/>
          <w:szCs w:val="24"/>
          <w:highlight w:val="none"/>
        </w:rPr>
      </w:pPr>
      <w:r>
        <w:rPr>
          <w:rFonts w:hint="eastAsia" w:ascii="宋体" w:hAnsi="宋体" w:cs="宋体"/>
          <w:b/>
          <w:color w:val="auto"/>
          <w:sz w:val="24"/>
          <w:szCs w:val="24"/>
          <w:highlight w:val="none"/>
        </w:rPr>
        <w:t>1、选用室外气象参数</w:t>
      </w:r>
    </w:p>
    <w:p>
      <w:pPr>
        <w:tabs>
          <w:tab w:val="left" w:pos="720"/>
          <w:tab w:val="left" w:pos="900"/>
          <w:tab w:val="left" w:pos="1080"/>
        </w:tabs>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夏季空调计算干球温度33.5°C   冬季空调计算干球温度-2.6°C</w:t>
      </w:r>
    </w:p>
    <w:p>
      <w:pPr>
        <w:tabs>
          <w:tab w:val="left" w:pos="720"/>
          <w:tab w:val="left" w:pos="900"/>
          <w:tab w:val="left" w:pos="1080"/>
        </w:tabs>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夏季空调计算湿球温度28.3°C   冬季室外计算相对湿度81%</w:t>
      </w:r>
    </w:p>
    <w:p>
      <w:pPr>
        <w:spacing w:line="360" w:lineRule="auto"/>
        <w:outlineLvl w:val="9"/>
        <w:rPr>
          <w:rFonts w:ascii="宋体" w:hAnsi="宋体" w:cs="宋体"/>
          <w:color w:val="auto"/>
          <w:sz w:val="24"/>
          <w:szCs w:val="24"/>
          <w:highlight w:val="none"/>
        </w:rPr>
      </w:pPr>
      <w:r>
        <w:rPr>
          <w:rFonts w:hint="eastAsia" w:ascii="宋体" w:hAnsi="宋体" w:cs="宋体"/>
          <w:color w:val="auto"/>
          <w:sz w:val="24"/>
          <w:szCs w:val="24"/>
          <w:highlight w:val="none"/>
        </w:rPr>
        <w:t>(1)手术部的洁净用房等级标准</w:t>
      </w:r>
    </w:p>
    <w:tbl>
      <w:tblPr>
        <w:tblStyle w:val="22"/>
        <w:tblW w:w="0" w:type="auto"/>
        <w:jc w:val="center"/>
        <w:tblLayout w:type="fixed"/>
        <w:tblCellMar>
          <w:top w:w="0" w:type="dxa"/>
          <w:left w:w="108" w:type="dxa"/>
          <w:bottom w:w="0" w:type="dxa"/>
          <w:right w:w="108" w:type="dxa"/>
        </w:tblCellMar>
      </w:tblPr>
      <w:tblGrid>
        <w:gridCol w:w="766"/>
        <w:gridCol w:w="1595"/>
        <w:gridCol w:w="4541"/>
        <w:gridCol w:w="1999"/>
      </w:tblGrid>
      <w:tr>
        <w:tblPrEx>
          <w:tblCellMar>
            <w:top w:w="0" w:type="dxa"/>
            <w:left w:w="108" w:type="dxa"/>
            <w:bottom w:w="0" w:type="dxa"/>
            <w:right w:w="108" w:type="dxa"/>
          </w:tblCellMar>
        </w:tblPrEx>
        <w:trPr>
          <w:trHeight w:val="524" w:hRule="atLeast"/>
          <w:jc w:val="center"/>
        </w:trPr>
        <w:tc>
          <w:tcPr>
            <w:tcW w:w="766"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0"/>
              <w:jc w:val="center"/>
              <w:outlineLvl w:val="9"/>
              <w:rPr>
                <w:rFonts w:ascii="宋体" w:hAnsi="宋体" w:cs="宋体"/>
                <w:b/>
                <w:color w:val="auto"/>
                <w:spacing w:val="3"/>
                <w:sz w:val="21"/>
                <w:szCs w:val="21"/>
                <w:highlight w:val="none"/>
              </w:rPr>
            </w:pPr>
            <w:r>
              <w:rPr>
                <w:rFonts w:hint="eastAsia" w:ascii="宋体" w:hAnsi="宋体" w:cs="宋体"/>
                <w:b/>
                <w:color w:val="auto"/>
                <w:spacing w:val="3"/>
                <w:sz w:val="21"/>
                <w:szCs w:val="21"/>
                <w:highlight w:val="none"/>
              </w:rPr>
              <w:t>等 级</w:t>
            </w:r>
          </w:p>
        </w:tc>
        <w:tc>
          <w:tcPr>
            <w:tcW w:w="1595"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0"/>
              <w:jc w:val="center"/>
              <w:outlineLvl w:val="9"/>
              <w:rPr>
                <w:rFonts w:ascii="宋体" w:hAnsi="宋体" w:cs="宋体"/>
                <w:b/>
                <w:color w:val="auto"/>
                <w:sz w:val="21"/>
                <w:szCs w:val="21"/>
                <w:highlight w:val="none"/>
              </w:rPr>
            </w:pPr>
            <w:r>
              <w:rPr>
                <w:rFonts w:hint="eastAsia" w:ascii="宋体" w:hAnsi="宋体" w:cs="宋体"/>
                <w:b/>
                <w:color w:val="auto"/>
                <w:sz w:val="21"/>
                <w:szCs w:val="21"/>
                <w:highlight w:val="none"/>
              </w:rPr>
              <w:t>功能房间</w:t>
            </w:r>
          </w:p>
        </w:tc>
        <w:tc>
          <w:tcPr>
            <w:tcW w:w="4541"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0"/>
              <w:jc w:val="center"/>
              <w:outlineLvl w:val="9"/>
              <w:rPr>
                <w:rFonts w:ascii="宋体" w:hAnsi="宋体" w:cs="宋体"/>
                <w:b/>
                <w:color w:val="auto"/>
                <w:sz w:val="21"/>
                <w:szCs w:val="21"/>
                <w:highlight w:val="none"/>
              </w:rPr>
            </w:pPr>
            <w:r>
              <w:rPr>
                <w:rFonts w:hint="eastAsia" w:ascii="宋体" w:hAnsi="宋体" w:cs="宋体"/>
                <w:b/>
                <w:color w:val="auto"/>
                <w:spacing w:val="3"/>
                <w:sz w:val="21"/>
                <w:szCs w:val="21"/>
                <w:highlight w:val="none"/>
              </w:rPr>
              <w:t>沉降(浮游)细菌最大平均度</w:t>
            </w:r>
          </w:p>
        </w:tc>
        <w:tc>
          <w:tcPr>
            <w:tcW w:w="1999"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0"/>
              <w:jc w:val="center"/>
              <w:outlineLvl w:val="9"/>
              <w:rPr>
                <w:rFonts w:ascii="宋体" w:hAnsi="宋体" w:cs="宋体"/>
                <w:b/>
                <w:color w:val="auto"/>
                <w:sz w:val="21"/>
                <w:szCs w:val="21"/>
                <w:highlight w:val="none"/>
              </w:rPr>
            </w:pPr>
            <w:r>
              <w:rPr>
                <w:rFonts w:hint="eastAsia" w:ascii="宋体" w:hAnsi="宋体" w:cs="宋体"/>
                <w:b/>
                <w:color w:val="auto"/>
                <w:spacing w:val="3"/>
                <w:sz w:val="21"/>
                <w:szCs w:val="21"/>
                <w:highlight w:val="none"/>
              </w:rPr>
              <w:t>空气洁净度级别</w:t>
            </w:r>
          </w:p>
        </w:tc>
      </w:tr>
      <w:tr>
        <w:tblPrEx>
          <w:tblCellMar>
            <w:top w:w="0" w:type="dxa"/>
            <w:left w:w="108" w:type="dxa"/>
            <w:bottom w:w="0" w:type="dxa"/>
            <w:right w:w="108" w:type="dxa"/>
          </w:tblCellMar>
        </w:tblPrEx>
        <w:trPr>
          <w:trHeight w:val="524" w:hRule="atLeast"/>
          <w:jc w:val="center"/>
        </w:trPr>
        <w:tc>
          <w:tcPr>
            <w:tcW w:w="766"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0"/>
              <w:jc w:val="center"/>
              <w:outlineLvl w:val="9"/>
              <w:rPr>
                <w:rFonts w:ascii="宋体" w:hAnsi="宋体" w:cs="宋体"/>
                <w:b/>
                <w:color w:val="auto"/>
                <w:spacing w:val="3"/>
                <w:sz w:val="21"/>
                <w:szCs w:val="21"/>
                <w:highlight w:val="none"/>
              </w:rPr>
            </w:pPr>
            <w:r>
              <w:rPr>
                <w:rFonts w:hint="eastAsia" w:ascii="宋体" w:hAnsi="宋体" w:cs="宋体"/>
                <w:bCs/>
                <w:color w:val="auto"/>
                <w:spacing w:val="3"/>
                <w:sz w:val="21"/>
                <w:szCs w:val="21"/>
                <w:highlight w:val="none"/>
              </w:rPr>
              <w:t>Ⅰ</w:t>
            </w:r>
          </w:p>
        </w:tc>
        <w:tc>
          <w:tcPr>
            <w:tcW w:w="1595"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0"/>
              <w:jc w:val="center"/>
              <w:outlineLvl w:val="9"/>
              <w:rPr>
                <w:rFonts w:ascii="宋体" w:hAnsi="宋体" w:cs="宋体"/>
                <w:bCs/>
                <w:color w:val="auto"/>
                <w:spacing w:val="3"/>
                <w:sz w:val="21"/>
                <w:szCs w:val="21"/>
                <w:highlight w:val="none"/>
              </w:rPr>
            </w:pPr>
            <w:r>
              <w:rPr>
                <w:rFonts w:hint="eastAsia" w:ascii="宋体" w:hAnsi="宋体" w:cs="宋体"/>
                <w:bCs/>
                <w:color w:val="auto"/>
                <w:spacing w:val="3"/>
                <w:sz w:val="21"/>
                <w:szCs w:val="21"/>
                <w:highlight w:val="none"/>
              </w:rPr>
              <w:t>特别洁净手术室</w:t>
            </w:r>
          </w:p>
        </w:tc>
        <w:tc>
          <w:tcPr>
            <w:tcW w:w="4541"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1"/>
              <w:outlineLvl w:val="9"/>
              <w:rPr>
                <w:rFonts w:ascii="宋体" w:hAnsi="宋体" w:cs="宋体"/>
                <w:bCs/>
                <w:color w:val="auto"/>
                <w:spacing w:val="3"/>
                <w:sz w:val="21"/>
                <w:szCs w:val="21"/>
                <w:highlight w:val="none"/>
              </w:rPr>
            </w:pPr>
            <w:r>
              <w:rPr>
                <w:rFonts w:hint="eastAsia" w:ascii="宋体" w:hAnsi="宋体" w:cs="宋体"/>
                <w:bCs/>
                <w:color w:val="auto"/>
                <w:spacing w:val="3"/>
                <w:sz w:val="21"/>
                <w:szCs w:val="21"/>
                <w:highlight w:val="none"/>
              </w:rPr>
              <w:t xml:space="preserve">  手术区0.2个／30min·Φ90皿(5个／m</w:t>
            </w:r>
            <w:r>
              <w:rPr>
                <w:rFonts w:hint="eastAsia" w:ascii="宋体" w:hAnsi="宋体" w:cs="宋体"/>
                <w:bCs/>
                <w:color w:val="auto"/>
                <w:spacing w:val="3"/>
                <w:sz w:val="21"/>
                <w:szCs w:val="21"/>
                <w:highlight w:val="none"/>
                <w:vertAlign w:val="superscript"/>
              </w:rPr>
              <w:t>3</w:t>
            </w:r>
            <w:r>
              <w:rPr>
                <w:rFonts w:hint="eastAsia" w:ascii="宋体" w:hAnsi="宋体" w:cs="宋体"/>
                <w:bCs/>
                <w:color w:val="auto"/>
                <w:spacing w:val="3"/>
                <w:sz w:val="21"/>
                <w:szCs w:val="21"/>
                <w:highlight w:val="none"/>
              </w:rPr>
              <w:t>)</w:t>
            </w:r>
          </w:p>
          <w:p>
            <w:pPr>
              <w:spacing w:line="360" w:lineRule="auto"/>
              <w:ind w:left="-90"/>
              <w:jc w:val="center"/>
              <w:outlineLvl w:val="9"/>
              <w:rPr>
                <w:rFonts w:ascii="宋体" w:hAnsi="宋体" w:cs="宋体"/>
                <w:bCs/>
                <w:color w:val="auto"/>
                <w:spacing w:val="3"/>
                <w:sz w:val="21"/>
                <w:szCs w:val="21"/>
                <w:highlight w:val="none"/>
              </w:rPr>
            </w:pPr>
            <w:r>
              <w:rPr>
                <w:rFonts w:hint="eastAsia" w:ascii="宋体" w:hAnsi="宋体" w:cs="宋体"/>
                <w:bCs/>
                <w:color w:val="auto"/>
                <w:spacing w:val="3"/>
                <w:sz w:val="21"/>
                <w:szCs w:val="21"/>
                <w:highlight w:val="none"/>
              </w:rPr>
              <w:t>周边区0.4个／30min·Φ90皿(10个／m</w:t>
            </w:r>
            <w:r>
              <w:rPr>
                <w:rFonts w:hint="eastAsia" w:ascii="宋体" w:hAnsi="宋体" w:cs="宋体"/>
                <w:bCs/>
                <w:color w:val="auto"/>
                <w:spacing w:val="3"/>
                <w:sz w:val="21"/>
                <w:szCs w:val="21"/>
                <w:highlight w:val="none"/>
                <w:vertAlign w:val="superscript"/>
              </w:rPr>
              <w:t>3</w:t>
            </w:r>
            <w:r>
              <w:rPr>
                <w:rFonts w:hint="eastAsia" w:ascii="宋体" w:hAnsi="宋体" w:cs="宋体"/>
                <w:bCs/>
                <w:color w:val="auto"/>
                <w:spacing w:val="3"/>
                <w:sz w:val="21"/>
                <w:szCs w:val="21"/>
                <w:highlight w:val="none"/>
              </w:rPr>
              <w:t>)</w:t>
            </w:r>
          </w:p>
        </w:tc>
        <w:tc>
          <w:tcPr>
            <w:tcW w:w="1999"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1"/>
              <w:jc w:val="center"/>
              <w:outlineLvl w:val="9"/>
              <w:rPr>
                <w:rFonts w:ascii="宋体" w:hAnsi="宋体" w:cs="宋体"/>
                <w:color w:val="auto"/>
                <w:spacing w:val="3"/>
                <w:sz w:val="21"/>
                <w:szCs w:val="21"/>
                <w:highlight w:val="none"/>
              </w:rPr>
            </w:pPr>
            <w:r>
              <w:rPr>
                <w:rFonts w:hint="eastAsia" w:ascii="宋体" w:hAnsi="宋体" w:cs="宋体"/>
                <w:color w:val="auto"/>
                <w:spacing w:val="3"/>
                <w:sz w:val="21"/>
                <w:szCs w:val="21"/>
                <w:highlight w:val="none"/>
              </w:rPr>
              <w:t>手术区100级</w:t>
            </w:r>
          </w:p>
          <w:p>
            <w:pPr>
              <w:spacing w:line="360" w:lineRule="auto"/>
              <w:ind w:left="-90"/>
              <w:jc w:val="center"/>
              <w:outlineLvl w:val="9"/>
              <w:rPr>
                <w:rFonts w:ascii="宋体" w:hAnsi="宋体" w:cs="宋体"/>
                <w:bCs/>
                <w:color w:val="auto"/>
                <w:spacing w:val="3"/>
                <w:sz w:val="21"/>
                <w:szCs w:val="21"/>
                <w:highlight w:val="none"/>
              </w:rPr>
            </w:pPr>
            <w:r>
              <w:rPr>
                <w:rFonts w:hint="eastAsia" w:ascii="宋体" w:hAnsi="宋体" w:cs="宋体"/>
                <w:color w:val="auto"/>
                <w:spacing w:val="3"/>
                <w:sz w:val="21"/>
                <w:szCs w:val="21"/>
                <w:highlight w:val="none"/>
              </w:rPr>
              <w:t>周边区1000级</w:t>
            </w:r>
          </w:p>
        </w:tc>
      </w:tr>
      <w:tr>
        <w:tblPrEx>
          <w:tblCellMar>
            <w:top w:w="0" w:type="dxa"/>
            <w:left w:w="108" w:type="dxa"/>
            <w:bottom w:w="0" w:type="dxa"/>
            <w:right w:w="108" w:type="dxa"/>
          </w:tblCellMar>
        </w:tblPrEx>
        <w:trPr>
          <w:cantSplit/>
          <w:trHeight w:val="920" w:hRule="atLeast"/>
          <w:jc w:val="center"/>
        </w:trPr>
        <w:tc>
          <w:tcPr>
            <w:tcW w:w="766" w:type="dxa"/>
            <w:vMerge w:val="restart"/>
            <w:tcBorders>
              <w:top w:val="single" w:color="auto" w:sz="6" w:space="0"/>
              <w:left w:val="single" w:color="auto" w:sz="6" w:space="0"/>
              <w:bottom w:val="nil"/>
              <w:right w:val="single" w:color="auto" w:sz="6" w:space="0"/>
            </w:tcBorders>
            <w:noWrap w:val="0"/>
            <w:vAlign w:val="center"/>
          </w:tcPr>
          <w:p>
            <w:pPr>
              <w:spacing w:line="360" w:lineRule="auto"/>
              <w:ind w:left="-90"/>
              <w:jc w:val="center"/>
              <w:outlineLvl w:val="9"/>
              <w:rPr>
                <w:rFonts w:ascii="宋体" w:hAnsi="宋体" w:cs="宋体"/>
                <w:color w:val="auto"/>
                <w:sz w:val="21"/>
                <w:szCs w:val="21"/>
                <w:highlight w:val="none"/>
              </w:rPr>
            </w:pPr>
            <w:r>
              <w:rPr>
                <w:rFonts w:hint="eastAsia" w:ascii="宋体" w:hAnsi="宋体" w:cs="宋体"/>
                <w:color w:val="auto"/>
                <w:spacing w:val="3"/>
                <w:sz w:val="21"/>
                <w:szCs w:val="21"/>
                <w:highlight w:val="none"/>
              </w:rPr>
              <w:t>Ⅱ</w:t>
            </w:r>
          </w:p>
        </w:tc>
        <w:tc>
          <w:tcPr>
            <w:tcW w:w="1595"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1"/>
              <w:jc w:val="center"/>
              <w:outlineLvl w:val="9"/>
              <w:rPr>
                <w:rFonts w:ascii="宋体" w:hAnsi="宋体" w:cs="宋体"/>
                <w:color w:val="auto"/>
                <w:sz w:val="21"/>
                <w:szCs w:val="21"/>
                <w:highlight w:val="none"/>
              </w:rPr>
            </w:pPr>
            <w:r>
              <w:rPr>
                <w:rFonts w:hint="eastAsia" w:ascii="宋体" w:hAnsi="宋体" w:cs="宋体"/>
                <w:color w:val="auto"/>
                <w:spacing w:val="3"/>
                <w:sz w:val="21"/>
                <w:szCs w:val="21"/>
                <w:highlight w:val="none"/>
              </w:rPr>
              <w:t>标准洁净手术室</w:t>
            </w:r>
          </w:p>
        </w:tc>
        <w:tc>
          <w:tcPr>
            <w:tcW w:w="4541"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1"/>
              <w:outlineLvl w:val="9"/>
              <w:rPr>
                <w:rFonts w:ascii="宋体" w:hAnsi="宋体" w:cs="宋体"/>
                <w:color w:val="auto"/>
                <w:spacing w:val="3"/>
                <w:sz w:val="21"/>
                <w:szCs w:val="21"/>
                <w:highlight w:val="none"/>
              </w:rPr>
            </w:pPr>
            <w:r>
              <w:rPr>
                <w:rFonts w:hint="eastAsia" w:ascii="宋体" w:hAnsi="宋体" w:cs="宋体"/>
                <w:color w:val="auto"/>
                <w:spacing w:val="3"/>
                <w:sz w:val="21"/>
                <w:szCs w:val="21"/>
                <w:highlight w:val="none"/>
              </w:rPr>
              <w:t xml:space="preserve">  手术区0.75个／30min·Φ90皿(25个／m</w:t>
            </w:r>
            <w:r>
              <w:rPr>
                <w:rFonts w:hint="eastAsia" w:ascii="宋体" w:hAnsi="宋体" w:cs="宋体"/>
                <w:color w:val="auto"/>
                <w:spacing w:val="3"/>
                <w:sz w:val="21"/>
                <w:szCs w:val="21"/>
                <w:highlight w:val="none"/>
                <w:vertAlign w:val="superscript"/>
              </w:rPr>
              <w:t>3</w:t>
            </w:r>
            <w:r>
              <w:rPr>
                <w:rFonts w:hint="eastAsia" w:ascii="宋体" w:hAnsi="宋体" w:cs="宋体"/>
                <w:color w:val="auto"/>
                <w:spacing w:val="3"/>
                <w:sz w:val="21"/>
                <w:szCs w:val="21"/>
                <w:highlight w:val="none"/>
              </w:rPr>
              <w:t>)</w:t>
            </w:r>
          </w:p>
          <w:p>
            <w:pPr>
              <w:spacing w:line="360" w:lineRule="auto"/>
              <w:ind w:left="-91"/>
              <w:outlineLvl w:val="9"/>
              <w:rPr>
                <w:rFonts w:ascii="宋体" w:hAnsi="宋体" w:cs="宋体"/>
                <w:color w:val="auto"/>
                <w:sz w:val="21"/>
                <w:szCs w:val="21"/>
                <w:highlight w:val="none"/>
              </w:rPr>
            </w:pPr>
            <w:r>
              <w:rPr>
                <w:rFonts w:hint="eastAsia" w:ascii="宋体" w:hAnsi="宋体" w:cs="宋体"/>
                <w:color w:val="auto"/>
                <w:spacing w:val="3"/>
                <w:sz w:val="21"/>
                <w:szCs w:val="21"/>
                <w:highlight w:val="none"/>
              </w:rPr>
              <w:t xml:space="preserve">  周边区1.5个／30min·Φ90皿(50个／m</w:t>
            </w:r>
            <w:r>
              <w:rPr>
                <w:rFonts w:hint="eastAsia" w:ascii="宋体" w:hAnsi="宋体" w:cs="宋体"/>
                <w:color w:val="auto"/>
                <w:spacing w:val="3"/>
                <w:sz w:val="21"/>
                <w:szCs w:val="21"/>
                <w:highlight w:val="none"/>
                <w:vertAlign w:val="superscript"/>
              </w:rPr>
              <w:t>3</w:t>
            </w:r>
            <w:r>
              <w:rPr>
                <w:rFonts w:hint="eastAsia" w:ascii="宋体" w:hAnsi="宋体" w:cs="宋体"/>
                <w:color w:val="auto"/>
                <w:spacing w:val="3"/>
                <w:sz w:val="21"/>
                <w:szCs w:val="21"/>
                <w:highlight w:val="none"/>
              </w:rPr>
              <w:t>)</w:t>
            </w:r>
          </w:p>
        </w:tc>
        <w:tc>
          <w:tcPr>
            <w:tcW w:w="1999"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1"/>
              <w:jc w:val="center"/>
              <w:outlineLvl w:val="9"/>
              <w:rPr>
                <w:rFonts w:ascii="宋体" w:hAnsi="宋体" w:cs="宋体"/>
                <w:color w:val="auto"/>
                <w:spacing w:val="3"/>
                <w:sz w:val="21"/>
                <w:szCs w:val="21"/>
                <w:highlight w:val="none"/>
              </w:rPr>
            </w:pPr>
            <w:r>
              <w:rPr>
                <w:rFonts w:hint="eastAsia" w:ascii="宋体" w:hAnsi="宋体" w:cs="宋体"/>
                <w:color w:val="auto"/>
                <w:spacing w:val="3"/>
                <w:sz w:val="21"/>
                <w:szCs w:val="21"/>
                <w:highlight w:val="none"/>
              </w:rPr>
              <w:t>手术区1000级</w:t>
            </w:r>
          </w:p>
          <w:p>
            <w:pPr>
              <w:spacing w:line="360" w:lineRule="auto"/>
              <w:ind w:left="-91"/>
              <w:jc w:val="center"/>
              <w:outlineLvl w:val="9"/>
              <w:rPr>
                <w:rFonts w:ascii="宋体" w:hAnsi="宋体" w:cs="宋体"/>
                <w:color w:val="auto"/>
                <w:sz w:val="21"/>
                <w:szCs w:val="21"/>
                <w:highlight w:val="none"/>
              </w:rPr>
            </w:pPr>
            <w:r>
              <w:rPr>
                <w:rFonts w:hint="eastAsia" w:ascii="宋体" w:hAnsi="宋体" w:cs="宋体"/>
                <w:color w:val="auto"/>
                <w:spacing w:val="3"/>
                <w:sz w:val="21"/>
                <w:szCs w:val="21"/>
                <w:highlight w:val="none"/>
              </w:rPr>
              <w:t>周边区10000级</w:t>
            </w:r>
          </w:p>
        </w:tc>
      </w:tr>
      <w:tr>
        <w:tblPrEx>
          <w:tblCellMar>
            <w:top w:w="0" w:type="dxa"/>
            <w:left w:w="108" w:type="dxa"/>
            <w:bottom w:w="0" w:type="dxa"/>
            <w:right w:w="108" w:type="dxa"/>
          </w:tblCellMar>
        </w:tblPrEx>
        <w:trPr>
          <w:cantSplit/>
          <w:trHeight w:val="526" w:hRule="atLeast"/>
          <w:jc w:val="center"/>
        </w:trPr>
        <w:tc>
          <w:tcPr>
            <w:tcW w:w="766" w:type="dxa"/>
            <w:vMerge w:val="continue"/>
            <w:tcBorders>
              <w:top w:val="nil"/>
              <w:left w:val="single" w:color="auto" w:sz="6" w:space="0"/>
              <w:bottom w:val="single" w:color="auto" w:sz="6" w:space="0"/>
              <w:right w:val="single" w:color="auto" w:sz="6" w:space="0"/>
            </w:tcBorders>
            <w:noWrap w:val="0"/>
            <w:vAlign w:val="center"/>
          </w:tcPr>
          <w:p>
            <w:pPr>
              <w:spacing w:line="360" w:lineRule="auto"/>
              <w:ind w:left="-90"/>
              <w:jc w:val="center"/>
              <w:outlineLvl w:val="9"/>
              <w:rPr>
                <w:rFonts w:ascii="宋体" w:hAnsi="宋体" w:cs="宋体"/>
                <w:color w:val="auto"/>
                <w:sz w:val="21"/>
                <w:szCs w:val="21"/>
                <w:highlight w:val="none"/>
              </w:rPr>
            </w:pPr>
          </w:p>
        </w:tc>
        <w:tc>
          <w:tcPr>
            <w:tcW w:w="1595"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0"/>
              <w:jc w:val="center"/>
              <w:outlineLvl w:val="9"/>
              <w:rPr>
                <w:rFonts w:ascii="宋体" w:hAnsi="宋体" w:cs="宋体"/>
                <w:color w:val="auto"/>
                <w:sz w:val="21"/>
                <w:szCs w:val="21"/>
                <w:highlight w:val="none"/>
              </w:rPr>
            </w:pPr>
            <w:r>
              <w:rPr>
                <w:rFonts w:hint="eastAsia" w:ascii="宋体" w:hAnsi="宋体" w:cs="宋体"/>
                <w:color w:val="auto"/>
                <w:spacing w:val="3"/>
                <w:sz w:val="21"/>
                <w:szCs w:val="21"/>
                <w:highlight w:val="none"/>
              </w:rPr>
              <w:t>洁净辅助用房</w:t>
            </w:r>
          </w:p>
        </w:tc>
        <w:tc>
          <w:tcPr>
            <w:tcW w:w="4541"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0"/>
              <w:outlineLvl w:val="9"/>
              <w:rPr>
                <w:rFonts w:ascii="宋体" w:hAnsi="宋体" w:cs="宋体"/>
                <w:color w:val="auto"/>
                <w:sz w:val="21"/>
                <w:szCs w:val="21"/>
                <w:highlight w:val="none"/>
              </w:rPr>
            </w:pPr>
            <w:r>
              <w:rPr>
                <w:rFonts w:hint="eastAsia" w:ascii="宋体" w:hAnsi="宋体" w:cs="宋体"/>
                <w:color w:val="auto"/>
                <w:spacing w:val="3"/>
                <w:sz w:val="21"/>
                <w:szCs w:val="21"/>
                <w:highlight w:val="none"/>
              </w:rPr>
              <w:t xml:space="preserve">  1.5个／30min·Φ90皿(50个／m</w:t>
            </w:r>
            <w:r>
              <w:rPr>
                <w:rFonts w:hint="eastAsia" w:ascii="宋体" w:hAnsi="宋体" w:cs="宋体"/>
                <w:color w:val="auto"/>
                <w:spacing w:val="3"/>
                <w:sz w:val="21"/>
                <w:szCs w:val="21"/>
                <w:highlight w:val="none"/>
                <w:vertAlign w:val="superscript"/>
              </w:rPr>
              <w:t>3</w:t>
            </w:r>
            <w:r>
              <w:rPr>
                <w:rFonts w:hint="eastAsia" w:ascii="宋体" w:hAnsi="宋体" w:cs="宋体"/>
                <w:color w:val="auto"/>
                <w:spacing w:val="3"/>
                <w:sz w:val="21"/>
                <w:szCs w:val="21"/>
                <w:highlight w:val="none"/>
              </w:rPr>
              <w:t>)</w:t>
            </w:r>
          </w:p>
        </w:tc>
        <w:tc>
          <w:tcPr>
            <w:tcW w:w="1999"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0"/>
              <w:jc w:val="center"/>
              <w:outlineLvl w:val="9"/>
              <w:rPr>
                <w:rFonts w:ascii="宋体" w:hAnsi="宋体" w:cs="宋体"/>
                <w:color w:val="auto"/>
                <w:sz w:val="21"/>
                <w:szCs w:val="21"/>
                <w:highlight w:val="none"/>
              </w:rPr>
            </w:pPr>
            <w:r>
              <w:rPr>
                <w:rFonts w:hint="eastAsia" w:ascii="宋体" w:hAnsi="宋体" w:cs="宋体"/>
                <w:color w:val="auto"/>
                <w:spacing w:val="3"/>
                <w:sz w:val="21"/>
                <w:szCs w:val="21"/>
                <w:highlight w:val="none"/>
              </w:rPr>
              <w:t>10000级</w:t>
            </w:r>
          </w:p>
        </w:tc>
      </w:tr>
      <w:tr>
        <w:tblPrEx>
          <w:tblCellMar>
            <w:top w:w="0" w:type="dxa"/>
            <w:left w:w="108" w:type="dxa"/>
            <w:bottom w:w="0" w:type="dxa"/>
            <w:right w:w="108" w:type="dxa"/>
          </w:tblCellMar>
        </w:tblPrEx>
        <w:trPr>
          <w:cantSplit/>
          <w:trHeight w:val="920" w:hRule="atLeast"/>
          <w:jc w:val="center"/>
        </w:trPr>
        <w:tc>
          <w:tcPr>
            <w:tcW w:w="766" w:type="dxa"/>
            <w:vMerge w:val="restart"/>
            <w:tcBorders>
              <w:top w:val="single" w:color="auto" w:sz="6" w:space="0"/>
              <w:left w:val="single" w:color="auto" w:sz="6" w:space="0"/>
              <w:bottom w:val="nil"/>
              <w:right w:val="single" w:color="auto" w:sz="6" w:space="0"/>
            </w:tcBorders>
            <w:noWrap w:val="0"/>
            <w:vAlign w:val="center"/>
          </w:tcPr>
          <w:p>
            <w:pPr>
              <w:spacing w:line="360" w:lineRule="auto"/>
              <w:ind w:left="-90"/>
              <w:jc w:val="center"/>
              <w:outlineLvl w:val="9"/>
              <w:rPr>
                <w:rFonts w:ascii="宋体" w:hAnsi="宋体" w:cs="宋体"/>
                <w:color w:val="auto"/>
                <w:sz w:val="21"/>
                <w:szCs w:val="21"/>
                <w:highlight w:val="none"/>
              </w:rPr>
            </w:pPr>
            <w:r>
              <w:rPr>
                <w:rFonts w:hint="eastAsia" w:ascii="宋体" w:hAnsi="宋体" w:cs="宋体"/>
                <w:color w:val="auto"/>
                <w:spacing w:val="3"/>
                <w:sz w:val="21"/>
                <w:szCs w:val="21"/>
                <w:highlight w:val="none"/>
              </w:rPr>
              <w:t>Ⅲ</w:t>
            </w:r>
          </w:p>
        </w:tc>
        <w:tc>
          <w:tcPr>
            <w:tcW w:w="1595"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1"/>
              <w:jc w:val="center"/>
              <w:outlineLvl w:val="9"/>
              <w:rPr>
                <w:rFonts w:ascii="宋体" w:hAnsi="宋体" w:cs="宋体"/>
                <w:color w:val="auto"/>
                <w:sz w:val="21"/>
                <w:szCs w:val="21"/>
                <w:highlight w:val="none"/>
              </w:rPr>
            </w:pPr>
            <w:r>
              <w:rPr>
                <w:rFonts w:hint="eastAsia" w:ascii="宋体" w:hAnsi="宋体" w:cs="宋体"/>
                <w:color w:val="auto"/>
                <w:spacing w:val="3"/>
                <w:sz w:val="21"/>
                <w:szCs w:val="21"/>
                <w:highlight w:val="none"/>
              </w:rPr>
              <w:t>一般洁净手术室</w:t>
            </w:r>
          </w:p>
        </w:tc>
        <w:tc>
          <w:tcPr>
            <w:tcW w:w="4541"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1"/>
              <w:outlineLvl w:val="9"/>
              <w:rPr>
                <w:rFonts w:ascii="宋体" w:hAnsi="宋体" w:cs="宋体"/>
                <w:color w:val="auto"/>
                <w:spacing w:val="3"/>
                <w:sz w:val="21"/>
                <w:szCs w:val="21"/>
                <w:highlight w:val="none"/>
              </w:rPr>
            </w:pPr>
            <w:r>
              <w:rPr>
                <w:rFonts w:hint="eastAsia" w:ascii="宋体" w:hAnsi="宋体" w:cs="宋体"/>
                <w:color w:val="auto"/>
                <w:spacing w:val="3"/>
                <w:sz w:val="21"/>
                <w:szCs w:val="21"/>
                <w:highlight w:val="none"/>
              </w:rPr>
              <w:t xml:space="preserve">  手术区2个／30min·Φ90皿(75个／m</w:t>
            </w:r>
            <w:r>
              <w:rPr>
                <w:rFonts w:hint="eastAsia" w:ascii="宋体" w:hAnsi="宋体" w:cs="宋体"/>
                <w:color w:val="auto"/>
                <w:spacing w:val="3"/>
                <w:sz w:val="21"/>
                <w:szCs w:val="21"/>
                <w:highlight w:val="none"/>
                <w:vertAlign w:val="superscript"/>
              </w:rPr>
              <w:t>3</w:t>
            </w:r>
            <w:r>
              <w:rPr>
                <w:rFonts w:hint="eastAsia" w:ascii="宋体" w:hAnsi="宋体" w:cs="宋体"/>
                <w:color w:val="auto"/>
                <w:spacing w:val="3"/>
                <w:sz w:val="21"/>
                <w:szCs w:val="21"/>
                <w:highlight w:val="none"/>
              </w:rPr>
              <w:t>)</w:t>
            </w:r>
          </w:p>
          <w:p>
            <w:pPr>
              <w:spacing w:line="360" w:lineRule="auto"/>
              <w:ind w:left="-91"/>
              <w:outlineLvl w:val="9"/>
              <w:rPr>
                <w:rFonts w:ascii="宋体" w:hAnsi="宋体" w:cs="宋体"/>
                <w:color w:val="auto"/>
                <w:sz w:val="21"/>
                <w:szCs w:val="21"/>
                <w:highlight w:val="none"/>
              </w:rPr>
            </w:pPr>
            <w:r>
              <w:rPr>
                <w:rFonts w:hint="eastAsia" w:ascii="宋体" w:hAnsi="宋体" w:cs="宋体"/>
                <w:color w:val="auto"/>
                <w:spacing w:val="3"/>
                <w:sz w:val="21"/>
                <w:szCs w:val="21"/>
                <w:highlight w:val="none"/>
              </w:rPr>
              <w:t xml:space="preserve">  周边区4个／30min·Φ90皿(150个／m</w:t>
            </w:r>
            <w:r>
              <w:rPr>
                <w:rFonts w:hint="eastAsia" w:ascii="宋体" w:hAnsi="宋体" w:cs="宋体"/>
                <w:color w:val="auto"/>
                <w:spacing w:val="3"/>
                <w:sz w:val="21"/>
                <w:szCs w:val="21"/>
                <w:highlight w:val="none"/>
                <w:vertAlign w:val="superscript"/>
              </w:rPr>
              <w:t>3</w:t>
            </w:r>
            <w:r>
              <w:rPr>
                <w:rFonts w:hint="eastAsia" w:ascii="宋体" w:hAnsi="宋体" w:cs="宋体"/>
                <w:color w:val="auto"/>
                <w:spacing w:val="3"/>
                <w:sz w:val="21"/>
                <w:szCs w:val="21"/>
                <w:highlight w:val="none"/>
              </w:rPr>
              <w:t>)</w:t>
            </w:r>
          </w:p>
        </w:tc>
        <w:tc>
          <w:tcPr>
            <w:tcW w:w="1999"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1"/>
              <w:jc w:val="center"/>
              <w:outlineLvl w:val="9"/>
              <w:rPr>
                <w:rFonts w:ascii="宋体" w:hAnsi="宋体" w:cs="宋体"/>
                <w:color w:val="auto"/>
                <w:spacing w:val="3"/>
                <w:sz w:val="21"/>
                <w:szCs w:val="21"/>
                <w:highlight w:val="none"/>
              </w:rPr>
            </w:pPr>
            <w:r>
              <w:rPr>
                <w:rFonts w:hint="eastAsia" w:ascii="宋体" w:hAnsi="宋体" w:cs="宋体"/>
                <w:color w:val="auto"/>
                <w:spacing w:val="3"/>
                <w:sz w:val="21"/>
                <w:szCs w:val="21"/>
                <w:highlight w:val="none"/>
              </w:rPr>
              <w:t>手术区10000级</w:t>
            </w:r>
          </w:p>
          <w:p>
            <w:pPr>
              <w:spacing w:line="360" w:lineRule="auto"/>
              <w:ind w:left="-91"/>
              <w:jc w:val="center"/>
              <w:outlineLvl w:val="9"/>
              <w:rPr>
                <w:rFonts w:ascii="宋体" w:hAnsi="宋体" w:cs="宋体"/>
                <w:color w:val="auto"/>
                <w:sz w:val="21"/>
                <w:szCs w:val="21"/>
                <w:highlight w:val="none"/>
              </w:rPr>
            </w:pPr>
            <w:r>
              <w:rPr>
                <w:rFonts w:hint="eastAsia" w:ascii="宋体" w:hAnsi="宋体" w:cs="宋体"/>
                <w:color w:val="auto"/>
                <w:spacing w:val="3"/>
                <w:sz w:val="21"/>
                <w:szCs w:val="21"/>
                <w:highlight w:val="none"/>
              </w:rPr>
              <w:t>周边区100000级</w:t>
            </w:r>
          </w:p>
        </w:tc>
      </w:tr>
      <w:tr>
        <w:tblPrEx>
          <w:tblCellMar>
            <w:top w:w="0" w:type="dxa"/>
            <w:left w:w="108" w:type="dxa"/>
            <w:bottom w:w="0" w:type="dxa"/>
            <w:right w:w="108" w:type="dxa"/>
          </w:tblCellMar>
        </w:tblPrEx>
        <w:trPr>
          <w:cantSplit/>
          <w:trHeight w:val="486" w:hRule="atLeast"/>
          <w:jc w:val="center"/>
        </w:trPr>
        <w:tc>
          <w:tcPr>
            <w:tcW w:w="766" w:type="dxa"/>
            <w:vMerge w:val="continue"/>
            <w:tcBorders>
              <w:top w:val="nil"/>
              <w:left w:val="single" w:color="auto" w:sz="6" w:space="0"/>
              <w:bottom w:val="single" w:color="auto" w:sz="6" w:space="0"/>
              <w:right w:val="single" w:color="auto" w:sz="6" w:space="0"/>
            </w:tcBorders>
            <w:noWrap w:val="0"/>
            <w:vAlign w:val="top"/>
          </w:tcPr>
          <w:p>
            <w:pPr>
              <w:spacing w:line="360" w:lineRule="auto"/>
              <w:ind w:left="-90"/>
              <w:outlineLvl w:val="9"/>
              <w:rPr>
                <w:rFonts w:ascii="宋体" w:hAnsi="宋体" w:cs="宋体"/>
                <w:color w:val="auto"/>
                <w:sz w:val="21"/>
                <w:szCs w:val="21"/>
                <w:highlight w:val="none"/>
              </w:rPr>
            </w:pPr>
          </w:p>
        </w:tc>
        <w:tc>
          <w:tcPr>
            <w:tcW w:w="1595"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0"/>
              <w:jc w:val="center"/>
              <w:outlineLvl w:val="9"/>
              <w:rPr>
                <w:rFonts w:ascii="宋体" w:hAnsi="宋体" w:cs="宋体"/>
                <w:color w:val="auto"/>
                <w:sz w:val="21"/>
                <w:szCs w:val="21"/>
                <w:highlight w:val="none"/>
              </w:rPr>
            </w:pPr>
            <w:r>
              <w:rPr>
                <w:rFonts w:hint="eastAsia" w:ascii="宋体" w:hAnsi="宋体" w:cs="宋体"/>
                <w:color w:val="auto"/>
                <w:spacing w:val="3"/>
                <w:sz w:val="21"/>
                <w:szCs w:val="21"/>
                <w:highlight w:val="none"/>
              </w:rPr>
              <w:t>洁净辅助用房</w:t>
            </w:r>
          </w:p>
        </w:tc>
        <w:tc>
          <w:tcPr>
            <w:tcW w:w="4541"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0"/>
              <w:outlineLvl w:val="9"/>
              <w:rPr>
                <w:rFonts w:ascii="宋体" w:hAnsi="宋体" w:cs="宋体"/>
                <w:color w:val="auto"/>
                <w:sz w:val="21"/>
                <w:szCs w:val="21"/>
                <w:highlight w:val="none"/>
              </w:rPr>
            </w:pPr>
            <w:r>
              <w:rPr>
                <w:rFonts w:hint="eastAsia" w:ascii="宋体" w:hAnsi="宋体" w:cs="宋体"/>
                <w:color w:val="auto"/>
                <w:spacing w:val="3"/>
                <w:sz w:val="21"/>
                <w:szCs w:val="21"/>
                <w:highlight w:val="none"/>
              </w:rPr>
              <w:t xml:space="preserve">  4个／30min·Φ90皿(150个／m</w:t>
            </w:r>
            <w:r>
              <w:rPr>
                <w:rFonts w:hint="eastAsia" w:ascii="宋体" w:hAnsi="宋体" w:cs="宋体"/>
                <w:color w:val="auto"/>
                <w:spacing w:val="3"/>
                <w:sz w:val="21"/>
                <w:szCs w:val="21"/>
                <w:highlight w:val="none"/>
                <w:vertAlign w:val="superscript"/>
              </w:rPr>
              <w:t>3</w:t>
            </w:r>
            <w:r>
              <w:rPr>
                <w:rFonts w:hint="eastAsia" w:ascii="宋体" w:hAnsi="宋体" w:cs="宋体"/>
                <w:color w:val="auto"/>
                <w:spacing w:val="3"/>
                <w:sz w:val="21"/>
                <w:szCs w:val="21"/>
                <w:highlight w:val="none"/>
              </w:rPr>
              <w:t>)</w:t>
            </w:r>
          </w:p>
        </w:tc>
        <w:tc>
          <w:tcPr>
            <w:tcW w:w="1999" w:type="dxa"/>
            <w:tcBorders>
              <w:top w:val="single" w:color="auto" w:sz="6" w:space="0"/>
              <w:left w:val="single" w:color="auto" w:sz="6" w:space="0"/>
              <w:bottom w:val="single" w:color="auto" w:sz="6" w:space="0"/>
              <w:right w:val="single" w:color="auto" w:sz="6" w:space="0"/>
            </w:tcBorders>
            <w:noWrap w:val="0"/>
            <w:vAlign w:val="center"/>
          </w:tcPr>
          <w:p>
            <w:pPr>
              <w:spacing w:line="360" w:lineRule="auto"/>
              <w:ind w:left="-90"/>
              <w:jc w:val="center"/>
              <w:outlineLvl w:val="9"/>
              <w:rPr>
                <w:rFonts w:ascii="宋体" w:hAnsi="宋体" w:cs="宋体"/>
                <w:color w:val="auto"/>
                <w:sz w:val="21"/>
                <w:szCs w:val="21"/>
                <w:highlight w:val="none"/>
              </w:rPr>
            </w:pPr>
            <w:r>
              <w:rPr>
                <w:rFonts w:hint="eastAsia" w:ascii="宋体" w:hAnsi="宋体" w:cs="宋体"/>
                <w:color w:val="auto"/>
                <w:spacing w:val="3"/>
                <w:sz w:val="21"/>
                <w:szCs w:val="21"/>
                <w:highlight w:val="none"/>
              </w:rPr>
              <w:t>100000级</w:t>
            </w:r>
          </w:p>
        </w:tc>
      </w:tr>
    </w:tbl>
    <w:p>
      <w:pPr>
        <w:spacing w:line="360" w:lineRule="auto"/>
        <w:outlineLvl w:val="9"/>
        <w:rPr>
          <w:rFonts w:ascii="宋体" w:hAnsi="宋体" w:cs="宋体"/>
          <w:bCs/>
          <w:color w:val="auto"/>
          <w:sz w:val="24"/>
          <w:szCs w:val="24"/>
          <w:highlight w:val="none"/>
        </w:rPr>
      </w:pPr>
      <w:r>
        <w:rPr>
          <w:rFonts w:hint="eastAsia" w:ascii="宋体" w:hAnsi="宋体" w:cs="宋体"/>
          <w:bCs/>
          <w:color w:val="auto"/>
          <w:sz w:val="24"/>
          <w:szCs w:val="24"/>
          <w:highlight w:val="none"/>
        </w:rPr>
        <w:t>(2)洁净手术部主要技术指标</w:t>
      </w:r>
    </w:p>
    <w:tbl>
      <w:tblPr>
        <w:tblStyle w:val="22"/>
        <w:tblW w:w="0" w:type="auto"/>
        <w:tblInd w:w="-432" w:type="dxa"/>
        <w:tblLayout w:type="fixed"/>
        <w:tblCellMar>
          <w:top w:w="0" w:type="dxa"/>
          <w:left w:w="108" w:type="dxa"/>
          <w:bottom w:w="0" w:type="dxa"/>
          <w:right w:w="108" w:type="dxa"/>
        </w:tblCellMar>
      </w:tblPr>
      <w:tblGrid>
        <w:gridCol w:w="1427"/>
        <w:gridCol w:w="1271"/>
        <w:gridCol w:w="1039"/>
        <w:gridCol w:w="1339"/>
        <w:gridCol w:w="699"/>
        <w:gridCol w:w="696"/>
        <w:gridCol w:w="1299"/>
        <w:gridCol w:w="850"/>
        <w:gridCol w:w="1113"/>
      </w:tblGrid>
      <w:tr>
        <w:tblPrEx>
          <w:tblCellMar>
            <w:top w:w="0" w:type="dxa"/>
            <w:left w:w="108" w:type="dxa"/>
            <w:bottom w:w="0" w:type="dxa"/>
            <w:right w:w="108" w:type="dxa"/>
          </w:tblCellMar>
        </w:tblPrEx>
        <w:trPr>
          <w:trHeight w:val="283" w:hRule="atLeast"/>
        </w:trPr>
        <w:tc>
          <w:tcPr>
            <w:tcW w:w="1427"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名 称</w:t>
            </w:r>
          </w:p>
        </w:tc>
        <w:tc>
          <w:tcPr>
            <w:tcW w:w="1271"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室内压力</w:t>
            </w:r>
          </w:p>
          <w:p>
            <w:pPr>
              <w:adjustRightInd w:val="0"/>
              <w:snapToGrid w:val="0"/>
              <w:spacing w:line="360" w:lineRule="auto"/>
              <w:jc w:val="center"/>
              <w:outlineLvl w:val="9"/>
              <w:rPr>
                <w:rFonts w:ascii="宋体" w:hAnsi="宋体" w:cs="宋体"/>
                <w:color w:val="auto"/>
                <w:sz w:val="21"/>
                <w:szCs w:val="21"/>
                <w:highlight w:val="none"/>
              </w:rPr>
            </w:pPr>
          </w:p>
        </w:tc>
        <w:tc>
          <w:tcPr>
            <w:tcW w:w="1039"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最小换气次数(次/h)</w:t>
            </w:r>
          </w:p>
        </w:tc>
        <w:tc>
          <w:tcPr>
            <w:tcW w:w="1339"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平均风速(m/s)</w:t>
            </w:r>
          </w:p>
        </w:tc>
        <w:tc>
          <w:tcPr>
            <w:tcW w:w="699"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温度(℃)</w:t>
            </w:r>
          </w:p>
        </w:tc>
        <w:tc>
          <w:tcPr>
            <w:tcW w:w="696"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相对湿度(%)</w:t>
            </w:r>
          </w:p>
        </w:tc>
        <w:tc>
          <w:tcPr>
            <w:tcW w:w="1299"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最小新风量m</w:t>
            </w:r>
            <w:r>
              <w:rPr>
                <w:rFonts w:hint="eastAsia" w:ascii="宋体" w:hAnsi="宋体" w:cs="宋体"/>
                <w:color w:val="auto"/>
                <w:sz w:val="21"/>
                <w:szCs w:val="21"/>
                <w:highlight w:val="none"/>
                <w:vertAlign w:val="superscript"/>
              </w:rPr>
              <w:t>3</w:t>
            </w:r>
            <w:r>
              <w:rPr>
                <w:rFonts w:hint="eastAsia" w:ascii="宋体" w:hAnsi="宋体" w:cs="宋体"/>
                <w:color w:val="auto"/>
                <w:sz w:val="21"/>
                <w:szCs w:val="21"/>
                <w:highlight w:val="none"/>
              </w:rPr>
              <w:t>/h.m</w:t>
            </w:r>
            <w:r>
              <w:rPr>
                <w:rFonts w:hint="eastAsia" w:ascii="宋体" w:hAnsi="宋体" w:cs="宋体"/>
                <w:color w:val="auto"/>
                <w:sz w:val="21"/>
                <w:szCs w:val="21"/>
                <w:highlight w:val="none"/>
                <w:vertAlign w:val="superscript"/>
              </w:rPr>
              <w:t>2</w:t>
            </w:r>
            <w:r>
              <w:rPr>
                <w:rFonts w:hint="eastAsia" w:ascii="宋体" w:hAnsi="宋体" w:cs="宋体"/>
                <w:color w:val="auto"/>
                <w:sz w:val="21"/>
                <w:szCs w:val="21"/>
                <w:highlight w:val="none"/>
              </w:rPr>
              <w:t>或次/h（仅指本栏括号中数据）</w:t>
            </w:r>
          </w:p>
        </w:tc>
        <w:tc>
          <w:tcPr>
            <w:tcW w:w="850"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噪声dB(A)</w:t>
            </w:r>
          </w:p>
        </w:tc>
        <w:tc>
          <w:tcPr>
            <w:tcW w:w="1113"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最低照度(lx)</w:t>
            </w:r>
          </w:p>
        </w:tc>
      </w:tr>
      <w:tr>
        <w:tblPrEx>
          <w:tblCellMar>
            <w:top w:w="0" w:type="dxa"/>
            <w:left w:w="108" w:type="dxa"/>
            <w:bottom w:w="0" w:type="dxa"/>
            <w:right w:w="108" w:type="dxa"/>
          </w:tblCellMar>
        </w:tblPrEx>
        <w:trPr>
          <w:trHeight w:val="191" w:hRule="atLeast"/>
        </w:trPr>
        <w:tc>
          <w:tcPr>
            <w:tcW w:w="1427"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outlineLvl w:val="9"/>
              <w:rPr>
                <w:rFonts w:ascii="宋体" w:hAnsi="宋体" w:cs="宋体"/>
                <w:color w:val="auto"/>
                <w:sz w:val="21"/>
                <w:szCs w:val="21"/>
                <w:highlight w:val="none"/>
              </w:rPr>
            </w:pPr>
          </w:p>
        </w:tc>
        <w:tc>
          <w:tcPr>
            <w:tcW w:w="1271"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outlineLvl w:val="9"/>
              <w:rPr>
                <w:rFonts w:ascii="宋体" w:hAnsi="宋体" w:cs="宋体"/>
                <w:color w:val="auto"/>
                <w:sz w:val="21"/>
                <w:szCs w:val="21"/>
                <w:highlight w:val="none"/>
              </w:rPr>
            </w:pPr>
          </w:p>
        </w:tc>
        <w:tc>
          <w:tcPr>
            <w:tcW w:w="1039"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outlineLvl w:val="9"/>
              <w:rPr>
                <w:rFonts w:ascii="宋体" w:hAnsi="宋体" w:cs="宋体"/>
                <w:color w:val="auto"/>
                <w:sz w:val="21"/>
                <w:szCs w:val="21"/>
                <w:highlight w:val="none"/>
              </w:rPr>
            </w:pPr>
          </w:p>
        </w:tc>
        <w:tc>
          <w:tcPr>
            <w:tcW w:w="1339"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outlineLvl w:val="9"/>
              <w:rPr>
                <w:rFonts w:ascii="宋体" w:hAnsi="宋体" w:cs="宋体"/>
                <w:color w:val="auto"/>
                <w:sz w:val="21"/>
                <w:szCs w:val="21"/>
                <w:highlight w:val="none"/>
              </w:rPr>
            </w:pPr>
          </w:p>
        </w:tc>
        <w:tc>
          <w:tcPr>
            <w:tcW w:w="699"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outlineLvl w:val="9"/>
              <w:rPr>
                <w:rFonts w:ascii="宋体" w:hAnsi="宋体" w:cs="宋体"/>
                <w:color w:val="auto"/>
                <w:sz w:val="21"/>
                <w:szCs w:val="21"/>
                <w:highlight w:val="none"/>
              </w:rPr>
            </w:pPr>
          </w:p>
        </w:tc>
        <w:tc>
          <w:tcPr>
            <w:tcW w:w="696"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outlineLvl w:val="9"/>
              <w:rPr>
                <w:rFonts w:ascii="宋体" w:hAnsi="宋体" w:cs="宋体"/>
                <w:color w:val="auto"/>
                <w:sz w:val="21"/>
                <w:szCs w:val="21"/>
                <w:highlight w:val="none"/>
              </w:rPr>
            </w:pPr>
          </w:p>
        </w:tc>
        <w:tc>
          <w:tcPr>
            <w:tcW w:w="1299" w:type="dxa"/>
            <w:tcBorders>
              <w:top w:val="single" w:color="auto" w:sz="4" w:space="0"/>
              <w:left w:val="nil"/>
              <w:bottom w:val="single" w:color="auto" w:sz="4" w:space="0"/>
              <w:right w:val="single" w:color="auto" w:sz="4" w:space="0"/>
            </w:tcBorders>
            <w:noWrap w:val="0"/>
            <w:vAlign w:val="center"/>
          </w:tcPr>
          <w:p>
            <w:pPr>
              <w:adjustRightInd w:val="0"/>
              <w:snapToGrid w:val="0"/>
              <w:spacing w:line="360" w:lineRule="auto"/>
              <w:outlineLvl w:val="9"/>
              <w:rPr>
                <w:rFonts w:ascii="宋体" w:hAnsi="宋体" w:cs="宋体"/>
                <w:color w:val="auto"/>
                <w:sz w:val="21"/>
                <w:szCs w:val="21"/>
                <w:highlight w:val="none"/>
              </w:rPr>
            </w:pPr>
          </w:p>
        </w:tc>
        <w:tc>
          <w:tcPr>
            <w:tcW w:w="850"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outlineLvl w:val="9"/>
              <w:rPr>
                <w:rFonts w:ascii="宋体" w:hAnsi="宋体" w:cs="宋体"/>
                <w:color w:val="auto"/>
                <w:sz w:val="21"/>
                <w:szCs w:val="21"/>
                <w:highlight w:val="none"/>
              </w:rPr>
            </w:pPr>
          </w:p>
        </w:tc>
        <w:tc>
          <w:tcPr>
            <w:tcW w:w="1113"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auto"/>
              <w:outlineLvl w:val="9"/>
              <w:rPr>
                <w:rFonts w:ascii="宋体" w:hAnsi="宋体" w:cs="宋体"/>
                <w:color w:val="auto"/>
                <w:sz w:val="21"/>
                <w:szCs w:val="21"/>
                <w:highlight w:val="none"/>
              </w:rPr>
            </w:pPr>
          </w:p>
        </w:tc>
      </w:tr>
      <w:tr>
        <w:tblPrEx>
          <w:tblCellMar>
            <w:top w:w="0" w:type="dxa"/>
            <w:left w:w="108" w:type="dxa"/>
            <w:bottom w:w="0" w:type="dxa"/>
            <w:right w:w="108" w:type="dxa"/>
          </w:tblCellMar>
        </w:tblPrEx>
        <w:trPr>
          <w:trHeight w:val="283" w:hRule="atLeast"/>
        </w:trPr>
        <w:tc>
          <w:tcPr>
            <w:tcW w:w="1427" w:type="dxa"/>
            <w:tcBorders>
              <w:top w:val="nil"/>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Ⅰ级洁净手术室和需要无菌操作的特殊用房</w:t>
            </w:r>
          </w:p>
        </w:tc>
        <w:tc>
          <w:tcPr>
            <w:tcW w:w="1271"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10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13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0.20～0.25</w:t>
            </w:r>
          </w:p>
        </w:tc>
        <w:tc>
          <w:tcPr>
            <w:tcW w:w="6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21～25</w:t>
            </w:r>
          </w:p>
        </w:tc>
        <w:tc>
          <w:tcPr>
            <w:tcW w:w="696"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30～60</w:t>
            </w:r>
          </w:p>
        </w:tc>
        <w:tc>
          <w:tcPr>
            <w:tcW w:w="12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15～20</w:t>
            </w:r>
          </w:p>
        </w:tc>
        <w:tc>
          <w:tcPr>
            <w:tcW w:w="850"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≤51</w:t>
            </w:r>
          </w:p>
        </w:tc>
        <w:tc>
          <w:tcPr>
            <w:tcW w:w="1113"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≥350</w:t>
            </w:r>
          </w:p>
        </w:tc>
      </w:tr>
      <w:tr>
        <w:tblPrEx>
          <w:tblCellMar>
            <w:top w:w="0" w:type="dxa"/>
            <w:left w:w="108" w:type="dxa"/>
            <w:bottom w:w="0" w:type="dxa"/>
            <w:right w:w="108" w:type="dxa"/>
          </w:tblCellMar>
        </w:tblPrEx>
        <w:trPr>
          <w:trHeight w:val="283" w:hRule="atLeast"/>
        </w:trPr>
        <w:tc>
          <w:tcPr>
            <w:tcW w:w="1427" w:type="dxa"/>
            <w:tcBorders>
              <w:top w:val="nil"/>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Ⅱ级洁净手术室和需要无菌操作的特殊实验室</w:t>
            </w:r>
          </w:p>
        </w:tc>
        <w:tc>
          <w:tcPr>
            <w:tcW w:w="1271"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10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24</w:t>
            </w:r>
          </w:p>
        </w:tc>
        <w:tc>
          <w:tcPr>
            <w:tcW w:w="13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6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21～25</w:t>
            </w:r>
          </w:p>
        </w:tc>
        <w:tc>
          <w:tcPr>
            <w:tcW w:w="696"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30～60</w:t>
            </w:r>
          </w:p>
        </w:tc>
        <w:tc>
          <w:tcPr>
            <w:tcW w:w="12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15～20</w:t>
            </w:r>
          </w:p>
        </w:tc>
        <w:tc>
          <w:tcPr>
            <w:tcW w:w="850"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≤49</w:t>
            </w:r>
          </w:p>
        </w:tc>
        <w:tc>
          <w:tcPr>
            <w:tcW w:w="1113"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≥350</w:t>
            </w:r>
          </w:p>
        </w:tc>
      </w:tr>
      <w:tr>
        <w:tblPrEx>
          <w:tblCellMar>
            <w:top w:w="0" w:type="dxa"/>
            <w:left w:w="108" w:type="dxa"/>
            <w:bottom w:w="0" w:type="dxa"/>
            <w:right w:w="108" w:type="dxa"/>
          </w:tblCellMar>
        </w:tblPrEx>
        <w:trPr>
          <w:trHeight w:val="283" w:hRule="atLeast"/>
        </w:trPr>
        <w:tc>
          <w:tcPr>
            <w:tcW w:w="1427" w:type="dxa"/>
            <w:tcBorders>
              <w:top w:val="nil"/>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Ⅲ级洁净手术室</w:t>
            </w:r>
          </w:p>
        </w:tc>
        <w:tc>
          <w:tcPr>
            <w:tcW w:w="1271"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10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18</w:t>
            </w:r>
          </w:p>
        </w:tc>
        <w:tc>
          <w:tcPr>
            <w:tcW w:w="13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6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21～25</w:t>
            </w:r>
          </w:p>
        </w:tc>
        <w:tc>
          <w:tcPr>
            <w:tcW w:w="696"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30～60</w:t>
            </w:r>
          </w:p>
        </w:tc>
        <w:tc>
          <w:tcPr>
            <w:tcW w:w="12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15～20</w:t>
            </w:r>
          </w:p>
        </w:tc>
        <w:tc>
          <w:tcPr>
            <w:tcW w:w="850"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≤49</w:t>
            </w:r>
          </w:p>
        </w:tc>
        <w:tc>
          <w:tcPr>
            <w:tcW w:w="1113"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≥350</w:t>
            </w:r>
          </w:p>
        </w:tc>
      </w:tr>
      <w:tr>
        <w:tblPrEx>
          <w:tblCellMar>
            <w:top w:w="0" w:type="dxa"/>
            <w:left w:w="108" w:type="dxa"/>
            <w:bottom w:w="0" w:type="dxa"/>
            <w:right w:w="108" w:type="dxa"/>
          </w:tblCellMar>
        </w:tblPrEx>
        <w:trPr>
          <w:trHeight w:val="283" w:hRule="atLeast"/>
        </w:trPr>
        <w:tc>
          <w:tcPr>
            <w:tcW w:w="1427" w:type="dxa"/>
            <w:tcBorders>
              <w:top w:val="nil"/>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Ⅳ级洁净手术室</w:t>
            </w:r>
          </w:p>
        </w:tc>
        <w:tc>
          <w:tcPr>
            <w:tcW w:w="1271"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10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12</w:t>
            </w:r>
          </w:p>
        </w:tc>
        <w:tc>
          <w:tcPr>
            <w:tcW w:w="13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6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21～25</w:t>
            </w:r>
          </w:p>
        </w:tc>
        <w:tc>
          <w:tcPr>
            <w:tcW w:w="696"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30～60</w:t>
            </w:r>
          </w:p>
        </w:tc>
        <w:tc>
          <w:tcPr>
            <w:tcW w:w="12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15～20</w:t>
            </w:r>
          </w:p>
        </w:tc>
        <w:tc>
          <w:tcPr>
            <w:tcW w:w="850"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≤49</w:t>
            </w:r>
          </w:p>
        </w:tc>
        <w:tc>
          <w:tcPr>
            <w:tcW w:w="1113"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≥350</w:t>
            </w:r>
          </w:p>
        </w:tc>
      </w:tr>
      <w:tr>
        <w:tblPrEx>
          <w:tblCellMar>
            <w:top w:w="0" w:type="dxa"/>
            <w:left w:w="108" w:type="dxa"/>
            <w:bottom w:w="0" w:type="dxa"/>
            <w:right w:w="108" w:type="dxa"/>
          </w:tblCellMar>
        </w:tblPrEx>
        <w:trPr>
          <w:trHeight w:val="283" w:hRule="atLeast"/>
        </w:trPr>
        <w:tc>
          <w:tcPr>
            <w:tcW w:w="1427" w:type="dxa"/>
            <w:tcBorders>
              <w:top w:val="nil"/>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无菌敷料</w:t>
            </w:r>
          </w:p>
        </w:tc>
        <w:tc>
          <w:tcPr>
            <w:tcW w:w="1271"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10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12</w:t>
            </w:r>
          </w:p>
        </w:tc>
        <w:tc>
          <w:tcPr>
            <w:tcW w:w="13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6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≤27</w:t>
            </w:r>
          </w:p>
        </w:tc>
        <w:tc>
          <w:tcPr>
            <w:tcW w:w="696"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≤60</w:t>
            </w:r>
          </w:p>
        </w:tc>
        <w:tc>
          <w:tcPr>
            <w:tcW w:w="12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w:t>
            </w:r>
          </w:p>
        </w:tc>
        <w:tc>
          <w:tcPr>
            <w:tcW w:w="850"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≤60</w:t>
            </w:r>
          </w:p>
        </w:tc>
        <w:tc>
          <w:tcPr>
            <w:tcW w:w="1113"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≥150</w:t>
            </w:r>
          </w:p>
        </w:tc>
      </w:tr>
      <w:tr>
        <w:tblPrEx>
          <w:tblCellMar>
            <w:top w:w="0" w:type="dxa"/>
            <w:left w:w="108" w:type="dxa"/>
            <w:bottom w:w="0" w:type="dxa"/>
            <w:right w:w="108" w:type="dxa"/>
          </w:tblCellMar>
        </w:tblPrEx>
        <w:trPr>
          <w:trHeight w:val="283" w:hRule="atLeast"/>
        </w:trPr>
        <w:tc>
          <w:tcPr>
            <w:tcW w:w="1427" w:type="dxa"/>
            <w:tcBorders>
              <w:top w:val="nil"/>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器械、一次性物品存放室和精密仪器存放室</w:t>
            </w:r>
          </w:p>
        </w:tc>
        <w:tc>
          <w:tcPr>
            <w:tcW w:w="1271"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10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10</w:t>
            </w:r>
          </w:p>
        </w:tc>
        <w:tc>
          <w:tcPr>
            <w:tcW w:w="13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6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≤27</w:t>
            </w:r>
          </w:p>
        </w:tc>
        <w:tc>
          <w:tcPr>
            <w:tcW w:w="696"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≤60</w:t>
            </w:r>
          </w:p>
        </w:tc>
        <w:tc>
          <w:tcPr>
            <w:tcW w:w="12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p>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w:t>
            </w:r>
          </w:p>
        </w:tc>
        <w:tc>
          <w:tcPr>
            <w:tcW w:w="850"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≤60</w:t>
            </w:r>
          </w:p>
        </w:tc>
        <w:tc>
          <w:tcPr>
            <w:tcW w:w="1113"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≥150</w:t>
            </w:r>
          </w:p>
        </w:tc>
      </w:tr>
      <w:tr>
        <w:tblPrEx>
          <w:tblCellMar>
            <w:top w:w="0" w:type="dxa"/>
            <w:left w:w="108" w:type="dxa"/>
            <w:bottom w:w="0" w:type="dxa"/>
            <w:right w:w="108" w:type="dxa"/>
          </w:tblCellMar>
        </w:tblPrEx>
        <w:trPr>
          <w:trHeight w:val="283" w:hRule="atLeast"/>
        </w:trPr>
        <w:tc>
          <w:tcPr>
            <w:tcW w:w="1427" w:type="dxa"/>
            <w:tcBorders>
              <w:top w:val="nil"/>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护士站</w:t>
            </w:r>
          </w:p>
        </w:tc>
        <w:tc>
          <w:tcPr>
            <w:tcW w:w="1271"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０～＋</w:t>
            </w:r>
          </w:p>
        </w:tc>
        <w:tc>
          <w:tcPr>
            <w:tcW w:w="10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10</w:t>
            </w:r>
          </w:p>
        </w:tc>
        <w:tc>
          <w:tcPr>
            <w:tcW w:w="13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6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21～27</w:t>
            </w:r>
          </w:p>
        </w:tc>
        <w:tc>
          <w:tcPr>
            <w:tcW w:w="696"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≤60</w:t>
            </w:r>
          </w:p>
        </w:tc>
        <w:tc>
          <w:tcPr>
            <w:tcW w:w="12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w:t>
            </w:r>
          </w:p>
        </w:tc>
        <w:tc>
          <w:tcPr>
            <w:tcW w:w="850"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≤55</w:t>
            </w:r>
          </w:p>
        </w:tc>
        <w:tc>
          <w:tcPr>
            <w:tcW w:w="1113"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≥150</w:t>
            </w:r>
          </w:p>
        </w:tc>
      </w:tr>
      <w:tr>
        <w:tblPrEx>
          <w:tblCellMar>
            <w:top w:w="0" w:type="dxa"/>
            <w:left w:w="108" w:type="dxa"/>
            <w:bottom w:w="0" w:type="dxa"/>
            <w:right w:w="108" w:type="dxa"/>
          </w:tblCellMar>
        </w:tblPrEx>
        <w:trPr>
          <w:trHeight w:val="283" w:hRule="atLeast"/>
        </w:trPr>
        <w:tc>
          <w:tcPr>
            <w:tcW w:w="1427" w:type="dxa"/>
            <w:tcBorders>
              <w:top w:val="nil"/>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准备室(前室)</w:t>
            </w:r>
          </w:p>
        </w:tc>
        <w:tc>
          <w:tcPr>
            <w:tcW w:w="1271"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０～＋</w:t>
            </w:r>
          </w:p>
        </w:tc>
        <w:tc>
          <w:tcPr>
            <w:tcW w:w="10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8</w:t>
            </w:r>
          </w:p>
        </w:tc>
        <w:tc>
          <w:tcPr>
            <w:tcW w:w="13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6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21～27</w:t>
            </w:r>
          </w:p>
        </w:tc>
        <w:tc>
          <w:tcPr>
            <w:tcW w:w="696"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≤60</w:t>
            </w:r>
          </w:p>
        </w:tc>
        <w:tc>
          <w:tcPr>
            <w:tcW w:w="12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w:t>
            </w:r>
          </w:p>
        </w:tc>
        <w:tc>
          <w:tcPr>
            <w:tcW w:w="850"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≤60</w:t>
            </w:r>
          </w:p>
        </w:tc>
        <w:tc>
          <w:tcPr>
            <w:tcW w:w="1113"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≥200</w:t>
            </w:r>
          </w:p>
        </w:tc>
      </w:tr>
      <w:tr>
        <w:tblPrEx>
          <w:tblCellMar>
            <w:top w:w="0" w:type="dxa"/>
            <w:left w:w="108" w:type="dxa"/>
            <w:bottom w:w="0" w:type="dxa"/>
            <w:right w:w="108" w:type="dxa"/>
          </w:tblCellMar>
        </w:tblPrEx>
        <w:trPr>
          <w:trHeight w:val="283" w:hRule="atLeast"/>
        </w:trPr>
        <w:tc>
          <w:tcPr>
            <w:tcW w:w="1427" w:type="dxa"/>
            <w:tcBorders>
              <w:top w:val="nil"/>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刷手间</w:t>
            </w:r>
          </w:p>
        </w:tc>
        <w:tc>
          <w:tcPr>
            <w:tcW w:w="1271"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10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8</w:t>
            </w:r>
          </w:p>
        </w:tc>
        <w:tc>
          <w:tcPr>
            <w:tcW w:w="13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6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21～27</w:t>
            </w:r>
          </w:p>
        </w:tc>
        <w:tc>
          <w:tcPr>
            <w:tcW w:w="696"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12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w:t>
            </w:r>
          </w:p>
        </w:tc>
        <w:tc>
          <w:tcPr>
            <w:tcW w:w="850"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≤55</w:t>
            </w:r>
          </w:p>
        </w:tc>
        <w:tc>
          <w:tcPr>
            <w:tcW w:w="1113"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≥150</w:t>
            </w:r>
          </w:p>
        </w:tc>
      </w:tr>
      <w:tr>
        <w:tblPrEx>
          <w:tblCellMar>
            <w:top w:w="0" w:type="dxa"/>
            <w:left w:w="108" w:type="dxa"/>
            <w:bottom w:w="0" w:type="dxa"/>
            <w:right w:w="108" w:type="dxa"/>
          </w:tblCellMar>
        </w:tblPrEx>
        <w:trPr>
          <w:trHeight w:val="283" w:hRule="atLeast"/>
        </w:trPr>
        <w:tc>
          <w:tcPr>
            <w:tcW w:w="1427" w:type="dxa"/>
            <w:tcBorders>
              <w:top w:val="nil"/>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洁净区走廊</w:t>
            </w:r>
          </w:p>
        </w:tc>
        <w:tc>
          <w:tcPr>
            <w:tcW w:w="1271"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０～＋</w:t>
            </w:r>
          </w:p>
        </w:tc>
        <w:tc>
          <w:tcPr>
            <w:tcW w:w="10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8</w:t>
            </w:r>
          </w:p>
        </w:tc>
        <w:tc>
          <w:tcPr>
            <w:tcW w:w="13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6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21～27</w:t>
            </w:r>
          </w:p>
        </w:tc>
        <w:tc>
          <w:tcPr>
            <w:tcW w:w="696"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≤60</w:t>
            </w:r>
          </w:p>
        </w:tc>
        <w:tc>
          <w:tcPr>
            <w:tcW w:w="12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w:t>
            </w:r>
          </w:p>
        </w:tc>
        <w:tc>
          <w:tcPr>
            <w:tcW w:w="850"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≤52</w:t>
            </w:r>
          </w:p>
        </w:tc>
        <w:tc>
          <w:tcPr>
            <w:tcW w:w="1113"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≥150</w:t>
            </w:r>
          </w:p>
        </w:tc>
      </w:tr>
      <w:tr>
        <w:tblPrEx>
          <w:tblCellMar>
            <w:top w:w="0" w:type="dxa"/>
            <w:left w:w="108" w:type="dxa"/>
            <w:bottom w:w="0" w:type="dxa"/>
            <w:right w:w="108" w:type="dxa"/>
          </w:tblCellMar>
        </w:tblPrEx>
        <w:trPr>
          <w:trHeight w:val="283" w:hRule="atLeast"/>
        </w:trPr>
        <w:tc>
          <w:tcPr>
            <w:tcW w:w="1427" w:type="dxa"/>
            <w:tcBorders>
              <w:top w:val="nil"/>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更衣室（或其穿衣区）</w:t>
            </w:r>
          </w:p>
        </w:tc>
        <w:tc>
          <w:tcPr>
            <w:tcW w:w="1271"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10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8</w:t>
            </w:r>
          </w:p>
        </w:tc>
        <w:tc>
          <w:tcPr>
            <w:tcW w:w="13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6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21～27</w:t>
            </w:r>
          </w:p>
        </w:tc>
        <w:tc>
          <w:tcPr>
            <w:tcW w:w="696"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25～60</w:t>
            </w:r>
          </w:p>
        </w:tc>
        <w:tc>
          <w:tcPr>
            <w:tcW w:w="12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w:t>
            </w:r>
          </w:p>
        </w:tc>
        <w:tc>
          <w:tcPr>
            <w:tcW w:w="850"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≤60</w:t>
            </w:r>
          </w:p>
        </w:tc>
        <w:tc>
          <w:tcPr>
            <w:tcW w:w="1113"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≥200</w:t>
            </w:r>
          </w:p>
        </w:tc>
      </w:tr>
      <w:tr>
        <w:tblPrEx>
          <w:tblCellMar>
            <w:top w:w="0" w:type="dxa"/>
            <w:left w:w="108" w:type="dxa"/>
            <w:bottom w:w="0" w:type="dxa"/>
            <w:right w:w="108" w:type="dxa"/>
          </w:tblCellMar>
        </w:tblPrEx>
        <w:trPr>
          <w:trHeight w:val="283" w:hRule="atLeast"/>
        </w:trPr>
        <w:tc>
          <w:tcPr>
            <w:tcW w:w="1427" w:type="dxa"/>
            <w:tcBorders>
              <w:top w:val="nil"/>
              <w:left w:val="single" w:color="auto" w:sz="4" w:space="0"/>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恢复室</w:t>
            </w:r>
          </w:p>
        </w:tc>
        <w:tc>
          <w:tcPr>
            <w:tcW w:w="1271"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０～＋</w:t>
            </w:r>
          </w:p>
        </w:tc>
        <w:tc>
          <w:tcPr>
            <w:tcW w:w="10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8</w:t>
            </w:r>
          </w:p>
        </w:tc>
        <w:tc>
          <w:tcPr>
            <w:tcW w:w="133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w:t>
            </w:r>
          </w:p>
        </w:tc>
        <w:tc>
          <w:tcPr>
            <w:tcW w:w="6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22～26</w:t>
            </w:r>
          </w:p>
        </w:tc>
        <w:tc>
          <w:tcPr>
            <w:tcW w:w="696"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25～60</w:t>
            </w:r>
          </w:p>
        </w:tc>
        <w:tc>
          <w:tcPr>
            <w:tcW w:w="1299"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w:t>
            </w:r>
          </w:p>
        </w:tc>
        <w:tc>
          <w:tcPr>
            <w:tcW w:w="850"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≤48</w:t>
            </w:r>
          </w:p>
        </w:tc>
        <w:tc>
          <w:tcPr>
            <w:tcW w:w="1113" w:type="dxa"/>
            <w:tcBorders>
              <w:top w:val="nil"/>
              <w:left w:val="nil"/>
              <w:bottom w:val="single" w:color="auto" w:sz="4" w:space="0"/>
              <w:right w:val="single" w:color="auto" w:sz="4" w:space="0"/>
            </w:tcBorders>
            <w:noWrap w:val="0"/>
            <w:vAlign w:val="center"/>
          </w:tcPr>
          <w:p>
            <w:pPr>
              <w:adjustRightInd w:val="0"/>
              <w:snapToGrid w:val="0"/>
              <w:spacing w:line="360" w:lineRule="auto"/>
              <w:jc w:val="center"/>
              <w:outlineLvl w:val="9"/>
              <w:rPr>
                <w:rFonts w:ascii="宋体" w:hAnsi="宋体" w:cs="宋体"/>
                <w:color w:val="auto"/>
                <w:sz w:val="21"/>
                <w:szCs w:val="21"/>
                <w:highlight w:val="none"/>
              </w:rPr>
            </w:pPr>
            <w:r>
              <w:rPr>
                <w:rFonts w:hint="eastAsia" w:ascii="宋体" w:hAnsi="宋体" w:cs="宋体"/>
                <w:color w:val="auto"/>
                <w:sz w:val="21"/>
                <w:szCs w:val="21"/>
                <w:highlight w:val="none"/>
              </w:rPr>
              <w:t>≥200</w:t>
            </w:r>
          </w:p>
        </w:tc>
      </w:tr>
    </w:tbl>
    <w:p>
      <w:pPr>
        <w:spacing w:line="360" w:lineRule="auto"/>
        <w:jc w:val="center"/>
        <w:outlineLvl w:val="9"/>
        <w:rPr>
          <w:rFonts w:ascii="宋体" w:hAnsi="宋体" w:cs="宋体"/>
          <w:b/>
          <w:color w:val="auto"/>
          <w:sz w:val="21"/>
          <w:szCs w:val="21"/>
          <w:highlight w:val="none"/>
        </w:rPr>
      </w:pPr>
    </w:p>
    <w:p>
      <w:pPr>
        <w:snapToGrid w:val="0"/>
        <w:spacing w:line="360" w:lineRule="auto"/>
        <w:ind w:firstLine="482" w:firstLineChars="200"/>
        <w:outlineLvl w:val="9"/>
        <w:rPr>
          <w:rFonts w:ascii="宋体" w:hAnsi="宋体" w:cs="宋体"/>
          <w:b/>
          <w:color w:val="auto"/>
          <w:sz w:val="24"/>
          <w:szCs w:val="24"/>
          <w:highlight w:val="none"/>
          <w:u w:val="single"/>
        </w:rPr>
      </w:pPr>
      <w:r>
        <w:rPr>
          <w:rFonts w:hint="eastAsia" w:ascii="宋体" w:hAnsi="宋体" w:cs="宋体"/>
          <w:b/>
          <w:color w:val="auto"/>
          <w:sz w:val="24"/>
          <w:szCs w:val="24"/>
          <w:highlight w:val="none"/>
        </w:rPr>
        <w:t>2、冷、热源及加湿参数</w:t>
      </w:r>
    </w:p>
    <w:p>
      <w:pPr>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手术部及供应中心全年采用独立的四管制风冷热泵作为冷热源，空调水系统采用四管制；冷、热水参数：冷水供回水温度约为7/12℃。热水供回水温度约为45/40℃。</w:t>
      </w:r>
    </w:p>
    <w:p>
      <w:pPr>
        <w:snapToGrid w:val="0"/>
        <w:spacing w:line="360" w:lineRule="auto"/>
        <w:ind w:firstLine="482" w:firstLineChars="200"/>
        <w:outlineLvl w:val="9"/>
        <w:rPr>
          <w:rFonts w:ascii="宋体" w:hAnsi="宋体" w:cs="宋体"/>
          <w:b/>
          <w:bCs/>
          <w:color w:val="auto"/>
          <w:sz w:val="24"/>
          <w:szCs w:val="24"/>
          <w:highlight w:val="none"/>
        </w:rPr>
      </w:pPr>
      <w:r>
        <w:rPr>
          <w:rFonts w:hint="eastAsia" w:ascii="宋体" w:hAnsi="宋体" w:cs="宋体"/>
          <w:b/>
          <w:color w:val="auto"/>
          <w:sz w:val="24"/>
          <w:szCs w:val="24"/>
          <w:highlight w:val="none"/>
        </w:rPr>
        <w:t>3、洁净风管系统</w:t>
      </w:r>
    </w:p>
    <w:p>
      <w:pPr>
        <w:snapToGrid w:val="0"/>
        <w:spacing w:line="360" w:lineRule="auto"/>
        <w:ind w:firstLine="482" w:firstLineChars="200"/>
        <w:outlineLvl w:val="9"/>
        <w:rPr>
          <w:rFonts w:ascii="宋体" w:hAnsi="宋体" w:cs="宋体"/>
          <w:b/>
          <w:bCs/>
          <w:color w:val="auto"/>
          <w:sz w:val="24"/>
          <w:szCs w:val="24"/>
          <w:highlight w:val="none"/>
        </w:rPr>
      </w:pPr>
      <w:r>
        <w:rPr>
          <w:rFonts w:hint="eastAsia" w:ascii="宋体" w:hAnsi="宋体" w:cs="宋体"/>
          <w:b/>
          <w:bCs/>
          <w:color w:val="auto"/>
          <w:sz w:val="24"/>
          <w:szCs w:val="24"/>
          <w:highlight w:val="none"/>
        </w:rPr>
        <w:t>［1、机组配置］</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（1）四层手术部：本项目手术室均采用独立净化空调系统，采用一拖一方式；洁净通道及其它辅房配置一台空气处理机组；配置一台新风机组，新风集中处理。污物通道采用新风机组+风机盘管系统形式。</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（2）三层供应中心：采用新风机组+风机盘管系统形式。</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（3）循环机组由混合段、风机段、均流段、中效过滤段（F8袋式）、表冷段、加热段、加湿段、出风段等组成。</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（4）集中新风机组由进风段、初效过滤段（G4板式）、风机段、均流段、中效过滤段（F8袋式）、亚高效过滤段(</w:t>
      </w:r>
      <w:r>
        <w:rPr>
          <w:rFonts w:ascii="宋体" w:hAnsi="宋体" w:cs="宋体"/>
          <w:color w:val="auto"/>
          <w:sz w:val="24"/>
          <w:szCs w:val="24"/>
          <w:highlight w:val="none"/>
        </w:rPr>
        <w:t>H10</w:t>
      </w:r>
      <w:r>
        <w:rPr>
          <w:rFonts w:hint="eastAsia" w:ascii="宋体" w:hAnsi="宋体" w:cs="宋体"/>
          <w:color w:val="auto"/>
          <w:sz w:val="24"/>
          <w:szCs w:val="24"/>
          <w:highlight w:val="none"/>
        </w:rPr>
        <w:t>)、加热段、表冷段、出风段等组成。</w:t>
      </w:r>
    </w:p>
    <w:p>
      <w:pPr>
        <w:snapToGrid w:val="0"/>
        <w:spacing w:line="360" w:lineRule="auto"/>
        <w:ind w:firstLine="482" w:firstLineChars="200"/>
        <w:outlineLvl w:val="9"/>
        <w:rPr>
          <w:rFonts w:ascii="宋体" w:hAnsi="宋体" w:cs="宋体"/>
          <w:b/>
          <w:bCs/>
          <w:color w:val="auto"/>
          <w:sz w:val="24"/>
          <w:szCs w:val="24"/>
          <w:highlight w:val="none"/>
        </w:rPr>
      </w:pPr>
      <w:r>
        <w:rPr>
          <w:rFonts w:hint="eastAsia" w:ascii="宋体" w:hAnsi="宋体" w:cs="宋体"/>
          <w:b/>
          <w:bCs/>
          <w:color w:val="auto"/>
          <w:sz w:val="24"/>
          <w:szCs w:val="24"/>
          <w:highlight w:val="none"/>
        </w:rPr>
        <w:t>［2、气流组织设计］</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（1）洁净手术室内送风口应集中布置于手术台上方，使手术台及周边区位于洁净气流形成的主流区内。</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（2）洁净手术室必须采用洁净专用层流罩送风，其送风装置尺寸必须满足《医院洁净手术部建筑技术规范》的要求。</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（3）I级手术室100级洁净区内气流必须是单向流</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（4）洁净手术室应采用双侧下部回风，回风口洞口上边高度不应超过地面之上0.5m，洞口下边离地面不低于0.1m。</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（5）洁净走廊、辅房采用高效送风口送风，洁净走廊上送上回风。</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（6）手术室必须设上部排风口，其位置宜在病人头侧的顶部，排风口进风速度应不大于2m/s。污洗间、打包间、标本间、应急消毒间设置排风机。</w:t>
      </w:r>
    </w:p>
    <w:p>
      <w:pPr>
        <w:snapToGrid w:val="0"/>
        <w:spacing w:line="360" w:lineRule="auto"/>
        <w:ind w:firstLine="482" w:firstLineChars="200"/>
        <w:outlineLvl w:val="9"/>
        <w:rPr>
          <w:rFonts w:ascii="宋体" w:hAnsi="宋体" w:cs="宋体"/>
          <w:b/>
          <w:bCs/>
          <w:color w:val="auto"/>
          <w:sz w:val="24"/>
          <w:szCs w:val="24"/>
          <w:highlight w:val="none"/>
        </w:rPr>
      </w:pPr>
      <w:r>
        <w:rPr>
          <w:rFonts w:hint="eastAsia" w:ascii="宋体" w:hAnsi="宋体" w:cs="宋体"/>
          <w:b/>
          <w:bCs/>
          <w:color w:val="auto"/>
          <w:sz w:val="24"/>
          <w:szCs w:val="24"/>
          <w:highlight w:val="none"/>
        </w:rPr>
        <w:t>［3、排风方案设计］</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1）在手术室设置排风系统，以调节室内压力和排除污染气体。手术室必须设置独立的吊顶排风口，其位置宜在病人头侧的顶部，排风口进风速度应不大于2m/s。</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2）排风系统设室内排风百叶、风量调节阀、静音型排风机组、室外防水百叶、止回阀。</w:t>
      </w:r>
    </w:p>
    <w:p>
      <w:pPr>
        <w:snapToGrid w:val="0"/>
        <w:spacing w:line="360" w:lineRule="auto"/>
        <w:ind w:firstLine="482" w:firstLineChars="200"/>
        <w:textAlignment w:val="baseline"/>
        <w:outlineLvl w:val="9"/>
        <w:rPr>
          <w:rFonts w:hint="eastAsia" w:ascii="宋体" w:hAnsi="宋体" w:cs="宋体"/>
          <w:b/>
          <w:bCs/>
          <w:color w:val="auto"/>
          <w:sz w:val="24"/>
          <w:szCs w:val="24"/>
          <w:highlight w:val="none"/>
        </w:rPr>
      </w:pPr>
      <w:r>
        <w:rPr>
          <w:rFonts w:hint="eastAsia" w:ascii="宋体" w:hAnsi="宋体" w:cs="宋体"/>
          <w:b/>
          <w:bCs/>
          <w:color w:val="auto"/>
          <w:sz w:val="24"/>
          <w:szCs w:val="24"/>
          <w:highlight w:val="none"/>
        </w:rPr>
        <w:t>［4、净化风管系统］</w:t>
      </w:r>
    </w:p>
    <w:p>
      <w:pPr>
        <w:snapToGrid w:val="0"/>
        <w:spacing w:line="360" w:lineRule="auto"/>
        <w:ind w:firstLine="480" w:firstLineChars="200"/>
        <w:textAlignment w:val="baseline"/>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1）手术室风管系统配高效过滤器、定风量阀、电热加湿器、密闭型对开多叶调节阀、卫生型微穿孔消声器，防火阀等。</w:t>
      </w:r>
    </w:p>
    <w:p>
      <w:pPr>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2）洁净走廊及辅房风管系统配高效送风口、定风量阀、密闭型对开多叶调节阀、加湿器、微穿孔消声器，防火阀等。</w:t>
      </w:r>
    </w:p>
    <w:p>
      <w:pPr>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3）风管保温材料采用30mm厚B1级橡塑保温板，并涂以密封胶，法兰连接处用闭孔海绵条进行密封。</w:t>
      </w:r>
    </w:p>
    <w:p>
      <w:pPr>
        <w:snapToGrid w:val="0"/>
        <w:spacing w:line="360" w:lineRule="auto"/>
        <w:ind w:firstLine="482" w:firstLineChars="200"/>
        <w:textAlignment w:val="baseline"/>
        <w:outlineLvl w:val="9"/>
        <w:rPr>
          <w:rFonts w:ascii="宋体" w:hAnsi="宋体" w:cs="宋体"/>
          <w:b/>
          <w:bCs/>
          <w:color w:val="auto"/>
          <w:sz w:val="24"/>
          <w:szCs w:val="24"/>
          <w:highlight w:val="none"/>
        </w:rPr>
      </w:pPr>
      <w:r>
        <w:rPr>
          <w:rFonts w:hint="eastAsia" w:ascii="宋体" w:hAnsi="宋体" w:cs="宋体"/>
          <w:b/>
          <w:bCs/>
          <w:color w:val="auto"/>
          <w:sz w:val="24"/>
          <w:szCs w:val="24"/>
          <w:highlight w:val="none"/>
        </w:rPr>
        <w:t>［5、过滤器］</w:t>
      </w:r>
    </w:p>
    <w:p>
      <w:pPr>
        <w:tabs>
          <w:tab w:val="left" w:pos="2160"/>
        </w:tabs>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1）洁净手术室送风末端配置H13高效过滤器。</w:t>
      </w:r>
    </w:p>
    <w:p>
      <w:pPr>
        <w:tabs>
          <w:tab w:val="left" w:pos="2160"/>
        </w:tabs>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2）手术室洁净走廊及洁净辅房配置H13高效过滤器。</w:t>
      </w:r>
    </w:p>
    <w:p>
      <w:pPr>
        <w:snapToGrid w:val="0"/>
        <w:spacing w:line="360" w:lineRule="auto"/>
        <w:ind w:firstLine="480" w:firstLineChars="200"/>
        <w:textAlignment w:val="baseline"/>
        <w:outlineLvl w:val="9"/>
        <w:rPr>
          <w:rFonts w:ascii="宋体" w:hAnsi="宋体" w:cs="宋体"/>
          <w:color w:val="auto"/>
          <w:sz w:val="24"/>
          <w:szCs w:val="24"/>
          <w:highlight w:val="none"/>
        </w:rPr>
      </w:pPr>
      <w:r>
        <w:rPr>
          <w:rFonts w:hint="eastAsia" w:ascii="宋体" w:hAnsi="宋体" w:cs="宋体"/>
          <w:color w:val="auto"/>
          <w:sz w:val="24"/>
          <w:szCs w:val="24"/>
          <w:highlight w:val="none"/>
        </w:rPr>
        <w:t>3）手术室的排风口配置F8效率中效过滤器，其它洁净辅房的排风口配置F5效率中效过滤器。</w:t>
      </w:r>
    </w:p>
    <w:p>
      <w:pPr>
        <w:snapToGrid w:val="0"/>
        <w:spacing w:line="360" w:lineRule="auto"/>
        <w:ind w:firstLine="482" w:firstLineChars="200"/>
        <w:textAlignment w:val="baseline"/>
        <w:outlineLvl w:val="9"/>
        <w:rPr>
          <w:rFonts w:ascii="宋体" w:hAnsi="宋体" w:cs="宋体"/>
          <w:color w:val="auto"/>
          <w:sz w:val="24"/>
          <w:szCs w:val="24"/>
          <w:highlight w:val="none"/>
        </w:rPr>
      </w:pPr>
      <w:r>
        <w:rPr>
          <w:rFonts w:hint="eastAsia" w:ascii="宋体" w:hAnsi="宋体" w:cs="宋体"/>
          <w:b/>
          <w:bCs/>
          <w:color w:val="auto"/>
          <w:sz w:val="24"/>
          <w:szCs w:val="24"/>
          <w:highlight w:val="none"/>
        </w:rPr>
        <w:t>［6、消声隔振］</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1）空调系统送、送回风均设微穿孔板消声器。</w:t>
      </w:r>
    </w:p>
    <w:p>
      <w:pPr>
        <w:tabs>
          <w:tab w:val="left" w:pos="2160"/>
        </w:tabs>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2）空调机组设置减振垫、排风机设置减振吊架。</w:t>
      </w:r>
    </w:p>
    <w:p>
      <w:pPr>
        <w:tabs>
          <w:tab w:val="left" w:pos="2160"/>
        </w:tabs>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3）净化通风设备进出口均安装150mm长的柔性短管，短管采用不产尘材料制作。</w:t>
      </w:r>
    </w:p>
    <w:p>
      <w:pPr>
        <w:tabs>
          <w:tab w:val="left" w:pos="2160"/>
        </w:tabs>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4）所有与组合式净化机组、排风机相连的风管，均需要设置软接，软接头采用双层不产尘难燃材料制作，里层光面朝里，外层光面朝外。</w:t>
      </w:r>
    </w:p>
    <w:p>
      <w:pPr>
        <w:snapToGrid w:val="0"/>
        <w:spacing w:line="360" w:lineRule="auto"/>
        <w:ind w:firstLine="482" w:firstLineChars="200"/>
        <w:outlineLvl w:val="9"/>
        <w:rPr>
          <w:rFonts w:ascii="宋体" w:hAnsi="宋体" w:cs="宋体"/>
          <w:b/>
          <w:bCs/>
          <w:color w:val="auto"/>
          <w:sz w:val="24"/>
          <w:szCs w:val="24"/>
          <w:highlight w:val="none"/>
        </w:rPr>
      </w:pPr>
      <w:r>
        <w:rPr>
          <w:rFonts w:hint="eastAsia" w:ascii="宋体" w:hAnsi="宋体" w:cs="宋体"/>
          <w:b/>
          <w:bCs/>
          <w:color w:val="auto"/>
          <w:sz w:val="24"/>
          <w:szCs w:val="24"/>
          <w:highlight w:val="none"/>
        </w:rPr>
        <w:t>［7、加湿系统］</w:t>
      </w:r>
    </w:p>
    <w:p>
      <w:pPr>
        <w:spacing w:line="360" w:lineRule="auto"/>
        <w:ind w:firstLine="480" w:firstLineChars="200"/>
        <w:outlineLvl w:val="9"/>
        <w:rPr>
          <w:rFonts w:ascii="宋体" w:hAnsi="宋体" w:cs="宋体"/>
          <w:color w:val="auto"/>
          <w:sz w:val="24"/>
          <w:szCs w:val="24"/>
          <w:highlight w:val="none"/>
        </w:rPr>
      </w:pPr>
      <w:r>
        <w:rPr>
          <w:rFonts w:hint="eastAsia" w:ascii="宋体" w:hAnsi="宋体" w:cs="宋体"/>
          <w:bCs/>
          <w:color w:val="auto"/>
          <w:sz w:val="24"/>
          <w:szCs w:val="24"/>
          <w:highlight w:val="none"/>
        </w:rPr>
        <w:t>空调水系统采用电极式加湿器</w:t>
      </w:r>
      <w:r>
        <w:rPr>
          <w:rFonts w:hint="eastAsia" w:ascii="宋体" w:hAnsi="宋体" w:cs="宋体"/>
          <w:color w:val="auto"/>
          <w:sz w:val="24"/>
          <w:szCs w:val="24"/>
          <w:highlight w:val="none"/>
        </w:rPr>
        <w:t>。</w:t>
      </w:r>
    </w:p>
    <w:p>
      <w:pPr>
        <w:spacing w:line="360" w:lineRule="auto"/>
        <w:ind w:firstLine="482" w:firstLineChars="200"/>
        <w:outlineLvl w:val="9"/>
        <w:rPr>
          <w:rFonts w:ascii="宋体" w:hAnsi="宋体" w:cs="宋体"/>
          <w:b/>
          <w:bCs/>
          <w:color w:val="auto"/>
          <w:sz w:val="24"/>
          <w:szCs w:val="24"/>
          <w:highlight w:val="none"/>
        </w:rPr>
      </w:pPr>
      <w:r>
        <w:rPr>
          <w:rFonts w:hint="eastAsia" w:ascii="宋体" w:hAnsi="宋体" w:cs="宋体"/>
          <w:b/>
          <w:bCs/>
          <w:color w:val="auto"/>
          <w:sz w:val="24"/>
          <w:szCs w:val="24"/>
          <w:highlight w:val="none"/>
        </w:rPr>
        <w:t>4、净化空气机组技术要求：</w:t>
      </w:r>
    </w:p>
    <w:p>
      <w:pPr>
        <w:widowControl w:val="0"/>
        <w:snapToGrid w:val="0"/>
        <w:spacing w:line="360" w:lineRule="auto"/>
        <w:ind w:left="42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（1）</w:t>
      </w:r>
      <w:r>
        <w:rPr>
          <w:rFonts w:hint="eastAsia" w:ascii="宋体" w:hAnsi="宋体" w:cs="宋体"/>
          <w:strike w:val="0"/>
          <w:dstrike w:val="0"/>
          <w:color w:val="auto"/>
          <w:sz w:val="24"/>
          <w:szCs w:val="24"/>
          <w:highlight w:val="none"/>
        </w:rPr>
        <w:t>★</w:t>
      </w:r>
      <w:r>
        <w:rPr>
          <w:rFonts w:hint="eastAsia" w:ascii="宋体" w:hAnsi="宋体" w:cs="宋体"/>
          <w:color w:val="auto"/>
          <w:sz w:val="24"/>
          <w:szCs w:val="24"/>
          <w:highlight w:val="none"/>
        </w:rPr>
        <w:t>箱体采用双层面板结构，机组框架为专用净化铝塑复合结构型材，箱板通过内、外双层钣金，铝塑复合型材、PU密封条、并采用无毒抗菌密封软胶体以及高密度聚氨酯一次性发泡成型的，机组采用内圆角密封设计，内部平整，不积灰，绝对断冷桥结构，机组整体环保、洁净，满足</w:t>
      </w:r>
      <w:r>
        <w:rPr>
          <w:rFonts w:hint="eastAsia" w:ascii="宋体" w:hAnsi="宋体" w:cs="宋体"/>
          <w:color w:val="auto"/>
          <w:sz w:val="24"/>
          <w:szCs w:val="24"/>
          <w:highlight w:val="none"/>
          <w:lang w:val="en-US" w:eastAsia="zh-CN"/>
        </w:rPr>
        <w:t>医疗</w:t>
      </w:r>
      <w:r>
        <w:rPr>
          <w:rFonts w:hint="eastAsia" w:ascii="宋体" w:hAnsi="宋体" w:cs="宋体"/>
          <w:color w:val="auto"/>
          <w:sz w:val="24"/>
          <w:szCs w:val="24"/>
          <w:highlight w:val="none"/>
        </w:rPr>
        <w:t>净化行业使用要求。并提供详细说明及结构示意图。</w:t>
      </w:r>
    </w:p>
    <w:p>
      <w:pPr>
        <w:widowControl w:val="0"/>
        <w:snapToGrid w:val="0"/>
        <w:spacing w:line="360" w:lineRule="auto"/>
        <w:ind w:left="42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（2）</w:t>
      </w:r>
      <w:r>
        <w:rPr>
          <w:rFonts w:hint="eastAsia" w:ascii="宋体" w:hAnsi="宋体" w:cs="宋体"/>
          <w:strike w:val="0"/>
          <w:dstrike w:val="0"/>
          <w:color w:val="auto"/>
          <w:sz w:val="24"/>
          <w:szCs w:val="24"/>
          <w:highlight w:val="none"/>
        </w:rPr>
        <w:t>★</w:t>
      </w:r>
      <w:r>
        <w:rPr>
          <w:rFonts w:hint="eastAsia" w:ascii="宋体" w:hAnsi="宋体" w:cs="宋体"/>
          <w:color w:val="auto"/>
          <w:sz w:val="24"/>
          <w:szCs w:val="24"/>
          <w:highlight w:val="none"/>
        </w:rPr>
        <w:t>箱体外壁板采用厚度不小于</w:t>
      </w:r>
      <w:r>
        <w:rPr>
          <w:rFonts w:ascii="宋体" w:hAnsi="宋体" w:cs="宋体"/>
          <w:color w:val="auto"/>
          <w:sz w:val="24"/>
          <w:szCs w:val="24"/>
          <w:highlight w:val="none"/>
        </w:rPr>
        <w:t>0.5</w:t>
      </w:r>
      <w:r>
        <w:rPr>
          <w:rFonts w:hint="eastAsia" w:ascii="宋体" w:hAnsi="宋体" w:cs="宋体"/>
          <w:color w:val="auto"/>
          <w:sz w:val="24"/>
          <w:szCs w:val="24"/>
          <w:highlight w:val="none"/>
        </w:rPr>
        <w:t>mm厚的彩钢板，内壁板为不小于0.5mm厚无锌花镀锌钢板，其中内底板为不小于0.7mm厚无锌花镀锌钢板；中间层采用整体高压发泡工艺充注阻燃性B1或非燃性保温材料保温，所有双层保温板均须为可独立拆除结构，密度≥52kg/m3，导热系数≤0.022 W/m·℃，保温层厚度≥25mm。泡料细腻均匀，无空腔、疏松现象。需提供机组内部结构对接示意图，高压聚氨脂发泡经检测，并提供相关检测报告。</w:t>
      </w:r>
    </w:p>
    <w:p>
      <w:pPr>
        <w:widowControl w:val="0"/>
        <w:snapToGrid w:val="0"/>
        <w:spacing w:line="360" w:lineRule="auto"/>
        <w:ind w:left="42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（3）</w:t>
      </w:r>
      <w:r>
        <w:rPr>
          <w:rFonts w:ascii="宋体" w:hAnsi="宋体" w:cs="宋体"/>
          <w:color w:val="auto"/>
          <w:sz w:val="24"/>
          <w:szCs w:val="24"/>
          <w:highlight w:val="none"/>
        </w:rPr>
        <w:t>机组面板应采用嵌入式无缝隙对接技术，并提供有效证书，外表面不得采用自攻钉连接。机组底座采用镀锌</w:t>
      </w:r>
      <w:r>
        <w:rPr>
          <w:rFonts w:hint="eastAsia" w:ascii="宋体" w:hAnsi="宋体" w:cs="宋体"/>
          <w:color w:val="auto"/>
          <w:sz w:val="24"/>
          <w:szCs w:val="24"/>
          <w:highlight w:val="none"/>
        </w:rPr>
        <w:t>防腐处理的C型</w:t>
      </w:r>
      <w:r>
        <w:rPr>
          <w:rFonts w:ascii="宋体" w:hAnsi="宋体" w:cs="宋体"/>
          <w:color w:val="auto"/>
          <w:sz w:val="24"/>
          <w:szCs w:val="24"/>
          <w:highlight w:val="none"/>
        </w:rPr>
        <w:t>钢</w:t>
      </w:r>
      <w:r>
        <w:rPr>
          <w:rFonts w:hint="eastAsia" w:ascii="宋体" w:hAnsi="宋体" w:cs="宋体"/>
          <w:color w:val="auto"/>
          <w:sz w:val="24"/>
          <w:szCs w:val="24"/>
          <w:highlight w:val="none"/>
        </w:rPr>
        <w:t>底座，</w:t>
      </w:r>
      <w:r>
        <w:rPr>
          <w:rFonts w:ascii="宋体" w:hAnsi="宋体" w:cs="宋体"/>
          <w:color w:val="auto"/>
          <w:sz w:val="24"/>
          <w:szCs w:val="24"/>
          <w:highlight w:val="none"/>
        </w:rPr>
        <w:t>或其它形式底座表面防腐处理的槽钢底座，要求</w:t>
      </w:r>
      <w:r>
        <w:rPr>
          <w:rFonts w:hint="eastAsia" w:ascii="宋体" w:hAnsi="宋体" w:cs="宋体"/>
          <w:color w:val="auto"/>
          <w:sz w:val="24"/>
          <w:szCs w:val="24"/>
          <w:highlight w:val="none"/>
        </w:rPr>
        <w:t>每个空调运输段机组底座</w:t>
      </w:r>
      <w:r>
        <w:rPr>
          <w:rFonts w:ascii="宋体" w:hAnsi="宋体" w:cs="宋体"/>
          <w:color w:val="auto"/>
          <w:sz w:val="24"/>
          <w:szCs w:val="24"/>
          <w:highlight w:val="none"/>
        </w:rPr>
        <w:t>自带调水平装置，需</w:t>
      </w:r>
      <w:r>
        <w:rPr>
          <w:rFonts w:hint="eastAsia" w:ascii="宋体" w:hAnsi="宋体" w:cs="宋体"/>
          <w:color w:val="auto"/>
          <w:sz w:val="24"/>
          <w:szCs w:val="24"/>
          <w:highlight w:val="none"/>
        </w:rPr>
        <w:t>提供平衡调节装置的结构示意说明。</w:t>
      </w:r>
    </w:p>
    <w:p>
      <w:pPr>
        <w:widowControl w:val="0"/>
        <w:snapToGrid w:val="0"/>
        <w:spacing w:line="360" w:lineRule="auto"/>
        <w:ind w:left="42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（4）</w:t>
      </w:r>
      <w:r>
        <w:rPr>
          <w:rFonts w:hint="eastAsia" w:ascii="宋体" w:hAnsi="宋体" w:cs="宋体"/>
          <w:strike w:val="0"/>
          <w:dstrike w:val="0"/>
          <w:color w:val="auto"/>
          <w:sz w:val="24"/>
          <w:szCs w:val="24"/>
          <w:highlight w:val="none"/>
        </w:rPr>
        <w:t>★</w:t>
      </w:r>
      <w:r>
        <w:rPr>
          <w:rFonts w:hint="eastAsia" w:ascii="宋体" w:hAnsi="宋体" w:cs="宋体"/>
          <w:color w:val="auto"/>
          <w:sz w:val="24"/>
          <w:szCs w:val="24"/>
          <w:highlight w:val="none"/>
        </w:rPr>
        <w:t xml:space="preserve">框架与面板之间、各功能段之间在拼装时，应采用可靠的密封措施。空气处理机组在现场安装完毕后，机组的漏风率要符合箱体内静压为1000pa时，漏风率不大于0.1%。空调机组箱体应有足够的强度机组内保持静压正1000Pa条件下，机械强度符合EN1886 </w:t>
      </w:r>
      <w:r>
        <w:rPr>
          <w:rFonts w:ascii="宋体" w:hAnsi="宋体" w:cs="宋体"/>
          <w:color w:val="auto"/>
          <w:sz w:val="24"/>
          <w:szCs w:val="24"/>
          <w:highlight w:val="none"/>
        </w:rPr>
        <w:t>D</w:t>
      </w:r>
      <w:r>
        <w:rPr>
          <w:rFonts w:hint="eastAsia" w:ascii="宋体" w:hAnsi="宋体" w:cs="宋体"/>
          <w:color w:val="auto"/>
          <w:sz w:val="24"/>
          <w:szCs w:val="24"/>
          <w:highlight w:val="none"/>
        </w:rPr>
        <w:t>1（M</w:t>
      </w:r>
      <w:r>
        <w:rPr>
          <w:rFonts w:ascii="宋体" w:hAnsi="宋体" w:cs="宋体"/>
          <w:color w:val="auto"/>
          <w:sz w:val="24"/>
          <w:szCs w:val="24"/>
          <w:highlight w:val="none"/>
        </w:rPr>
        <w:t>）</w:t>
      </w:r>
      <w:r>
        <w:rPr>
          <w:rFonts w:hint="eastAsia" w:ascii="宋体" w:hAnsi="宋体" w:cs="宋体"/>
          <w:color w:val="auto"/>
          <w:sz w:val="24"/>
          <w:szCs w:val="24"/>
          <w:highlight w:val="none"/>
        </w:rPr>
        <w:t>级标准（在设计工况下，变形率不大于0.64mm/m）。并提供</w:t>
      </w:r>
      <w:r>
        <w:rPr>
          <w:rFonts w:hint="eastAsia" w:ascii="宋体" w:hAnsi="宋体" w:cs="宋体"/>
          <w:strike w:val="0"/>
          <w:dstrike w:val="0"/>
          <w:color w:val="auto"/>
          <w:sz w:val="24"/>
          <w:szCs w:val="24"/>
          <w:highlight w:val="none"/>
        </w:rPr>
        <w:t>具有相关检测资质的检测机构出具的的</w:t>
      </w:r>
      <w:r>
        <w:rPr>
          <w:rFonts w:hint="eastAsia" w:ascii="宋体" w:hAnsi="宋体" w:cs="宋体"/>
          <w:strike w:val="0"/>
          <w:color w:val="auto"/>
          <w:sz w:val="24"/>
          <w:szCs w:val="24"/>
          <w:highlight w:val="none"/>
        </w:rPr>
        <w:t>相关检</w:t>
      </w:r>
      <w:r>
        <w:rPr>
          <w:rFonts w:hint="eastAsia" w:ascii="宋体" w:hAnsi="宋体" w:cs="宋体"/>
          <w:color w:val="auto"/>
          <w:sz w:val="24"/>
          <w:szCs w:val="24"/>
          <w:highlight w:val="none"/>
        </w:rPr>
        <w:t>测报告。</w:t>
      </w:r>
    </w:p>
    <w:p>
      <w:pPr>
        <w:widowControl w:val="0"/>
        <w:snapToGrid w:val="0"/>
        <w:spacing w:line="360" w:lineRule="auto"/>
        <w:ind w:left="42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5）无论是框梁（骨架）还是保温护板，只要同时接触机组内外空气的连接处均应采取绝对“断冷桥”结构。投标书必须详细说明具体的“断冷桥”措施、并提供详细说明及结构示意图。机组应采取良好的防冷桥措施，机组在运行时，不得出现冷桥和凝露现象，整个面板的隔热性能必须达到EN1886-1997的T2级保温等级，整个箱体的冷桥系数必须达到EN1886 TB1级冷桥等级，并提供具有相关检测资质的检测机构出具的相关检测报告，提供详细说明及结构示意图。</w:t>
      </w:r>
    </w:p>
    <w:p>
      <w:pPr>
        <w:widowControl w:val="0"/>
        <w:snapToGrid w:val="0"/>
        <w:spacing w:line="360" w:lineRule="auto"/>
        <w:ind w:left="420"/>
        <w:outlineLvl w:val="9"/>
        <w:rPr>
          <w:rFonts w:ascii="宋体" w:hAnsi="宋体" w:cs="宋体"/>
          <w:color w:val="auto"/>
          <w:sz w:val="24"/>
          <w:szCs w:val="24"/>
          <w:highlight w:val="none"/>
        </w:rPr>
      </w:pPr>
      <w:r>
        <w:rPr>
          <w:rFonts w:hint="eastAsia" w:ascii="宋体" w:hAnsi="宋体" w:cs="宋体"/>
          <w:color w:val="auto"/>
          <w:sz w:val="24"/>
          <w:szCs w:val="24"/>
          <w:highlight w:val="none"/>
        </w:rPr>
        <w:t>（</w:t>
      </w:r>
      <w:r>
        <w:rPr>
          <w:rFonts w:hint="eastAsia" w:ascii="宋体" w:hAnsi="宋体" w:cs="宋体"/>
          <w:color w:val="auto"/>
          <w:sz w:val="24"/>
          <w:szCs w:val="24"/>
          <w:highlight w:val="none"/>
          <w:lang w:val="en-US" w:eastAsia="zh-CN"/>
        </w:rPr>
        <w:t>6</w:t>
      </w:r>
      <w:r>
        <w:rPr>
          <w:rFonts w:hint="eastAsia" w:ascii="宋体" w:hAnsi="宋体" w:cs="宋体"/>
          <w:color w:val="auto"/>
          <w:sz w:val="24"/>
          <w:szCs w:val="24"/>
          <w:highlight w:val="none"/>
        </w:rPr>
        <w:t>） 风机：</w:t>
      </w:r>
    </w:p>
    <w:p>
      <w:pPr>
        <w:widowControl w:val="0"/>
        <w:snapToGrid w:val="0"/>
        <w:spacing w:line="360" w:lineRule="auto"/>
        <w:ind w:left="42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1)风机选型符合高效、低噪原则。采用直驱式无蜗壳风机或离心风机。风机变频控制，能够准确调节风量。风机叶轮做防腐处理，并且经过动、静平衡测试。</w:t>
      </w:r>
    </w:p>
    <w:p>
      <w:pPr>
        <w:widowControl w:val="0"/>
        <w:snapToGrid w:val="0"/>
        <w:spacing w:line="360" w:lineRule="auto"/>
        <w:ind w:left="42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2)风机轴承耐磨性好，使用寿命长，底座为弹簧减震底座。</w:t>
      </w:r>
    </w:p>
    <w:p>
      <w:pPr>
        <w:widowControl w:val="0"/>
        <w:snapToGrid w:val="0"/>
        <w:spacing w:line="360" w:lineRule="auto"/>
        <w:ind w:left="420"/>
        <w:outlineLvl w:val="9"/>
        <w:rPr>
          <w:rFonts w:ascii="宋体" w:hAnsi="宋体" w:cs="宋体"/>
          <w:color w:val="auto"/>
          <w:sz w:val="24"/>
          <w:szCs w:val="24"/>
          <w:highlight w:val="none"/>
        </w:rPr>
      </w:pPr>
      <w:r>
        <w:rPr>
          <w:rFonts w:hint="eastAsia" w:ascii="宋体" w:hAnsi="宋体" w:cs="宋体"/>
          <w:color w:val="auto"/>
          <w:sz w:val="24"/>
          <w:szCs w:val="24"/>
          <w:highlight w:val="none"/>
        </w:rPr>
        <w:t>（</w:t>
      </w:r>
      <w:r>
        <w:rPr>
          <w:rFonts w:hint="eastAsia" w:ascii="宋体" w:hAnsi="宋体" w:cs="宋体"/>
          <w:color w:val="auto"/>
          <w:sz w:val="24"/>
          <w:szCs w:val="24"/>
          <w:highlight w:val="none"/>
          <w:lang w:val="en-US" w:eastAsia="zh-CN"/>
        </w:rPr>
        <w:t>7</w:t>
      </w:r>
      <w:r>
        <w:rPr>
          <w:rFonts w:hint="eastAsia" w:ascii="宋体" w:hAnsi="宋体" w:cs="宋体"/>
          <w:color w:val="auto"/>
          <w:sz w:val="24"/>
          <w:szCs w:val="24"/>
          <w:highlight w:val="none"/>
        </w:rPr>
        <w:t>）电机：采用优质电机。</w:t>
      </w:r>
    </w:p>
    <w:p>
      <w:pPr>
        <w:widowControl w:val="0"/>
        <w:snapToGrid w:val="0"/>
        <w:spacing w:line="360" w:lineRule="auto"/>
        <w:ind w:left="420"/>
        <w:outlineLvl w:val="9"/>
        <w:rPr>
          <w:rFonts w:ascii="宋体" w:hAnsi="宋体" w:cs="宋体"/>
          <w:color w:val="auto"/>
          <w:sz w:val="24"/>
          <w:szCs w:val="24"/>
          <w:highlight w:val="none"/>
        </w:rPr>
      </w:pPr>
      <w:r>
        <w:rPr>
          <w:rFonts w:hint="eastAsia" w:ascii="宋体" w:hAnsi="宋体" w:cs="宋体"/>
          <w:color w:val="auto"/>
          <w:sz w:val="24"/>
          <w:szCs w:val="24"/>
          <w:highlight w:val="none"/>
        </w:rPr>
        <w:t>（</w:t>
      </w:r>
      <w:r>
        <w:rPr>
          <w:rFonts w:hint="eastAsia" w:ascii="宋体" w:hAnsi="宋体" w:cs="宋体"/>
          <w:color w:val="auto"/>
          <w:sz w:val="24"/>
          <w:szCs w:val="24"/>
          <w:highlight w:val="none"/>
          <w:lang w:val="en-US" w:eastAsia="zh-CN"/>
        </w:rPr>
        <w:t>8</w:t>
      </w:r>
      <w:r>
        <w:rPr>
          <w:rFonts w:hint="eastAsia" w:ascii="宋体" w:hAnsi="宋体" w:cs="宋体"/>
          <w:color w:val="auto"/>
          <w:sz w:val="24"/>
          <w:szCs w:val="24"/>
          <w:highlight w:val="none"/>
        </w:rPr>
        <w:t>）表冷器：</w:t>
      </w:r>
    </w:p>
    <w:p>
      <w:pPr>
        <w:widowControl w:val="0"/>
        <w:snapToGrid w:val="0"/>
        <w:spacing w:line="360" w:lineRule="auto"/>
        <w:ind w:left="42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1)</w:t>
      </w:r>
      <w:r>
        <w:rPr>
          <w:rFonts w:hint="eastAsia" w:hAnsi="宋体"/>
          <w:color w:val="auto"/>
          <w:sz w:val="24"/>
          <w:szCs w:val="24"/>
          <w:highlight w:val="none"/>
        </w:rPr>
        <w:t xml:space="preserve"> </w:t>
      </w:r>
      <w:r>
        <w:rPr>
          <w:rFonts w:hint="eastAsia" w:ascii="宋体" w:hAnsi="宋体" w:cs="宋体"/>
          <w:color w:val="auto"/>
          <w:sz w:val="24"/>
          <w:szCs w:val="24"/>
          <w:highlight w:val="none"/>
        </w:rPr>
        <w:t>冷器盘管具备专业的盘管选型软件，确保生产的表冷器在温湿度控制精度方面满足使用要求</w:t>
      </w:r>
      <w:r>
        <w:rPr>
          <w:rFonts w:hint="eastAsia" w:ascii="宋体" w:hAnsi="宋体" w:cs="宋体"/>
          <w:strike w:val="0"/>
          <w:dstrike w:val="0"/>
          <w:color w:val="auto"/>
          <w:sz w:val="24"/>
          <w:szCs w:val="24"/>
          <w:highlight w:val="none"/>
        </w:rPr>
        <w:t>，</w:t>
      </w:r>
      <w:r>
        <w:rPr>
          <w:rFonts w:hint="eastAsia" w:ascii="宋体" w:hAnsi="宋体" w:cs="宋体"/>
          <w:color w:val="auto"/>
          <w:sz w:val="24"/>
          <w:szCs w:val="24"/>
          <w:highlight w:val="none"/>
        </w:rPr>
        <w:t>同时提供计算说明书和换热盘管的制作工艺参数，包括但不限于：片距、片型、盘管排数、换热面积、冷水流量、盘管压降、换热量等。</w:t>
      </w:r>
    </w:p>
    <w:p>
      <w:pPr>
        <w:widowControl w:val="0"/>
        <w:snapToGrid w:val="0"/>
        <w:spacing w:line="360" w:lineRule="auto"/>
        <w:ind w:left="42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2)</w:t>
      </w:r>
      <w:r>
        <w:rPr>
          <w:rFonts w:hAnsi="宋体"/>
          <w:color w:val="auto"/>
          <w:sz w:val="24"/>
          <w:szCs w:val="24"/>
          <w:highlight w:val="none"/>
        </w:rPr>
        <w:t xml:space="preserve"> </w:t>
      </w:r>
      <w:r>
        <w:rPr>
          <w:rFonts w:ascii="宋体" w:hAnsi="宋体" w:cs="宋体"/>
          <w:color w:val="auto"/>
          <w:sz w:val="24"/>
          <w:szCs w:val="24"/>
          <w:highlight w:val="none"/>
        </w:rPr>
        <w:t>表冷盘管均采用铜管、铝翅片。冷盘管、热盘管翅片整齐，片距均匀，无明显碰撞损坏。气压试验压力为设计压力的 1.2 倍时，保压至少 1min，进行密封性检查，应无渗漏；水耐压试验压力为设计压力的1.5 倍，保压至少 3min，进行耐压检查，应无渗漏。</w:t>
      </w:r>
    </w:p>
    <w:p>
      <w:pPr>
        <w:widowControl w:val="0"/>
        <w:snapToGrid w:val="0"/>
        <w:spacing w:line="360" w:lineRule="auto"/>
        <w:ind w:left="42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3)冷凝水盘为不锈钢干式水盘</w:t>
      </w:r>
      <w:r>
        <w:rPr>
          <w:rFonts w:ascii="宋体" w:hAnsi="宋体" w:cs="宋体"/>
          <w:color w:val="auto"/>
          <w:sz w:val="24"/>
          <w:szCs w:val="24"/>
          <w:highlight w:val="none"/>
        </w:rPr>
        <w:t>,底部保温棉厚度不小于10mm,采用</w:t>
      </w:r>
      <w:r>
        <w:rPr>
          <w:rFonts w:hint="eastAsia" w:ascii="宋体" w:hAnsi="宋体" w:cs="宋体"/>
          <w:color w:val="auto"/>
          <w:sz w:val="24"/>
          <w:szCs w:val="24"/>
          <w:highlight w:val="none"/>
        </w:rPr>
        <w:t>双向倾角折弯</w:t>
      </w:r>
      <w:r>
        <w:rPr>
          <w:rFonts w:ascii="宋体" w:hAnsi="宋体" w:cs="宋体"/>
          <w:color w:val="auto"/>
          <w:sz w:val="24"/>
          <w:szCs w:val="24"/>
          <w:highlight w:val="none"/>
        </w:rPr>
        <w:t>设计，坡度安装设计，可100%顺畅排放凝水，水盘采用</w:t>
      </w:r>
      <w:r>
        <w:rPr>
          <w:rFonts w:hint="eastAsia" w:ascii="宋体" w:hAnsi="宋体" w:cs="宋体"/>
          <w:color w:val="auto"/>
          <w:sz w:val="24"/>
          <w:szCs w:val="24"/>
          <w:highlight w:val="none"/>
        </w:rPr>
        <w:t>不小于</w:t>
      </w:r>
      <w:r>
        <w:rPr>
          <w:rFonts w:ascii="宋体" w:hAnsi="宋体" w:cs="宋体"/>
          <w:color w:val="auto"/>
          <w:sz w:val="24"/>
          <w:szCs w:val="24"/>
          <w:highlight w:val="none"/>
        </w:rPr>
        <w:t>1.0</w:t>
      </w:r>
      <w:r>
        <w:rPr>
          <w:rFonts w:hint="eastAsia" w:ascii="宋体" w:hAnsi="宋体" w:cs="宋体"/>
          <w:color w:val="auto"/>
          <w:sz w:val="24"/>
          <w:szCs w:val="24"/>
          <w:highlight w:val="none"/>
        </w:rPr>
        <w:t>mm厚</w:t>
      </w:r>
      <w:r>
        <w:rPr>
          <w:rFonts w:ascii="宋体" w:hAnsi="宋体" w:cs="宋体"/>
          <w:color w:val="auto"/>
          <w:sz w:val="24"/>
          <w:szCs w:val="24"/>
          <w:highlight w:val="none"/>
        </w:rPr>
        <w:t>304不锈钢板</w:t>
      </w:r>
      <w:r>
        <w:rPr>
          <w:rFonts w:hint="eastAsia" w:ascii="宋体" w:hAnsi="宋体" w:cs="宋体"/>
          <w:color w:val="auto"/>
          <w:sz w:val="24"/>
          <w:szCs w:val="24"/>
          <w:highlight w:val="none"/>
        </w:rPr>
        <w:t>，并</w:t>
      </w:r>
      <w:r>
        <w:rPr>
          <w:rFonts w:ascii="宋体" w:hAnsi="宋体" w:cs="宋体"/>
          <w:color w:val="auto"/>
          <w:sz w:val="24"/>
          <w:szCs w:val="24"/>
          <w:highlight w:val="none"/>
        </w:rPr>
        <w:t>提供</w:t>
      </w:r>
      <w:r>
        <w:rPr>
          <w:rFonts w:hint="eastAsia" w:ascii="宋体" w:hAnsi="宋体" w:cs="宋体"/>
          <w:color w:val="auto"/>
          <w:sz w:val="24"/>
          <w:szCs w:val="24"/>
          <w:highlight w:val="none"/>
        </w:rPr>
        <w:t>结构</w:t>
      </w:r>
      <w:r>
        <w:rPr>
          <w:rFonts w:ascii="宋体" w:hAnsi="宋体" w:cs="宋体"/>
          <w:color w:val="auto"/>
          <w:sz w:val="24"/>
          <w:szCs w:val="24"/>
          <w:highlight w:val="none"/>
        </w:rPr>
        <w:t>设计</w:t>
      </w:r>
      <w:r>
        <w:rPr>
          <w:rFonts w:hint="eastAsia" w:ascii="宋体" w:hAnsi="宋体" w:cs="宋体"/>
          <w:color w:val="auto"/>
          <w:sz w:val="24"/>
          <w:szCs w:val="24"/>
          <w:highlight w:val="none"/>
        </w:rPr>
        <w:t>及</w:t>
      </w:r>
      <w:r>
        <w:rPr>
          <w:rFonts w:ascii="宋体" w:hAnsi="宋体" w:cs="宋体"/>
          <w:color w:val="auto"/>
          <w:sz w:val="24"/>
          <w:szCs w:val="24"/>
          <w:highlight w:val="none"/>
        </w:rPr>
        <w:t>说明。</w:t>
      </w:r>
    </w:p>
    <w:p>
      <w:pPr>
        <w:spacing w:line="360" w:lineRule="auto"/>
        <w:ind w:firstLine="482" w:firstLineChars="200"/>
        <w:outlineLvl w:val="9"/>
        <w:rPr>
          <w:rFonts w:hint="default" w:ascii="宋体" w:hAnsi="宋体" w:eastAsia="宋体" w:cs="宋体"/>
          <w:b/>
          <w:bCs/>
          <w:color w:val="auto"/>
          <w:sz w:val="24"/>
          <w:szCs w:val="24"/>
          <w:highlight w:val="none"/>
          <w:lang w:val="en-US" w:eastAsia="zh-CN"/>
        </w:rPr>
      </w:pPr>
      <w:r>
        <w:rPr>
          <w:rFonts w:hint="eastAsia" w:ascii="宋体" w:hAnsi="宋体" w:cs="宋体"/>
          <w:b/>
          <w:bCs/>
          <w:color w:val="auto"/>
          <w:sz w:val="24"/>
          <w:szCs w:val="24"/>
          <w:highlight w:val="none"/>
        </w:rPr>
        <w:t>5、四管制风冷热泵机组技术要求</w:t>
      </w:r>
      <w:r>
        <w:rPr>
          <w:rFonts w:hint="eastAsia" w:ascii="宋体" w:hAnsi="宋体" w:cs="宋体"/>
          <w:b/>
          <w:bCs/>
          <w:color w:val="auto"/>
          <w:sz w:val="24"/>
          <w:szCs w:val="24"/>
          <w:highlight w:val="none"/>
          <w:lang w:val="en-US" w:eastAsia="zh-CN"/>
        </w:rPr>
        <w:t xml:space="preserve">   </w:t>
      </w:r>
    </w:p>
    <w:p>
      <w:pPr>
        <w:spacing w:line="360" w:lineRule="auto"/>
        <w:ind w:firstLine="480" w:firstLineChars="200"/>
        <w:outlineLvl w:val="9"/>
        <w:rPr>
          <w:rFonts w:hint="eastAsia" w:ascii="宋体" w:hAnsi="宋体" w:eastAsia="宋体" w:cs="宋体"/>
          <w:bCs/>
          <w:color w:val="auto"/>
          <w:sz w:val="24"/>
          <w:szCs w:val="24"/>
          <w:highlight w:val="none"/>
          <w:lang w:eastAsia="zh-CN"/>
        </w:rPr>
      </w:pPr>
      <w:r>
        <w:rPr>
          <w:rFonts w:hint="eastAsia" w:ascii="宋体" w:hAnsi="宋体" w:cs="宋体"/>
          <w:bCs/>
          <w:color w:val="auto"/>
          <w:sz w:val="24"/>
          <w:szCs w:val="24"/>
          <w:highlight w:val="none"/>
        </w:rPr>
        <w:t>（1）名义工况下制冷量要求正偏离（不允许负偏差）</w:t>
      </w:r>
      <w:r>
        <w:rPr>
          <w:rFonts w:hint="eastAsia" w:ascii="宋体" w:hAnsi="宋体" w:cs="宋体"/>
          <w:bCs/>
          <w:color w:val="auto"/>
          <w:sz w:val="24"/>
          <w:szCs w:val="24"/>
          <w:highlight w:val="none"/>
          <w:lang w:eastAsia="zh-CN"/>
        </w:rPr>
        <w:t>。</w:t>
      </w:r>
    </w:p>
    <w:p>
      <w:pPr>
        <w:spacing w:line="360" w:lineRule="auto"/>
        <w:ind w:firstLine="480" w:firstLineChars="200"/>
        <w:outlineLvl w:val="9"/>
        <w:rPr>
          <w:rFonts w:hint="eastAsia" w:ascii="宋体" w:hAnsi="宋体" w:cs="宋体"/>
          <w:bCs/>
          <w:color w:val="auto"/>
          <w:sz w:val="24"/>
          <w:szCs w:val="24"/>
          <w:highlight w:val="none"/>
        </w:rPr>
      </w:pPr>
      <w:r>
        <w:rPr>
          <w:rFonts w:hint="eastAsia" w:ascii="宋体" w:hAnsi="宋体" w:cs="宋体"/>
          <w:bCs/>
          <w:color w:val="auto"/>
          <w:sz w:val="24"/>
          <w:szCs w:val="24"/>
          <w:highlight w:val="none"/>
        </w:rPr>
        <w:t>（2）同时冷热工况下制冷量≥302KW/制热量≥386KW</w:t>
      </w:r>
    </w:p>
    <w:p>
      <w:pPr>
        <w:spacing w:line="360" w:lineRule="auto"/>
        <w:ind w:firstLine="480" w:firstLineChars="200"/>
        <w:outlineLvl w:val="9"/>
        <w:rPr>
          <w:rFonts w:hint="eastAsia" w:ascii="宋体" w:hAnsi="宋体" w:cs="宋体"/>
          <w:bCs/>
          <w:color w:val="auto"/>
          <w:sz w:val="24"/>
          <w:szCs w:val="24"/>
          <w:highlight w:val="none"/>
        </w:rPr>
      </w:pPr>
      <w:r>
        <w:rPr>
          <w:rFonts w:hint="eastAsia" w:ascii="宋体" w:hAnsi="宋体" w:cs="宋体"/>
          <w:bCs/>
          <w:color w:val="auto"/>
          <w:sz w:val="24"/>
          <w:szCs w:val="24"/>
          <w:highlight w:val="none"/>
        </w:rPr>
        <w:t>（3）</w:t>
      </w:r>
      <w:r>
        <w:rPr>
          <w:rFonts w:hint="eastAsia" w:ascii="宋体" w:hAnsi="宋体" w:cs="宋体"/>
          <w:color w:val="auto"/>
          <w:sz w:val="24"/>
          <w:szCs w:val="24"/>
          <w:highlight w:val="none"/>
        </w:rPr>
        <w:t>★</w:t>
      </w:r>
      <w:r>
        <w:rPr>
          <w:rFonts w:hint="eastAsia" w:ascii="宋体" w:hAnsi="宋体" w:cs="宋体"/>
          <w:bCs/>
          <w:color w:val="auto"/>
          <w:sz w:val="24"/>
          <w:szCs w:val="24"/>
          <w:highlight w:val="none"/>
        </w:rPr>
        <w:t>投标产品为四管制型产品，能够满足同时提供冷热源的需求。同时制冷制热综合COP≥8.30</w:t>
      </w:r>
    </w:p>
    <w:p>
      <w:pPr>
        <w:spacing w:line="360" w:lineRule="auto"/>
        <w:ind w:firstLine="480" w:firstLineChars="200"/>
        <w:outlineLvl w:val="9"/>
        <w:rPr>
          <w:rFonts w:hint="eastAsia" w:ascii="宋体" w:hAnsi="宋体" w:cs="宋体"/>
          <w:bCs/>
          <w:color w:val="auto"/>
          <w:sz w:val="24"/>
          <w:szCs w:val="24"/>
          <w:highlight w:val="none"/>
        </w:rPr>
      </w:pPr>
      <w:r>
        <w:rPr>
          <w:rFonts w:hint="eastAsia" w:ascii="宋体" w:hAnsi="宋体" w:cs="宋体"/>
          <w:bCs/>
          <w:color w:val="auto"/>
          <w:sz w:val="24"/>
          <w:szCs w:val="24"/>
          <w:highlight w:val="none"/>
        </w:rPr>
        <w:t>注：综合COP=（制冷量+制热量）/输入功率</w:t>
      </w:r>
    </w:p>
    <w:p>
      <w:pPr>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bCs/>
          <w:color w:val="auto"/>
          <w:sz w:val="24"/>
          <w:szCs w:val="24"/>
          <w:highlight w:val="none"/>
        </w:rPr>
        <w:t>（4）</w:t>
      </w:r>
      <w:r>
        <w:rPr>
          <w:rFonts w:hint="eastAsia" w:ascii="宋体" w:hAnsi="宋体" w:cs="宋体"/>
          <w:color w:val="auto"/>
          <w:sz w:val="24"/>
          <w:szCs w:val="24"/>
          <w:highlight w:val="none"/>
        </w:rPr>
        <w:t>★投标产品综合部分负荷性能系数IPLV（GB）≥3.85，确保部分负荷运行更加经济节能。</w:t>
      </w:r>
    </w:p>
    <w:p>
      <w:pPr>
        <w:spacing w:line="360" w:lineRule="auto"/>
        <w:ind w:firstLine="480" w:firstLineChars="200"/>
        <w:outlineLvl w:val="9"/>
        <w:rPr>
          <w:rFonts w:hint="eastAsia" w:ascii="宋体" w:hAnsi="宋体" w:cs="宋体"/>
          <w:bCs/>
          <w:color w:val="auto"/>
          <w:sz w:val="24"/>
          <w:szCs w:val="24"/>
          <w:highlight w:val="none"/>
        </w:rPr>
      </w:pPr>
      <w:r>
        <w:rPr>
          <w:rFonts w:hint="eastAsia" w:ascii="宋体" w:hAnsi="宋体" w:cs="宋体"/>
          <w:bCs/>
          <w:color w:val="auto"/>
          <w:sz w:val="24"/>
          <w:szCs w:val="24"/>
          <w:highlight w:val="none"/>
        </w:rPr>
        <w:t>（5）</w:t>
      </w:r>
      <w:r>
        <w:rPr>
          <w:rFonts w:hint="eastAsia" w:ascii="宋体" w:hAnsi="宋体" w:cs="宋体"/>
          <w:color w:val="auto"/>
          <w:sz w:val="24"/>
          <w:szCs w:val="24"/>
          <w:highlight w:val="none"/>
        </w:rPr>
        <w:t>★</w:t>
      </w:r>
      <w:r>
        <w:rPr>
          <w:rFonts w:hint="eastAsia" w:ascii="宋体" w:hAnsi="宋体" w:cs="宋体"/>
          <w:bCs/>
          <w:color w:val="auto"/>
          <w:sz w:val="24"/>
          <w:szCs w:val="24"/>
          <w:highlight w:val="none"/>
        </w:rPr>
        <w:t>投标产品要考虑在50℃极端天气下正常制冷，安全运行。</w:t>
      </w:r>
    </w:p>
    <w:p>
      <w:pPr>
        <w:spacing w:line="360" w:lineRule="auto"/>
        <w:ind w:firstLine="480" w:firstLineChars="200"/>
        <w:outlineLvl w:val="9"/>
        <w:rPr>
          <w:rFonts w:hint="eastAsia" w:ascii="宋体" w:hAnsi="宋体" w:cs="宋体"/>
          <w:bCs/>
          <w:color w:val="auto"/>
          <w:sz w:val="24"/>
          <w:szCs w:val="24"/>
          <w:highlight w:val="none"/>
        </w:rPr>
      </w:pPr>
      <w:r>
        <w:rPr>
          <w:rFonts w:hint="eastAsia" w:ascii="宋体" w:hAnsi="宋体" w:cs="宋体"/>
          <w:bCs/>
          <w:color w:val="auto"/>
          <w:sz w:val="24"/>
          <w:szCs w:val="24"/>
          <w:highlight w:val="none"/>
        </w:rPr>
        <w:t>（6）</w:t>
      </w:r>
      <w:r>
        <w:rPr>
          <w:rFonts w:hint="eastAsia" w:ascii="宋体" w:hAnsi="宋体" w:cs="宋体"/>
          <w:bCs/>
          <w:strike w:val="0"/>
          <w:dstrike w:val="0"/>
          <w:color w:val="auto"/>
          <w:sz w:val="24"/>
          <w:szCs w:val="24"/>
          <w:highlight w:val="none"/>
        </w:rPr>
        <w:t>投</w:t>
      </w:r>
      <w:r>
        <w:rPr>
          <w:rFonts w:hint="eastAsia" w:ascii="宋体" w:hAnsi="宋体" w:cs="宋体"/>
          <w:bCs/>
          <w:color w:val="auto"/>
          <w:sz w:val="24"/>
          <w:szCs w:val="24"/>
          <w:highlight w:val="none"/>
        </w:rPr>
        <w:t>标产品的主机与压缩机必须为同一品牌、同一生产制造商。</w:t>
      </w:r>
    </w:p>
    <w:p>
      <w:pPr>
        <w:spacing w:line="360" w:lineRule="auto"/>
        <w:ind w:firstLine="480" w:firstLineChars="200"/>
        <w:outlineLvl w:val="9"/>
        <w:rPr>
          <w:rFonts w:hint="eastAsia" w:ascii="宋体" w:hAnsi="宋体" w:cs="宋体"/>
          <w:bCs/>
          <w:color w:val="auto"/>
          <w:sz w:val="24"/>
          <w:szCs w:val="24"/>
          <w:highlight w:val="none"/>
        </w:rPr>
      </w:pPr>
      <w:r>
        <w:rPr>
          <w:rFonts w:hint="eastAsia" w:ascii="宋体" w:hAnsi="宋体" w:cs="宋体"/>
          <w:bCs/>
          <w:color w:val="auto"/>
          <w:sz w:val="24"/>
          <w:szCs w:val="24"/>
          <w:highlight w:val="none"/>
        </w:rPr>
        <w:t>（7）投标产品采用出水温度控制精度精确到±0.5℃。</w:t>
      </w:r>
    </w:p>
    <w:p>
      <w:pPr>
        <w:spacing w:line="360" w:lineRule="auto"/>
        <w:ind w:firstLine="480" w:firstLineChars="200"/>
        <w:outlineLvl w:val="9"/>
        <w:rPr>
          <w:rFonts w:hint="eastAsia" w:ascii="宋体" w:hAnsi="宋体" w:cs="宋体"/>
          <w:bCs/>
          <w:color w:val="auto"/>
          <w:sz w:val="24"/>
          <w:szCs w:val="24"/>
          <w:highlight w:val="none"/>
        </w:rPr>
      </w:pPr>
      <w:r>
        <w:rPr>
          <w:rFonts w:hint="eastAsia" w:ascii="宋体" w:hAnsi="宋体" w:cs="宋体"/>
          <w:bCs/>
          <w:color w:val="auto"/>
          <w:sz w:val="24"/>
          <w:szCs w:val="24"/>
          <w:highlight w:val="none"/>
        </w:rPr>
        <w:t>（8）机组采用R134a环保制冷剂</w:t>
      </w:r>
    </w:p>
    <w:p>
      <w:pPr>
        <w:spacing w:line="360" w:lineRule="auto"/>
        <w:ind w:firstLine="480" w:firstLineChars="200"/>
        <w:outlineLvl w:val="9"/>
        <w:rPr>
          <w:rFonts w:hint="eastAsia" w:ascii="宋体" w:hAnsi="宋体" w:cs="宋体"/>
          <w:bCs/>
          <w:color w:val="auto"/>
          <w:sz w:val="24"/>
          <w:szCs w:val="24"/>
          <w:highlight w:val="none"/>
        </w:rPr>
      </w:pPr>
      <w:r>
        <w:rPr>
          <w:rFonts w:hint="eastAsia" w:ascii="宋体" w:hAnsi="宋体" w:cs="宋体"/>
          <w:bCs/>
          <w:color w:val="auto"/>
          <w:sz w:val="24"/>
          <w:szCs w:val="24"/>
          <w:highlight w:val="none"/>
        </w:rPr>
        <w:t>（9）投标产品能够在12.5~100%能力范围内无级调节，实现按需输出。</w:t>
      </w:r>
    </w:p>
    <w:p>
      <w:pPr>
        <w:spacing w:line="360" w:lineRule="auto"/>
        <w:ind w:firstLine="480" w:firstLineChars="200"/>
        <w:outlineLvl w:val="9"/>
        <w:rPr>
          <w:rFonts w:hint="eastAsia" w:ascii="宋体" w:hAnsi="宋体" w:cs="宋体"/>
          <w:bCs/>
          <w:color w:val="auto"/>
          <w:sz w:val="24"/>
          <w:szCs w:val="24"/>
          <w:highlight w:val="none"/>
        </w:rPr>
      </w:pPr>
      <w:r>
        <w:rPr>
          <w:rFonts w:hint="eastAsia" w:ascii="宋体" w:hAnsi="宋体" w:cs="宋体"/>
          <w:bCs/>
          <w:color w:val="auto"/>
          <w:sz w:val="24"/>
          <w:szCs w:val="24"/>
          <w:highlight w:val="none"/>
        </w:rPr>
        <w:t>（10）投标产品采用槽钢底座结构（须提供机组外观实拍照片）</w:t>
      </w:r>
    </w:p>
    <w:p>
      <w:pPr>
        <w:spacing w:line="360" w:lineRule="auto"/>
        <w:ind w:firstLine="480" w:firstLineChars="200"/>
        <w:outlineLvl w:val="9"/>
        <w:rPr>
          <w:rFonts w:hint="eastAsia" w:ascii="宋体" w:hAnsi="宋体" w:cs="宋体"/>
          <w:bCs/>
          <w:color w:val="auto"/>
          <w:sz w:val="24"/>
          <w:szCs w:val="24"/>
          <w:highlight w:val="none"/>
        </w:rPr>
      </w:pPr>
      <w:r>
        <w:rPr>
          <w:rFonts w:hint="eastAsia" w:ascii="宋体" w:hAnsi="宋体" w:cs="宋体"/>
          <w:bCs/>
          <w:color w:val="auto"/>
          <w:sz w:val="24"/>
          <w:szCs w:val="24"/>
          <w:highlight w:val="none"/>
        </w:rPr>
        <w:t>（11）投标产品标配整机弹簧减振器；</w:t>
      </w:r>
    </w:p>
    <w:p>
      <w:pPr>
        <w:spacing w:line="360" w:lineRule="auto"/>
        <w:ind w:firstLine="480" w:firstLineChars="200"/>
        <w:outlineLvl w:val="9"/>
        <w:rPr>
          <w:rFonts w:hint="eastAsia" w:ascii="宋体" w:hAnsi="宋体" w:cs="宋体"/>
          <w:bCs/>
          <w:color w:val="auto"/>
          <w:sz w:val="24"/>
          <w:szCs w:val="24"/>
          <w:highlight w:val="none"/>
        </w:rPr>
      </w:pPr>
      <w:r>
        <w:rPr>
          <w:rFonts w:hint="eastAsia" w:ascii="宋体" w:hAnsi="宋体" w:cs="宋体"/>
          <w:bCs/>
          <w:color w:val="auto"/>
          <w:sz w:val="24"/>
          <w:szCs w:val="24"/>
          <w:highlight w:val="none"/>
        </w:rPr>
        <w:t>（12）投标产品采用整体式四通阀，有效提升效率（以正式出版的样本中部件图为依据）</w:t>
      </w:r>
    </w:p>
    <w:p>
      <w:pPr>
        <w:spacing w:line="360" w:lineRule="auto"/>
        <w:ind w:firstLine="480" w:firstLineChars="200"/>
        <w:outlineLvl w:val="9"/>
        <w:rPr>
          <w:rFonts w:hint="eastAsia" w:ascii="宋体" w:hAnsi="宋体" w:cs="宋体"/>
          <w:bCs/>
          <w:color w:val="auto"/>
          <w:sz w:val="24"/>
          <w:szCs w:val="24"/>
          <w:highlight w:val="none"/>
        </w:rPr>
      </w:pPr>
      <w:r>
        <w:rPr>
          <w:rFonts w:hint="eastAsia" w:ascii="宋体" w:hAnsi="宋体" w:cs="宋体"/>
          <w:bCs/>
          <w:color w:val="auto"/>
          <w:sz w:val="24"/>
          <w:szCs w:val="24"/>
          <w:highlight w:val="none"/>
        </w:rPr>
        <w:t>（13）投标产品具有断电后再来电30秒快速启动的功能</w:t>
      </w:r>
    </w:p>
    <w:p>
      <w:pPr>
        <w:spacing w:line="360" w:lineRule="auto"/>
        <w:ind w:firstLine="480" w:firstLineChars="200"/>
        <w:outlineLvl w:val="9"/>
        <w:rPr>
          <w:rFonts w:hint="eastAsia" w:ascii="宋体" w:hAnsi="宋体" w:cs="宋体"/>
          <w:bCs/>
          <w:color w:val="auto"/>
          <w:sz w:val="24"/>
          <w:szCs w:val="24"/>
          <w:highlight w:val="none"/>
        </w:rPr>
      </w:pPr>
      <w:r>
        <w:rPr>
          <w:rFonts w:hint="eastAsia" w:ascii="宋体" w:hAnsi="宋体" w:cs="宋体"/>
          <w:bCs/>
          <w:color w:val="auto"/>
          <w:sz w:val="24"/>
          <w:szCs w:val="24"/>
          <w:highlight w:val="none"/>
        </w:rPr>
        <w:t>（14）投标产品配置经济器提升产品效率（须提供部件实拍照片）</w:t>
      </w:r>
    </w:p>
    <w:p>
      <w:pPr>
        <w:spacing w:line="360" w:lineRule="auto"/>
        <w:ind w:firstLine="480" w:firstLineChars="200"/>
        <w:outlineLvl w:val="9"/>
        <w:rPr>
          <w:rFonts w:hint="eastAsia" w:ascii="宋体" w:hAnsi="宋体" w:cs="宋体"/>
          <w:bCs/>
          <w:color w:val="auto"/>
          <w:sz w:val="24"/>
          <w:szCs w:val="24"/>
          <w:highlight w:val="none"/>
        </w:rPr>
      </w:pPr>
      <w:r>
        <w:rPr>
          <w:rFonts w:hint="eastAsia" w:ascii="宋体" w:hAnsi="宋体" w:cs="宋体"/>
          <w:bCs/>
          <w:color w:val="auto"/>
          <w:sz w:val="24"/>
          <w:szCs w:val="24"/>
          <w:highlight w:val="none"/>
        </w:rPr>
        <w:t>（15）节流方式采用电子膨胀阀；</w:t>
      </w:r>
    </w:p>
    <w:p>
      <w:pPr>
        <w:spacing w:line="360" w:lineRule="auto"/>
        <w:ind w:firstLine="480" w:firstLineChars="200"/>
        <w:outlineLvl w:val="9"/>
        <w:rPr>
          <w:rFonts w:hint="eastAsia" w:ascii="宋体" w:hAnsi="宋体" w:cs="宋体"/>
          <w:bCs/>
          <w:color w:val="auto"/>
          <w:sz w:val="24"/>
          <w:szCs w:val="24"/>
          <w:highlight w:val="none"/>
        </w:rPr>
      </w:pPr>
      <w:r>
        <w:rPr>
          <w:rFonts w:hint="eastAsia" w:ascii="宋体" w:hAnsi="宋体" w:cs="宋体"/>
          <w:bCs/>
          <w:color w:val="auto"/>
          <w:sz w:val="24"/>
          <w:szCs w:val="24"/>
          <w:highlight w:val="none"/>
        </w:rPr>
        <w:t>（16）投标产品热水侧换热器采用板换式换热器，换热效率更高，同时可以减少冷媒的充注量（须提供部件实拍照片）；</w:t>
      </w:r>
    </w:p>
    <w:p>
      <w:pPr>
        <w:spacing w:line="360" w:lineRule="auto"/>
        <w:ind w:firstLine="480" w:firstLineChars="200"/>
        <w:outlineLvl w:val="9"/>
        <w:rPr>
          <w:rFonts w:hint="eastAsia" w:ascii="宋体" w:hAnsi="宋体" w:cs="宋体"/>
          <w:bCs/>
          <w:color w:val="auto"/>
          <w:sz w:val="24"/>
          <w:szCs w:val="24"/>
          <w:highlight w:val="none"/>
        </w:rPr>
      </w:pPr>
      <w:r>
        <w:rPr>
          <w:rFonts w:hint="eastAsia" w:ascii="宋体" w:hAnsi="宋体" w:cs="宋体"/>
          <w:bCs/>
          <w:color w:val="auto"/>
          <w:sz w:val="24"/>
          <w:szCs w:val="24"/>
          <w:highlight w:val="none"/>
        </w:rPr>
        <w:t>（17）投标产品采用PLC可编程控制器,控制器可进行中英文显示切换；</w:t>
      </w:r>
    </w:p>
    <w:p>
      <w:pPr>
        <w:spacing w:line="360" w:lineRule="auto"/>
        <w:ind w:firstLine="480" w:firstLineChars="200"/>
        <w:outlineLvl w:val="9"/>
        <w:rPr>
          <w:rFonts w:hint="default" w:ascii="宋体" w:hAnsi="宋体" w:eastAsia="宋体" w:cs="宋体"/>
          <w:bCs/>
          <w:color w:val="auto"/>
          <w:sz w:val="24"/>
          <w:szCs w:val="24"/>
          <w:highlight w:val="none"/>
          <w:lang w:val="en-US" w:eastAsia="zh-CN"/>
        </w:rPr>
      </w:pPr>
      <w:r>
        <w:rPr>
          <w:rFonts w:hint="eastAsia" w:ascii="宋体" w:hAnsi="宋体" w:cs="宋体"/>
          <w:bCs/>
          <w:color w:val="auto"/>
          <w:sz w:val="24"/>
          <w:szCs w:val="24"/>
          <w:highlight w:val="none"/>
        </w:rPr>
        <w:t>（18）</w:t>
      </w:r>
      <w:r>
        <w:rPr>
          <w:rFonts w:hint="eastAsia" w:ascii="宋体" w:hAnsi="宋体" w:cs="宋体"/>
          <w:strike w:val="0"/>
          <w:dstrike w:val="0"/>
          <w:color w:val="auto"/>
          <w:sz w:val="24"/>
          <w:szCs w:val="24"/>
          <w:highlight w:val="none"/>
        </w:rPr>
        <w:t>★</w:t>
      </w:r>
      <w:r>
        <w:rPr>
          <w:rFonts w:hint="eastAsia" w:ascii="宋体" w:hAnsi="宋体" w:cs="宋体"/>
          <w:bCs/>
          <w:color w:val="auto"/>
          <w:sz w:val="24"/>
          <w:szCs w:val="24"/>
          <w:highlight w:val="none"/>
        </w:rPr>
        <w:t>投标品牌具有国家认可实验室,并提供相关认证证书；</w:t>
      </w:r>
      <w:r>
        <w:rPr>
          <w:rFonts w:hint="eastAsia" w:ascii="宋体" w:hAnsi="宋体" w:cs="宋体"/>
          <w:bCs/>
          <w:color w:val="auto"/>
          <w:sz w:val="24"/>
          <w:szCs w:val="24"/>
          <w:highlight w:val="none"/>
          <w:lang w:val="en-US" w:eastAsia="zh-CN"/>
        </w:rPr>
        <w:t xml:space="preserve">  </w:t>
      </w:r>
    </w:p>
    <w:p>
      <w:pPr>
        <w:spacing w:line="360" w:lineRule="auto"/>
        <w:ind w:firstLine="482" w:firstLineChars="200"/>
        <w:outlineLvl w:val="9"/>
        <w:rPr>
          <w:rFonts w:ascii="宋体" w:hAnsi="宋体" w:cs="宋体"/>
          <w:b/>
          <w:bCs/>
          <w:color w:val="auto"/>
          <w:sz w:val="24"/>
          <w:szCs w:val="24"/>
          <w:highlight w:val="none"/>
        </w:rPr>
      </w:pPr>
      <w:r>
        <w:rPr>
          <w:rFonts w:hint="eastAsia" w:ascii="宋体" w:hAnsi="宋体" w:cs="宋体"/>
          <w:b/>
          <w:bCs/>
          <w:color w:val="auto"/>
          <w:sz w:val="24"/>
          <w:szCs w:val="24"/>
          <w:highlight w:val="none"/>
        </w:rPr>
        <w:t>6、净化空气处理机组系统自动化控制系统设计要求：</w:t>
      </w:r>
    </w:p>
    <w:p>
      <w:pPr>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1）采用著名品牌多功能控制器、温、湿度传感器，压差开关、风阀执行器、冷水阀门执行器、热水阀门执行器、阀门执行器、电动比例积分调节阀、变频器等对系统的风量及温湿度进行控制。</w:t>
      </w:r>
    </w:p>
    <w:p>
      <w:pPr>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2）净化空调控制系统的控制含有机房本地控制和手术室等远程控制的两种功能。远程室内空调控制面板应可以实现以下的控制功能：</w:t>
      </w:r>
    </w:p>
    <w:p>
      <w:pPr>
        <w:widowControl w:val="0"/>
        <w:numPr>
          <w:ilvl w:val="0"/>
          <w:numId w:val="10"/>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机组启、停；</w:t>
      </w:r>
    </w:p>
    <w:p>
      <w:pPr>
        <w:widowControl w:val="0"/>
        <w:numPr>
          <w:ilvl w:val="0"/>
          <w:numId w:val="10"/>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值班运行/全风量运行转换；</w:t>
      </w:r>
    </w:p>
    <w:p>
      <w:pPr>
        <w:widowControl w:val="0"/>
        <w:numPr>
          <w:ilvl w:val="0"/>
          <w:numId w:val="10"/>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温度的设定；</w:t>
      </w:r>
    </w:p>
    <w:p>
      <w:pPr>
        <w:widowControl w:val="0"/>
        <w:numPr>
          <w:ilvl w:val="0"/>
          <w:numId w:val="10"/>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室内温、湿度的显示；</w:t>
      </w:r>
    </w:p>
    <w:p>
      <w:pPr>
        <w:widowControl w:val="0"/>
        <w:numPr>
          <w:ilvl w:val="0"/>
          <w:numId w:val="10"/>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机组启、停指示；</w:t>
      </w:r>
    </w:p>
    <w:p>
      <w:pPr>
        <w:widowControl w:val="0"/>
        <w:numPr>
          <w:ilvl w:val="0"/>
          <w:numId w:val="10"/>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机组值班状态指示；</w:t>
      </w:r>
    </w:p>
    <w:p>
      <w:pPr>
        <w:widowControl w:val="0"/>
        <w:numPr>
          <w:ilvl w:val="0"/>
          <w:numId w:val="10"/>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机组运行指示；</w:t>
      </w:r>
    </w:p>
    <w:p>
      <w:pPr>
        <w:widowControl w:val="0"/>
        <w:numPr>
          <w:ilvl w:val="0"/>
          <w:numId w:val="10"/>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机组故障指示；</w:t>
      </w:r>
    </w:p>
    <w:p>
      <w:pPr>
        <w:widowControl w:val="0"/>
        <w:numPr>
          <w:ilvl w:val="0"/>
          <w:numId w:val="10"/>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高效过滤器堵塞报警指示；</w:t>
      </w:r>
    </w:p>
    <w:p>
      <w:pPr>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3）机房控制柜内还可以实现以下的控制功能：</w:t>
      </w:r>
    </w:p>
    <w:p>
      <w:pPr>
        <w:widowControl w:val="0"/>
        <w:numPr>
          <w:ilvl w:val="0"/>
          <w:numId w:val="11"/>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室内控制面板实现的全部功能</w:t>
      </w:r>
    </w:p>
    <w:p>
      <w:pPr>
        <w:widowControl w:val="0"/>
        <w:numPr>
          <w:ilvl w:val="0"/>
          <w:numId w:val="11"/>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风机运行频率显示；</w:t>
      </w:r>
    </w:p>
    <w:p>
      <w:pPr>
        <w:widowControl w:val="0"/>
        <w:numPr>
          <w:ilvl w:val="0"/>
          <w:numId w:val="11"/>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初、中、高效过滤网堵塞报警、缺风保护报警、风机运行情况及过载报警、手术室排风机运行状态显示，运行状态和故障显示等；</w:t>
      </w:r>
    </w:p>
    <w:p>
      <w:pPr>
        <w:widowControl w:val="0"/>
        <w:numPr>
          <w:ilvl w:val="0"/>
          <w:numId w:val="11"/>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阀联锁指示；</w:t>
      </w:r>
    </w:p>
    <w:p>
      <w:pPr>
        <w:widowControl w:val="0"/>
        <w:numPr>
          <w:ilvl w:val="0"/>
          <w:numId w:val="11"/>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电流过压、欠压、缺相等报警并自动保护；</w:t>
      </w:r>
    </w:p>
    <w:p>
      <w:pPr>
        <w:widowControl w:val="0"/>
        <w:numPr>
          <w:ilvl w:val="0"/>
          <w:numId w:val="11"/>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手、自动风量调频切换，手动频率设定、半风量值班频率设定；</w:t>
      </w:r>
    </w:p>
    <w:p>
      <w:pPr>
        <w:widowControl w:val="0"/>
        <w:numPr>
          <w:ilvl w:val="0"/>
          <w:numId w:val="11"/>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冷热供水自动调节阀、电加热器工作状态；</w:t>
      </w:r>
    </w:p>
    <w:p>
      <w:pPr>
        <w:widowControl w:val="0"/>
        <w:numPr>
          <w:ilvl w:val="0"/>
          <w:numId w:val="11"/>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试灯和功能切换；</w:t>
      </w:r>
    </w:p>
    <w:p>
      <w:pPr>
        <w:widowControl w:val="0"/>
        <w:numPr>
          <w:ilvl w:val="0"/>
          <w:numId w:val="11"/>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各种控制参数（室内温、湿度；变频器频率等）的设定和修改；</w:t>
      </w:r>
    </w:p>
    <w:p>
      <w:pPr>
        <w:widowControl w:val="0"/>
        <w:numPr>
          <w:ilvl w:val="0"/>
          <w:numId w:val="11"/>
        </w:numPr>
        <w:spacing w:line="360" w:lineRule="auto"/>
        <w:ind w:left="0"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显示所有机电设备运行及故障情况；显示温、湿度状态；具有变频功能控制平台，数字显示调节。</w:t>
      </w:r>
    </w:p>
    <w:p>
      <w:pPr>
        <w:tabs>
          <w:tab w:val="left" w:pos="420"/>
          <w:tab w:val="left" w:pos="720"/>
        </w:tabs>
        <w:spacing w:line="360" w:lineRule="auto"/>
        <w:outlineLvl w:val="9"/>
        <w:rPr>
          <w:rFonts w:hint="eastAsia" w:ascii="宋体" w:hAnsi="宋体" w:cs="宋体"/>
          <w:b/>
          <w:bCs/>
          <w:color w:val="auto"/>
          <w:sz w:val="24"/>
          <w:szCs w:val="24"/>
          <w:highlight w:val="none"/>
        </w:rPr>
      </w:pPr>
      <w:r>
        <w:rPr>
          <w:rFonts w:hint="eastAsia" w:ascii="宋体" w:hAnsi="宋体" w:cs="宋体"/>
          <w:b/>
          <w:bCs/>
          <w:color w:val="auto"/>
          <w:sz w:val="24"/>
          <w:szCs w:val="24"/>
          <w:highlight w:val="none"/>
        </w:rPr>
        <w:t>7、手术专用层流送风天花</w:t>
      </w:r>
    </w:p>
    <w:p>
      <w:pPr>
        <w:tabs>
          <w:tab w:val="left" w:pos="420"/>
          <w:tab w:val="left" w:pos="720"/>
        </w:tabs>
        <w:spacing w:line="360" w:lineRule="auto"/>
        <w:ind w:firstLine="240" w:firstLineChars="100"/>
        <w:outlineLvl w:val="9"/>
        <w:rPr>
          <w:rFonts w:hint="eastAsia" w:ascii="宋体" w:hAnsi="宋体" w:cs="宋体"/>
          <w:b w:val="0"/>
          <w:bCs w:val="0"/>
          <w:color w:val="auto"/>
          <w:sz w:val="24"/>
          <w:szCs w:val="24"/>
          <w:highlight w:val="none"/>
        </w:rPr>
      </w:pPr>
      <w:r>
        <w:rPr>
          <w:rFonts w:hint="eastAsia" w:ascii="宋体" w:hAnsi="宋体" w:cs="宋体"/>
          <w:b w:val="0"/>
          <w:bCs w:val="0"/>
          <w:color w:val="auto"/>
          <w:sz w:val="24"/>
          <w:szCs w:val="24"/>
          <w:highlight w:val="none"/>
        </w:rPr>
        <w:t>（1）箱体采用铝合金框架结构，箱板为双层结构，内填充XPS或聚氨酯保温，保证整个箱体有足够的强度和保温性能。</w:t>
      </w:r>
    </w:p>
    <w:p>
      <w:pPr>
        <w:tabs>
          <w:tab w:val="left" w:pos="420"/>
          <w:tab w:val="left" w:pos="720"/>
        </w:tabs>
        <w:spacing w:line="360" w:lineRule="auto"/>
        <w:ind w:firstLine="240" w:firstLineChars="100"/>
        <w:outlineLvl w:val="9"/>
        <w:rPr>
          <w:rFonts w:hint="eastAsia" w:ascii="宋体" w:hAnsi="宋体" w:cs="宋体"/>
          <w:b w:val="0"/>
          <w:bCs w:val="0"/>
          <w:color w:val="auto"/>
          <w:sz w:val="24"/>
          <w:szCs w:val="24"/>
          <w:highlight w:val="none"/>
        </w:rPr>
      </w:pPr>
      <w:r>
        <w:rPr>
          <w:rFonts w:hint="eastAsia" w:ascii="宋体" w:hAnsi="宋体" w:cs="宋体"/>
          <w:b w:val="0"/>
          <w:bCs w:val="0"/>
          <w:color w:val="auto"/>
          <w:sz w:val="24"/>
          <w:szCs w:val="24"/>
          <w:highlight w:val="none"/>
        </w:rPr>
        <w:t>（2）高效侧布，增加整个静压箱体积，达到最佳静压效果，使洁净空气均匀柔和下送。</w:t>
      </w:r>
    </w:p>
    <w:p>
      <w:pPr>
        <w:tabs>
          <w:tab w:val="left" w:pos="420"/>
          <w:tab w:val="left" w:pos="720"/>
        </w:tabs>
        <w:spacing w:line="360" w:lineRule="auto"/>
        <w:ind w:firstLine="240" w:firstLineChars="100"/>
        <w:outlineLvl w:val="9"/>
        <w:rPr>
          <w:rFonts w:hint="eastAsia" w:ascii="宋体" w:hAnsi="宋体" w:cs="宋体"/>
          <w:b w:val="0"/>
          <w:bCs w:val="0"/>
          <w:color w:val="auto"/>
          <w:sz w:val="24"/>
          <w:szCs w:val="24"/>
          <w:highlight w:val="none"/>
        </w:rPr>
      </w:pPr>
      <w:r>
        <w:rPr>
          <w:rFonts w:hint="eastAsia" w:ascii="宋体" w:hAnsi="宋体" w:cs="宋体"/>
          <w:b w:val="0"/>
          <w:bCs w:val="0"/>
          <w:color w:val="auto"/>
          <w:sz w:val="24"/>
          <w:szCs w:val="24"/>
          <w:highlight w:val="none"/>
        </w:rPr>
        <w:t>（3）出风口为双层200-300目DPP网，使气流更加均匀。</w:t>
      </w:r>
    </w:p>
    <w:p>
      <w:pPr>
        <w:tabs>
          <w:tab w:val="left" w:pos="420"/>
          <w:tab w:val="left" w:pos="720"/>
        </w:tabs>
        <w:spacing w:line="360" w:lineRule="auto"/>
        <w:ind w:firstLine="240" w:firstLineChars="100"/>
        <w:outlineLvl w:val="9"/>
        <w:rPr>
          <w:rFonts w:hint="eastAsia" w:ascii="宋体" w:hAnsi="宋体" w:cs="宋体"/>
          <w:b w:val="0"/>
          <w:bCs w:val="0"/>
          <w:color w:val="auto"/>
          <w:sz w:val="24"/>
          <w:szCs w:val="24"/>
          <w:highlight w:val="none"/>
        </w:rPr>
      </w:pPr>
      <w:r>
        <w:rPr>
          <w:rFonts w:hint="eastAsia" w:ascii="宋体" w:hAnsi="宋体" w:cs="宋体"/>
          <w:b w:val="0"/>
          <w:bCs w:val="0"/>
          <w:color w:val="auto"/>
          <w:sz w:val="24"/>
          <w:szCs w:val="24"/>
          <w:highlight w:val="none"/>
        </w:rPr>
        <w:t>（4）中间增设气流补偿装置，能使气流顺利到达手术床正常工作高度，有效抑制因人体设备发热产生上升气流对洁净空气的影响。</w:t>
      </w:r>
    </w:p>
    <w:p>
      <w:pPr>
        <w:spacing w:line="360" w:lineRule="auto"/>
        <w:ind w:firstLine="480" w:firstLineChars="200"/>
        <w:outlineLvl w:val="9"/>
        <w:rPr>
          <w:rFonts w:hint="eastAsia" w:ascii="宋体" w:hAnsi="宋体" w:cs="宋体"/>
          <w:b w:val="0"/>
          <w:bCs w:val="0"/>
          <w:color w:val="auto"/>
          <w:sz w:val="24"/>
          <w:szCs w:val="24"/>
          <w:highlight w:val="none"/>
        </w:rPr>
      </w:pPr>
      <w:r>
        <w:rPr>
          <w:rFonts w:hint="eastAsia" w:ascii="宋体" w:hAnsi="宋体" w:cs="宋体"/>
          <w:b w:val="0"/>
          <w:bCs w:val="0"/>
          <w:strike w:val="0"/>
          <w:dstrike w:val="0"/>
          <w:color w:val="auto"/>
          <w:sz w:val="24"/>
          <w:szCs w:val="24"/>
          <w:highlight w:val="none"/>
        </w:rPr>
        <w:t>★</w:t>
      </w:r>
      <w:r>
        <w:rPr>
          <w:rFonts w:hint="eastAsia" w:ascii="宋体" w:hAnsi="宋体" w:cs="宋体"/>
          <w:b w:val="0"/>
          <w:bCs w:val="0"/>
          <w:color w:val="auto"/>
          <w:sz w:val="24"/>
          <w:szCs w:val="24"/>
          <w:highlight w:val="none"/>
        </w:rPr>
        <w:t>（5）层流送风天花提供具有相关检测资质的检测机构出具的放射性核素限量检测报告复印件。</w:t>
      </w:r>
    </w:p>
    <w:p>
      <w:pPr>
        <w:tabs>
          <w:tab w:val="left" w:pos="420"/>
          <w:tab w:val="left" w:pos="720"/>
        </w:tabs>
        <w:spacing w:line="360" w:lineRule="auto"/>
        <w:outlineLvl w:val="9"/>
        <w:rPr>
          <w:rFonts w:hint="eastAsia" w:ascii="宋体" w:hAnsi="宋体" w:cs="宋体"/>
          <w:b/>
          <w:bCs/>
          <w:color w:val="auto"/>
          <w:sz w:val="24"/>
          <w:szCs w:val="24"/>
          <w:highlight w:val="none"/>
        </w:rPr>
      </w:pPr>
    </w:p>
    <w:p>
      <w:pPr>
        <w:tabs>
          <w:tab w:val="left" w:pos="420"/>
          <w:tab w:val="left" w:pos="720"/>
        </w:tabs>
        <w:spacing w:line="360" w:lineRule="auto"/>
        <w:outlineLvl w:val="9"/>
        <w:rPr>
          <w:rFonts w:ascii="宋体" w:hAnsi="宋体" w:cs="宋体"/>
          <w:b/>
          <w:bCs/>
          <w:color w:val="auto"/>
          <w:sz w:val="24"/>
          <w:szCs w:val="24"/>
          <w:highlight w:val="none"/>
        </w:rPr>
      </w:pPr>
      <w:r>
        <w:rPr>
          <w:rFonts w:hint="eastAsia" w:ascii="宋体" w:hAnsi="宋体" w:cs="宋体"/>
          <w:b/>
          <w:bCs/>
          <w:color w:val="auto"/>
          <w:sz w:val="24"/>
          <w:szCs w:val="24"/>
          <w:highlight w:val="none"/>
        </w:rPr>
        <w:t>（三）强电系统要求</w:t>
      </w:r>
    </w:p>
    <w:p>
      <w:pPr>
        <w:snapToGrid w:val="0"/>
        <w:spacing w:line="360" w:lineRule="auto"/>
        <w:ind w:firstLine="482" w:firstLineChars="200"/>
        <w:outlineLvl w:val="9"/>
        <w:rPr>
          <w:rFonts w:ascii="宋体" w:hAnsi="宋体" w:cs="宋体"/>
          <w:b/>
          <w:color w:val="auto"/>
          <w:sz w:val="24"/>
          <w:szCs w:val="24"/>
          <w:highlight w:val="none"/>
        </w:rPr>
      </w:pPr>
      <w:r>
        <w:rPr>
          <w:rFonts w:hint="eastAsia" w:ascii="宋体" w:hAnsi="宋体" w:cs="宋体"/>
          <w:b/>
          <w:color w:val="auto"/>
          <w:sz w:val="24"/>
          <w:szCs w:val="24"/>
          <w:highlight w:val="none"/>
        </w:rPr>
        <w:t>1、总体要求</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1.1采用TN-S三相五线制供电系统，电源中线N和保护线PE在变压器处分开并相对绝缘，保护线上的接地电阻不大于1欧姆。</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1.2每间手术室内所有电气设备裸露的导电部分、金属外壳、所有线管、金属屏蔽层、导电地板的金属网络及水管、各种金属支架等均与PE等位体相连(用电设备的不带电金属部分与PE保护线联接,互为后备)。</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1.3每个手术室要用≥6mm2的电线做等电位连接。用于进行等电位联结的保护线的电阻值，使金属导体相互电位差限制在10mv以下。</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1.4所有接地与原设计接地板联结，由原接地系统保证接地电阻要求。具体实施按《民用建筑电气设计规范》。</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1.5所有电缆、电线、桥架应采用阻燃及难燃以上级别电缆、电线。电线电缆采用低烟无卤。</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1.6各区域按相关规范要求做好等电位接地。</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1.7照明采用多点控制，控制应方便、灵活、节能。所有开关、插座均采用嵌入式安装。各医疗设备上的用电插座，插座箱上应设接地端子，其接地电阻不应大于1Ω。</w:t>
      </w:r>
    </w:p>
    <w:p>
      <w:pPr>
        <w:snapToGrid w:val="0"/>
        <w:spacing w:line="360" w:lineRule="auto"/>
        <w:ind w:firstLine="482" w:firstLineChars="200"/>
        <w:outlineLvl w:val="9"/>
        <w:rPr>
          <w:rFonts w:ascii="宋体" w:hAnsi="宋体" w:cs="宋体"/>
          <w:b/>
          <w:color w:val="auto"/>
          <w:sz w:val="24"/>
          <w:szCs w:val="24"/>
          <w:highlight w:val="none"/>
        </w:rPr>
      </w:pPr>
      <w:r>
        <w:rPr>
          <w:rFonts w:hint="eastAsia" w:ascii="宋体" w:hAnsi="宋体" w:cs="宋体"/>
          <w:b/>
          <w:color w:val="auto"/>
          <w:sz w:val="24"/>
          <w:szCs w:val="24"/>
          <w:highlight w:val="none"/>
        </w:rPr>
        <w:t>2、设计要求</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2.1手术部必须采用双电源供电，手术室内用电应与辅房用电分开，每个手术室内配电干线必须单独敷设。</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2.2每间手术室配电负荷不应小于8KVA。</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2.3手术室照明应采用嵌入式洁净气密封照明灯带，禁用普通灯带代替，灯带必须布置在送风口之外。</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2.4手术室最低照度应在350LX以上，均匀度不应低于0.7，其余辅房及走廊平均照度应在200LX以上，均设荧光灯具，配置电子镇流器，手术部洁净区照明由洁净气密型灯带组成。</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2.5手术室的总配电箱，应设于非洁净区。每个手术室应设有一个独立专用配电箱，配电箱应设在该手术室的外侧墙内，配电箱内加装电涌保护器。</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2.6控制装备显示面板应与手术室内墙面齐平严密，其检修口必须设在手术室之外。</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2.7手术室不允许设置单个插座，必须使用插座箱，插座箱嵌入墙面。</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2.8手术室应设置安全保护接地系统和等电位接地系统。</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2.9手术室设置一套IT监测系统，IT监测系统应包括隔离变压器、绝缘监视仪、电流互感器、仪器专用电源、外接报警显示和测试单元。</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 xml:space="preserve">2.10手术室必须设置不间断电源UPSS(甲供)，实现在线切换。 </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2.11插座系统</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每间洁净手术室墙面设四组电源插座面板，其中三组电源插座面板</w:t>
      </w:r>
      <w:r>
        <w:rPr>
          <w:rFonts w:hint="eastAsia" w:ascii="宋体" w:hAnsi="宋体" w:cs="宋体"/>
          <w:color w:val="auto"/>
          <w:spacing w:val="-10"/>
          <w:sz w:val="24"/>
          <w:szCs w:val="24"/>
          <w:highlight w:val="none"/>
        </w:rPr>
        <w:t>每组含4个220V插座，带2个接地端子；还有一组</w:t>
      </w:r>
      <w:r>
        <w:rPr>
          <w:rFonts w:hint="eastAsia" w:ascii="宋体" w:hAnsi="宋体" w:cs="宋体"/>
          <w:color w:val="auto"/>
          <w:sz w:val="24"/>
          <w:szCs w:val="24"/>
          <w:highlight w:val="none"/>
        </w:rPr>
        <w:t>电源插座面板含1个380V，3个220V插座</w:t>
      </w:r>
      <w:r>
        <w:rPr>
          <w:rFonts w:hint="eastAsia" w:ascii="宋体" w:hAnsi="宋体" w:cs="宋体"/>
          <w:color w:val="auto"/>
          <w:spacing w:val="-10"/>
          <w:sz w:val="24"/>
          <w:szCs w:val="24"/>
          <w:highlight w:val="none"/>
        </w:rPr>
        <w:t>，带2个接地端子</w:t>
      </w:r>
      <w:r>
        <w:rPr>
          <w:rFonts w:hint="eastAsia" w:ascii="宋体" w:hAnsi="宋体" w:cs="宋体"/>
          <w:color w:val="auto"/>
          <w:sz w:val="24"/>
          <w:szCs w:val="24"/>
          <w:highlight w:val="none"/>
        </w:rPr>
        <w:t>。每个洁净辅房均至少设五孔插座2个。</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其他区域根据使用要求设置五孔插座。</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2.12安全保护与接地</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本项目采用TN-S系统，中性线（N）与保护线（PE）严格分开。所有手术室、ICU等医疗一类、二类场所均设置等电位接地系统和安全保护接地系统，每间手术室内所有电气设备裸露的导电部分、金属外壳、所有线管、金属屏蔽层、导电地板的金属网络及水管、各种金属支架等均与PE等位体相连(用电设备的不带电金属部分与PE保护线联接,互为后备)。</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每个手术室要用6mm2的电线做等电位连接。用于进行等电位联结的保护线的电阻值，使金属导体相互电位差限制在10mv以下。</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所有接地与原设计接地板联结，由原接地系统保证接地电阻要求。具体实施按《民用建筑电气设计规范》。</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2.13隔离电源系统</w:t>
      </w:r>
    </w:p>
    <w:p>
      <w:pPr>
        <w:snapToGrid w:val="0"/>
        <w:spacing w:line="36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手术室设IT隔离电源系统包括隔离变压器，绝缘监视仪、电流互感器、仪器专用电源、外接报警显示和测试单元等，通过该装置，向手术室内的重要动力及插座配电设备供电,要求在走廊维修。</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2.14导线绝缘</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本项目主要采用阻燃低烟无卤型电线电缆，该线缆绝缘、填充、隔离层及护套等都不含卤素，燃烧时不产生腐蚀性有害气体且阻燃特性好，符合国家规范要求。</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2.15其它</w:t>
      </w:r>
    </w:p>
    <w:p>
      <w:pPr>
        <w:snapToGrid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各洁净手术室的空调设备能在室内自动或手动控制，控制装备显示面板与手术室内墙面齐平为平面触摸式，其检修口设在手术室之外。</w:t>
      </w:r>
    </w:p>
    <w:p>
      <w:pPr>
        <w:snapToGrid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情报面盘有专业厂家定制，安装高度现场定。</w:t>
      </w:r>
    </w:p>
    <w:p>
      <w:pPr>
        <w:snapToGrid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暗开关底边距地1.3m，距门沿0.2m，暗插座底边距地0.3m。在潮湿、有水的房间环境中，防水防尘插座安装高度底边距地1.3m</w:t>
      </w:r>
    </w:p>
    <w:p>
      <w:pPr>
        <w:snapToGrid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弱电桥架与强电桥架之间的距离不小于500mm。</w:t>
      </w:r>
    </w:p>
    <w:p>
      <w:pPr>
        <w:snapToGrid w:val="0"/>
        <w:spacing w:line="360" w:lineRule="auto"/>
        <w:ind w:firstLine="480" w:firstLineChars="200"/>
        <w:outlineLvl w:val="9"/>
        <w:rPr>
          <w:rFonts w:ascii="宋体" w:hAnsi="宋体" w:cs="宋体"/>
          <w:b/>
          <w:color w:val="auto"/>
          <w:sz w:val="24"/>
          <w:szCs w:val="24"/>
          <w:highlight w:val="none"/>
        </w:rPr>
      </w:pPr>
      <w:r>
        <w:rPr>
          <w:rFonts w:hint="eastAsia" w:ascii="宋体" w:hAnsi="宋体" w:cs="宋体"/>
          <w:color w:val="auto"/>
          <w:sz w:val="24"/>
          <w:szCs w:val="24"/>
          <w:highlight w:val="none"/>
        </w:rPr>
        <w:t xml:space="preserve"> </w:t>
      </w:r>
      <w:r>
        <w:rPr>
          <w:rFonts w:hint="eastAsia" w:ascii="宋体" w:hAnsi="宋体" w:cs="宋体"/>
          <w:b/>
          <w:color w:val="auto"/>
          <w:sz w:val="24"/>
          <w:szCs w:val="24"/>
          <w:highlight w:val="none"/>
        </w:rPr>
        <w:t>3、LED 洁净照明灯技术参数：</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w:t>
      </w:r>
      <w:r>
        <w:rPr>
          <w:rFonts w:hint="eastAsia" w:ascii="宋体" w:hAnsi="宋体" w:cs="宋体"/>
          <w:color w:val="auto"/>
          <w:sz w:val="24"/>
          <w:szCs w:val="24"/>
          <w:highlight w:val="none"/>
          <w:lang w:val="en-US" w:eastAsia="zh-CN"/>
        </w:rPr>
        <w:t>1</w:t>
      </w:r>
      <w:r>
        <w:rPr>
          <w:rFonts w:hint="eastAsia" w:ascii="宋体" w:hAnsi="宋体" w:cs="宋体"/>
          <w:color w:val="auto"/>
          <w:sz w:val="24"/>
          <w:szCs w:val="24"/>
          <w:highlight w:val="none"/>
        </w:rPr>
        <w:t>）洁净区域采用吸顶平板式LED洁净荧光灯具，洁净室洁净灯要求不会释放出污染物、外形平整，避免采用凹凸不平的轮廓，外壳为非可燃材料。整套灯具通过3C认证（需提供3C认证证书）。灯具与吊顶下表面结合部整齐美观。</w:t>
      </w:r>
    </w:p>
    <w:p>
      <w:pPr>
        <w:snapToGrid w:val="0"/>
        <w:spacing w:line="360" w:lineRule="auto"/>
        <w:ind w:firstLine="480" w:firstLineChars="200"/>
        <w:outlineLvl w:val="9"/>
        <w:rPr>
          <w:rFonts w:hint="default" w:ascii="宋体" w:hAnsi="宋体" w:eastAsia="宋体" w:cs="宋体"/>
          <w:color w:val="auto"/>
          <w:sz w:val="28"/>
          <w:szCs w:val="28"/>
          <w:highlight w:val="none"/>
          <w:lang w:val="en-US" w:eastAsia="zh-CN"/>
        </w:rPr>
      </w:pPr>
      <w:r>
        <w:rPr>
          <w:rFonts w:hint="eastAsia" w:ascii="宋体" w:hAnsi="宋体" w:cs="宋体"/>
          <w:color w:val="auto"/>
          <w:sz w:val="24"/>
          <w:szCs w:val="24"/>
          <w:highlight w:val="none"/>
        </w:rPr>
        <w:t>（</w:t>
      </w:r>
      <w:r>
        <w:rPr>
          <w:rFonts w:hint="eastAsia" w:ascii="宋体" w:hAnsi="宋体" w:cs="宋体"/>
          <w:color w:val="auto"/>
          <w:sz w:val="24"/>
          <w:szCs w:val="24"/>
          <w:highlight w:val="none"/>
          <w:lang w:val="en-US" w:eastAsia="zh-CN"/>
        </w:rPr>
        <w:t>2</w:t>
      </w:r>
      <w:r>
        <w:rPr>
          <w:rFonts w:hint="eastAsia" w:ascii="宋体" w:hAnsi="宋体" w:cs="宋体"/>
          <w:color w:val="auto"/>
          <w:sz w:val="24"/>
          <w:szCs w:val="24"/>
          <w:highlight w:val="none"/>
        </w:rPr>
        <w:t>）</w:t>
      </w:r>
      <w:r>
        <w:rPr>
          <w:rFonts w:hint="eastAsia" w:ascii="宋体" w:hAnsi="宋体" w:cs="宋体"/>
          <w:bCs/>
          <w:color w:val="auto"/>
          <w:sz w:val="24"/>
          <w:szCs w:val="24"/>
          <w:highlight w:val="none"/>
        </w:rPr>
        <w:t>★</w:t>
      </w:r>
      <w:r>
        <w:rPr>
          <w:rFonts w:hint="eastAsia" w:ascii="宋体" w:hAnsi="宋体" w:cs="宋体"/>
          <w:color w:val="auto"/>
          <w:sz w:val="24"/>
          <w:szCs w:val="24"/>
          <w:highlight w:val="none"/>
        </w:rPr>
        <w:t>洁净灯基本基材采用优质铝材制成，实际厚度≥1.0 mm。灯具边框采用纳米喷涂工艺，能耐受生产过程中消毒作业，提供第三方耐VHP腐蚀报告。洁净灯基础防护等级为IP54，三层供应中心污车清洗、水处理间、蒸汽发生间要求达到IP65（需提供IP65证书和报告）。</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主要功能间的洁净室照度应≥300lx，一般洁净区照度≥200lx。</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w:t>
      </w:r>
      <w:r>
        <w:rPr>
          <w:rFonts w:hint="eastAsia" w:ascii="宋体" w:hAnsi="宋体" w:cs="宋体"/>
          <w:color w:val="auto"/>
          <w:sz w:val="24"/>
          <w:szCs w:val="24"/>
          <w:highlight w:val="none"/>
          <w:lang w:val="en-US" w:eastAsia="zh-CN"/>
        </w:rPr>
        <w:t>3</w:t>
      </w:r>
      <w:r>
        <w:rPr>
          <w:rFonts w:hint="eastAsia" w:ascii="宋体" w:hAnsi="宋体" w:cs="宋体"/>
          <w:color w:val="auto"/>
          <w:sz w:val="24"/>
          <w:szCs w:val="24"/>
          <w:highlight w:val="none"/>
        </w:rPr>
        <w:t>）</w:t>
      </w:r>
      <w:r>
        <w:rPr>
          <w:rFonts w:hint="eastAsia" w:ascii="宋体" w:hAnsi="宋体" w:cs="宋体"/>
          <w:bCs/>
          <w:color w:val="auto"/>
          <w:sz w:val="24"/>
          <w:szCs w:val="24"/>
          <w:highlight w:val="none"/>
        </w:rPr>
        <w:t>★</w:t>
      </w:r>
      <w:r>
        <w:rPr>
          <w:rFonts w:hint="eastAsia" w:ascii="宋体" w:hAnsi="宋体" w:cs="宋体"/>
          <w:color w:val="auto"/>
          <w:sz w:val="24"/>
          <w:szCs w:val="24"/>
          <w:highlight w:val="none"/>
        </w:rPr>
        <w:t>洁净灯采用侧发光原理，灯具厚度不得超过12mm，灯具不能释放蓝光，其蓝光危害等级应为RG0级别（需提供第三方检测报告），灯具谐波指数应符合国家要求，三次谐波不允许超过30%（需提供第三方检测报告）。</w:t>
      </w:r>
    </w:p>
    <w:p>
      <w:pPr>
        <w:snapToGrid w:val="0"/>
        <w:spacing w:line="36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w:t>
      </w:r>
      <w:r>
        <w:rPr>
          <w:rFonts w:hint="eastAsia" w:ascii="宋体" w:hAnsi="宋体" w:cs="宋体"/>
          <w:color w:val="auto"/>
          <w:sz w:val="24"/>
          <w:szCs w:val="24"/>
          <w:highlight w:val="none"/>
          <w:lang w:val="en-US" w:eastAsia="zh-CN"/>
        </w:rPr>
        <w:t>4</w:t>
      </w:r>
      <w:r>
        <w:rPr>
          <w:rFonts w:hint="eastAsia" w:ascii="宋体" w:hAnsi="宋体" w:cs="宋体"/>
          <w:color w:val="auto"/>
          <w:sz w:val="24"/>
          <w:szCs w:val="24"/>
          <w:highlight w:val="none"/>
        </w:rPr>
        <w:t>）洁净灯电源采用隔离电源，双极无频闪方案，PF大于0.95，通过3C认证。灯具需自带密封接线盒，确保电源在夹层不受损坏或进水。</w:t>
      </w:r>
    </w:p>
    <w:p>
      <w:pPr>
        <w:snapToGrid w:val="0"/>
        <w:spacing w:line="480" w:lineRule="auto"/>
        <w:ind w:firstLine="482" w:firstLineChars="200"/>
        <w:outlineLvl w:val="9"/>
        <w:rPr>
          <w:rFonts w:ascii="宋体" w:hAnsi="宋体" w:cs="宋体"/>
          <w:b/>
          <w:color w:val="auto"/>
          <w:sz w:val="24"/>
          <w:szCs w:val="24"/>
          <w:highlight w:val="none"/>
        </w:rPr>
      </w:pPr>
      <w:r>
        <w:rPr>
          <w:rFonts w:hint="eastAsia" w:ascii="宋体" w:hAnsi="宋体" w:cs="宋体"/>
          <w:b/>
          <w:color w:val="auto"/>
          <w:sz w:val="24"/>
          <w:szCs w:val="24"/>
          <w:highlight w:val="none"/>
        </w:rPr>
        <w:t>4、隔离电源（IT 系统）要求：</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 xml:space="preserve">（1）生产厂家须具有完善的质量保证体系，通过 ISO9001 认证，同时还应通过 ISO14001 环境认证和 OHSAS18001 职业健康认证。 </w:t>
      </w:r>
    </w:p>
    <w:p>
      <w:pPr>
        <w:snapToGrid w:val="0"/>
        <w:spacing w:line="480" w:lineRule="auto"/>
        <w:ind w:firstLine="480" w:firstLineChars="200"/>
        <w:outlineLvl w:val="9"/>
        <w:rPr>
          <w:rFonts w:hint="default" w:ascii="宋体" w:hAnsi="宋体" w:eastAsia="宋体" w:cs="宋体"/>
          <w:color w:val="auto"/>
          <w:sz w:val="28"/>
          <w:szCs w:val="28"/>
          <w:highlight w:val="none"/>
          <w:lang w:val="en-US" w:eastAsia="zh-CN"/>
        </w:rPr>
      </w:pPr>
      <w:r>
        <w:rPr>
          <w:rFonts w:hint="eastAsia" w:ascii="宋体" w:hAnsi="宋体" w:cs="宋体"/>
          <w:color w:val="auto"/>
          <w:sz w:val="24"/>
          <w:szCs w:val="24"/>
          <w:highlight w:val="none"/>
        </w:rPr>
        <w:t>（2）</w:t>
      </w:r>
      <w:r>
        <w:rPr>
          <w:rFonts w:hint="eastAsia" w:ascii="宋体" w:hAnsi="宋体" w:cs="宋体"/>
          <w:bCs/>
          <w:color w:val="auto"/>
          <w:sz w:val="24"/>
          <w:szCs w:val="24"/>
          <w:highlight w:val="none"/>
        </w:rPr>
        <w:t>★</w:t>
      </w:r>
      <w:r>
        <w:rPr>
          <w:rFonts w:hint="eastAsia" w:ascii="宋体" w:hAnsi="宋体" w:cs="宋体"/>
          <w:color w:val="auto"/>
          <w:sz w:val="24"/>
          <w:szCs w:val="24"/>
          <w:highlight w:val="none"/>
        </w:rPr>
        <w:t>绝缘监测仪需提供第三方检验报告、电磁兼容检验证书和型号使用证书，隔离变压器需提供第三方检验报告。</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 xml:space="preserve">（3）隔离电源柜内所采用的医用隔离变压器（H 级）、绝缘监测仪、电流互感器和外接报警显示仪应该为同一品牌的产品。隔离电源柜还应具有国家强制的3C 认证证书； </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 xml:space="preserve">（4）所采用的隔离变压器的绝缘等级应为 H 级，泄露电流小于 200uA，变压器的噪声等级应小于 40dB，耐压等级满足 4200V/分钟。 </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 xml:space="preserve">（5）医用隔离变压器两个线包应内置 PT100 的温度传感器，绝缘监测仪可通过该传感器实时测量隔离变压器的温度； </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 xml:space="preserve">（6）绝缘监测仪应采用中文显示的方式或者支持中文显示功能，产品除具有绝缘监测、过载监测和变压器温度监测功能外，还应具有对外接线断线监测功能。 </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 xml:space="preserve">（7）绝缘监测仪的内阻抗应至少为 200kΩ ;测试电压最大值不应大于 25V。即使在故障情况下，其注入电流的峰值不应大于 1mA；最迟在绝缘电阻降至 50 kΩ时，应发出报警信号。 </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 xml:space="preserve">（8）绝缘监测仪的绝缘电阻测量响应时间不大于 2s,并且至少有两路通讯接口，可同时满足于本地报警显示装置及远程集中监控系统通讯的功能。 </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（9）为了满足绝缘监测仪与其它电力表共同组网的要求，绝缘监测仪与上位机的 RS485 通讯接口的地址和波特率均应可设置。</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 xml:space="preserve">（10）绝缘监测仪应符合或其产品企业标准中应注明符合以下标准： </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 xml:space="preserve">1）GBT18216.8-2015 交流 1000V 和直流 1500V 以下低压配电系统电气安全防护措施的试验、测量或监控设备第 8 部分 IT 系统中绝缘监控装置； </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 xml:space="preserve">2）GB16895.24-2005  IEC60364-7-710：2002 建筑物电气装置 第 7-710部分：特殊装置或场所的要求—医疗场所； </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3）JG16-2008 民用建筑电气设计规范。</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 xml:space="preserve">（11）医用隔离变压器的技术要求应符合以下标准： </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1）GB19212.16 -2005 IEC 61558-2-15：1999 电力变压器、电源装置和类似产品的安全 第 16 部分：医疗场所供电用隔离变压器的特殊要求；</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 xml:space="preserve">2）GB16895.24-2005  IEC60364-7-710：2002 建筑物电气装置 第 7-710部分：特殊装置或场所的要求—医疗场所。 </w:t>
      </w:r>
    </w:p>
    <w:p>
      <w:pPr>
        <w:snapToGrid w:val="0"/>
        <w:spacing w:line="48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（1</w:t>
      </w:r>
      <w:r>
        <w:rPr>
          <w:rFonts w:hint="eastAsia" w:ascii="宋体" w:hAnsi="宋体" w:cs="宋体"/>
          <w:color w:val="auto"/>
          <w:sz w:val="24"/>
          <w:szCs w:val="24"/>
          <w:highlight w:val="none"/>
          <w:lang w:val="en-US" w:eastAsia="zh-CN"/>
        </w:rPr>
        <w:t>2</w:t>
      </w:r>
      <w:r>
        <w:rPr>
          <w:rFonts w:hint="eastAsia" w:ascii="宋体" w:hAnsi="宋体" w:cs="宋体"/>
          <w:color w:val="auto"/>
          <w:sz w:val="24"/>
          <w:szCs w:val="24"/>
          <w:highlight w:val="none"/>
        </w:rPr>
        <w:t xml:space="preserve">）医用隔离电源柜须具有国家强制的 3C 认证证书。 </w:t>
      </w:r>
    </w:p>
    <w:p>
      <w:pPr>
        <w:pStyle w:val="12"/>
        <w:spacing w:line="480" w:lineRule="auto"/>
        <w:outlineLvl w:val="9"/>
        <w:rPr>
          <w:color w:val="auto"/>
          <w:sz w:val="24"/>
          <w:szCs w:val="24"/>
          <w:highlight w:val="none"/>
        </w:rPr>
      </w:pPr>
    </w:p>
    <w:p>
      <w:pPr>
        <w:tabs>
          <w:tab w:val="left" w:pos="720"/>
        </w:tabs>
        <w:spacing w:line="480" w:lineRule="auto"/>
        <w:outlineLvl w:val="9"/>
        <w:rPr>
          <w:rFonts w:ascii="宋体" w:hAnsi="宋体" w:cs="宋体"/>
          <w:b/>
          <w:bCs/>
          <w:color w:val="auto"/>
          <w:sz w:val="24"/>
          <w:szCs w:val="24"/>
          <w:highlight w:val="none"/>
        </w:rPr>
      </w:pPr>
      <w:r>
        <w:rPr>
          <w:rFonts w:hint="eastAsia" w:ascii="宋体" w:hAnsi="宋体" w:cs="宋体"/>
          <w:b/>
          <w:bCs/>
          <w:color w:val="auto"/>
          <w:sz w:val="24"/>
          <w:szCs w:val="24"/>
          <w:highlight w:val="none"/>
        </w:rPr>
        <w:t>（四）弱电设计要求</w:t>
      </w:r>
    </w:p>
    <w:p>
      <w:pPr>
        <w:tabs>
          <w:tab w:val="left" w:pos="510"/>
        </w:tabs>
        <w:snapToGrid w:val="0"/>
        <w:spacing w:line="480" w:lineRule="auto"/>
        <w:ind w:left="420" w:leftChars="200"/>
        <w:outlineLvl w:val="9"/>
        <w:rPr>
          <w:rFonts w:ascii="宋体" w:hAnsi="宋体" w:cs="宋体"/>
          <w:b/>
          <w:bCs/>
          <w:color w:val="auto"/>
          <w:sz w:val="24"/>
          <w:szCs w:val="24"/>
          <w:highlight w:val="none"/>
        </w:rPr>
      </w:pPr>
      <w:r>
        <w:rPr>
          <w:rFonts w:hint="eastAsia" w:ascii="宋体" w:hAnsi="宋体" w:cs="宋体"/>
          <w:b/>
          <w:bCs/>
          <w:color w:val="auto"/>
          <w:sz w:val="24"/>
          <w:szCs w:val="24"/>
          <w:highlight w:val="none"/>
        </w:rPr>
        <w:t>1、电话、网络布线系统：</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1.1每间手术室设置电话网络系统。每个手术室情报面板预留电话网络双端口接口，其中吊塔上设置双网络端口。相应功能房、办公房、护士站等按使用要求设置网络终端，苏醒室每张病床设置两个网络终端。</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1.2其它区域按使用要求设置电话网络插座；</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1.3所有布线均敷设至弱电间采购人提供数据配线架和语音配线架上；</w:t>
      </w:r>
    </w:p>
    <w:p>
      <w:pPr>
        <w:snapToGrid w:val="0"/>
        <w:spacing w:line="48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1.4网络系统、语音系统布线均采用六类非屏蔽电缆，其传输性能应符合TIA/EIA 568B.2六类标准；</w:t>
      </w:r>
    </w:p>
    <w:p>
      <w:pPr>
        <w:pStyle w:val="12"/>
        <w:spacing w:line="480" w:lineRule="auto"/>
        <w:outlineLvl w:val="9"/>
        <w:rPr>
          <w:rFonts w:hAnsi="宋体" w:eastAsia="宋体" w:cs="宋体"/>
          <w:color w:val="auto"/>
          <w:sz w:val="24"/>
          <w:szCs w:val="24"/>
          <w:highlight w:val="none"/>
        </w:rPr>
      </w:pPr>
      <w:r>
        <w:rPr>
          <w:rFonts w:hint="eastAsia" w:hAnsi="宋体" w:cs="宋体"/>
          <w:color w:val="auto"/>
          <w:sz w:val="24"/>
          <w:szCs w:val="24"/>
          <w:highlight w:val="none"/>
        </w:rPr>
        <w:t xml:space="preserve">    1.5</w:t>
      </w:r>
      <w:r>
        <w:rPr>
          <w:rFonts w:hint="eastAsia" w:hAnsi="宋体" w:eastAsia="宋体" w:cs="宋体"/>
          <w:color w:val="auto"/>
          <w:sz w:val="24"/>
          <w:szCs w:val="24"/>
          <w:highlight w:val="none"/>
        </w:rPr>
        <w:t>所有数据布线，语音布线均敷设至弱电井内采购人提供交换机配线架上，交换机、配线架由采购人统一提供。</w:t>
      </w:r>
    </w:p>
    <w:p>
      <w:pPr>
        <w:tabs>
          <w:tab w:val="left" w:pos="510"/>
        </w:tabs>
        <w:snapToGrid w:val="0"/>
        <w:spacing w:line="480" w:lineRule="auto"/>
        <w:ind w:left="420" w:leftChars="200"/>
        <w:outlineLvl w:val="9"/>
        <w:rPr>
          <w:rFonts w:ascii="宋体" w:hAnsi="宋体" w:cs="宋体"/>
          <w:b/>
          <w:bCs/>
          <w:color w:val="auto"/>
          <w:sz w:val="24"/>
          <w:szCs w:val="24"/>
          <w:highlight w:val="none"/>
        </w:rPr>
      </w:pPr>
      <w:r>
        <w:rPr>
          <w:rFonts w:hint="eastAsia" w:ascii="宋体" w:hAnsi="宋体" w:cs="宋体"/>
          <w:b/>
          <w:bCs/>
          <w:color w:val="auto"/>
          <w:sz w:val="24"/>
          <w:szCs w:val="24"/>
          <w:highlight w:val="none"/>
        </w:rPr>
        <w:t>2、电视监控系统：</w:t>
      </w:r>
    </w:p>
    <w:p>
      <w:pPr>
        <w:tabs>
          <w:tab w:val="left" w:pos="510"/>
        </w:tabs>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监控系统作为一种高科技技术手段，应充分利用现代化科学技术，努力保证系统运营的安全性，满足部门管理的需要。我们从经济、实用、灵活的角度出发着高度可靠、性能先进的原则进行设计。</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（1）每间手术室及苏醒室均设置彩色半球摄像机；</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2）电视监控系统主机设置在各层护士站，系统由硬盘录像机、液晶显示器、电视监控系统机柜和摄像机灯组成，系统通过硬盘录像机进行集中控制和处理，视频图像通过显示器显示，系统可实现记录图像的回放、检索等，同时，监控画面可任意切换，任意分割、任意组合排列。</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（3）通过数字硬盘录像机实现长时间（每路摄像≥48小时）图像的存储、调用、备份并支持网络分控等功能；</w:t>
      </w:r>
    </w:p>
    <w:p>
      <w:pPr>
        <w:tabs>
          <w:tab w:val="left" w:pos="510"/>
        </w:tabs>
        <w:snapToGrid w:val="0"/>
        <w:spacing w:line="480" w:lineRule="auto"/>
        <w:ind w:left="420" w:leftChars="200"/>
        <w:outlineLvl w:val="9"/>
        <w:rPr>
          <w:rFonts w:ascii="宋体" w:hAnsi="宋体" w:cs="宋体"/>
          <w:b/>
          <w:bCs/>
          <w:color w:val="auto"/>
          <w:sz w:val="24"/>
          <w:szCs w:val="24"/>
          <w:highlight w:val="none"/>
        </w:rPr>
      </w:pPr>
      <w:r>
        <w:rPr>
          <w:rFonts w:hint="eastAsia" w:ascii="宋体" w:hAnsi="宋体" w:cs="宋体"/>
          <w:b/>
          <w:bCs/>
          <w:color w:val="auto"/>
          <w:sz w:val="24"/>
          <w:szCs w:val="24"/>
          <w:highlight w:val="none"/>
        </w:rPr>
        <w:t>3、护士呼叫系统：</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3.1在手术部设置一套护士呼叫系统，每间手术室、苏醒室等均设置叫分机。主机设置在护士站。</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3.2系统可实现主机与分机之间、分机与主机之间呼叫对讲等功能。</w:t>
      </w:r>
    </w:p>
    <w:p>
      <w:pPr>
        <w:snapToGrid w:val="0"/>
        <w:spacing w:line="480" w:lineRule="auto"/>
        <w:ind w:firstLine="480" w:firstLineChars="200"/>
        <w:outlineLvl w:val="9"/>
        <w:rPr>
          <w:rFonts w:ascii="宋体" w:hAnsi="宋体" w:cs="宋体"/>
          <w:color w:val="auto"/>
          <w:sz w:val="24"/>
          <w:szCs w:val="24"/>
          <w:highlight w:val="none"/>
        </w:rPr>
      </w:pPr>
      <w:r>
        <w:rPr>
          <w:rFonts w:hint="eastAsia" w:ascii="宋体" w:hAnsi="宋体" w:cs="宋体"/>
          <w:color w:val="auto"/>
          <w:sz w:val="24"/>
          <w:szCs w:val="24"/>
          <w:highlight w:val="none"/>
        </w:rPr>
        <w:t>3.3走廊设置显示屏指示</w:t>
      </w:r>
    </w:p>
    <w:p>
      <w:pPr>
        <w:numPr>
          <w:ilvl w:val="0"/>
          <w:numId w:val="12"/>
        </w:numPr>
        <w:tabs>
          <w:tab w:val="left" w:pos="510"/>
        </w:tabs>
        <w:snapToGrid w:val="0"/>
        <w:spacing w:line="480" w:lineRule="auto"/>
        <w:ind w:left="420" w:leftChars="200"/>
        <w:outlineLvl w:val="9"/>
        <w:rPr>
          <w:rFonts w:ascii="宋体" w:hAnsi="宋体"/>
          <w:color w:val="auto"/>
          <w:sz w:val="24"/>
          <w:szCs w:val="24"/>
          <w:highlight w:val="none"/>
        </w:rPr>
      </w:pPr>
      <w:r>
        <w:rPr>
          <w:rFonts w:hint="eastAsia" w:ascii="宋体" w:hAnsi="宋体" w:cs="宋体"/>
          <w:b/>
          <w:bCs/>
          <w:color w:val="auto"/>
          <w:sz w:val="24"/>
          <w:szCs w:val="24"/>
          <w:highlight w:val="none"/>
        </w:rPr>
        <w:t>公共广播系统：</w:t>
      </w:r>
    </w:p>
    <w:p>
      <w:pPr>
        <w:snapToGrid w:val="0"/>
        <w:spacing w:line="48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4.1手术室、ICU区域均需设置公共广播系统一套。</w:t>
      </w:r>
    </w:p>
    <w:p>
      <w:pPr>
        <w:snapToGrid w:val="0"/>
        <w:spacing w:line="48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4.2每间手术室、部分辅房，走廊均设置扬声器及音量调节开关；系统主机设置于护士站，系统包括音源、前置放大器、功率放大器、报警发生器、强切电源、扬声器、音量调节开关；</w:t>
      </w:r>
    </w:p>
    <w:p>
      <w:pPr>
        <w:snapToGrid w:val="0"/>
        <w:spacing w:line="48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4.3系统同时与消防系统联动报警，一旦遇到突发事件，由背景音乐自行切换到消防广播状态。</w:t>
      </w:r>
    </w:p>
    <w:p>
      <w:pPr>
        <w:spacing w:line="48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以上设备及管线的采购、敷设均符合国家电气、消防等相关技术规范要求。</w:t>
      </w:r>
    </w:p>
    <w:p>
      <w:pPr>
        <w:tabs>
          <w:tab w:val="left" w:pos="720"/>
        </w:tabs>
        <w:spacing w:line="480" w:lineRule="auto"/>
        <w:outlineLvl w:val="9"/>
        <w:rPr>
          <w:rFonts w:hint="eastAsia" w:ascii="宋体" w:hAnsi="宋体" w:cs="宋体"/>
          <w:b/>
          <w:bCs/>
          <w:color w:val="auto"/>
          <w:sz w:val="24"/>
          <w:szCs w:val="24"/>
          <w:highlight w:val="none"/>
        </w:rPr>
      </w:pPr>
    </w:p>
    <w:p>
      <w:pPr>
        <w:tabs>
          <w:tab w:val="left" w:pos="720"/>
        </w:tabs>
        <w:spacing w:line="480" w:lineRule="auto"/>
        <w:outlineLvl w:val="9"/>
        <w:rPr>
          <w:rFonts w:hint="eastAsia" w:ascii="宋体" w:hAnsi="宋体" w:cs="宋体"/>
          <w:b/>
          <w:bCs/>
          <w:color w:val="auto"/>
          <w:sz w:val="24"/>
          <w:szCs w:val="24"/>
          <w:highlight w:val="none"/>
        </w:rPr>
      </w:pPr>
      <w:r>
        <w:rPr>
          <w:rFonts w:hint="eastAsia" w:ascii="宋体" w:hAnsi="宋体" w:cs="宋体"/>
          <w:b/>
          <w:bCs/>
          <w:color w:val="auto"/>
          <w:sz w:val="24"/>
          <w:szCs w:val="24"/>
          <w:highlight w:val="none"/>
        </w:rPr>
        <w:t>（五）医用气体工程要求</w:t>
      </w:r>
    </w:p>
    <w:p>
      <w:pPr>
        <w:spacing w:line="480" w:lineRule="auto"/>
        <w:outlineLvl w:val="9"/>
        <w:rPr>
          <w:b/>
          <w:bCs/>
          <w:color w:val="auto"/>
          <w:kern w:val="1"/>
          <w:sz w:val="24"/>
          <w:szCs w:val="24"/>
          <w:highlight w:val="none"/>
        </w:rPr>
      </w:pPr>
      <w:r>
        <w:rPr>
          <w:rFonts w:hint="eastAsia" w:ascii="宋体" w:hAnsi="宋体"/>
          <w:b/>
          <w:bCs/>
          <w:color w:val="auto"/>
          <w:kern w:val="1"/>
          <w:sz w:val="24"/>
          <w:szCs w:val="24"/>
          <w:highlight w:val="none"/>
        </w:rPr>
        <w:t>5.1、洁净手术部的医用气体系统配置要求</w:t>
      </w:r>
      <w:r>
        <w:rPr>
          <w:rFonts w:hint="eastAsia"/>
          <w:b/>
          <w:bCs/>
          <w:color w:val="auto"/>
          <w:kern w:val="1"/>
          <w:sz w:val="24"/>
          <w:szCs w:val="24"/>
          <w:highlight w:val="none"/>
        </w:rPr>
        <w:t>：</w:t>
      </w:r>
    </w:p>
    <w:p>
      <w:pPr>
        <w:numPr>
          <w:ilvl w:val="0"/>
          <w:numId w:val="13"/>
        </w:numPr>
        <w:spacing w:line="480" w:lineRule="auto"/>
        <w:ind w:firstLine="480" w:firstLineChars="200"/>
        <w:outlineLvl w:val="9"/>
        <w:rPr>
          <w:rFonts w:hint="eastAsia" w:ascii="宋体" w:hAnsi="宋体" w:cs="宋体"/>
          <w:color w:val="auto"/>
          <w:kern w:val="1"/>
          <w:sz w:val="24"/>
          <w:szCs w:val="24"/>
          <w:highlight w:val="none"/>
        </w:rPr>
      </w:pPr>
      <w:r>
        <w:rPr>
          <w:rFonts w:hint="eastAsia" w:ascii="宋体" w:hAnsi="宋体" w:cs="宋体"/>
          <w:color w:val="auto"/>
          <w:kern w:val="1"/>
          <w:sz w:val="24"/>
          <w:szCs w:val="24"/>
          <w:highlight w:val="none"/>
        </w:rPr>
        <w:t>每间手术室配一个气源面板，墙上均设一套氧气终端、真空吸引终端、压缩空气终端、二氧化碳终端、氮气终端；每间手术室吊塔上均设一套氧气终端、真空吸引终端、压缩空气终端、二氧化碳终端、氮气终端及射流式废气排放终端（吊塔自带）。苏醒室配置床头设备带，每床设置两个氧气终端、一个压缩空气终端、两个真空吸引终端。</w:t>
      </w:r>
    </w:p>
    <w:p>
      <w:pPr>
        <w:numPr>
          <w:ilvl w:val="0"/>
          <w:numId w:val="13"/>
        </w:numPr>
        <w:spacing w:line="480" w:lineRule="auto"/>
        <w:ind w:firstLine="480" w:firstLineChars="200"/>
        <w:outlineLvl w:val="9"/>
        <w:rPr>
          <w:rFonts w:hint="eastAsia" w:ascii="宋体" w:hAnsi="宋体" w:cs="宋体"/>
          <w:color w:val="auto"/>
          <w:kern w:val="1"/>
          <w:sz w:val="24"/>
          <w:szCs w:val="24"/>
          <w:highlight w:val="none"/>
        </w:rPr>
      </w:pPr>
      <w:r>
        <w:rPr>
          <w:rFonts w:hint="eastAsia" w:ascii="宋体" w:hAnsi="宋体" w:cs="宋体"/>
          <w:color w:val="auto"/>
          <w:kern w:val="1"/>
          <w:sz w:val="24"/>
          <w:szCs w:val="24"/>
          <w:highlight w:val="none"/>
        </w:rPr>
        <w:t>氮气、二氧化碳设置汇流排。</w:t>
      </w:r>
    </w:p>
    <w:p>
      <w:pPr>
        <w:numPr>
          <w:ilvl w:val="0"/>
          <w:numId w:val="13"/>
        </w:numPr>
        <w:spacing w:line="480" w:lineRule="auto"/>
        <w:ind w:firstLine="480" w:firstLineChars="200"/>
        <w:outlineLvl w:val="9"/>
        <w:rPr>
          <w:rFonts w:ascii="宋体" w:hAnsi="宋体" w:cs="宋体"/>
          <w:color w:val="auto"/>
          <w:kern w:val="1"/>
          <w:sz w:val="24"/>
          <w:szCs w:val="24"/>
          <w:highlight w:val="none"/>
        </w:rPr>
      </w:pPr>
      <w:r>
        <w:rPr>
          <w:rFonts w:hint="eastAsia" w:ascii="宋体" w:hAnsi="宋体" w:cs="宋体"/>
          <w:color w:val="auto"/>
          <w:kern w:val="1"/>
          <w:sz w:val="24"/>
          <w:szCs w:val="24"/>
          <w:highlight w:val="none"/>
        </w:rPr>
        <w:t>中心供应室设置一路压缩空气，气体均接至大楼预留位置。</w:t>
      </w:r>
    </w:p>
    <w:p>
      <w:pPr>
        <w:numPr>
          <w:ilvl w:val="0"/>
          <w:numId w:val="13"/>
        </w:numPr>
        <w:spacing w:line="480" w:lineRule="auto"/>
        <w:ind w:firstLine="480" w:firstLineChars="200"/>
        <w:outlineLvl w:val="9"/>
        <w:rPr>
          <w:rFonts w:hint="eastAsia" w:ascii="宋体" w:hAnsi="宋体" w:cs="宋体"/>
          <w:color w:val="auto"/>
          <w:kern w:val="1"/>
          <w:sz w:val="24"/>
          <w:szCs w:val="24"/>
          <w:highlight w:val="none"/>
        </w:rPr>
      </w:pPr>
      <w:r>
        <w:rPr>
          <w:rFonts w:hint="eastAsia" w:ascii="宋体" w:hAnsi="宋体" w:cs="宋体"/>
          <w:color w:val="auto"/>
          <w:kern w:val="1"/>
          <w:sz w:val="24"/>
          <w:szCs w:val="24"/>
          <w:highlight w:val="none"/>
        </w:rPr>
        <w:t>在护士站设置各类医用气体的压力显示报警装置，当气体压力异常时可发出声光报警，各手术室亦需设置同样功能的气体报警装置。</w:t>
      </w:r>
    </w:p>
    <w:p>
      <w:pPr>
        <w:numPr>
          <w:ilvl w:val="0"/>
          <w:numId w:val="13"/>
        </w:numPr>
        <w:spacing w:line="480" w:lineRule="auto"/>
        <w:ind w:firstLine="480" w:firstLineChars="200"/>
        <w:outlineLvl w:val="9"/>
        <w:rPr>
          <w:rFonts w:hint="eastAsia" w:ascii="宋体" w:hAnsi="宋体" w:cs="宋体"/>
          <w:color w:val="auto"/>
          <w:kern w:val="1"/>
          <w:sz w:val="24"/>
          <w:szCs w:val="24"/>
          <w:highlight w:val="none"/>
        </w:rPr>
      </w:pPr>
      <w:r>
        <w:rPr>
          <w:rFonts w:hint="eastAsia" w:ascii="宋体" w:hAnsi="宋体" w:cs="宋体"/>
          <w:color w:val="auto"/>
          <w:kern w:val="1"/>
          <w:sz w:val="24"/>
          <w:szCs w:val="24"/>
          <w:highlight w:val="none"/>
        </w:rPr>
        <w:t>所有医用气体管道要求为符合BSI标准的脱脂紫铜管，废气排放管道采用高强度PVC管。气体终端插头为快速插拨自闭型，可实现单手操作。</w:t>
      </w:r>
    </w:p>
    <w:p>
      <w:pPr>
        <w:numPr>
          <w:ilvl w:val="0"/>
          <w:numId w:val="13"/>
        </w:numPr>
        <w:spacing w:line="480" w:lineRule="auto"/>
        <w:ind w:firstLine="480" w:firstLineChars="200"/>
        <w:outlineLvl w:val="9"/>
        <w:rPr>
          <w:rFonts w:hint="eastAsia" w:ascii="宋体" w:hAnsi="宋体" w:cs="宋体"/>
          <w:color w:val="auto"/>
          <w:kern w:val="1"/>
          <w:sz w:val="24"/>
          <w:szCs w:val="24"/>
          <w:highlight w:val="none"/>
        </w:rPr>
      </w:pPr>
      <w:r>
        <w:rPr>
          <w:rFonts w:hint="eastAsia" w:ascii="宋体" w:hAnsi="宋体" w:cs="宋体"/>
          <w:color w:val="auto"/>
          <w:kern w:val="1"/>
          <w:sz w:val="24"/>
          <w:szCs w:val="24"/>
          <w:highlight w:val="none"/>
        </w:rPr>
        <w:t>控制系统：气体管道必须先通过手术部分区域阀门箱后方可进入各功能房，手术部及每间手术室内控制面板上均应设置医气压力报警装置。</w:t>
      </w:r>
    </w:p>
    <w:p>
      <w:pPr>
        <w:numPr>
          <w:ilvl w:val="0"/>
          <w:numId w:val="13"/>
        </w:numPr>
        <w:spacing w:line="480" w:lineRule="auto"/>
        <w:ind w:firstLine="480" w:firstLineChars="200"/>
        <w:outlineLvl w:val="9"/>
        <w:rPr>
          <w:rFonts w:hint="eastAsia" w:ascii="宋体" w:hAnsi="宋体" w:cs="宋体"/>
          <w:color w:val="auto"/>
          <w:kern w:val="1"/>
          <w:sz w:val="24"/>
          <w:szCs w:val="24"/>
          <w:highlight w:val="none"/>
        </w:rPr>
      </w:pPr>
      <w:r>
        <w:rPr>
          <w:rFonts w:hint="eastAsia" w:ascii="宋体" w:hAnsi="宋体" w:cs="宋体"/>
          <w:color w:val="auto"/>
          <w:kern w:val="1"/>
          <w:sz w:val="24"/>
          <w:szCs w:val="24"/>
          <w:highlight w:val="none"/>
        </w:rPr>
        <w:t>报警装置具有压力值，压力高、低报警，同时能进行本地声光报警；</w:t>
      </w:r>
    </w:p>
    <w:p>
      <w:pPr>
        <w:numPr>
          <w:ilvl w:val="0"/>
          <w:numId w:val="13"/>
        </w:numPr>
        <w:spacing w:line="480" w:lineRule="auto"/>
        <w:ind w:firstLine="480" w:firstLineChars="200"/>
        <w:outlineLvl w:val="9"/>
        <w:rPr>
          <w:rFonts w:hint="eastAsia" w:ascii="宋体" w:hAnsi="宋体" w:cs="宋体"/>
          <w:color w:val="auto"/>
          <w:kern w:val="1"/>
          <w:sz w:val="24"/>
          <w:szCs w:val="24"/>
          <w:highlight w:val="none"/>
        </w:rPr>
      </w:pPr>
      <w:r>
        <w:rPr>
          <w:rFonts w:hint="eastAsia" w:ascii="宋体" w:hAnsi="宋体" w:cs="宋体"/>
          <w:color w:val="auto"/>
          <w:kern w:val="1"/>
          <w:sz w:val="24"/>
          <w:szCs w:val="24"/>
          <w:highlight w:val="none"/>
        </w:rPr>
        <w:t>设备带：设备带采用铝合金设备带，结构强度高，可扩展移动式滑轨，承载能力强，滑轨上可放置监护仪等医疗设施，表面整体喷塑，美观大方，安装维修方便。照明灯嵌在设备带内，灯管选用优质LED日光灯；插座采用多功能插座，可插两线、三线插头，满足工作需要，无须转换插头。每条设备带上均设置有医护人员方可操作的维修阀，原则上设备带中心离地面高度在1.3～1.5m之间，以便于护士操作。所有强、弱电与气体管道设备带内均分道敷设。</w:t>
      </w:r>
    </w:p>
    <w:p>
      <w:pPr>
        <w:spacing w:line="480" w:lineRule="auto"/>
        <w:outlineLvl w:val="9"/>
        <w:rPr>
          <w:rFonts w:ascii="宋体" w:hAnsi="宋体"/>
          <w:b/>
          <w:bCs/>
          <w:color w:val="auto"/>
          <w:kern w:val="1"/>
          <w:sz w:val="24"/>
          <w:szCs w:val="24"/>
          <w:highlight w:val="none"/>
        </w:rPr>
      </w:pPr>
      <w:r>
        <w:rPr>
          <w:rFonts w:hint="eastAsia" w:ascii="宋体" w:hAnsi="宋体"/>
          <w:b/>
          <w:bCs/>
          <w:color w:val="auto"/>
          <w:kern w:val="1"/>
          <w:sz w:val="24"/>
          <w:szCs w:val="24"/>
          <w:highlight w:val="none"/>
        </w:rPr>
        <w:t>5.2、系统总体要求</w:t>
      </w:r>
    </w:p>
    <w:p>
      <w:pPr>
        <w:numPr>
          <w:ilvl w:val="0"/>
          <w:numId w:val="14"/>
        </w:numPr>
        <w:spacing w:line="480" w:lineRule="auto"/>
        <w:ind w:firstLine="480" w:firstLineChars="200"/>
        <w:outlineLvl w:val="9"/>
        <w:rPr>
          <w:rFonts w:hint="eastAsia" w:ascii="宋体" w:hAnsi="宋体" w:cs="宋体"/>
          <w:color w:val="auto"/>
          <w:kern w:val="1"/>
          <w:sz w:val="24"/>
          <w:szCs w:val="24"/>
          <w:highlight w:val="none"/>
        </w:rPr>
      </w:pPr>
      <w:r>
        <w:rPr>
          <w:rFonts w:hint="eastAsia" w:ascii="宋体" w:hAnsi="宋体" w:cs="宋体"/>
          <w:color w:val="auto"/>
          <w:kern w:val="1"/>
          <w:sz w:val="24"/>
          <w:szCs w:val="24"/>
          <w:highlight w:val="none"/>
        </w:rPr>
        <w:t>所有气体终端采用德制，符合DIN标准，终端表面颜色应符合国际通用标准；气体终端插头为快速插拔自闭型，可实现单手操作；供藏墙气体输出口及吊塔的各种气体支管均分别设置切断阀，可独立启闭。</w:t>
      </w:r>
    </w:p>
    <w:p>
      <w:pPr>
        <w:numPr>
          <w:ilvl w:val="0"/>
          <w:numId w:val="14"/>
        </w:numPr>
        <w:spacing w:line="480" w:lineRule="auto"/>
        <w:ind w:firstLine="480" w:firstLineChars="200"/>
        <w:outlineLvl w:val="9"/>
        <w:rPr>
          <w:rFonts w:hint="eastAsia" w:ascii="宋体" w:hAnsi="宋体" w:cs="宋体"/>
          <w:color w:val="auto"/>
          <w:kern w:val="1"/>
          <w:sz w:val="24"/>
          <w:szCs w:val="24"/>
          <w:highlight w:val="none"/>
        </w:rPr>
      </w:pPr>
      <w:r>
        <w:rPr>
          <w:rFonts w:hint="eastAsia" w:ascii="宋体" w:hAnsi="宋体" w:cs="宋体"/>
          <w:color w:val="auto"/>
          <w:kern w:val="1"/>
          <w:sz w:val="24"/>
          <w:szCs w:val="24"/>
          <w:highlight w:val="none"/>
        </w:rPr>
        <w:t>麻醉废气排放管采用高强度PVC管，其他气体管道全部采用优质紫铜管。铜管采用银焊连接；管道、阀门、仪表等安装前均须清洗及进行脱脂处理，并用无油压缩空气或氮气吹净。</w:t>
      </w:r>
    </w:p>
    <w:p>
      <w:pPr>
        <w:numPr>
          <w:ilvl w:val="0"/>
          <w:numId w:val="14"/>
        </w:numPr>
        <w:spacing w:line="480" w:lineRule="auto"/>
        <w:ind w:firstLine="480" w:firstLineChars="200"/>
        <w:outlineLvl w:val="9"/>
        <w:rPr>
          <w:rFonts w:hint="eastAsia" w:ascii="宋体" w:hAnsi="宋体" w:cs="宋体"/>
          <w:color w:val="auto"/>
          <w:kern w:val="1"/>
          <w:sz w:val="24"/>
          <w:szCs w:val="24"/>
          <w:highlight w:val="none"/>
        </w:rPr>
      </w:pPr>
      <w:r>
        <w:rPr>
          <w:rFonts w:hint="eastAsia" w:ascii="宋体" w:hAnsi="宋体" w:cs="宋体"/>
          <w:color w:val="auto"/>
          <w:kern w:val="1"/>
          <w:sz w:val="24"/>
          <w:szCs w:val="24"/>
          <w:highlight w:val="none"/>
        </w:rPr>
        <w:t>进入手术部各医疗单元及各用气设备的医气管道必须接地，接地电阻不得大于10Ω。</w:t>
      </w:r>
    </w:p>
    <w:p>
      <w:pPr>
        <w:numPr>
          <w:ilvl w:val="0"/>
          <w:numId w:val="14"/>
        </w:numPr>
        <w:spacing w:line="480" w:lineRule="auto"/>
        <w:ind w:firstLine="480" w:firstLineChars="200"/>
        <w:outlineLvl w:val="9"/>
        <w:rPr>
          <w:rFonts w:hint="eastAsia" w:ascii="宋体" w:hAnsi="宋体" w:cs="宋体"/>
          <w:color w:val="auto"/>
          <w:kern w:val="1"/>
          <w:sz w:val="24"/>
          <w:szCs w:val="24"/>
          <w:highlight w:val="none"/>
        </w:rPr>
      </w:pPr>
      <w:r>
        <w:rPr>
          <w:rFonts w:hint="eastAsia" w:ascii="宋体" w:hAnsi="宋体" w:cs="宋体"/>
          <w:color w:val="auto"/>
          <w:kern w:val="1"/>
          <w:sz w:val="24"/>
          <w:szCs w:val="24"/>
          <w:highlight w:val="none"/>
        </w:rPr>
        <w:t>医用气体技术参数：</w:t>
      </w:r>
    </w:p>
    <w:tbl>
      <w:tblPr>
        <w:tblStyle w:val="22"/>
        <w:tblW w:w="9615" w:type="dxa"/>
        <w:tblInd w:w="-1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635"/>
        <w:gridCol w:w="1920"/>
        <w:gridCol w:w="1245"/>
        <w:gridCol w:w="1320"/>
        <w:gridCol w:w="1305"/>
        <w:gridCol w:w="14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1" w:hRule="atLeast"/>
        </w:trPr>
        <w:tc>
          <w:tcPr>
            <w:tcW w:w="735" w:type="dxa"/>
            <w:noWrap w:val="0"/>
            <w:vAlign w:val="center"/>
          </w:tcPr>
          <w:p>
            <w:pPr>
              <w:spacing w:line="480" w:lineRule="auto"/>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序号</w:t>
            </w:r>
          </w:p>
        </w:tc>
        <w:tc>
          <w:tcPr>
            <w:tcW w:w="163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气体名称</w:t>
            </w:r>
          </w:p>
        </w:tc>
        <w:tc>
          <w:tcPr>
            <w:tcW w:w="1920" w:type="dxa"/>
            <w:noWrap w:val="0"/>
            <w:vAlign w:val="center"/>
          </w:tcPr>
          <w:p>
            <w:pPr>
              <w:spacing w:line="480" w:lineRule="auto"/>
              <w:jc w:val="center"/>
              <w:outlineLvl w:val="9"/>
              <w:rPr>
                <w:rFonts w:hint="eastAsia" w:ascii="宋体" w:hAnsi="宋体" w:cs="宋体"/>
                <w:color w:val="auto"/>
                <w:spacing w:val="-20"/>
                <w:sz w:val="21"/>
                <w:szCs w:val="21"/>
                <w:highlight w:val="none"/>
              </w:rPr>
            </w:pPr>
            <w:r>
              <w:rPr>
                <w:rFonts w:hint="eastAsia" w:ascii="宋体" w:hAnsi="宋体" w:cs="宋体"/>
                <w:color w:val="auto"/>
                <w:spacing w:val="-20"/>
                <w:sz w:val="21"/>
                <w:szCs w:val="21"/>
                <w:highlight w:val="none"/>
              </w:rPr>
              <w:t>气源供气压力</w:t>
            </w:r>
          </w:p>
          <w:p>
            <w:pPr>
              <w:spacing w:line="480" w:lineRule="auto"/>
              <w:jc w:val="center"/>
              <w:outlineLvl w:val="9"/>
              <w:rPr>
                <w:rFonts w:hint="eastAsia" w:ascii="宋体" w:hAnsi="宋体" w:cs="宋体"/>
                <w:color w:val="auto"/>
                <w:spacing w:val="-20"/>
                <w:sz w:val="21"/>
                <w:szCs w:val="21"/>
                <w:highlight w:val="none"/>
              </w:rPr>
            </w:pPr>
            <w:r>
              <w:rPr>
                <w:rFonts w:hint="eastAsia" w:ascii="宋体" w:hAnsi="宋体" w:cs="宋体"/>
                <w:color w:val="auto"/>
                <w:spacing w:val="-20"/>
                <w:sz w:val="21"/>
                <w:szCs w:val="21"/>
                <w:highlight w:val="none"/>
              </w:rPr>
              <w:t>（MPa）</w:t>
            </w:r>
          </w:p>
        </w:tc>
        <w:tc>
          <w:tcPr>
            <w:tcW w:w="1245" w:type="dxa"/>
            <w:noWrap w:val="0"/>
            <w:vAlign w:val="center"/>
          </w:tcPr>
          <w:p>
            <w:pPr>
              <w:spacing w:line="480" w:lineRule="auto"/>
              <w:jc w:val="center"/>
              <w:outlineLvl w:val="9"/>
              <w:rPr>
                <w:rFonts w:hint="eastAsia" w:ascii="宋体" w:hAnsi="宋体" w:cs="宋体"/>
                <w:color w:val="auto"/>
                <w:spacing w:val="-20"/>
                <w:sz w:val="21"/>
                <w:szCs w:val="21"/>
                <w:highlight w:val="none"/>
              </w:rPr>
            </w:pPr>
            <w:r>
              <w:rPr>
                <w:rFonts w:hint="eastAsia" w:ascii="宋体" w:hAnsi="宋体" w:cs="宋体"/>
                <w:color w:val="auto"/>
                <w:spacing w:val="-20"/>
                <w:sz w:val="21"/>
                <w:szCs w:val="21"/>
                <w:highlight w:val="none"/>
              </w:rPr>
              <w:t>输出口压力</w:t>
            </w:r>
          </w:p>
          <w:p>
            <w:pPr>
              <w:spacing w:line="480" w:lineRule="auto"/>
              <w:jc w:val="center"/>
              <w:outlineLvl w:val="9"/>
              <w:rPr>
                <w:rFonts w:hint="eastAsia" w:ascii="宋体" w:hAnsi="宋体" w:cs="宋体"/>
                <w:color w:val="auto"/>
                <w:spacing w:val="-20"/>
                <w:sz w:val="21"/>
                <w:szCs w:val="21"/>
                <w:highlight w:val="none"/>
              </w:rPr>
            </w:pPr>
            <w:r>
              <w:rPr>
                <w:rFonts w:hint="eastAsia" w:ascii="宋体" w:hAnsi="宋体" w:cs="宋体"/>
                <w:color w:val="auto"/>
                <w:spacing w:val="-20"/>
                <w:sz w:val="21"/>
                <w:szCs w:val="21"/>
                <w:highlight w:val="none"/>
              </w:rPr>
              <w:t>（MPa）</w:t>
            </w:r>
          </w:p>
        </w:tc>
        <w:tc>
          <w:tcPr>
            <w:tcW w:w="1320" w:type="dxa"/>
            <w:noWrap w:val="0"/>
            <w:vAlign w:val="center"/>
          </w:tcPr>
          <w:p>
            <w:pPr>
              <w:spacing w:line="480" w:lineRule="auto"/>
              <w:jc w:val="center"/>
              <w:outlineLvl w:val="9"/>
              <w:rPr>
                <w:rFonts w:hint="eastAsia" w:ascii="宋体" w:hAnsi="宋体" w:cs="宋体"/>
                <w:color w:val="auto"/>
                <w:spacing w:val="-20"/>
                <w:sz w:val="21"/>
                <w:szCs w:val="21"/>
                <w:highlight w:val="none"/>
              </w:rPr>
            </w:pPr>
            <w:r>
              <w:rPr>
                <w:rFonts w:hint="eastAsia" w:ascii="宋体" w:hAnsi="宋体" w:cs="宋体"/>
                <w:color w:val="auto"/>
                <w:spacing w:val="-20"/>
                <w:sz w:val="21"/>
                <w:szCs w:val="21"/>
                <w:highlight w:val="none"/>
              </w:rPr>
              <w:t>超压报警压力（MPa）</w:t>
            </w:r>
          </w:p>
        </w:tc>
        <w:tc>
          <w:tcPr>
            <w:tcW w:w="1305" w:type="dxa"/>
            <w:noWrap w:val="0"/>
            <w:vAlign w:val="center"/>
          </w:tcPr>
          <w:p>
            <w:pPr>
              <w:spacing w:line="480" w:lineRule="auto"/>
              <w:jc w:val="center"/>
              <w:outlineLvl w:val="9"/>
              <w:rPr>
                <w:rFonts w:hint="eastAsia" w:ascii="宋体" w:hAnsi="宋体" w:cs="宋体"/>
                <w:color w:val="auto"/>
                <w:spacing w:val="-20"/>
                <w:sz w:val="21"/>
                <w:szCs w:val="21"/>
                <w:highlight w:val="none"/>
              </w:rPr>
            </w:pPr>
            <w:r>
              <w:rPr>
                <w:rFonts w:hint="eastAsia" w:ascii="宋体" w:hAnsi="宋体" w:cs="宋体"/>
                <w:color w:val="auto"/>
                <w:spacing w:val="-20"/>
                <w:sz w:val="21"/>
                <w:szCs w:val="21"/>
                <w:highlight w:val="none"/>
              </w:rPr>
              <w:t>欠压报警压力（MPa）</w:t>
            </w:r>
          </w:p>
        </w:tc>
        <w:tc>
          <w:tcPr>
            <w:tcW w:w="1455" w:type="dxa"/>
            <w:noWrap w:val="0"/>
            <w:vAlign w:val="center"/>
          </w:tcPr>
          <w:p>
            <w:pPr>
              <w:spacing w:line="480" w:lineRule="auto"/>
              <w:jc w:val="center"/>
              <w:outlineLvl w:val="9"/>
              <w:rPr>
                <w:rFonts w:hint="eastAsia" w:ascii="宋体" w:hAnsi="宋体" w:cs="宋体"/>
                <w:color w:val="auto"/>
                <w:spacing w:val="-20"/>
                <w:sz w:val="21"/>
                <w:szCs w:val="21"/>
                <w:highlight w:val="none"/>
              </w:rPr>
            </w:pPr>
            <w:r>
              <w:rPr>
                <w:rFonts w:hint="eastAsia" w:ascii="宋体" w:hAnsi="宋体" w:cs="宋体"/>
                <w:color w:val="auto"/>
                <w:spacing w:val="-20"/>
                <w:sz w:val="21"/>
                <w:szCs w:val="21"/>
                <w:highlight w:val="none"/>
              </w:rPr>
              <w:t>医气输出口流量（L/min）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5" w:type="dxa"/>
            <w:noWrap w:val="0"/>
            <w:vAlign w:val="center"/>
          </w:tcPr>
          <w:p>
            <w:pPr>
              <w:spacing w:line="480" w:lineRule="auto"/>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1</w:t>
            </w:r>
          </w:p>
        </w:tc>
        <w:tc>
          <w:tcPr>
            <w:tcW w:w="1635" w:type="dxa"/>
            <w:noWrap w:val="0"/>
            <w:vAlign w:val="center"/>
          </w:tcPr>
          <w:p>
            <w:pPr>
              <w:spacing w:line="480" w:lineRule="auto"/>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氧气</w:t>
            </w:r>
          </w:p>
        </w:tc>
        <w:tc>
          <w:tcPr>
            <w:tcW w:w="1920"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0.40～0.45</w:t>
            </w:r>
          </w:p>
        </w:tc>
        <w:tc>
          <w:tcPr>
            <w:tcW w:w="124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0.40</w:t>
            </w:r>
          </w:p>
        </w:tc>
        <w:tc>
          <w:tcPr>
            <w:tcW w:w="1320"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0.55</w:t>
            </w:r>
          </w:p>
        </w:tc>
        <w:tc>
          <w:tcPr>
            <w:tcW w:w="130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0.35</w:t>
            </w:r>
          </w:p>
        </w:tc>
        <w:tc>
          <w:tcPr>
            <w:tcW w:w="145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10～80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5" w:type="dxa"/>
            <w:noWrap w:val="0"/>
            <w:vAlign w:val="center"/>
          </w:tcPr>
          <w:p>
            <w:pPr>
              <w:spacing w:line="480" w:lineRule="auto"/>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2</w:t>
            </w:r>
          </w:p>
        </w:tc>
        <w:tc>
          <w:tcPr>
            <w:tcW w:w="1635" w:type="dxa"/>
            <w:noWrap w:val="0"/>
            <w:vAlign w:val="center"/>
          </w:tcPr>
          <w:p>
            <w:pPr>
              <w:spacing w:line="480" w:lineRule="auto"/>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压缩空气</w:t>
            </w:r>
          </w:p>
        </w:tc>
        <w:tc>
          <w:tcPr>
            <w:tcW w:w="1920"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0.40～0.45</w:t>
            </w:r>
          </w:p>
        </w:tc>
        <w:tc>
          <w:tcPr>
            <w:tcW w:w="124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0.45</w:t>
            </w:r>
          </w:p>
        </w:tc>
        <w:tc>
          <w:tcPr>
            <w:tcW w:w="1320"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0.55</w:t>
            </w:r>
          </w:p>
        </w:tc>
        <w:tc>
          <w:tcPr>
            <w:tcW w:w="130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0.35</w:t>
            </w:r>
          </w:p>
        </w:tc>
        <w:tc>
          <w:tcPr>
            <w:tcW w:w="145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20～60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5" w:type="dxa"/>
            <w:noWrap w:val="0"/>
            <w:vAlign w:val="center"/>
          </w:tcPr>
          <w:p>
            <w:pPr>
              <w:spacing w:line="480" w:lineRule="auto"/>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3</w:t>
            </w:r>
          </w:p>
        </w:tc>
        <w:tc>
          <w:tcPr>
            <w:tcW w:w="1635" w:type="dxa"/>
            <w:noWrap w:val="0"/>
            <w:vAlign w:val="center"/>
          </w:tcPr>
          <w:p>
            <w:pPr>
              <w:spacing w:line="480" w:lineRule="auto"/>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真空吸引</w:t>
            </w:r>
          </w:p>
        </w:tc>
        <w:tc>
          <w:tcPr>
            <w:tcW w:w="1920"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－0.03～－0.07</w:t>
            </w:r>
          </w:p>
        </w:tc>
        <w:tc>
          <w:tcPr>
            <w:tcW w:w="124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－0.06</w:t>
            </w:r>
          </w:p>
        </w:tc>
        <w:tc>
          <w:tcPr>
            <w:tcW w:w="1320"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-0.015</w:t>
            </w:r>
          </w:p>
        </w:tc>
        <w:tc>
          <w:tcPr>
            <w:tcW w:w="130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-0.075</w:t>
            </w:r>
          </w:p>
        </w:tc>
        <w:tc>
          <w:tcPr>
            <w:tcW w:w="145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15~80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5" w:type="dxa"/>
            <w:noWrap w:val="0"/>
            <w:vAlign w:val="center"/>
          </w:tcPr>
          <w:p>
            <w:pPr>
              <w:spacing w:line="480" w:lineRule="auto"/>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4</w:t>
            </w:r>
          </w:p>
        </w:tc>
        <w:tc>
          <w:tcPr>
            <w:tcW w:w="1635" w:type="dxa"/>
            <w:noWrap w:val="0"/>
            <w:vAlign w:val="center"/>
          </w:tcPr>
          <w:p>
            <w:pPr>
              <w:spacing w:line="480" w:lineRule="auto"/>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笑气</w:t>
            </w:r>
          </w:p>
        </w:tc>
        <w:tc>
          <w:tcPr>
            <w:tcW w:w="1920"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0.40～0.45</w:t>
            </w:r>
          </w:p>
        </w:tc>
        <w:tc>
          <w:tcPr>
            <w:tcW w:w="124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0.40</w:t>
            </w:r>
          </w:p>
        </w:tc>
        <w:tc>
          <w:tcPr>
            <w:tcW w:w="1320"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0.55</w:t>
            </w:r>
          </w:p>
        </w:tc>
        <w:tc>
          <w:tcPr>
            <w:tcW w:w="130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0.35</w:t>
            </w:r>
          </w:p>
        </w:tc>
        <w:tc>
          <w:tcPr>
            <w:tcW w:w="145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4～10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5" w:type="dxa"/>
            <w:noWrap w:val="0"/>
            <w:vAlign w:val="center"/>
          </w:tcPr>
          <w:p>
            <w:pPr>
              <w:spacing w:line="480" w:lineRule="auto"/>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5</w:t>
            </w:r>
          </w:p>
        </w:tc>
        <w:tc>
          <w:tcPr>
            <w:tcW w:w="1635" w:type="dxa"/>
            <w:noWrap w:val="0"/>
            <w:vAlign w:val="center"/>
          </w:tcPr>
          <w:p>
            <w:pPr>
              <w:spacing w:line="480" w:lineRule="auto"/>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氮气</w:t>
            </w:r>
          </w:p>
        </w:tc>
        <w:tc>
          <w:tcPr>
            <w:tcW w:w="1920"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0.90～0.95</w:t>
            </w:r>
          </w:p>
        </w:tc>
        <w:tc>
          <w:tcPr>
            <w:tcW w:w="124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0.90</w:t>
            </w:r>
          </w:p>
        </w:tc>
        <w:tc>
          <w:tcPr>
            <w:tcW w:w="1320"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0.95</w:t>
            </w:r>
          </w:p>
        </w:tc>
        <w:tc>
          <w:tcPr>
            <w:tcW w:w="130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0.85</w:t>
            </w:r>
          </w:p>
        </w:tc>
        <w:tc>
          <w:tcPr>
            <w:tcW w:w="145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230～350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5" w:type="dxa"/>
            <w:noWrap w:val="0"/>
            <w:vAlign w:val="center"/>
          </w:tcPr>
          <w:p>
            <w:pPr>
              <w:spacing w:line="480" w:lineRule="auto"/>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6</w:t>
            </w:r>
          </w:p>
        </w:tc>
        <w:tc>
          <w:tcPr>
            <w:tcW w:w="1635" w:type="dxa"/>
            <w:noWrap w:val="0"/>
            <w:vAlign w:val="center"/>
          </w:tcPr>
          <w:p>
            <w:pPr>
              <w:spacing w:line="480" w:lineRule="auto"/>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二氧化碳</w:t>
            </w:r>
          </w:p>
        </w:tc>
        <w:tc>
          <w:tcPr>
            <w:tcW w:w="1920"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0.35～0.40</w:t>
            </w:r>
          </w:p>
        </w:tc>
        <w:tc>
          <w:tcPr>
            <w:tcW w:w="124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0.35</w:t>
            </w:r>
          </w:p>
        </w:tc>
        <w:tc>
          <w:tcPr>
            <w:tcW w:w="1320"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0.55</w:t>
            </w:r>
          </w:p>
        </w:tc>
        <w:tc>
          <w:tcPr>
            <w:tcW w:w="130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0.35</w:t>
            </w:r>
          </w:p>
        </w:tc>
        <w:tc>
          <w:tcPr>
            <w:tcW w:w="145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6～10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35" w:type="dxa"/>
            <w:noWrap w:val="0"/>
            <w:vAlign w:val="center"/>
          </w:tcPr>
          <w:p>
            <w:pPr>
              <w:spacing w:line="480" w:lineRule="auto"/>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7</w:t>
            </w:r>
          </w:p>
        </w:tc>
        <w:tc>
          <w:tcPr>
            <w:tcW w:w="1635" w:type="dxa"/>
            <w:noWrap w:val="0"/>
            <w:vAlign w:val="center"/>
          </w:tcPr>
          <w:p>
            <w:pPr>
              <w:spacing w:line="480" w:lineRule="auto"/>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麻醉废气</w:t>
            </w:r>
          </w:p>
        </w:tc>
        <w:tc>
          <w:tcPr>
            <w:tcW w:w="1920" w:type="dxa"/>
            <w:noWrap w:val="0"/>
            <w:vAlign w:val="center"/>
          </w:tcPr>
          <w:p>
            <w:pPr>
              <w:spacing w:line="480" w:lineRule="auto"/>
              <w:ind w:firstLine="422" w:firstLineChars="200"/>
              <w:jc w:val="center"/>
              <w:outlineLvl w:val="9"/>
              <w:rPr>
                <w:rFonts w:hint="eastAsia" w:ascii="宋体" w:hAnsi="宋体" w:cs="宋体"/>
                <w:b/>
                <w:bCs/>
                <w:color w:val="auto"/>
                <w:sz w:val="21"/>
                <w:szCs w:val="21"/>
                <w:highlight w:val="none"/>
              </w:rPr>
            </w:pPr>
          </w:p>
        </w:tc>
        <w:tc>
          <w:tcPr>
            <w:tcW w:w="124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0.09</w:t>
            </w:r>
          </w:p>
        </w:tc>
        <w:tc>
          <w:tcPr>
            <w:tcW w:w="1320" w:type="dxa"/>
            <w:noWrap w:val="0"/>
            <w:vAlign w:val="center"/>
          </w:tcPr>
          <w:p>
            <w:pPr>
              <w:spacing w:line="480" w:lineRule="auto"/>
              <w:ind w:firstLine="422" w:firstLineChars="200"/>
              <w:jc w:val="center"/>
              <w:outlineLvl w:val="9"/>
              <w:rPr>
                <w:rFonts w:hint="eastAsia" w:ascii="宋体" w:hAnsi="宋体" w:cs="宋体"/>
                <w:b/>
                <w:bCs/>
                <w:color w:val="auto"/>
                <w:kern w:val="44"/>
                <w:sz w:val="21"/>
                <w:szCs w:val="21"/>
                <w:highlight w:val="none"/>
              </w:rPr>
            </w:pPr>
          </w:p>
        </w:tc>
        <w:tc>
          <w:tcPr>
            <w:tcW w:w="1305" w:type="dxa"/>
            <w:noWrap w:val="0"/>
            <w:vAlign w:val="center"/>
          </w:tcPr>
          <w:p>
            <w:pPr>
              <w:spacing w:line="480" w:lineRule="auto"/>
              <w:ind w:firstLine="422" w:firstLineChars="200"/>
              <w:jc w:val="center"/>
              <w:outlineLvl w:val="9"/>
              <w:rPr>
                <w:rFonts w:hint="eastAsia" w:ascii="宋体" w:hAnsi="宋体" w:cs="宋体"/>
                <w:b/>
                <w:bCs/>
                <w:color w:val="auto"/>
                <w:kern w:val="44"/>
                <w:sz w:val="21"/>
                <w:szCs w:val="21"/>
                <w:highlight w:val="none"/>
              </w:rPr>
            </w:pPr>
          </w:p>
        </w:tc>
        <w:tc>
          <w:tcPr>
            <w:tcW w:w="1455" w:type="dxa"/>
            <w:noWrap w:val="0"/>
            <w:vAlign w:val="center"/>
          </w:tcPr>
          <w:p>
            <w:pPr>
              <w:spacing w:line="480" w:lineRule="auto"/>
              <w:jc w:val="center"/>
              <w:outlineLvl w:val="9"/>
              <w:rPr>
                <w:rFonts w:hint="eastAsia" w:ascii="宋体" w:hAnsi="宋体" w:cs="宋体"/>
                <w:color w:val="auto"/>
                <w:sz w:val="21"/>
                <w:szCs w:val="21"/>
                <w:highlight w:val="none"/>
              </w:rPr>
            </w:pPr>
            <w:r>
              <w:rPr>
                <w:rFonts w:hint="eastAsia" w:ascii="宋体" w:hAnsi="宋体" w:cs="宋体"/>
                <w:color w:val="auto"/>
                <w:sz w:val="21"/>
                <w:szCs w:val="21"/>
                <w:highlight w:val="none"/>
              </w:rPr>
              <w:t>50～80</w:t>
            </w:r>
          </w:p>
        </w:tc>
      </w:tr>
    </w:tbl>
    <w:p>
      <w:pPr>
        <w:tabs>
          <w:tab w:val="left" w:pos="720"/>
        </w:tabs>
        <w:spacing w:line="480" w:lineRule="auto"/>
        <w:outlineLvl w:val="9"/>
        <w:rPr>
          <w:rFonts w:hint="eastAsia" w:ascii="宋体" w:hAnsi="宋体" w:cs="宋体"/>
          <w:b/>
          <w:bCs/>
          <w:color w:val="auto"/>
          <w:sz w:val="24"/>
          <w:szCs w:val="24"/>
          <w:highlight w:val="none"/>
        </w:rPr>
      </w:pPr>
    </w:p>
    <w:p>
      <w:pPr>
        <w:tabs>
          <w:tab w:val="left" w:pos="720"/>
        </w:tabs>
        <w:spacing w:line="480" w:lineRule="auto"/>
        <w:outlineLvl w:val="9"/>
        <w:rPr>
          <w:rFonts w:hint="eastAsia" w:ascii="宋体" w:hAnsi="宋体" w:cs="宋体"/>
          <w:b/>
          <w:bCs/>
          <w:color w:val="auto"/>
          <w:sz w:val="24"/>
          <w:szCs w:val="24"/>
          <w:highlight w:val="none"/>
        </w:rPr>
      </w:pPr>
      <w:r>
        <w:rPr>
          <w:rFonts w:hint="eastAsia" w:ascii="宋体" w:hAnsi="宋体" w:cs="宋体"/>
          <w:b/>
          <w:bCs/>
          <w:color w:val="auto"/>
          <w:sz w:val="24"/>
          <w:szCs w:val="24"/>
          <w:highlight w:val="none"/>
        </w:rPr>
        <w:t>（六）</w:t>
      </w:r>
      <w:r>
        <w:rPr>
          <w:rFonts w:hint="eastAsia" w:ascii="宋体" w:hAnsi="宋体"/>
          <w:b/>
          <w:bCs/>
          <w:color w:val="auto"/>
          <w:kern w:val="1"/>
          <w:sz w:val="24"/>
          <w:szCs w:val="24"/>
          <w:highlight w:val="none"/>
        </w:rPr>
        <w:t>给排水工程</w:t>
      </w:r>
      <w:r>
        <w:rPr>
          <w:rFonts w:hint="eastAsia" w:ascii="宋体" w:hAnsi="宋体" w:cs="宋体"/>
          <w:b/>
          <w:bCs/>
          <w:color w:val="auto"/>
          <w:sz w:val="24"/>
          <w:szCs w:val="24"/>
          <w:highlight w:val="none"/>
        </w:rPr>
        <w:t>要求</w:t>
      </w:r>
    </w:p>
    <w:p>
      <w:pPr>
        <w:spacing w:line="480" w:lineRule="auto"/>
        <w:outlineLvl w:val="9"/>
        <w:rPr>
          <w:rFonts w:hint="eastAsia" w:ascii="宋体" w:hAnsi="宋体"/>
          <w:b/>
          <w:bCs/>
          <w:color w:val="auto"/>
          <w:kern w:val="1"/>
          <w:sz w:val="24"/>
          <w:szCs w:val="24"/>
          <w:highlight w:val="none"/>
        </w:rPr>
      </w:pPr>
      <w:r>
        <w:rPr>
          <w:rFonts w:hint="eastAsia" w:ascii="宋体" w:hAnsi="宋体"/>
          <w:b/>
          <w:bCs/>
          <w:color w:val="auto"/>
          <w:kern w:val="1"/>
          <w:sz w:val="24"/>
          <w:szCs w:val="24"/>
          <w:highlight w:val="none"/>
        </w:rPr>
        <w:t>6.1、总体要求：</w:t>
      </w:r>
    </w:p>
    <w:p>
      <w:pPr>
        <w:numPr>
          <w:ilvl w:val="0"/>
          <w:numId w:val="15"/>
        </w:numPr>
        <w:spacing w:line="480" w:lineRule="auto"/>
        <w:ind w:firstLine="480" w:firstLineChars="200"/>
        <w:outlineLvl w:val="9"/>
        <w:rPr>
          <w:rFonts w:ascii="宋体" w:hAnsi="宋体" w:cs="宋体"/>
          <w:color w:val="auto"/>
          <w:kern w:val="1"/>
          <w:sz w:val="24"/>
          <w:szCs w:val="24"/>
          <w:highlight w:val="none"/>
        </w:rPr>
      </w:pPr>
      <w:r>
        <w:rPr>
          <w:rFonts w:hint="eastAsia" w:ascii="宋体" w:hAnsi="宋体" w:cs="宋体"/>
          <w:color w:val="auto"/>
          <w:kern w:val="1"/>
          <w:sz w:val="24"/>
          <w:szCs w:val="24"/>
          <w:highlight w:val="none"/>
        </w:rPr>
        <w:t>应按GB51039-2014规范给水排水技术规范要求进行设计、设备采购及安装。</w:t>
      </w:r>
    </w:p>
    <w:p>
      <w:pPr>
        <w:numPr>
          <w:ilvl w:val="0"/>
          <w:numId w:val="15"/>
        </w:numPr>
        <w:spacing w:line="480" w:lineRule="auto"/>
        <w:ind w:firstLine="480" w:firstLineChars="200"/>
        <w:outlineLvl w:val="9"/>
        <w:rPr>
          <w:rFonts w:ascii="宋体" w:hAnsi="宋体" w:cs="宋体"/>
          <w:color w:val="auto"/>
          <w:kern w:val="1"/>
          <w:sz w:val="24"/>
          <w:szCs w:val="24"/>
          <w:highlight w:val="none"/>
        </w:rPr>
      </w:pPr>
      <w:r>
        <w:rPr>
          <w:rFonts w:hint="eastAsia" w:ascii="宋体" w:hAnsi="宋体" w:cs="宋体"/>
          <w:color w:val="auto"/>
          <w:kern w:val="1"/>
          <w:sz w:val="24"/>
          <w:szCs w:val="24"/>
          <w:highlight w:val="none"/>
        </w:rPr>
        <w:t>洁净区内的盥洗设备应同时设置冷热水并设置混水龙头。</w:t>
      </w:r>
    </w:p>
    <w:p>
      <w:pPr>
        <w:numPr>
          <w:ilvl w:val="0"/>
          <w:numId w:val="15"/>
        </w:numPr>
        <w:spacing w:line="480" w:lineRule="auto"/>
        <w:ind w:firstLine="480" w:firstLineChars="200"/>
        <w:outlineLvl w:val="9"/>
        <w:rPr>
          <w:rFonts w:ascii="宋体" w:hAnsi="宋体" w:cs="宋体"/>
          <w:color w:val="auto"/>
          <w:kern w:val="1"/>
          <w:sz w:val="24"/>
          <w:szCs w:val="24"/>
          <w:highlight w:val="none"/>
        </w:rPr>
      </w:pPr>
      <w:r>
        <w:rPr>
          <w:rFonts w:hint="eastAsia" w:ascii="宋体" w:hAnsi="宋体" w:cs="宋体"/>
          <w:color w:val="auto"/>
          <w:kern w:val="1"/>
          <w:sz w:val="24"/>
          <w:szCs w:val="24"/>
          <w:highlight w:val="none"/>
        </w:rPr>
        <w:t>所有洁具应采用不易积存污物及易于清扫的卫生洁具及附件，便器采用感应式。</w:t>
      </w:r>
    </w:p>
    <w:p>
      <w:pPr>
        <w:numPr>
          <w:ilvl w:val="0"/>
          <w:numId w:val="15"/>
        </w:numPr>
        <w:spacing w:line="480" w:lineRule="auto"/>
        <w:ind w:firstLine="480" w:firstLineChars="200"/>
        <w:outlineLvl w:val="9"/>
        <w:rPr>
          <w:rFonts w:hint="eastAsia" w:ascii="宋体" w:hAnsi="宋体" w:cs="宋体"/>
          <w:color w:val="auto"/>
          <w:kern w:val="1"/>
          <w:sz w:val="24"/>
          <w:szCs w:val="24"/>
          <w:highlight w:val="none"/>
        </w:rPr>
      </w:pPr>
      <w:r>
        <w:rPr>
          <w:rFonts w:hint="eastAsia" w:ascii="宋体" w:hAnsi="宋体" w:cs="宋体"/>
          <w:color w:val="auto"/>
          <w:kern w:val="1"/>
          <w:sz w:val="24"/>
          <w:szCs w:val="24"/>
          <w:highlight w:val="none"/>
        </w:rPr>
        <w:t>冷热水管道采用不锈钢管道，采用卡压连接。室内污、废水采用采用抗震柔性(法兰)连接离心排水铸铁管。中心供应室高温废水采用304无缝不锈钢管道，焊接。中心供应室纯水管道采用</w:t>
      </w:r>
    </w:p>
    <w:p>
      <w:pPr>
        <w:pStyle w:val="12"/>
        <w:spacing w:line="480" w:lineRule="auto"/>
        <w:outlineLvl w:val="9"/>
        <w:rPr>
          <w:rFonts w:hint="eastAsia" w:hAnsi="宋体" w:eastAsia="宋体" w:cs="宋体"/>
          <w:color w:val="auto"/>
          <w:sz w:val="24"/>
          <w:szCs w:val="24"/>
          <w:highlight w:val="none"/>
        </w:rPr>
      </w:pPr>
      <w:r>
        <w:rPr>
          <w:rFonts w:hint="eastAsia" w:hAnsi="宋体" w:eastAsia="宋体" w:cs="宋体"/>
          <w:color w:val="auto"/>
          <w:sz w:val="24"/>
          <w:szCs w:val="24"/>
          <w:highlight w:val="none"/>
        </w:rPr>
        <w:t>304卫生级不锈钢管，焊接。</w:t>
      </w:r>
    </w:p>
    <w:p>
      <w:pPr>
        <w:numPr>
          <w:ilvl w:val="0"/>
          <w:numId w:val="15"/>
        </w:numPr>
        <w:spacing w:line="480" w:lineRule="auto"/>
        <w:ind w:firstLine="480" w:firstLineChars="200"/>
        <w:outlineLvl w:val="9"/>
        <w:rPr>
          <w:rFonts w:ascii="宋体" w:hAnsi="宋体" w:cs="宋体"/>
          <w:color w:val="auto"/>
          <w:kern w:val="1"/>
          <w:sz w:val="24"/>
          <w:szCs w:val="24"/>
          <w:highlight w:val="none"/>
        </w:rPr>
      </w:pPr>
      <w:r>
        <w:rPr>
          <w:rFonts w:hint="eastAsia" w:ascii="宋体" w:hAnsi="宋体" w:cs="宋体"/>
          <w:color w:val="auto"/>
          <w:kern w:val="1"/>
          <w:sz w:val="24"/>
          <w:szCs w:val="24"/>
          <w:highlight w:val="none"/>
        </w:rPr>
        <w:t>管道均应暗装，管道穿越墙壁、楼板时应加套管并密封。</w:t>
      </w:r>
    </w:p>
    <w:p>
      <w:pPr>
        <w:numPr>
          <w:ilvl w:val="0"/>
          <w:numId w:val="15"/>
        </w:numPr>
        <w:spacing w:line="480" w:lineRule="auto"/>
        <w:ind w:firstLine="480" w:firstLineChars="200"/>
        <w:outlineLvl w:val="9"/>
        <w:rPr>
          <w:rFonts w:ascii="宋体" w:hAnsi="宋体" w:cs="宋体"/>
          <w:color w:val="auto"/>
          <w:kern w:val="1"/>
          <w:sz w:val="24"/>
          <w:szCs w:val="24"/>
          <w:highlight w:val="none"/>
        </w:rPr>
      </w:pPr>
      <w:r>
        <w:rPr>
          <w:rFonts w:hint="eastAsia" w:ascii="宋体" w:hAnsi="宋体" w:cs="宋体"/>
          <w:color w:val="auto"/>
          <w:kern w:val="1"/>
          <w:sz w:val="24"/>
          <w:szCs w:val="24"/>
          <w:highlight w:val="none"/>
        </w:rPr>
        <w:t>热水管应采用橡塑保温材料进行保温；冷水及排水的干、立管亦应采取防结露保温，采用橡塑保温材料。</w:t>
      </w:r>
    </w:p>
    <w:p>
      <w:pPr>
        <w:numPr>
          <w:ilvl w:val="0"/>
          <w:numId w:val="15"/>
        </w:numPr>
        <w:spacing w:line="480" w:lineRule="auto"/>
        <w:ind w:firstLine="480" w:firstLineChars="200"/>
        <w:outlineLvl w:val="9"/>
        <w:rPr>
          <w:rFonts w:ascii="宋体" w:hAnsi="宋体" w:cs="宋体"/>
          <w:color w:val="auto"/>
          <w:kern w:val="1"/>
          <w:sz w:val="24"/>
          <w:szCs w:val="24"/>
          <w:highlight w:val="none"/>
        </w:rPr>
      </w:pPr>
      <w:r>
        <w:rPr>
          <w:rFonts w:hint="eastAsia" w:ascii="宋体" w:hAnsi="宋体" w:cs="宋体"/>
          <w:color w:val="auto"/>
          <w:kern w:val="1"/>
          <w:sz w:val="24"/>
          <w:szCs w:val="24"/>
          <w:highlight w:val="none"/>
        </w:rPr>
        <w:t>洁净区内的排水设备，必须在排水口下部设置高水封装置。</w:t>
      </w:r>
    </w:p>
    <w:p>
      <w:pPr>
        <w:numPr>
          <w:ilvl w:val="0"/>
          <w:numId w:val="15"/>
        </w:numPr>
        <w:spacing w:line="480" w:lineRule="auto"/>
        <w:ind w:firstLine="480" w:firstLineChars="200"/>
        <w:outlineLvl w:val="9"/>
        <w:rPr>
          <w:rFonts w:ascii="宋体" w:hAnsi="宋体" w:cs="宋体"/>
          <w:color w:val="auto"/>
          <w:kern w:val="1"/>
          <w:sz w:val="24"/>
          <w:szCs w:val="24"/>
          <w:highlight w:val="none"/>
        </w:rPr>
      </w:pPr>
      <w:r>
        <w:rPr>
          <w:rFonts w:hint="eastAsia" w:ascii="宋体" w:hAnsi="宋体" w:cs="宋体"/>
          <w:color w:val="auto"/>
          <w:kern w:val="1"/>
          <w:sz w:val="24"/>
          <w:szCs w:val="24"/>
          <w:highlight w:val="none"/>
        </w:rPr>
        <w:t>洁净区内的地漏必须为高水封防臭地漏并加密封盖，水封高度不得小于50mm。</w:t>
      </w:r>
    </w:p>
    <w:p>
      <w:pPr>
        <w:numPr>
          <w:ilvl w:val="0"/>
          <w:numId w:val="15"/>
        </w:numPr>
        <w:spacing w:line="480" w:lineRule="auto"/>
        <w:ind w:firstLine="480" w:firstLineChars="200"/>
        <w:outlineLvl w:val="9"/>
        <w:rPr>
          <w:rFonts w:ascii="宋体" w:hAnsi="宋体" w:cs="宋体"/>
          <w:color w:val="auto"/>
          <w:kern w:val="1"/>
          <w:sz w:val="24"/>
          <w:szCs w:val="24"/>
          <w:highlight w:val="none"/>
        </w:rPr>
      </w:pPr>
      <w:r>
        <w:rPr>
          <w:rFonts w:hint="eastAsia" w:ascii="宋体" w:hAnsi="宋体" w:cs="宋体"/>
          <w:color w:val="auto"/>
          <w:kern w:val="1"/>
          <w:sz w:val="24"/>
          <w:szCs w:val="24"/>
          <w:highlight w:val="none"/>
        </w:rPr>
        <w:t>洁净区的排水横管直径应比常规大一级。</w:t>
      </w:r>
    </w:p>
    <w:p>
      <w:pPr>
        <w:numPr>
          <w:ilvl w:val="0"/>
          <w:numId w:val="15"/>
        </w:numPr>
        <w:spacing w:line="480" w:lineRule="auto"/>
        <w:ind w:firstLine="480" w:firstLineChars="200"/>
        <w:outlineLvl w:val="9"/>
        <w:rPr>
          <w:rFonts w:hint="eastAsia" w:ascii="宋体" w:hAnsi="宋体" w:cs="宋体"/>
          <w:color w:val="auto"/>
          <w:kern w:val="1"/>
          <w:sz w:val="24"/>
          <w:szCs w:val="24"/>
          <w:highlight w:val="none"/>
        </w:rPr>
      </w:pPr>
      <w:r>
        <w:rPr>
          <w:rFonts w:hint="eastAsia" w:ascii="宋体" w:hAnsi="宋体" w:cs="宋体"/>
          <w:color w:val="auto"/>
          <w:kern w:val="1"/>
          <w:sz w:val="24"/>
          <w:szCs w:val="24"/>
          <w:highlight w:val="none"/>
        </w:rPr>
        <w:t>手术部选用优质膝控刷手池，采用鹅颈龙头，冷热水经混水器混合后供至龙头，洗刷手用水需达到饮用水标准。</w:t>
      </w:r>
    </w:p>
    <w:p>
      <w:pPr>
        <w:pStyle w:val="12"/>
        <w:spacing w:line="480" w:lineRule="auto"/>
        <w:outlineLvl w:val="9"/>
        <w:rPr>
          <w:rFonts w:hint="eastAsia"/>
          <w:color w:val="auto"/>
          <w:sz w:val="24"/>
          <w:szCs w:val="24"/>
          <w:highlight w:val="none"/>
        </w:rPr>
      </w:pPr>
    </w:p>
    <w:p>
      <w:pPr>
        <w:spacing w:line="480" w:lineRule="auto"/>
        <w:ind w:firstLine="482" w:firstLineChars="200"/>
        <w:outlineLvl w:val="9"/>
        <w:rPr>
          <w:rFonts w:hint="default" w:ascii="宋体" w:hAnsi="宋体" w:eastAsia="宋体" w:cs="宋体"/>
          <w:color w:val="auto"/>
          <w:sz w:val="24"/>
          <w:szCs w:val="24"/>
          <w:highlight w:val="none"/>
          <w:lang w:val="en-US" w:eastAsia="zh-CN"/>
        </w:rPr>
      </w:pPr>
      <w:r>
        <w:rPr>
          <w:rFonts w:hint="eastAsia" w:ascii="宋体" w:hAnsi="宋体" w:cs="宋体"/>
          <w:b/>
          <w:bCs/>
          <w:color w:val="auto"/>
          <w:sz w:val="24"/>
          <w:szCs w:val="24"/>
          <w:highlight w:val="none"/>
        </w:rPr>
        <w:t>六、综合说明及要求：</w:t>
      </w:r>
      <w:r>
        <w:rPr>
          <w:rFonts w:hint="eastAsia" w:ascii="宋体" w:hAnsi="宋体" w:cs="宋体"/>
          <w:b/>
          <w:bCs/>
          <w:color w:val="auto"/>
          <w:sz w:val="24"/>
          <w:szCs w:val="24"/>
          <w:highlight w:val="none"/>
          <w:lang w:val="en-US" w:eastAsia="zh-CN"/>
        </w:rPr>
        <w:t xml:space="preserve">     </w:t>
      </w:r>
    </w:p>
    <w:p>
      <w:pPr>
        <w:spacing w:line="48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1、投标人在投标时应注明所投货物的生产厂家、品牌、规格和型号，提供所用材质、配件的生产厂名、品牌清单等。投标人必须承诺招标文件中提出的全部技术要求；如果以其中某些条款不响应时，应在文件中逐条列出。</w:t>
      </w:r>
    </w:p>
    <w:p>
      <w:pPr>
        <w:spacing w:line="48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2、中标人应保证采购人免除且中标人承担由于采购人在其本国使用该产品时而引起第三方提出的侵犯其专利权、商标权或外观设计权的起诉、行动、行政程序索赔、请求等以及采购人为此而产生的损失和损害、费用和支出，包括律师费用。</w:t>
      </w:r>
    </w:p>
    <w:p>
      <w:pPr>
        <w:spacing w:line="48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3、中标人在施工时须符合国家相关部门规定要求，不得违反国家相关强制性规定。</w:t>
      </w:r>
    </w:p>
    <w:p>
      <w:pPr>
        <w:spacing w:line="48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4</w:t>
      </w:r>
      <w:r>
        <w:rPr>
          <w:rFonts w:hint="eastAsia" w:ascii="宋体" w:hAnsi="宋体" w:cs="宋体"/>
          <w:color w:val="auto"/>
          <w:sz w:val="24"/>
          <w:szCs w:val="24"/>
          <w:highlight w:val="none"/>
        </w:rPr>
        <w:t>、</w:t>
      </w:r>
      <w:r>
        <w:rPr>
          <w:rFonts w:hint="eastAsia" w:ascii="宋体" w:hAnsi="宋体" w:cs="宋体"/>
          <w:color w:val="auto"/>
          <w:sz w:val="24"/>
          <w:szCs w:val="24"/>
          <w:highlight w:val="none"/>
          <w:lang w:val="en-US" w:eastAsia="zh-CN"/>
        </w:rPr>
        <w:t>工期</w:t>
      </w:r>
      <w:r>
        <w:rPr>
          <w:rFonts w:hint="eastAsia" w:ascii="宋体" w:hAnsi="宋体" w:cs="宋体"/>
          <w:color w:val="auto"/>
          <w:sz w:val="24"/>
          <w:szCs w:val="24"/>
          <w:highlight w:val="none"/>
        </w:rPr>
        <w:t>：</w:t>
      </w:r>
      <w:r>
        <w:rPr>
          <w:rFonts w:hint="eastAsia" w:ascii="宋体" w:hAnsi="宋体" w:cs="宋体"/>
          <w:color w:val="auto"/>
          <w:sz w:val="24"/>
          <w:szCs w:val="24"/>
          <w:highlight w:val="none"/>
          <w:lang w:val="en-US" w:eastAsia="zh-CN"/>
        </w:rPr>
        <w:t>中标结果公示结束之日起</w:t>
      </w:r>
      <w:r>
        <w:rPr>
          <w:rFonts w:hint="eastAsia" w:ascii="宋体" w:hAnsi="宋体" w:cs="宋体"/>
          <w:color w:val="auto"/>
          <w:sz w:val="24"/>
          <w:szCs w:val="24"/>
          <w:highlight w:val="none"/>
        </w:rPr>
        <w:t>六个月内交付使用。</w:t>
      </w:r>
    </w:p>
    <w:p>
      <w:pPr>
        <w:spacing w:line="48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5</w:t>
      </w:r>
      <w:r>
        <w:rPr>
          <w:rFonts w:hint="eastAsia" w:ascii="宋体" w:hAnsi="宋体" w:cs="宋体"/>
          <w:color w:val="auto"/>
          <w:sz w:val="24"/>
          <w:szCs w:val="24"/>
          <w:highlight w:val="none"/>
        </w:rPr>
        <w:t>、质保期：≥二年，</w:t>
      </w:r>
      <w:r>
        <w:rPr>
          <w:rFonts w:hint="eastAsia" w:ascii="宋体" w:hAnsi="宋体" w:cs="宋体"/>
          <w:color w:val="auto"/>
          <w:sz w:val="24"/>
          <w:szCs w:val="24"/>
          <w:highlight w:val="none"/>
          <w:lang w:val="zh-CN"/>
        </w:rPr>
        <w:t>自项目验收合格之日起计算。保质期内，中标人对故障负责，货物更换、维修所涉及的有关费用及由此引起的相关损失由中标人承担，同时相应延长更换和修补零件的质量保证期。质保期后，中标人必须对所提供的设备及系统定期进行检查和保养，并负责终身维护。对于损坏的零部件，中标人应保证以不高于在设备生产地购买的一般价格提供给采购人。</w:t>
      </w:r>
    </w:p>
    <w:p>
      <w:pPr>
        <w:spacing w:line="48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6</w:t>
      </w:r>
      <w:r>
        <w:rPr>
          <w:rFonts w:hint="eastAsia" w:ascii="宋体" w:hAnsi="宋体" w:cs="宋体"/>
          <w:color w:val="auto"/>
          <w:sz w:val="24"/>
          <w:szCs w:val="24"/>
          <w:highlight w:val="none"/>
        </w:rPr>
        <w:t>、交货地点：</w:t>
      </w:r>
      <w:r>
        <w:rPr>
          <w:rFonts w:hint="eastAsia" w:ascii="宋体" w:hAnsi="宋体" w:cs="宋体"/>
          <w:color w:val="auto"/>
          <w:sz w:val="24"/>
          <w:szCs w:val="24"/>
          <w:highlight w:val="none"/>
          <w:lang w:val="en-US" w:eastAsia="zh-CN"/>
        </w:rPr>
        <w:t>采购人</w:t>
      </w:r>
      <w:r>
        <w:rPr>
          <w:rFonts w:hint="eastAsia" w:ascii="宋体" w:hAnsi="宋体" w:cs="宋体"/>
          <w:color w:val="auto"/>
          <w:sz w:val="24"/>
          <w:szCs w:val="24"/>
          <w:highlight w:val="none"/>
        </w:rPr>
        <w:t>指定地点。</w:t>
      </w:r>
    </w:p>
    <w:p>
      <w:pPr>
        <w:spacing w:line="48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7</w:t>
      </w:r>
      <w:r>
        <w:rPr>
          <w:rFonts w:hint="eastAsia" w:ascii="宋体" w:hAnsi="宋体" w:cs="宋体"/>
          <w:color w:val="auto"/>
          <w:sz w:val="24"/>
          <w:szCs w:val="24"/>
          <w:highlight w:val="none"/>
        </w:rPr>
        <w:t>、报价要求：</w:t>
      </w:r>
    </w:p>
    <w:p>
      <w:pPr>
        <w:spacing w:line="480" w:lineRule="auto"/>
        <w:ind w:firstLine="480" w:firstLineChars="200"/>
        <w:outlineLvl w:val="9"/>
        <w:rPr>
          <w:rFonts w:hint="default" w:ascii="宋体" w:hAnsi="宋体" w:eastAsia="宋体" w:cs="宋体"/>
          <w:color w:val="auto"/>
          <w:sz w:val="24"/>
          <w:szCs w:val="24"/>
          <w:highlight w:val="none"/>
          <w:lang w:val="en-US" w:eastAsia="zh-CN"/>
        </w:rPr>
      </w:pPr>
      <w:r>
        <w:rPr>
          <w:rFonts w:hint="eastAsia" w:ascii="宋体" w:hAnsi="宋体" w:cs="宋体"/>
          <w:color w:val="auto"/>
          <w:sz w:val="24"/>
          <w:szCs w:val="24"/>
          <w:highlight w:val="none"/>
        </w:rPr>
        <w:t>（1）报价币种为人民币。</w:t>
      </w:r>
      <w:r>
        <w:rPr>
          <w:rFonts w:hint="eastAsia" w:ascii="宋体" w:hAnsi="宋体" w:cs="宋体"/>
          <w:color w:val="auto"/>
          <w:sz w:val="24"/>
          <w:szCs w:val="24"/>
          <w:highlight w:val="none"/>
          <w:lang w:val="en-US" w:eastAsia="zh-CN"/>
        </w:rPr>
        <w:t xml:space="preserve"> </w:t>
      </w:r>
    </w:p>
    <w:p>
      <w:pPr>
        <w:pStyle w:val="4"/>
        <w:spacing w:line="480" w:lineRule="auto"/>
        <w:ind w:left="0" w:leftChars="0" w:firstLine="482" w:firstLineChars="200"/>
        <w:rPr>
          <w:rFonts w:hint="eastAsia" w:ascii="宋体" w:hAnsi="宋体" w:eastAsia="宋体" w:cs="宋体"/>
          <w:color w:val="auto"/>
          <w:kern w:val="2"/>
          <w:sz w:val="24"/>
          <w:szCs w:val="24"/>
          <w:highlight w:val="none"/>
          <w:lang w:val="en-US" w:eastAsia="zh-CN" w:bidi="ar-SA"/>
        </w:rPr>
      </w:pPr>
      <w:r>
        <w:rPr>
          <w:rFonts w:hint="eastAsia" w:ascii="宋体" w:hAnsi="宋体" w:cs="宋体"/>
          <w:b/>
          <w:bCs/>
          <w:color w:val="auto"/>
          <w:sz w:val="24"/>
          <w:highlight w:val="none"/>
        </w:rPr>
        <w:t>（2）投标报价应包括完成本项目所有相关工作可能发生的一切费用，包括所投货物及备品、备件、辅配件和专用工具费用、税费及包装、运至最终目的地的运输</w:t>
      </w:r>
      <w:r>
        <w:rPr>
          <w:rFonts w:hint="eastAsia" w:ascii="宋体" w:hAnsi="宋体" w:cs="宋体"/>
          <w:b/>
          <w:bCs/>
          <w:color w:val="auto"/>
          <w:sz w:val="24"/>
          <w:szCs w:val="24"/>
          <w:highlight w:val="none"/>
        </w:rPr>
        <w:t>、</w:t>
      </w:r>
      <w:r>
        <w:rPr>
          <w:rFonts w:hint="eastAsia" w:ascii="宋体" w:hAnsi="宋体" w:cs="宋体"/>
          <w:b/>
          <w:bCs/>
          <w:color w:val="auto"/>
          <w:sz w:val="24"/>
          <w:szCs w:val="24"/>
          <w:highlight w:val="none"/>
          <w:lang w:val="en-US" w:eastAsia="zh-CN"/>
        </w:rPr>
        <w:t>施工、</w:t>
      </w:r>
      <w:r>
        <w:rPr>
          <w:rFonts w:hint="eastAsia" w:ascii="宋体" w:hAnsi="宋体" w:cs="宋体"/>
          <w:b/>
          <w:bCs/>
          <w:color w:val="auto"/>
          <w:sz w:val="24"/>
          <w:highlight w:val="none"/>
        </w:rPr>
        <w:t>保险、检测、验收、安装、调试、技术支持与培训、售后服务与维保及相关劳务支出等工作所发生的全部费用以及投标人企业利润、税金和政策性文件规定及合同包含的所有风险、责任等各项应有费用。总包管理费按</w:t>
      </w:r>
      <w:r>
        <w:rPr>
          <w:rFonts w:hint="eastAsia" w:ascii="宋体" w:hAnsi="宋体" w:cs="宋体"/>
          <w:b/>
          <w:bCs/>
          <w:color w:val="auto"/>
          <w:sz w:val="24"/>
          <w:highlight w:val="none"/>
          <w:lang w:val="en-US" w:eastAsia="zh-CN"/>
        </w:rPr>
        <w:t>3</w:t>
      </w:r>
      <w:r>
        <w:rPr>
          <w:rFonts w:hint="eastAsia" w:ascii="宋体" w:hAnsi="宋体" w:cs="宋体"/>
          <w:b/>
          <w:bCs/>
          <w:color w:val="auto"/>
          <w:sz w:val="24"/>
          <w:highlight w:val="none"/>
        </w:rPr>
        <w:t>%，在报价中综合考虑。</w:t>
      </w:r>
      <w:r>
        <w:rPr>
          <w:rFonts w:hint="eastAsia" w:ascii="宋体" w:hAnsi="宋体" w:cs="宋体"/>
          <w:color w:val="auto"/>
          <w:sz w:val="24"/>
          <w:highlight w:val="none"/>
        </w:rPr>
        <w:t>投标人投标报价为投标人所能承受的整个项目的一次性最终最低报价，如有漏项，视同已包含在本项目投标报价中，</w:t>
      </w:r>
      <w:r>
        <w:rPr>
          <w:rFonts w:hint="eastAsia" w:ascii="宋体" w:hAnsi="宋体"/>
          <w:color w:val="auto"/>
          <w:sz w:val="24"/>
          <w:highlight w:val="none"/>
        </w:rPr>
        <w:t>合同总价不做调整</w:t>
      </w:r>
      <w:r>
        <w:rPr>
          <w:rFonts w:hint="eastAsia" w:ascii="宋体" w:hAnsi="宋体" w:cs="宋体"/>
          <w:color w:val="auto"/>
          <w:sz w:val="24"/>
          <w:highlight w:val="none"/>
        </w:rPr>
        <w:t>。</w:t>
      </w:r>
    </w:p>
    <w:p>
      <w:pPr>
        <w:spacing w:line="480" w:lineRule="auto"/>
        <w:ind w:firstLine="482" w:firstLineChars="200"/>
        <w:rPr>
          <w:rFonts w:ascii="宋体" w:hAnsi="宋体" w:cs="宋体"/>
          <w:b/>
          <w:bCs/>
          <w:color w:val="auto"/>
          <w:sz w:val="24"/>
          <w:highlight w:val="none"/>
        </w:rPr>
      </w:pPr>
      <w:r>
        <w:rPr>
          <w:rFonts w:hint="eastAsia" w:ascii="宋体" w:hAnsi="宋体" w:cs="宋体"/>
          <w:b/>
          <w:bCs/>
          <w:color w:val="auto"/>
          <w:sz w:val="24"/>
          <w:highlight w:val="none"/>
        </w:rPr>
        <w:t>（3）报价为固定价格，在合同执行过程中不因交货时间更改、物价变动、政策变动、投标人漏项或少报等风险因素而调整。</w:t>
      </w:r>
    </w:p>
    <w:p>
      <w:pPr>
        <w:spacing w:line="480" w:lineRule="auto"/>
        <w:ind w:firstLine="482" w:firstLineChars="200"/>
        <w:outlineLvl w:val="9"/>
        <w:rPr>
          <w:rFonts w:hint="eastAsia" w:ascii="宋体" w:hAnsi="宋体" w:cs="宋体"/>
          <w:b/>
          <w:bCs/>
          <w:color w:val="auto"/>
          <w:sz w:val="24"/>
          <w:szCs w:val="24"/>
          <w:highlight w:val="none"/>
          <w:lang w:val="en-US" w:eastAsia="zh-CN"/>
        </w:rPr>
      </w:pPr>
    </w:p>
    <w:p>
      <w:pPr>
        <w:spacing w:line="480" w:lineRule="auto"/>
        <w:ind w:firstLine="482" w:firstLineChars="200"/>
        <w:outlineLvl w:val="9"/>
        <w:rPr>
          <w:rFonts w:hint="default" w:ascii="宋体" w:hAnsi="宋体" w:eastAsia="宋体" w:cs="宋体"/>
          <w:b/>
          <w:bCs/>
          <w:color w:val="auto"/>
          <w:sz w:val="24"/>
          <w:szCs w:val="24"/>
          <w:highlight w:val="none"/>
          <w:lang w:val="en-US" w:eastAsia="zh-CN"/>
        </w:rPr>
      </w:pPr>
      <w:r>
        <w:rPr>
          <w:rFonts w:hint="eastAsia" w:ascii="宋体" w:hAnsi="宋体" w:cs="宋体"/>
          <w:b/>
          <w:bCs/>
          <w:color w:val="auto"/>
          <w:sz w:val="24"/>
          <w:szCs w:val="24"/>
          <w:highlight w:val="none"/>
          <w:lang w:val="en-US" w:eastAsia="zh-CN"/>
        </w:rPr>
        <w:t>8</w:t>
      </w:r>
      <w:r>
        <w:rPr>
          <w:rFonts w:hint="eastAsia" w:ascii="宋体" w:hAnsi="宋体" w:cs="宋体"/>
          <w:b/>
          <w:bCs/>
          <w:color w:val="auto"/>
          <w:sz w:val="24"/>
          <w:szCs w:val="24"/>
          <w:highlight w:val="none"/>
        </w:rPr>
        <w:t>、付款</w:t>
      </w:r>
      <w:r>
        <w:rPr>
          <w:rFonts w:hint="eastAsia" w:ascii="宋体" w:hAnsi="宋体" w:cs="宋体"/>
          <w:b/>
          <w:bCs/>
          <w:color w:val="auto"/>
          <w:sz w:val="24"/>
          <w:szCs w:val="24"/>
          <w:highlight w:val="none"/>
          <w:lang w:val="en-US" w:eastAsia="zh-CN"/>
        </w:rPr>
        <w:t>方式</w:t>
      </w:r>
      <w:r>
        <w:rPr>
          <w:rFonts w:hint="eastAsia" w:ascii="宋体" w:hAnsi="宋体" w:cs="宋体"/>
          <w:b/>
          <w:bCs/>
          <w:color w:val="auto"/>
          <w:sz w:val="24"/>
          <w:szCs w:val="24"/>
          <w:highlight w:val="none"/>
        </w:rPr>
        <w:t>：</w:t>
      </w:r>
      <w:r>
        <w:rPr>
          <w:rFonts w:hint="eastAsia" w:ascii="宋体" w:hAnsi="宋体" w:cs="宋体"/>
          <w:b/>
          <w:bCs/>
          <w:color w:val="auto"/>
          <w:sz w:val="24"/>
          <w:szCs w:val="24"/>
          <w:highlight w:val="none"/>
          <w:lang w:val="en-US" w:eastAsia="zh-CN"/>
        </w:rPr>
        <w:t xml:space="preserve">  </w:t>
      </w:r>
    </w:p>
    <w:p>
      <w:pPr>
        <w:spacing w:line="480" w:lineRule="auto"/>
        <w:ind w:firstLine="480" w:firstLineChars="200"/>
        <w:outlineLvl w:val="9"/>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合同生效以及具备实施条件后7个工作日内支付合同价款的40%（采购人根据项目特点、供应商诚信等因素，可以要求中标人提交预付款保函）；主体安装完成、空调设备进场7个工作日内，再支付合同价款的40%；调试完成、竣工验收合格后7个工作日内支付至合同价款的100%。</w:t>
      </w:r>
    </w:p>
    <w:p>
      <w:pPr>
        <w:numPr>
          <w:ilvl w:val="0"/>
          <w:numId w:val="16"/>
        </w:numPr>
        <w:spacing w:line="480" w:lineRule="auto"/>
        <w:ind w:firstLine="480" w:firstLineChars="200"/>
        <w:outlineLvl w:val="9"/>
        <w:rPr>
          <w:rFonts w:hint="eastAsia" w:ascii="宋体" w:hAnsi="宋体" w:cs="宋体"/>
          <w:color w:val="auto"/>
          <w:sz w:val="24"/>
          <w:szCs w:val="24"/>
          <w:highlight w:val="none"/>
        </w:rPr>
      </w:pPr>
      <w:r>
        <w:rPr>
          <w:rFonts w:hint="eastAsia" w:ascii="宋体" w:hAnsi="宋体" w:cs="宋体"/>
          <w:color w:val="auto"/>
          <w:sz w:val="24"/>
          <w:szCs w:val="24"/>
          <w:highlight w:val="none"/>
        </w:rPr>
        <w:t>本项目五年内迁建，要求综合利用率≥50%。</w:t>
      </w:r>
    </w:p>
    <w:p>
      <w:pPr>
        <w:pStyle w:val="27"/>
        <w:widowControl w:val="0"/>
        <w:numPr>
          <w:ilvl w:val="0"/>
          <w:numId w:val="0"/>
        </w:numPr>
        <w:spacing w:line="360" w:lineRule="auto"/>
        <w:jc w:val="both"/>
        <w:textAlignment w:val="baseline"/>
        <w:rPr>
          <w:rFonts w:hint="eastAsia" w:eastAsia="宋体"/>
          <w:color w:val="auto"/>
          <w:highlight w:val="none"/>
          <w:lang w:val="en-US" w:eastAsia="zh-CN"/>
        </w:rPr>
      </w:pPr>
    </w:p>
    <w:p>
      <w:pPr>
        <w:pStyle w:val="27"/>
        <w:widowControl w:val="0"/>
        <w:numPr>
          <w:ilvl w:val="0"/>
          <w:numId w:val="0"/>
        </w:numPr>
        <w:spacing w:line="360" w:lineRule="auto"/>
        <w:jc w:val="both"/>
        <w:textAlignment w:val="baseline"/>
        <w:rPr>
          <w:rFonts w:hint="eastAsia"/>
          <w:color w:val="auto"/>
          <w:highlight w:val="none"/>
        </w:rPr>
      </w:pPr>
    </w:p>
    <w:p>
      <w:pPr>
        <w:spacing w:line="360" w:lineRule="auto"/>
        <w:jc w:val="center"/>
        <w:outlineLvl w:val="9"/>
        <w:rPr>
          <w:rFonts w:hint="eastAsia" w:ascii="宋体" w:hAnsi="宋体"/>
          <w:b/>
          <w:color w:val="auto"/>
          <w:sz w:val="24"/>
          <w:szCs w:val="24"/>
          <w:highlight w:val="none"/>
        </w:rPr>
      </w:pPr>
    </w:p>
    <w:p>
      <w:pPr>
        <w:pStyle w:val="9"/>
        <w:spacing w:line="360" w:lineRule="auto"/>
        <w:rPr>
          <w:rFonts w:hint="eastAsia"/>
          <w:color w:val="auto"/>
          <w:highlight w:val="none"/>
        </w:rPr>
      </w:pPr>
    </w:p>
    <w:p>
      <w:pPr>
        <w:pStyle w:val="10"/>
        <w:spacing w:line="360" w:lineRule="auto"/>
        <w:ind w:left="0" w:leftChars="0" w:firstLine="0" w:firstLineChars="0"/>
        <w:outlineLvl w:val="9"/>
        <w:rPr>
          <w:rFonts w:hint="eastAsia" w:ascii="宋体" w:hAnsi="宋体" w:eastAsia="宋体" w:cs="宋体"/>
          <w:b/>
          <w:color w:val="auto"/>
          <w:sz w:val="24"/>
          <w:szCs w:val="22"/>
          <w:highlight w:val="none"/>
          <w:lang w:eastAsia="zh-CN"/>
        </w:rPr>
      </w:pPr>
    </w:p>
    <w:p>
      <w:pPr>
        <w:pStyle w:val="3"/>
        <w:keepNext w:val="0"/>
        <w:keepLines w:val="0"/>
        <w:pageBreakBefore/>
        <w:spacing w:line="240" w:lineRule="auto"/>
        <w:jc w:val="center"/>
        <w:rPr>
          <w:rFonts w:hint="eastAsia" w:ascii="宋体" w:hAnsi="宋体" w:eastAsia="宋体" w:cs="宋体"/>
          <w:color w:val="auto"/>
          <w:kern w:val="0"/>
          <w:sz w:val="24"/>
          <w:szCs w:val="24"/>
          <w:highlight w:val="none"/>
        </w:rPr>
      </w:pPr>
      <w:bookmarkStart w:id="25" w:name="_Toc32388"/>
      <w:r>
        <w:rPr>
          <w:rFonts w:hint="eastAsia" w:ascii="宋体" w:hAnsi="宋体" w:eastAsia="宋体" w:cs="宋体"/>
          <w:color w:val="auto"/>
          <w:sz w:val="24"/>
          <w:szCs w:val="24"/>
          <w:highlight w:val="none"/>
        </w:rPr>
        <w:t>第三章   投标人须知</w:t>
      </w:r>
      <w:bookmarkEnd w:id="25"/>
    </w:p>
    <w:p>
      <w:pPr>
        <w:pStyle w:val="12"/>
        <w:snapToGrid w:val="0"/>
        <w:spacing w:before="120" w:after="120"/>
        <w:ind w:firstLine="472" w:firstLineChars="196"/>
        <w:jc w:val="center"/>
        <w:outlineLvl w:val="1"/>
        <w:rPr>
          <w:rFonts w:hint="eastAsia" w:ascii="宋体" w:hAnsi="宋体" w:eastAsia="宋体" w:cs="宋体"/>
          <w:b/>
          <w:color w:val="auto"/>
          <w:szCs w:val="24"/>
          <w:highlight w:val="none"/>
        </w:rPr>
      </w:pPr>
      <w:bookmarkStart w:id="26" w:name="_Toc17314"/>
      <w:r>
        <w:rPr>
          <w:rFonts w:hint="eastAsia" w:ascii="宋体" w:hAnsi="宋体" w:eastAsia="宋体" w:cs="宋体"/>
          <w:b/>
          <w:color w:val="auto"/>
          <w:szCs w:val="24"/>
          <w:highlight w:val="none"/>
        </w:rPr>
        <w:t>前附表</w:t>
      </w:r>
      <w:bookmarkEnd w:id="26"/>
    </w:p>
    <w:tbl>
      <w:tblPr>
        <w:tblStyle w:val="22"/>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49"/>
        <w:gridCol w:w="875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4"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序号</w:t>
            </w:r>
          </w:p>
        </w:tc>
        <w:tc>
          <w:tcPr>
            <w:tcW w:w="87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内容、要求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21"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ind w:firstLine="240" w:firstLineChars="1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p>
        </w:tc>
        <w:tc>
          <w:tcPr>
            <w:tcW w:w="87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left"/>
              <w:rPr>
                <w:rFonts w:hint="eastAsia" w:ascii="宋体" w:hAnsi="宋体" w:eastAsia="宋体" w:cs="宋体"/>
                <w:b/>
                <w:bCs/>
                <w:color w:val="auto"/>
                <w:sz w:val="24"/>
                <w:highlight w:val="none"/>
                <w:lang w:eastAsia="zh-CN"/>
              </w:rPr>
            </w:pPr>
            <w:r>
              <w:rPr>
                <w:rFonts w:hint="eastAsia" w:ascii="宋体" w:hAnsi="宋体" w:eastAsia="宋体" w:cs="宋体"/>
                <w:color w:val="auto"/>
                <w:sz w:val="24"/>
                <w:highlight w:val="none"/>
              </w:rPr>
              <w:t>项目名称：</w:t>
            </w:r>
            <w:r>
              <w:rPr>
                <w:rFonts w:hint="eastAsia" w:ascii="宋体" w:hAnsi="宋体" w:cs="宋体"/>
                <w:color w:val="auto"/>
                <w:sz w:val="24"/>
                <w:highlight w:val="none"/>
                <w:lang w:eastAsia="zh-CN"/>
              </w:rPr>
              <w:t>东阳市横店医院公共卫生综合楼百级手术室、供应中心净化系统设备采购及安装项目</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77"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p>
        </w:tc>
        <w:tc>
          <w:tcPr>
            <w:tcW w:w="87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投标报价及费用：1、本项目投标应以</w:t>
            </w:r>
            <w:r>
              <w:rPr>
                <w:rFonts w:hint="eastAsia" w:ascii="宋体" w:hAnsi="宋体" w:cs="宋体"/>
                <w:color w:val="auto"/>
                <w:sz w:val="24"/>
                <w:highlight w:val="none"/>
                <w:lang w:val="en-US" w:eastAsia="zh-CN"/>
              </w:rPr>
              <w:t>人民币</w:t>
            </w:r>
            <w:r>
              <w:rPr>
                <w:rFonts w:hint="eastAsia" w:ascii="宋体" w:hAnsi="宋体" w:eastAsia="宋体" w:cs="宋体"/>
                <w:color w:val="auto"/>
                <w:sz w:val="24"/>
                <w:highlight w:val="none"/>
              </w:rPr>
              <w:t>报价；2、不论投标结果如何，投标人均应自行承担所有与投标有关的全部费用；3、投标费用：东阳市鑫盛工程咨询有限公司按照本招标文件总则第（五）条规定向中标人收取中标服务费。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bidi w:val="0"/>
              <w:adjustRightInd/>
              <w:snapToGrid w:val="0"/>
              <w:spacing w:line="420" w:lineRule="exact"/>
              <w:jc w:val="center"/>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sz w:val="24"/>
                <w:szCs w:val="24"/>
                <w:highlight w:val="none"/>
                <w:lang w:val="en-US" w:eastAsia="zh-CN"/>
              </w:rPr>
              <w:t>3</w:t>
            </w:r>
          </w:p>
        </w:tc>
        <w:tc>
          <w:tcPr>
            <w:tcW w:w="875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bidi w:val="0"/>
              <w:adjustRightInd/>
              <w:snapToGrid w:val="0"/>
              <w:spacing w:line="420" w:lineRule="exact"/>
              <w:rPr>
                <w:rFonts w:hint="eastAsia" w:ascii="宋体" w:hAnsi="宋体" w:eastAsia="宋体" w:cs="宋体"/>
                <w:color w:val="auto"/>
                <w:kern w:val="2"/>
                <w:sz w:val="24"/>
                <w:szCs w:val="24"/>
                <w:highlight w:val="none"/>
                <w:lang w:val="en-US" w:eastAsia="zh-CN" w:bidi="ar-SA"/>
              </w:rPr>
            </w:pPr>
            <w:r>
              <w:rPr>
                <w:rFonts w:hint="eastAsia" w:ascii="宋体" w:hAnsi="宋体" w:cs="宋体"/>
                <w:b/>
                <w:bCs/>
                <w:color w:val="auto"/>
                <w:sz w:val="24"/>
                <w:szCs w:val="24"/>
                <w:highlight w:val="none"/>
              </w:rPr>
              <w:t>根据《政府采购促进中小企业管理办法》及《关于印发中小企业划型标准规定的通</w:t>
            </w:r>
            <w:r>
              <w:rPr>
                <w:rFonts w:hint="eastAsia" w:ascii="宋体" w:hAnsi="宋体" w:cs="宋体"/>
                <w:b/>
                <w:bCs/>
                <w:color w:val="auto"/>
                <w:sz w:val="24"/>
                <w:szCs w:val="24"/>
                <w:highlight w:val="none"/>
                <w:shd w:val="clear"/>
              </w:rPr>
              <w:t>知工信部联企业》（〔2011〕300号）有关规定，本采购标的对应的所属行业为</w:t>
            </w:r>
            <w:r>
              <w:rPr>
                <w:rFonts w:hint="eastAsia" w:ascii="宋体" w:hAnsi="宋体" w:cs="宋体"/>
                <w:b/>
                <w:bCs/>
                <w:color w:val="auto"/>
                <w:sz w:val="24"/>
                <w:szCs w:val="24"/>
                <w:highlight w:val="none"/>
                <w:shd w:val="clear"/>
                <w:lang w:eastAsia="zh-CN"/>
              </w:rPr>
              <w:t>：</w:t>
            </w:r>
            <w:r>
              <w:rPr>
                <w:rFonts w:hint="eastAsia" w:ascii="宋体" w:hAnsi="宋体" w:cs="宋体"/>
                <w:b/>
                <w:bCs/>
                <w:color w:val="auto"/>
                <w:sz w:val="24"/>
                <w:szCs w:val="24"/>
                <w:highlight w:val="none"/>
                <w:shd w:val="clear"/>
                <w:lang w:val="en-US" w:eastAsia="zh-CN"/>
              </w:rPr>
              <w:t>制造业、建筑业。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50"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hint="eastAsia" w:ascii="宋体" w:hAnsi="宋体" w:cs="宋体"/>
                <w:color w:val="auto"/>
                <w:sz w:val="24"/>
                <w:szCs w:val="24"/>
                <w:highlight w:val="none"/>
                <w:lang w:val="en-US" w:eastAsia="zh-CN"/>
              </w:rPr>
            </w:pPr>
            <w:r>
              <w:rPr>
                <w:rFonts w:hint="eastAsia" w:ascii="宋体" w:hAnsi="宋体" w:cs="宋体"/>
                <w:color w:val="auto"/>
                <w:sz w:val="24"/>
                <w:highlight w:val="none"/>
                <w:lang w:val="en-US" w:eastAsia="zh-CN"/>
              </w:rPr>
              <w:t>4</w:t>
            </w:r>
          </w:p>
        </w:tc>
        <w:tc>
          <w:tcPr>
            <w:tcW w:w="87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根据《关于在政府采购活动中查询及使用信用记录有关问题的通知》财库[2016]125号的规定：</w:t>
            </w:r>
          </w:p>
          <w:p>
            <w:pP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eastAsia="zh-CN"/>
              </w:rPr>
              <w:t>采购</w:t>
            </w:r>
            <w:r>
              <w:rPr>
                <w:rFonts w:hint="eastAsia" w:ascii="宋体" w:hAnsi="宋体" w:cs="宋体"/>
                <w:color w:val="auto"/>
                <w:sz w:val="24"/>
                <w:highlight w:val="none"/>
              </w:rPr>
              <w:t>人或采购代理机构将对本项目供应商的信用记录进行查询。查询渠道为信用中国网站（www.creditchina.gov.cn）、中国政府采购网（www.ccgp.gov.cn）；</w:t>
            </w:r>
          </w:p>
          <w:p>
            <w:pP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（2）截止时点：提交投标文件（响应文件）截止时间前3年内；</w:t>
            </w:r>
          </w:p>
          <w:p>
            <w:pP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（3）查询记录和证据的留存：信用信息查询记录和证据以网页截图等方式留存。</w:t>
            </w:r>
          </w:p>
          <w:p>
            <w:pP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（4）使用规则：被列入失信被执行人、重大税收违法案件当事人名单、政府采购严重违法失信行为记录名单及其它不符合《中华人民共和国政府采购法》第二十二条规定条件的，其投标将被拒绝。</w:t>
            </w:r>
          </w:p>
          <w:p>
            <w:pPr>
              <w:snapToGrid w:val="0"/>
              <w:spacing w:line="360" w:lineRule="auto"/>
              <w:rPr>
                <w:rFonts w:hint="eastAsia" w:ascii="宋体" w:hAnsi="宋体" w:cs="宋体"/>
                <w:b/>
                <w:bCs/>
                <w:color w:val="auto"/>
                <w:sz w:val="24"/>
                <w:szCs w:val="24"/>
                <w:highlight w:val="none"/>
              </w:rPr>
            </w:pPr>
            <w:r>
              <w:rPr>
                <w:rFonts w:hint="eastAsia" w:ascii="宋体" w:hAnsi="宋体" w:cs="宋体"/>
                <w:color w:val="auto"/>
                <w:sz w:val="24"/>
                <w:highlight w:val="none"/>
              </w:rPr>
              <w:t>（5）联合体成员任意一方存在不良信用记录的，视同联合体存在不良信用记录。</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50"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hint="default" w:ascii="宋体" w:hAnsi="宋体" w:cs="宋体"/>
                <w:color w:val="auto"/>
                <w:sz w:val="24"/>
                <w:highlight w:val="none"/>
                <w:lang w:val="en-US" w:eastAsia="zh-CN"/>
              </w:rPr>
            </w:pPr>
            <w:r>
              <w:rPr>
                <w:rFonts w:hint="eastAsia" w:ascii="宋体" w:hAnsi="宋体" w:cs="宋体"/>
                <w:color w:val="auto"/>
                <w:sz w:val="24"/>
                <w:highlight w:val="none"/>
                <w:lang w:val="en-US" w:eastAsia="zh-CN"/>
              </w:rPr>
              <w:t>5</w:t>
            </w:r>
          </w:p>
        </w:tc>
        <w:tc>
          <w:tcPr>
            <w:tcW w:w="87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lang w:val="en-US" w:eastAsia="zh-CN"/>
              </w:rPr>
              <w:t>1</w:t>
            </w:r>
            <w:r>
              <w:rPr>
                <w:rFonts w:hint="eastAsia" w:ascii="宋体" w:hAnsi="宋体" w:cs="宋体"/>
                <w:color w:val="auto"/>
                <w:sz w:val="24"/>
                <w:highlight w:val="none"/>
              </w:rPr>
              <w:t>、节能产品、环境标志产品的强制采购政策</w:t>
            </w:r>
          </w:p>
          <w:p>
            <w:pP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根据财政部、国家发展和改革委员会、生态环境部等部门公布的政府采购节能产品、环境标志产品品目清单的规定，依据品目清单和认证证书实施政府优先采购和强制采购。采购人拟采购的产品属于品目清单范围内的强制采购品目的，投标人提供的产品应具有国家确定的认证机构出具的、处于有效期之内的节能产品、环境标志产品认证证书，并在响应文件中提供该产品节能产品、环境标志产品认证证书，否则无效。（注：本项目执行最新政府采购节能产品、环境标志产品品目清单。）</w:t>
            </w:r>
          </w:p>
          <w:p>
            <w:pP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lang w:val="en-US" w:eastAsia="zh-CN"/>
              </w:rPr>
              <w:t>2</w:t>
            </w:r>
            <w:r>
              <w:rPr>
                <w:rFonts w:hint="eastAsia" w:ascii="宋体" w:hAnsi="宋体" w:cs="宋体"/>
                <w:color w:val="auto"/>
                <w:sz w:val="24"/>
                <w:highlight w:val="none"/>
              </w:rPr>
              <w:t>、节能产品、环境标志产品的优先采购政策</w:t>
            </w:r>
          </w:p>
          <w:p>
            <w:pP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根据财政部、国家发展和改革委员会、生态环境部等部门公布的政府采购节能产品、环境标志产品品目清单的规定、依据品目清单和认证证书实施政府优先采购和强制采购。采购人拟采购的产品属于品目清单范围内的优先采购品目的，投标人提供的产品应具有国家确定的认证机构出具的、处于有效期之内的节能产品、环境标志产品认证证书，并在响应文件中提供该产品节能产品、环境标志产品认证证书，（注：本项目执行最新政府采购节能产品、环境标志产品品目清单。）</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highlight w:val="none"/>
                <w:lang w:eastAsia="zh-CN"/>
              </w:rPr>
            </w:pPr>
            <w:r>
              <w:rPr>
                <w:rFonts w:hint="eastAsia" w:ascii="宋体" w:hAnsi="宋体" w:cs="宋体"/>
                <w:color w:val="auto"/>
                <w:sz w:val="24"/>
                <w:highlight w:val="none"/>
                <w:lang w:val="en-US" w:eastAsia="zh-CN"/>
              </w:rPr>
              <w:t>6</w:t>
            </w:r>
          </w:p>
        </w:tc>
        <w:tc>
          <w:tcPr>
            <w:tcW w:w="87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答疑与澄清：投标人如认为招标文件表述不清晰、存在歧视性、排他性或者其他违法内容的，应当按照公开招标公告第</w:t>
            </w:r>
            <w:r>
              <w:rPr>
                <w:rFonts w:hint="eastAsia" w:ascii="宋体" w:hAnsi="宋体" w:eastAsia="宋体" w:cs="宋体"/>
                <w:color w:val="auto"/>
                <w:sz w:val="24"/>
                <w:highlight w:val="none"/>
                <w:lang w:eastAsia="zh-CN"/>
              </w:rPr>
              <w:t>三、</w:t>
            </w:r>
            <w:r>
              <w:rPr>
                <w:rFonts w:hint="eastAsia" w:ascii="宋体" w:hAnsi="宋体" w:cs="宋体"/>
                <w:color w:val="auto"/>
                <w:sz w:val="24"/>
                <w:highlight w:val="none"/>
                <w:lang w:val="en-US" w:eastAsia="zh-CN"/>
              </w:rPr>
              <w:t>七</w:t>
            </w:r>
            <w:r>
              <w:rPr>
                <w:rFonts w:hint="eastAsia" w:ascii="宋体" w:hAnsi="宋体" w:eastAsia="宋体" w:cs="宋体"/>
                <w:color w:val="auto"/>
                <w:sz w:val="24"/>
                <w:highlight w:val="none"/>
              </w:rPr>
              <w:t>条规定以书面形式要求招标方作出书面解释、澄清或者向招标方提出书面质疑；</w:t>
            </w:r>
            <w:r>
              <w:rPr>
                <w:rFonts w:hint="eastAsia" w:ascii="宋体" w:hAnsi="宋体" w:eastAsia="宋体" w:cs="宋体"/>
                <w:b/>
                <w:color w:val="auto"/>
                <w:sz w:val="24"/>
                <w:highlight w:val="none"/>
              </w:rPr>
              <w:t>在质疑截止时间前，未对招标文件提出质疑时，视投标人对招标文件的默认；</w:t>
            </w:r>
            <w:r>
              <w:rPr>
                <w:rFonts w:hint="eastAsia" w:ascii="宋体" w:hAnsi="宋体" w:eastAsia="宋体" w:cs="宋体"/>
                <w:color w:val="auto"/>
                <w:sz w:val="24"/>
                <w:highlight w:val="none"/>
              </w:rPr>
              <w:t>招标采购单位对已发出的招标文件进行必要澄清、答复、修改或者补充的，在财政部门指定的政府采购信息发布媒体上发布更正公告，并以书面形式通知所有已获取招标文件的投标人；答疑内容是招标文件的组成部分；澄清或者修改的内容可能影响投标文件编制的，应当在投标截止时间至少15日前，以书面形式通知所有获取招标文件的潜在投标人；不足15日的，顺延提交投标文件的截止时间。</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4"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highlight w:val="none"/>
                <w:lang w:eastAsia="zh-CN"/>
              </w:rPr>
            </w:pPr>
            <w:r>
              <w:rPr>
                <w:rFonts w:hint="eastAsia" w:ascii="宋体" w:hAnsi="宋体" w:cs="宋体"/>
                <w:color w:val="auto"/>
                <w:sz w:val="24"/>
                <w:highlight w:val="none"/>
                <w:lang w:val="en-US" w:eastAsia="zh-CN"/>
              </w:rPr>
              <w:t>7</w:t>
            </w:r>
          </w:p>
        </w:tc>
        <w:tc>
          <w:tcPr>
            <w:tcW w:w="8750" w:type="dxa"/>
            <w:tcBorders>
              <w:top w:val="single" w:color="auto" w:sz="4" w:space="0"/>
              <w:left w:val="single" w:color="auto" w:sz="4" w:space="0"/>
              <w:bottom w:val="single" w:color="auto" w:sz="4" w:space="0"/>
              <w:right w:val="single" w:color="auto" w:sz="4" w:space="0"/>
            </w:tcBorders>
            <w:vAlign w:val="center"/>
          </w:tcPr>
          <w:p>
            <w:pPr>
              <w:autoSpaceDE w:val="0"/>
              <w:autoSpaceDN w:val="0"/>
              <w:snapToGrid w:val="0"/>
              <w:spacing w:line="360" w:lineRule="auto"/>
              <w:textAlignment w:val="bottom"/>
              <w:rPr>
                <w:rFonts w:hint="eastAsia" w:ascii="宋体" w:hAnsi="宋体" w:eastAsia="宋体" w:cs="宋体"/>
                <w:color w:val="auto"/>
                <w:sz w:val="24"/>
                <w:highlight w:val="none"/>
              </w:rPr>
            </w:pPr>
            <w:r>
              <w:rPr>
                <w:rFonts w:hint="eastAsia" w:ascii="宋体" w:hAnsi="宋体" w:eastAsia="宋体" w:cs="宋体"/>
                <w:color w:val="auto"/>
                <w:sz w:val="24"/>
                <w:highlight w:val="none"/>
              </w:rPr>
              <w:t>投标文件的递交：</w:t>
            </w:r>
          </w:p>
          <w:p>
            <w:pPr>
              <w:autoSpaceDE w:val="0"/>
              <w:autoSpaceDN w:val="0"/>
              <w:snapToGrid w:val="0"/>
              <w:spacing w:line="360" w:lineRule="auto"/>
              <w:textAlignment w:val="bottom"/>
              <w:rPr>
                <w:rFonts w:hint="eastAsia" w:ascii="宋体" w:hAnsi="宋体" w:eastAsia="宋体" w:cs="宋体"/>
                <w:color w:val="auto"/>
                <w:sz w:val="24"/>
                <w:highlight w:val="none"/>
              </w:rPr>
            </w:pPr>
            <w:r>
              <w:rPr>
                <w:rFonts w:hint="eastAsia" w:ascii="宋体" w:hAnsi="宋体" w:eastAsia="宋体" w:cs="宋体"/>
                <w:color w:val="auto"/>
                <w:sz w:val="24"/>
                <w:highlight w:val="none"/>
              </w:rPr>
              <w:t>本项目投标文件由资格审查文件、商务技术文件和报价文件三部分组成。投标人应按以下方式递交投标文件：</w:t>
            </w:r>
          </w:p>
          <w:p>
            <w:pPr>
              <w:autoSpaceDE w:val="0"/>
              <w:autoSpaceDN w:val="0"/>
              <w:snapToGrid w:val="0"/>
              <w:spacing w:line="360" w:lineRule="auto"/>
              <w:textAlignment w:val="bottom"/>
              <w:rPr>
                <w:rFonts w:hint="eastAsia" w:ascii="宋体" w:hAnsi="宋体" w:eastAsia="宋体" w:cs="宋体"/>
                <w:color w:val="auto"/>
                <w:sz w:val="24"/>
                <w:highlight w:val="none"/>
              </w:rPr>
            </w:pPr>
            <w:r>
              <w:rPr>
                <w:rFonts w:hint="eastAsia" w:ascii="宋体" w:hAnsi="宋体" w:eastAsia="宋体" w:cs="宋体"/>
                <w:color w:val="auto"/>
                <w:sz w:val="24"/>
                <w:highlight w:val="none"/>
              </w:rPr>
              <w:t>▲1、本项目实行“网上投标、电子评标”，投标人应于投标截止时间前在“政采云”（电子交易平台）上传输、递交电子版投标文件（包括资格审查文件、商务技术文件和报价文件）；</w:t>
            </w:r>
          </w:p>
          <w:p>
            <w:pPr>
              <w:autoSpaceDE w:val="0"/>
              <w:autoSpaceDN w:val="0"/>
              <w:snapToGrid w:val="0"/>
              <w:spacing w:line="360" w:lineRule="auto"/>
              <w:textAlignment w:val="bottom"/>
              <w:rPr>
                <w:rFonts w:hint="eastAsia" w:ascii="宋体" w:hAnsi="宋体" w:eastAsia="宋体" w:cs="宋体"/>
                <w:color w:val="auto"/>
                <w:sz w:val="24"/>
                <w:highlight w:val="none"/>
              </w:rPr>
            </w:pPr>
            <w:r>
              <w:rPr>
                <w:rFonts w:hint="eastAsia" w:ascii="宋体" w:hAnsi="宋体" w:eastAsia="宋体" w:cs="宋体"/>
                <w:color w:val="auto"/>
                <w:sz w:val="24"/>
                <w:highlight w:val="none"/>
              </w:rPr>
              <w:t>2、为了避免由于电子交易平台无法正常运行等技术、安全故障原因造成投标文件无法解密或解密失败，导致投标无效的情况，投标人可以在投标截止时间前将电子备份投标文件（经政采云电子交易客户端和CA驱动制作出的后缀名为“bfbs”的加密电子备份投标文件）发送至东阳市鑫盛工程咨询有限公司邮箱：1816352277@qq.com，逾期发送或发错后缀名的备份投标文件将被视为无效；</w:t>
            </w:r>
          </w:p>
          <w:p>
            <w:pPr>
              <w:autoSpaceDE w:val="0"/>
              <w:autoSpaceDN w:val="0"/>
              <w:snapToGrid w:val="0"/>
              <w:spacing w:line="360" w:lineRule="auto"/>
              <w:textAlignment w:val="bottom"/>
              <w:rPr>
                <w:rFonts w:hint="eastAsia" w:ascii="宋体" w:hAnsi="宋体" w:eastAsia="宋体" w:cs="宋体"/>
                <w:color w:val="auto"/>
                <w:sz w:val="24"/>
                <w:highlight w:val="none"/>
              </w:rPr>
            </w:pPr>
            <w:r>
              <w:rPr>
                <w:rFonts w:hint="eastAsia" w:ascii="宋体" w:hAnsi="宋体" w:eastAsia="宋体" w:cs="宋体"/>
                <w:color w:val="auto"/>
                <w:sz w:val="24"/>
                <w:highlight w:val="none"/>
              </w:rPr>
              <w:t>3、投标人仅提交电子备份投标文件的，投标无效；</w:t>
            </w:r>
          </w:p>
          <w:p>
            <w:pPr>
              <w:autoSpaceDE w:val="0"/>
              <w:autoSpaceDN w:val="0"/>
              <w:snapToGrid w:val="0"/>
              <w:spacing w:line="360" w:lineRule="auto"/>
              <w:textAlignment w:val="bottom"/>
              <w:rPr>
                <w:rFonts w:hint="eastAsia" w:ascii="宋体" w:hAnsi="宋体" w:eastAsia="宋体" w:cs="宋体"/>
                <w:color w:val="auto"/>
                <w:sz w:val="24"/>
                <w:highlight w:val="none"/>
              </w:rPr>
            </w:pPr>
            <w:r>
              <w:rPr>
                <w:rFonts w:hint="eastAsia" w:ascii="宋体" w:hAnsi="宋体" w:eastAsia="宋体" w:cs="宋体"/>
                <w:color w:val="auto"/>
                <w:sz w:val="24"/>
                <w:highlight w:val="none"/>
              </w:rPr>
              <w:t>4、本项目不强制投标人提交电子备份投标文件；如在开评标时出现电子投标文件无法解密或解密失败等情况，因投标人未提供电子备份投标文件而造成投标无效等一切后果和风险由投标人自行承担。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28"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8</w:t>
            </w:r>
          </w:p>
        </w:tc>
        <w:tc>
          <w:tcPr>
            <w:tcW w:w="87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hint="eastAsia" w:ascii="宋体" w:hAnsi="宋体" w:eastAsia="宋体" w:cs="宋体"/>
                <w:bCs/>
                <w:color w:val="auto"/>
                <w:sz w:val="24"/>
                <w:highlight w:val="none"/>
                <w:u w:val="single"/>
                <w:lang w:eastAsia="zh-CN"/>
              </w:rPr>
            </w:pPr>
            <w:r>
              <w:rPr>
                <w:rFonts w:hint="eastAsia" w:ascii="宋体" w:hAnsi="宋体" w:eastAsia="宋体" w:cs="宋体"/>
                <w:bCs/>
                <w:color w:val="auto"/>
                <w:sz w:val="24"/>
                <w:highlight w:val="none"/>
              </w:rPr>
              <w:t>投标截止时间：</w:t>
            </w:r>
            <w:r>
              <w:rPr>
                <w:rFonts w:hint="eastAsia" w:ascii="宋体" w:hAnsi="宋体" w:cs="宋体"/>
                <w:color w:val="auto"/>
                <w:sz w:val="24"/>
                <w:highlight w:val="none"/>
                <w:lang w:eastAsia="zh-CN"/>
              </w:rPr>
              <w:t>2022年</w:t>
            </w:r>
            <w:r>
              <w:rPr>
                <w:rFonts w:hint="eastAsia" w:ascii="宋体" w:hAnsi="宋体" w:cs="宋体"/>
                <w:color w:val="auto"/>
                <w:sz w:val="24"/>
                <w:highlight w:val="none"/>
                <w:lang w:val="en-US" w:eastAsia="zh-CN"/>
              </w:rPr>
              <w:t>11</w:t>
            </w:r>
            <w:r>
              <w:rPr>
                <w:rFonts w:hint="eastAsia" w:ascii="宋体" w:hAnsi="宋体" w:cs="宋体"/>
                <w:color w:val="auto"/>
                <w:sz w:val="24"/>
                <w:highlight w:val="none"/>
                <w:lang w:eastAsia="zh-CN"/>
              </w:rPr>
              <w:t>月</w:t>
            </w:r>
            <w:r>
              <w:rPr>
                <w:rFonts w:hint="eastAsia" w:ascii="宋体" w:hAnsi="宋体" w:cs="宋体"/>
                <w:color w:val="auto"/>
                <w:sz w:val="24"/>
                <w:highlight w:val="none"/>
                <w:lang w:val="en-US" w:eastAsia="zh-CN"/>
              </w:rPr>
              <w:t>9</w:t>
            </w:r>
            <w:r>
              <w:rPr>
                <w:rFonts w:hint="eastAsia" w:ascii="宋体" w:hAnsi="宋体" w:cs="宋体"/>
                <w:color w:val="auto"/>
                <w:sz w:val="24"/>
                <w:highlight w:val="none"/>
                <w:lang w:eastAsia="zh-CN"/>
              </w:rPr>
              <w:t>日</w:t>
            </w:r>
            <w:r>
              <w:rPr>
                <w:rFonts w:hint="eastAsia" w:ascii="宋体" w:hAnsi="宋体" w:cs="宋体"/>
                <w:color w:val="auto"/>
                <w:sz w:val="24"/>
                <w:highlight w:val="none"/>
                <w:lang w:val="en-US" w:eastAsia="zh-CN"/>
              </w:rPr>
              <w:t>8</w:t>
            </w:r>
            <w:r>
              <w:rPr>
                <w:rFonts w:hint="eastAsia" w:ascii="宋体" w:hAnsi="宋体" w:cs="宋体"/>
                <w:color w:val="auto"/>
                <w:sz w:val="24"/>
                <w:highlight w:val="none"/>
                <w:lang w:eastAsia="zh-CN"/>
              </w:rPr>
              <w:t>时</w:t>
            </w:r>
            <w:r>
              <w:rPr>
                <w:rFonts w:hint="eastAsia" w:ascii="宋体" w:hAnsi="宋体" w:cs="宋体"/>
                <w:color w:val="auto"/>
                <w:sz w:val="24"/>
                <w:highlight w:val="none"/>
                <w:lang w:val="en-US" w:eastAsia="zh-CN"/>
              </w:rPr>
              <w:t>30</w:t>
            </w:r>
            <w:r>
              <w:rPr>
                <w:rFonts w:hint="eastAsia" w:ascii="宋体" w:hAnsi="宋体" w:cs="宋体"/>
                <w:color w:val="auto"/>
                <w:sz w:val="24"/>
                <w:highlight w:val="none"/>
                <w:lang w:eastAsia="zh-CN"/>
              </w:rPr>
              <w:t>分</w:t>
            </w:r>
          </w:p>
          <w:p>
            <w:pPr>
              <w:pStyle w:val="12"/>
              <w:spacing w:line="360" w:lineRule="auto"/>
              <w:rPr>
                <w:rFonts w:hint="eastAsia" w:ascii="宋体" w:hAnsi="宋体" w:eastAsia="宋体" w:cs="宋体"/>
                <w:bCs/>
                <w:color w:val="auto"/>
                <w:szCs w:val="24"/>
                <w:highlight w:val="none"/>
              </w:rPr>
            </w:pPr>
            <w:r>
              <w:rPr>
                <w:rFonts w:hint="eastAsia" w:ascii="宋体" w:hAnsi="宋体" w:eastAsia="宋体" w:cs="宋体"/>
                <w:bCs/>
                <w:color w:val="auto"/>
                <w:szCs w:val="24"/>
                <w:highlight w:val="none"/>
              </w:rPr>
              <w:t>1、投标人应当在投标截止时间前在“政采云”（电子交易平台）上自行上传加密的电子投标文件。投标截止时间前未完成传输的，视为撤回电子投标文件。投标截止时间后递交的电子投标文件，将被政采云平台拒收。</w:t>
            </w:r>
          </w:p>
          <w:p>
            <w:pPr>
              <w:snapToGrid w:val="0"/>
              <w:spacing w:line="360" w:lineRule="auto"/>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2、电子备份投标文件的递交时间：投标人应当在投标截止时间前，逾期未递交的视为自动放弃。</w:t>
            </w:r>
          </w:p>
          <w:p>
            <w:pPr>
              <w:pStyle w:val="12"/>
              <w:spacing w:line="360" w:lineRule="auto"/>
              <w:rPr>
                <w:rFonts w:hint="eastAsia" w:ascii="宋体" w:hAnsi="宋体" w:eastAsia="宋体" w:cs="宋体"/>
                <w:color w:val="auto"/>
                <w:szCs w:val="24"/>
                <w:highlight w:val="none"/>
              </w:rPr>
            </w:pPr>
            <w:r>
              <w:rPr>
                <w:rFonts w:hint="eastAsia" w:ascii="宋体" w:hAnsi="宋体" w:eastAsia="宋体" w:cs="宋体"/>
                <w:bCs/>
                <w:color w:val="auto"/>
                <w:szCs w:val="24"/>
                <w:highlight w:val="none"/>
              </w:rPr>
              <w:t>3、投标人应当在投标截止时间前完成投标准备事宜（应具备上网的技术条件并保持网络及联系方式畅通）及电子投标文件的传输递交，可以补充、修改或者撤回电子投标文件。补充或者修改电子投标文件的，应当先行撤回原文件，补充、修改后重新传输递交。</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42"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highlight w:val="none"/>
                <w:lang w:eastAsia="zh-CN"/>
              </w:rPr>
            </w:pPr>
            <w:r>
              <w:rPr>
                <w:rFonts w:hint="eastAsia" w:ascii="宋体" w:hAnsi="宋体" w:cs="宋体"/>
                <w:color w:val="auto"/>
                <w:sz w:val="24"/>
                <w:highlight w:val="none"/>
                <w:lang w:val="en-US" w:eastAsia="zh-CN"/>
              </w:rPr>
              <w:t>9</w:t>
            </w:r>
          </w:p>
        </w:tc>
        <w:tc>
          <w:tcPr>
            <w:tcW w:w="87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开标时间：</w:t>
            </w:r>
            <w:r>
              <w:rPr>
                <w:rFonts w:hint="eastAsia" w:ascii="宋体" w:hAnsi="宋体" w:cs="宋体"/>
                <w:color w:val="auto"/>
                <w:sz w:val="24"/>
                <w:highlight w:val="none"/>
                <w:lang w:eastAsia="zh-CN"/>
              </w:rPr>
              <w:t>2022年</w:t>
            </w:r>
            <w:r>
              <w:rPr>
                <w:rFonts w:hint="eastAsia" w:ascii="宋体" w:hAnsi="宋体" w:cs="宋体"/>
                <w:color w:val="auto"/>
                <w:sz w:val="24"/>
                <w:highlight w:val="none"/>
                <w:lang w:val="en-US" w:eastAsia="zh-CN"/>
              </w:rPr>
              <w:t>11</w:t>
            </w:r>
            <w:r>
              <w:rPr>
                <w:rFonts w:hint="eastAsia" w:ascii="宋体" w:hAnsi="宋体" w:cs="宋体"/>
                <w:color w:val="auto"/>
                <w:sz w:val="24"/>
                <w:highlight w:val="none"/>
                <w:lang w:eastAsia="zh-CN"/>
              </w:rPr>
              <w:t>月</w:t>
            </w:r>
            <w:r>
              <w:rPr>
                <w:rFonts w:hint="eastAsia" w:ascii="宋体" w:hAnsi="宋体" w:cs="宋体"/>
                <w:color w:val="auto"/>
                <w:sz w:val="24"/>
                <w:highlight w:val="none"/>
                <w:lang w:val="en-US" w:eastAsia="zh-CN"/>
              </w:rPr>
              <w:t>9</w:t>
            </w:r>
            <w:r>
              <w:rPr>
                <w:rFonts w:hint="eastAsia" w:ascii="宋体" w:hAnsi="宋体" w:cs="宋体"/>
                <w:color w:val="auto"/>
                <w:sz w:val="24"/>
                <w:highlight w:val="none"/>
                <w:lang w:eastAsia="zh-CN"/>
              </w:rPr>
              <w:t>日</w:t>
            </w:r>
            <w:r>
              <w:rPr>
                <w:rFonts w:hint="eastAsia" w:ascii="宋体" w:hAnsi="宋体" w:cs="宋体"/>
                <w:color w:val="auto"/>
                <w:sz w:val="24"/>
                <w:highlight w:val="none"/>
                <w:lang w:val="en-US" w:eastAsia="zh-CN"/>
              </w:rPr>
              <w:t>8</w:t>
            </w:r>
            <w:r>
              <w:rPr>
                <w:rFonts w:hint="eastAsia" w:ascii="宋体" w:hAnsi="宋体" w:cs="宋体"/>
                <w:color w:val="auto"/>
                <w:sz w:val="24"/>
                <w:highlight w:val="none"/>
                <w:lang w:eastAsia="zh-CN"/>
              </w:rPr>
              <w:t>时</w:t>
            </w:r>
            <w:r>
              <w:rPr>
                <w:rFonts w:hint="eastAsia" w:ascii="宋体" w:hAnsi="宋体" w:cs="宋体"/>
                <w:color w:val="auto"/>
                <w:sz w:val="24"/>
                <w:highlight w:val="none"/>
                <w:lang w:val="en-US" w:eastAsia="zh-CN"/>
              </w:rPr>
              <w:t>30</w:t>
            </w:r>
            <w:r>
              <w:rPr>
                <w:rFonts w:hint="eastAsia" w:ascii="宋体" w:hAnsi="宋体" w:cs="宋体"/>
                <w:color w:val="auto"/>
                <w:sz w:val="24"/>
                <w:highlight w:val="none"/>
                <w:lang w:eastAsia="zh-CN"/>
              </w:rPr>
              <w:t>分</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本项目不要求投标人到开标现场开标，但投标人应派法定代表人或委托代理人【委托代理人应当是投标人的在职正式职工（以投标人本单位缴纳社保花名册为准）】准时在线出席电子开标会议，随时关注开标进度，如在开标过程中有电子询标，应在规定的时间内对电子询标函进行澄清回复。</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截止开标时间，政采云（电子交易平台）自动提取所有投标文件，投标人须在开标时间截止后30分钟内对上传政采云的投标文件进行解密，所有投标人在规定的解密时限内解密完成或解密时限到后，采购代理机构开启投标文件；投标人超过解密时限的，系统默认自动放弃。</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4"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10</w:t>
            </w:r>
          </w:p>
        </w:tc>
        <w:tc>
          <w:tcPr>
            <w:tcW w:w="8750" w:type="dxa"/>
            <w:tcBorders>
              <w:top w:val="single" w:color="auto" w:sz="4" w:space="0"/>
              <w:left w:val="single" w:color="auto" w:sz="4" w:space="0"/>
              <w:bottom w:val="single" w:color="auto" w:sz="4" w:space="0"/>
              <w:right w:val="single" w:color="auto" w:sz="4" w:space="0"/>
            </w:tcBorders>
            <w:vAlign w:val="center"/>
          </w:tcPr>
          <w:p>
            <w:pPr>
              <w:autoSpaceDE w:val="0"/>
              <w:autoSpaceDN w:val="0"/>
              <w:snapToGrid w:val="0"/>
              <w:spacing w:line="360" w:lineRule="auto"/>
              <w:textAlignment w:val="bottom"/>
              <w:rPr>
                <w:rFonts w:hint="eastAsia" w:ascii="宋体" w:hAnsi="宋体" w:eastAsia="宋体" w:cs="宋体"/>
                <w:color w:val="auto"/>
                <w:sz w:val="24"/>
                <w:highlight w:val="none"/>
              </w:rPr>
            </w:pPr>
            <w:r>
              <w:rPr>
                <w:rFonts w:hint="eastAsia" w:ascii="宋体" w:hAnsi="宋体" w:eastAsia="宋体" w:cs="宋体"/>
                <w:color w:val="auto"/>
                <w:sz w:val="24"/>
                <w:highlight w:val="none"/>
              </w:rPr>
              <w:t>评标办法：综合评分法</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77"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11</w:t>
            </w:r>
          </w:p>
        </w:tc>
        <w:tc>
          <w:tcPr>
            <w:tcW w:w="8750" w:type="dxa"/>
            <w:tcBorders>
              <w:top w:val="single" w:color="auto" w:sz="4" w:space="0"/>
              <w:left w:val="single" w:color="auto" w:sz="4" w:space="0"/>
              <w:bottom w:val="single" w:color="auto" w:sz="4" w:space="0"/>
              <w:right w:val="single" w:color="auto" w:sz="4" w:space="0"/>
            </w:tcBorders>
            <w:vAlign w:val="center"/>
          </w:tcPr>
          <w:p>
            <w:pPr>
              <w:autoSpaceDE w:val="0"/>
              <w:autoSpaceDN w:val="0"/>
              <w:snapToGrid w:val="0"/>
              <w:spacing w:line="360" w:lineRule="auto"/>
              <w:textAlignment w:val="bottom"/>
              <w:rPr>
                <w:rFonts w:hint="eastAsia" w:ascii="宋体" w:hAnsi="宋体" w:eastAsia="宋体" w:cs="宋体"/>
                <w:color w:val="auto"/>
                <w:sz w:val="24"/>
                <w:highlight w:val="none"/>
              </w:rPr>
            </w:pPr>
            <w:bookmarkStart w:id="27" w:name="_Toc457480905"/>
            <w:r>
              <w:rPr>
                <w:rFonts w:hint="eastAsia" w:ascii="宋体" w:hAnsi="宋体" w:eastAsia="宋体" w:cs="宋体"/>
                <w:color w:val="auto"/>
                <w:sz w:val="24"/>
                <w:highlight w:val="none"/>
              </w:rPr>
              <w:t>中标结果公告：自中标人确定之日起2个工作日内，中标结果公告于浙江省政府采购网(http://zfcg.czt.zj.gov.cn/)、东阳市公共资源交易网(http://www.dongyang.gov.cn/ggzyjy/index.html)，公告1个工作日</w:t>
            </w:r>
            <w:bookmarkEnd w:id="27"/>
            <w:r>
              <w:rPr>
                <w:rFonts w:hint="eastAsia" w:ascii="宋体" w:hAnsi="宋体" w:eastAsia="宋体" w:cs="宋体"/>
                <w:color w:val="auto"/>
                <w:sz w:val="24"/>
                <w:highlight w:val="none"/>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77"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12</w:t>
            </w:r>
          </w:p>
        </w:tc>
        <w:tc>
          <w:tcPr>
            <w:tcW w:w="8750" w:type="dxa"/>
            <w:tcBorders>
              <w:top w:val="single" w:color="auto" w:sz="4" w:space="0"/>
              <w:left w:val="single" w:color="auto" w:sz="4" w:space="0"/>
              <w:bottom w:val="single" w:color="auto" w:sz="4" w:space="0"/>
              <w:right w:val="single" w:color="auto" w:sz="4" w:space="0"/>
            </w:tcBorders>
            <w:vAlign w:val="center"/>
          </w:tcPr>
          <w:p>
            <w:pPr>
              <w:autoSpaceDE w:val="0"/>
              <w:autoSpaceDN w:val="0"/>
              <w:snapToGrid w:val="0"/>
              <w:spacing w:line="360" w:lineRule="auto"/>
              <w:textAlignment w:val="bottom"/>
              <w:rPr>
                <w:rFonts w:hint="eastAsia" w:ascii="宋体" w:hAnsi="宋体" w:eastAsia="宋体" w:cs="宋体"/>
                <w:color w:val="auto"/>
                <w:sz w:val="24"/>
                <w:highlight w:val="none"/>
              </w:rPr>
            </w:pPr>
            <w:r>
              <w:rPr>
                <w:rFonts w:hint="eastAsia" w:ascii="宋体" w:hAnsi="宋体" w:eastAsia="宋体" w:cs="宋体"/>
                <w:color w:val="auto"/>
                <w:sz w:val="24"/>
                <w:highlight w:val="none"/>
              </w:rPr>
              <w:t>《中标通知书》的领取时间：中标人应自中标结果公告结束日起，在3个工作日内领取，否则按放弃中标资格处理，并因违反诚信原则，提交财政部门列入政府采购黑名单。</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lang w:val="en-US" w:eastAsia="zh-CN"/>
              </w:rPr>
              <w:t>13</w:t>
            </w:r>
          </w:p>
        </w:tc>
        <w:tc>
          <w:tcPr>
            <w:tcW w:w="8750" w:type="dxa"/>
            <w:tcBorders>
              <w:top w:val="single" w:color="auto" w:sz="4" w:space="0"/>
              <w:left w:val="single" w:color="auto" w:sz="4" w:space="0"/>
              <w:bottom w:val="single" w:color="auto" w:sz="4" w:space="0"/>
              <w:right w:val="single" w:color="auto" w:sz="4" w:space="0"/>
            </w:tcBorders>
            <w:vAlign w:val="center"/>
          </w:tcPr>
          <w:p>
            <w:pPr>
              <w:autoSpaceDE w:val="0"/>
              <w:autoSpaceDN w:val="0"/>
              <w:snapToGrid w:val="0"/>
              <w:spacing w:line="360" w:lineRule="auto"/>
              <w:textAlignment w:val="bottom"/>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履约保证金：</w:t>
            </w:r>
            <w:r>
              <w:rPr>
                <w:rFonts w:hint="eastAsia" w:ascii="宋体" w:hAnsi="宋体" w:cs="宋体"/>
                <w:color w:val="auto"/>
                <w:sz w:val="24"/>
                <w:highlight w:val="none"/>
                <w:lang w:eastAsia="zh-CN"/>
              </w:rPr>
              <w:t>本项目不收取履约保证金</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42"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default"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lang w:val="en-US" w:eastAsia="zh-CN"/>
              </w:rPr>
              <w:t>14</w:t>
            </w:r>
          </w:p>
        </w:tc>
        <w:tc>
          <w:tcPr>
            <w:tcW w:w="87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1、</w:t>
            </w:r>
            <w:r>
              <w:rPr>
                <w:rFonts w:hint="eastAsia" w:ascii="宋体" w:hAnsi="宋体" w:eastAsia="宋体" w:cs="宋体"/>
                <w:color w:val="auto"/>
                <w:sz w:val="24"/>
                <w:highlight w:val="none"/>
              </w:rPr>
              <w:t>企业信用融资:省财政厅、浙江银监局、省金融办制定了《浙江省政府采购支持中小企业信用融资试点办法》浙财采监[2012]13号)，所称的政府采购信用融资，是指银行业金融机构(以下简称银行)以政府采购诚信考核和信用审查为基础，凭借政府采购合同，按优于一般中小企业的贷款利率直接向申请贷款的投标人发放贷款的一种融资方式。投标人可登</w:t>
            </w:r>
            <w:r>
              <w:rPr>
                <w:rFonts w:hint="eastAsia" w:ascii="宋体" w:hAnsi="宋体" w:cs="宋体"/>
                <w:color w:val="auto"/>
                <w:sz w:val="24"/>
                <w:highlight w:val="none"/>
                <w:lang w:val="en-US" w:eastAsia="zh-CN"/>
              </w:rPr>
              <w:t>录</w:t>
            </w:r>
            <w:r>
              <w:rPr>
                <w:rFonts w:hint="eastAsia" w:ascii="宋体" w:hAnsi="宋体" w:eastAsia="宋体" w:cs="宋体"/>
                <w:color w:val="auto"/>
                <w:sz w:val="24"/>
                <w:highlight w:val="none"/>
              </w:rPr>
              <w:t>浙江政府采购( (tp:/www zizfcg gov.cn)的中小企业信用融资栏目了解相关信息。 供应商可以通过浙江政府采购网(https://zfcg. czt.zj. gov.cn/)首页的“浙江政采贷”模块进入申请，还可以通过政府采购云平台(https://wwwzcygov.cn/)首页的“金融服务”模块进入申请。</w:t>
            </w:r>
          </w:p>
          <w:p>
            <w:pPr>
              <w:snapToGrid w:val="0"/>
              <w:spacing w:line="360" w:lineRule="auto"/>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2、</w:t>
            </w:r>
            <w:r>
              <w:rPr>
                <w:rFonts w:hint="eastAsia" w:ascii="宋体" w:hAnsi="宋体" w:eastAsia="宋体" w:cs="宋体"/>
                <w:color w:val="auto"/>
                <w:sz w:val="24"/>
                <w:highlight w:val="none"/>
              </w:rPr>
              <w:t>政府采购金融服务提示</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 xml:space="preserve">为扩大政府采购金融服务面，除政采云网上金融服务合作银行外，东阳市范围内增加浙商银行金华分行东阳支行作为线下合作银行。   </w:t>
            </w:r>
          </w:p>
          <w:p>
            <w:pPr>
              <w:snapToGrid w:val="0"/>
              <w:spacing w:line="360" w:lineRule="auto"/>
              <w:jc w:val="left"/>
              <w:rPr>
                <w:rFonts w:hint="eastAsia" w:ascii="宋体" w:hAnsi="宋体" w:eastAsia="宋体" w:cs="宋体"/>
                <w:color w:val="auto"/>
                <w:highlight w:val="none"/>
                <w:lang w:val="en-US" w:eastAsia="zh-CN"/>
              </w:rPr>
            </w:pPr>
            <w:r>
              <w:rPr>
                <w:rFonts w:hint="eastAsia" w:ascii="宋体" w:hAnsi="宋体" w:eastAsia="宋体" w:cs="宋体"/>
                <w:color w:val="auto"/>
                <w:sz w:val="24"/>
                <w:highlight w:val="none"/>
              </w:rPr>
              <w:t>浙商银行金华东阳支行联系人：</w:t>
            </w:r>
            <w:r>
              <w:rPr>
                <w:rFonts w:hint="eastAsia" w:ascii="宋体" w:hAnsi="宋体" w:cs="宋体"/>
                <w:color w:val="auto"/>
                <w:sz w:val="24"/>
                <w:highlight w:val="none"/>
              </w:rPr>
              <w:t xml:space="preserve">许燕  联系电话：13967983441 </w:t>
            </w:r>
            <w:r>
              <w:rPr>
                <w:rFonts w:hint="eastAsia" w:ascii="宋体" w:hAnsi="宋体" w:cs="宋体"/>
                <w:color w:val="auto"/>
                <w:sz w:val="24"/>
                <w:highlight w:val="none"/>
                <w:lang w:val="en-US" w:eastAsia="zh-CN"/>
              </w:rPr>
              <w:t xml:space="preserve"> </w:t>
            </w:r>
            <w:r>
              <w:rPr>
                <w:rFonts w:hint="eastAsia" w:ascii="宋体" w:hAnsi="宋体" w:cs="宋体"/>
                <w:color w:val="auto"/>
                <w:sz w:val="24"/>
                <w:highlight w:val="none"/>
              </w:rPr>
              <w:t>0579-86222992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91"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highlight w:val="none"/>
              </w:rPr>
              <w:t>1</w:t>
            </w:r>
            <w:r>
              <w:rPr>
                <w:rFonts w:hint="eastAsia" w:ascii="宋体" w:hAnsi="宋体" w:cs="宋体"/>
                <w:color w:val="auto"/>
                <w:sz w:val="24"/>
                <w:highlight w:val="none"/>
                <w:lang w:val="en-US" w:eastAsia="zh-CN"/>
              </w:rPr>
              <w:t>5</w:t>
            </w:r>
          </w:p>
        </w:tc>
        <w:tc>
          <w:tcPr>
            <w:tcW w:w="8750" w:type="dxa"/>
            <w:tcBorders>
              <w:top w:val="single" w:color="auto" w:sz="4" w:space="0"/>
              <w:left w:val="single" w:color="auto" w:sz="4" w:space="0"/>
              <w:bottom w:val="single" w:color="auto" w:sz="4" w:space="0"/>
              <w:right w:val="single" w:color="auto" w:sz="4" w:space="0"/>
            </w:tcBorders>
            <w:vAlign w:val="center"/>
          </w:tcPr>
          <w:p>
            <w:pPr>
              <w:autoSpaceDE w:val="0"/>
              <w:autoSpaceDN w:val="0"/>
              <w:snapToGrid w:val="0"/>
              <w:spacing w:line="360" w:lineRule="auto"/>
              <w:textAlignment w:val="bottom"/>
              <w:rPr>
                <w:rFonts w:hint="eastAsia" w:ascii="宋体" w:hAnsi="宋体" w:eastAsia="宋体" w:cs="宋体"/>
                <w:color w:val="auto"/>
                <w:sz w:val="24"/>
                <w:highlight w:val="none"/>
              </w:rPr>
            </w:pPr>
            <w:r>
              <w:rPr>
                <w:rFonts w:hint="eastAsia" w:ascii="宋体" w:hAnsi="宋体" w:eastAsia="宋体" w:cs="宋体"/>
                <w:color w:val="auto"/>
                <w:sz w:val="24"/>
                <w:highlight w:val="none"/>
              </w:rPr>
              <w:t>签订合同时间：发出《中标通知书》之日起</w:t>
            </w:r>
            <w:r>
              <w:rPr>
                <w:rFonts w:hint="eastAsia" w:ascii="宋体" w:hAnsi="宋体" w:eastAsia="宋体" w:cs="宋体"/>
                <w:color w:val="auto"/>
                <w:sz w:val="24"/>
                <w:highlight w:val="none"/>
                <w:lang w:val="en-US" w:eastAsia="zh-CN"/>
              </w:rPr>
              <w:t>2</w:t>
            </w:r>
            <w:r>
              <w:rPr>
                <w:rFonts w:hint="eastAsia" w:ascii="宋体" w:hAnsi="宋体" w:eastAsia="宋体" w:cs="宋体"/>
                <w:color w:val="auto"/>
                <w:sz w:val="24"/>
                <w:highlight w:val="none"/>
              </w:rPr>
              <w:t>0天内。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6"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bCs/>
                <w:color w:val="auto"/>
                <w:kern w:val="2"/>
                <w:sz w:val="24"/>
                <w:szCs w:val="24"/>
                <w:highlight w:val="none"/>
                <w:lang w:val="en-US" w:eastAsia="zh-CN" w:bidi="ar-SA"/>
              </w:rPr>
            </w:pPr>
            <w:r>
              <w:rPr>
                <w:rFonts w:hint="eastAsia" w:ascii="宋体" w:hAnsi="宋体" w:eastAsia="宋体" w:cs="宋体"/>
                <w:bCs/>
                <w:color w:val="auto"/>
                <w:sz w:val="24"/>
                <w:highlight w:val="none"/>
              </w:rPr>
              <w:t>1</w:t>
            </w:r>
            <w:r>
              <w:rPr>
                <w:rFonts w:hint="eastAsia" w:ascii="宋体" w:hAnsi="宋体" w:cs="宋体"/>
                <w:bCs/>
                <w:color w:val="auto"/>
                <w:sz w:val="24"/>
                <w:highlight w:val="none"/>
                <w:lang w:val="en-US" w:eastAsia="zh-CN"/>
              </w:rPr>
              <w:t>6</w:t>
            </w:r>
          </w:p>
        </w:tc>
        <w:tc>
          <w:tcPr>
            <w:tcW w:w="8750" w:type="dxa"/>
            <w:tcBorders>
              <w:top w:val="single" w:color="auto" w:sz="4" w:space="0"/>
              <w:left w:val="single" w:color="auto" w:sz="4" w:space="0"/>
              <w:bottom w:val="single" w:color="auto" w:sz="4" w:space="0"/>
              <w:right w:val="single" w:color="auto" w:sz="4" w:space="0"/>
            </w:tcBorders>
            <w:vAlign w:val="center"/>
          </w:tcPr>
          <w:p>
            <w:pPr>
              <w:autoSpaceDE w:val="0"/>
              <w:autoSpaceDN w:val="0"/>
              <w:snapToGrid w:val="0"/>
              <w:spacing w:line="360" w:lineRule="auto"/>
              <w:textAlignment w:val="bottom"/>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中标人与</w:t>
            </w:r>
            <w:r>
              <w:rPr>
                <w:rFonts w:hint="eastAsia" w:ascii="宋体" w:hAnsi="宋体" w:cs="宋体"/>
                <w:color w:val="auto"/>
                <w:sz w:val="24"/>
                <w:highlight w:val="none"/>
                <w:lang w:val="en-US" w:eastAsia="zh-CN"/>
              </w:rPr>
              <w:t>东阳市横店医院</w:t>
            </w:r>
            <w:r>
              <w:rPr>
                <w:rFonts w:hint="eastAsia" w:ascii="宋体" w:hAnsi="宋体" w:eastAsia="宋体" w:cs="宋体"/>
                <w:color w:val="auto"/>
                <w:sz w:val="24"/>
                <w:highlight w:val="none"/>
                <w:lang w:eastAsia="zh-CN"/>
              </w:rPr>
              <w:t>签订政府采购合同</w:t>
            </w:r>
            <w:r>
              <w:rPr>
                <w:rFonts w:hint="eastAsia" w:ascii="宋体" w:hAnsi="宋体" w:cs="宋体"/>
                <w:color w:val="auto"/>
                <w:sz w:val="24"/>
                <w:highlight w:val="none"/>
                <w:lang w:eastAsia="zh-CN"/>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00"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default"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lang w:val="en-US" w:eastAsia="zh-CN"/>
              </w:rPr>
              <w:t>17</w:t>
            </w:r>
          </w:p>
        </w:tc>
        <w:tc>
          <w:tcPr>
            <w:tcW w:w="8750"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宋体" w:hAnsi="宋体" w:eastAsia="宋体" w:cs="宋体"/>
                <w:color w:val="auto"/>
                <w:sz w:val="24"/>
                <w:highlight w:val="none"/>
              </w:rPr>
            </w:pPr>
            <w:r>
              <w:rPr>
                <w:rFonts w:hint="eastAsia" w:ascii="宋体" w:hAnsi="宋体" w:cs="宋体"/>
                <w:b/>
                <w:bCs w:val="0"/>
                <w:color w:val="auto"/>
                <w:sz w:val="24"/>
                <w:highlight w:val="none"/>
                <w:lang w:eastAsia="zh-CN"/>
              </w:rPr>
              <w:t>付款方式</w:t>
            </w:r>
            <w:r>
              <w:rPr>
                <w:rFonts w:hint="eastAsia" w:ascii="宋体" w:hAnsi="宋体" w:cs="宋体"/>
                <w:bCs/>
                <w:color w:val="auto"/>
                <w:sz w:val="24"/>
                <w:highlight w:val="none"/>
                <w:lang w:eastAsia="zh-CN"/>
              </w:rPr>
              <w:t>：合同生效以及具备实施条件后7个工作日内支付合同价款的40%（采购人根据项目特点、供应商诚信等因素，可以要求中标人提交预付款保函）；主体安装完成、空调设备进场7个工作日内，再支付合同价款的40%；调试完成、竣工验收合格后7个工作日内支付至合同价款的100%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6"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lang w:val="en-US" w:eastAsia="zh-CN"/>
              </w:rPr>
              <w:t>18</w:t>
            </w:r>
          </w:p>
        </w:tc>
        <w:tc>
          <w:tcPr>
            <w:tcW w:w="87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货物交付/服务地点：东阳市内，采购人指定的地点。</w:t>
            </w:r>
          </w:p>
          <w:p>
            <w:pP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验收：</w:t>
            </w:r>
          </w:p>
          <w:p>
            <w:pP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1.采购人组织</w:t>
            </w:r>
            <w:r>
              <w:rPr>
                <w:rFonts w:hint="eastAsia" w:ascii="宋体" w:hAnsi="宋体" w:cs="宋体"/>
                <w:color w:val="auto"/>
                <w:sz w:val="24"/>
                <w:highlight w:val="none"/>
                <w:lang w:eastAsia="zh-CN"/>
              </w:rPr>
              <w:t>相关人员</w:t>
            </w:r>
            <w:r>
              <w:rPr>
                <w:rFonts w:hint="eastAsia" w:ascii="宋体" w:hAnsi="宋体" w:cs="宋体"/>
                <w:color w:val="auto"/>
                <w:sz w:val="24"/>
                <w:highlight w:val="none"/>
              </w:rPr>
              <w:t>对供应商履约的验收</w:t>
            </w:r>
            <w:r>
              <w:rPr>
                <w:rFonts w:hint="eastAsia" w:ascii="宋体" w:hAnsi="宋体" w:cs="宋体"/>
                <w:color w:val="auto"/>
                <w:sz w:val="24"/>
                <w:highlight w:val="none"/>
                <w:lang w:eastAsia="zh-CN"/>
              </w:rPr>
              <w:t>，验收费用由中标人承担；采购人出具一式二份验收报告，一份由中标人保管，一份由东阳市鑫盛工程咨询有限公司（原件）存档</w:t>
            </w:r>
            <w:r>
              <w:rPr>
                <w:rFonts w:hint="eastAsia" w:ascii="宋体" w:hAnsi="宋体" w:cs="宋体"/>
                <w:color w:val="auto"/>
                <w:sz w:val="24"/>
                <w:highlight w:val="none"/>
              </w:rPr>
              <w:t>。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pP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2.采购人可以邀请参加本项目的其他供应商或者第三方机构参与验收。参与验收的供应商或者第三方机构的意见作为验收书的参考资料一并存档。</w:t>
            </w:r>
          </w:p>
          <w:p>
            <w:pP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pP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4.采购人原则上应当在履约验收之日起2个工作日内，将履约验收结果在浙江政府采购网上公告。</w:t>
            </w:r>
          </w:p>
          <w:p>
            <w:pPr>
              <w:snapToGrid w:val="0"/>
              <w:spacing w:line="360" w:lineRule="auto"/>
              <w:rPr>
                <w:rFonts w:hint="eastAsia" w:ascii="宋体" w:hAnsi="宋体" w:eastAsia="宋体" w:cs="宋体"/>
                <w:color w:val="auto"/>
                <w:sz w:val="24"/>
                <w:highlight w:val="none"/>
              </w:rPr>
            </w:pPr>
            <w:r>
              <w:rPr>
                <w:rFonts w:hint="eastAsia" w:ascii="宋体" w:hAnsi="宋体" w:cs="宋体"/>
                <w:color w:val="auto"/>
                <w:sz w:val="24"/>
                <w:highlight w:val="none"/>
              </w:rPr>
              <w:t>5.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47"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default"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highlight w:val="none"/>
              </w:rPr>
              <w:t>1</w:t>
            </w:r>
            <w:r>
              <w:rPr>
                <w:rFonts w:hint="eastAsia" w:ascii="宋体" w:hAnsi="宋体" w:cs="宋体"/>
                <w:color w:val="auto"/>
                <w:sz w:val="24"/>
                <w:highlight w:val="none"/>
                <w:lang w:val="en-US" w:eastAsia="zh-CN"/>
              </w:rPr>
              <w:t>9</w:t>
            </w:r>
          </w:p>
        </w:tc>
        <w:tc>
          <w:tcPr>
            <w:tcW w:w="8750" w:type="dxa"/>
            <w:tcBorders>
              <w:top w:val="single" w:color="auto" w:sz="4" w:space="0"/>
              <w:left w:val="single" w:color="auto" w:sz="4" w:space="0"/>
              <w:bottom w:val="single" w:color="auto" w:sz="4" w:space="0"/>
              <w:right w:val="single" w:color="auto" w:sz="4" w:space="0"/>
            </w:tcBorders>
            <w:vAlign w:val="center"/>
          </w:tcPr>
          <w:p>
            <w:pPr>
              <w:snapToGrid w:val="0"/>
              <w:spacing w:before="120" w:beforeLines="50" w:line="360" w:lineRule="auto"/>
              <w:outlineLvl w:val="2"/>
              <w:rPr>
                <w:rFonts w:hint="eastAsia" w:ascii="宋体" w:hAnsi="宋体"/>
                <w:b/>
                <w:color w:val="auto"/>
                <w:sz w:val="24"/>
                <w:highlight w:val="none"/>
              </w:rPr>
            </w:pPr>
            <w:r>
              <w:rPr>
                <w:rFonts w:hint="eastAsia" w:ascii="宋体" w:hAnsi="宋体"/>
                <w:b/>
                <w:color w:val="auto"/>
                <w:sz w:val="24"/>
                <w:highlight w:val="none"/>
              </w:rPr>
              <w:t>供应商有下列情形之一的，列入失信名单，同时依照《政府采购法》第七十七条及《中华人民共和国政府采购法实施条例》第七十二条规定处罚并追求法律责任。</w:t>
            </w:r>
          </w:p>
          <w:p>
            <w:pPr>
              <w:snapToGrid w:val="0"/>
              <w:spacing w:line="360" w:lineRule="auto"/>
              <w:jc w:val="left"/>
              <w:rPr>
                <w:rFonts w:hint="eastAsia" w:ascii="宋体" w:hAnsi="宋体"/>
                <w:color w:val="auto"/>
                <w:sz w:val="24"/>
                <w:highlight w:val="none"/>
              </w:rPr>
            </w:pPr>
            <w:r>
              <w:rPr>
                <w:rFonts w:hint="eastAsia" w:ascii="宋体" w:hAnsi="宋体"/>
                <w:color w:val="auto"/>
                <w:sz w:val="24"/>
                <w:highlight w:val="none"/>
              </w:rPr>
              <w:t xml:space="preserve">1、提供虚假材料谋取中标、成交的； </w:t>
            </w:r>
            <w:r>
              <w:rPr>
                <w:rFonts w:hint="eastAsia" w:ascii="宋体" w:hAnsi="宋体"/>
                <w:color w:val="auto"/>
                <w:sz w:val="24"/>
                <w:highlight w:val="none"/>
              </w:rPr>
              <w:br w:type="textWrapping"/>
            </w:r>
            <w:r>
              <w:rPr>
                <w:rFonts w:hint="eastAsia" w:ascii="宋体" w:hAnsi="宋体"/>
                <w:color w:val="auto"/>
                <w:sz w:val="24"/>
                <w:highlight w:val="none"/>
              </w:rPr>
              <w:t xml:space="preserve">2、采取不正当手段诋毁、排挤其他供应商的； </w:t>
            </w:r>
            <w:r>
              <w:rPr>
                <w:rFonts w:hint="eastAsia" w:ascii="宋体" w:hAnsi="宋体"/>
                <w:color w:val="auto"/>
                <w:sz w:val="24"/>
                <w:highlight w:val="none"/>
              </w:rPr>
              <w:br w:type="textWrapping"/>
            </w:r>
            <w:r>
              <w:rPr>
                <w:rFonts w:hint="eastAsia" w:ascii="宋体" w:hAnsi="宋体"/>
                <w:color w:val="auto"/>
                <w:sz w:val="24"/>
                <w:highlight w:val="none"/>
              </w:rPr>
              <w:t xml:space="preserve">3、与采购人、其他供应商或者采购代理机构恶意串通的； </w:t>
            </w:r>
            <w:r>
              <w:rPr>
                <w:rFonts w:hint="eastAsia" w:ascii="宋体" w:hAnsi="宋体"/>
                <w:color w:val="auto"/>
                <w:sz w:val="24"/>
                <w:highlight w:val="none"/>
              </w:rPr>
              <w:br w:type="textWrapping"/>
            </w:r>
            <w:r>
              <w:rPr>
                <w:rFonts w:hint="eastAsia" w:ascii="宋体" w:hAnsi="宋体"/>
                <w:color w:val="auto"/>
                <w:sz w:val="24"/>
                <w:highlight w:val="none"/>
              </w:rPr>
              <w:t xml:space="preserve">4、向采购人、采购代理机构行贿或者提供其他不正当利益的； </w:t>
            </w:r>
            <w:r>
              <w:rPr>
                <w:rFonts w:hint="eastAsia" w:ascii="宋体" w:hAnsi="宋体"/>
                <w:color w:val="auto"/>
                <w:sz w:val="24"/>
                <w:highlight w:val="none"/>
              </w:rPr>
              <w:br w:type="textWrapping"/>
            </w:r>
            <w:r>
              <w:rPr>
                <w:rFonts w:hint="eastAsia" w:ascii="宋体" w:hAnsi="宋体"/>
                <w:color w:val="auto"/>
                <w:sz w:val="24"/>
                <w:highlight w:val="none"/>
              </w:rPr>
              <w:t xml:space="preserve">5、在招标采购过程中与采购人进行协商谈判的； </w:t>
            </w:r>
          </w:p>
          <w:p>
            <w:pPr>
              <w:snapToGrid w:val="0"/>
              <w:spacing w:line="360" w:lineRule="auto"/>
              <w:jc w:val="left"/>
              <w:rPr>
                <w:rFonts w:hint="eastAsia" w:ascii="宋体" w:hAnsi="宋体"/>
                <w:color w:val="auto"/>
                <w:sz w:val="24"/>
                <w:highlight w:val="none"/>
              </w:rPr>
            </w:pPr>
            <w:r>
              <w:rPr>
                <w:rFonts w:hint="eastAsia" w:ascii="宋体" w:hAnsi="宋体"/>
                <w:color w:val="auto"/>
                <w:sz w:val="24"/>
                <w:highlight w:val="none"/>
              </w:rPr>
              <w:t>6、向评标委员会、竞争性谈判小组或者询价小组成员行贿或者提供其他不正当利益；</w:t>
            </w:r>
          </w:p>
          <w:p>
            <w:pPr>
              <w:snapToGrid w:val="0"/>
              <w:spacing w:line="360" w:lineRule="auto"/>
              <w:jc w:val="left"/>
              <w:rPr>
                <w:rFonts w:hint="eastAsia" w:ascii="宋体" w:hAnsi="宋体"/>
                <w:color w:val="auto"/>
                <w:sz w:val="24"/>
                <w:highlight w:val="none"/>
              </w:rPr>
            </w:pPr>
            <w:r>
              <w:rPr>
                <w:rFonts w:hint="eastAsia" w:ascii="宋体" w:hAnsi="宋体"/>
                <w:color w:val="auto"/>
                <w:sz w:val="24"/>
                <w:highlight w:val="none"/>
              </w:rPr>
              <w:t>7、中标或者成交后无正当理由拒不与采购人签订政府采购合同；</w:t>
            </w:r>
          </w:p>
          <w:p>
            <w:pPr>
              <w:snapToGrid w:val="0"/>
              <w:spacing w:line="360" w:lineRule="auto"/>
              <w:jc w:val="left"/>
              <w:rPr>
                <w:rFonts w:hint="eastAsia" w:ascii="宋体" w:hAnsi="宋体"/>
                <w:color w:val="auto"/>
                <w:sz w:val="24"/>
                <w:highlight w:val="none"/>
              </w:rPr>
            </w:pPr>
            <w:r>
              <w:rPr>
                <w:rFonts w:hint="eastAsia" w:ascii="宋体" w:hAnsi="宋体"/>
                <w:color w:val="auto"/>
                <w:sz w:val="24"/>
                <w:highlight w:val="none"/>
              </w:rPr>
              <w:t>8、未按照采购文件确定的事项签订政府采购合同；</w:t>
            </w:r>
          </w:p>
          <w:p>
            <w:pPr>
              <w:snapToGrid w:val="0"/>
              <w:spacing w:line="360" w:lineRule="auto"/>
              <w:jc w:val="left"/>
              <w:rPr>
                <w:rFonts w:hint="eastAsia" w:ascii="宋体" w:hAnsi="宋体"/>
                <w:color w:val="auto"/>
                <w:sz w:val="24"/>
                <w:highlight w:val="none"/>
              </w:rPr>
            </w:pPr>
            <w:r>
              <w:rPr>
                <w:rFonts w:hint="eastAsia" w:ascii="宋体" w:hAnsi="宋体"/>
                <w:color w:val="auto"/>
                <w:sz w:val="24"/>
                <w:highlight w:val="none"/>
              </w:rPr>
              <w:t>9、将政府采购合同转包；</w:t>
            </w:r>
          </w:p>
          <w:p>
            <w:pPr>
              <w:snapToGrid w:val="0"/>
              <w:spacing w:line="360" w:lineRule="auto"/>
              <w:jc w:val="left"/>
              <w:rPr>
                <w:rFonts w:hint="eastAsia" w:ascii="宋体" w:hAnsi="宋体"/>
                <w:color w:val="auto"/>
                <w:sz w:val="24"/>
                <w:highlight w:val="none"/>
              </w:rPr>
            </w:pPr>
            <w:r>
              <w:rPr>
                <w:rFonts w:hint="eastAsia" w:ascii="宋体" w:hAnsi="宋体"/>
                <w:color w:val="auto"/>
                <w:sz w:val="24"/>
                <w:highlight w:val="none"/>
              </w:rPr>
              <w:t>10、提供假冒伪劣产品；</w:t>
            </w:r>
          </w:p>
          <w:p>
            <w:pPr>
              <w:snapToGrid w:val="0"/>
              <w:spacing w:line="360" w:lineRule="auto"/>
              <w:jc w:val="left"/>
              <w:rPr>
                <w:rFonts w:hint="eastAsia" w:ascii="宋体" w:hAnsi="宋体"/>
                <w:color w:val="auto"/>
                <w:sz w:val="24"/>
                <w:highlight w:val="none"/>
              </w:rPr>
            </w:pPr>
            <w:r>
              <w:rPr>
                <w:rFonts w:hint="eastAsia" w:ascii="宋体" w:hAnsi="宋体"/>
                <w:color w:val="auto"/>
                <w:sz w:val="24"/>
                <w:highlight w:val="none"/>
              </w:rPr>
              <w:t>11、擅自变更、中止或者终止政府采购合同。</w:t>
            </w:r>
          </w:p>
          <w:p>
            <w:pPr>
              <w:snapToGrid w:val="0"/>
              <w:spacing w:line="360" w:lineRule="auto"/>
              <w:rPr>
                <w:rFonts w:hint="eastAsia" w:ascii="宋体" w:hAnsi="宋体" w:eastAsia="宋体" w:cs="宋体"/>
                <w:color w:val="auto"/>
                <w:sz w:val="24"/>
                <w:highlight w:val="none"/>
              </w:rPr>
            </w:pPr>
            <w:r>
              <w:rPr>
                <w:rFonts w:hint="eastAsia" w:ascii="宋体" w:hAnsi="宋体"/>
                <w:color w:val="auto"/>
                <w:sz w:val="24"/>
                <w:highlight w:val="none"/>
              </w:rPr>
              <w:t>12、其他严重扰乱招投标程序的。</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4"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default"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lang w:val="en-US" w:eastAsia="zh-CN"/>
              </w:rPr>
              <w:t>20</w:t>
            </w:r>
          </w:p>
        </w:tc>
        <w:tc>
          <w:tcPr>
            <w:tcW w:w="87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投标文件有效期：</w:t>
            </w:r>
            <w:r>
              <w:rPr>
                <w:rFonts w:hint="eastAsia" w:ascii="宋体" w:hAnsi="宋体" w:eastAsia="宋体" w:cs="宋体"/>
                <w:color w:val="auto"/>
                <w:sz w:val="24"/>
                <w:highlight w:val="none"/>
                <w:u w:val="single"/>
              </w:rPr>
              <w:t>60</w:t>
            </w:r>
            <w:r>
              <w:rPr>
                <w:rFonts w:hint="eastAsia" w:ascii="宋体" w:hAnsi="宋体" w:eastAsia="宋体" w:cs="宋体"/>
                <w:color w:val="auto"/>
                <w:sz w:val="24"/>
                <w:highlight w:val="none"/>
              </w:rPr>
              <w:t>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4"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default"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lang w:val="en-US" w:eastAsia="zh-CN"/>
              </w:rPr>
              <w:t>21</w:t>
            </w:r>
          </w:p>
        </w:tc>
        <w:tc>
          <w:tcPr>
            <w:tcW w:w="87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招标方对投标人的落选不作出任何解释。</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5"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default"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lang w:val="en-US" w:eastAsia="zh-CN"/>
              </w:rPr>
              <w:t>22</w:t>
            </w:r>
          </w:p>
        </w:tc>
        <w:tc>
          <w:tcPr>
            <w:tcW w:w="8750"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kern w:val="0"/>
                <w:sz w:val="24"/>
                <w:highlight w:val="none"/>
              </w:rPr>
              <w:t>采购人和招标代理机构的任何工作人员对投标人所作的任何口头解释、介绍、答复，仅供投标人参考，不作为招标依据，对采购人、招标代理机构和投标人无任何约束力，一切以网上公告及书面形式为准。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8"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23</w:t>
            </w:r>
          </w:p>
        </w:tc>
        <w:tc>
          <w:tcPr>
            <w:tcW w:w="87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解释：本招标文件的解释权属于东阳市鑫盛工程咨询有限公司。</w:t>
            </w:r>
          </w:p>
        </w:tc>
      </w:tr>
    </w:tbl>
    <w:p>
      <w:pPr>
        <w:pStyle w:val="12"/>
        <w:snapToGrid w:val="0"/>
        <w:spacing w:before="120" w:after="120" w:line="360" w:lineRule="auto"/>
        <w:rPr>
          <w:rFonts w:hint="eastAsia" w:ascii="宋体" w:hAnsi="宋体" w:eastAsia="宋体" w:cs="宋体"/>
          <w:b/>
          <w:color w:val="auto"/>
          <w:szCs w:val="24"/>
          <w:highlight w:val="none"/>
        </w:rPr>
      </w:pPr>
      <w:r>
        <w:rPr>
          <w:rFonts w:hint="eastAsia" w:ascii="宋体" w:hAnsi="宋体" w:eastAsia="宋体" w:cs="宋体"/>
          <w:b/>
          <w:color w:val="auto"/>
          <w:szCs w:val="24"/>
          <w:highlight w:val="none"/>
        </w:rPr>
        <w:t>注：如本招标文件后面的条款与本表有矛盾的以本表的内容为准。</w:t>
      </w:r>
    </w:p>
    <w:p>
      <w:pPr>
        <w:pStyle w:val="12"/>
        <w:pageBreakBefore/>
        <w:numPr>
          <w:ilvl w:val="0"/>
          <w:numId w:val="17"/>
        </w:numPr>
        <w:snapToGrid w:val="0"/>
        <w:spacing w:line="360" w:lineRule="auto"/>
        <w:ind w:left="826" w:hanging="826" w:hangingChars="343"/>
        <w:jc w:val="center"/>
        <w:outlineLvl w:val="1"/>
        <w:rPr>
          <w:rFonts w:hint="eastAsia" w:ascii="宋体" w:hAnsi="宋体" w:eastAsia="宋体" w:cs="宋体"/>
          <w:b/>
          <w:color w:val="auto"/>
          <w:szCs w:val="24"/>
          <w:highlight w:val="none"/>
        </w:rPr>
      </w:pPr>
      <w:bookmarkStart w:id="28" w:name="_Toc25353"/>
      <w:r>
        <w:rPr>
          <w:rFonts w:hint="eastAsia" w:ascii="宋体" w:hAnsi="宋体" w:eastAsia="宋体" w:cs="宋体"/>
          <w:b/>
          <w:color w:val="auto"/>
          <w:szCs w:val="24"/>
          <w:highlight w:val="none"/>
        </w:rPr>
        <w:t>总则</w:t>
      </w:r>
      <w:bookmarkEnd w:id="28"/>
    </w:p>
    <w:p>
      <w:pPr>
        <w:spacing w:line="440" w:lineRule="exact"/>
        <w:rPr>
          <w:rFonts w:hint="eastAsia" w:ascii="宋体" w:hAnsi="宋体" w:eastAsia="宋体" w:cs="宋体"/>
          <w:b/>
          <w:color w:val="auto"/>
          <w:sz w:val="24"/>
          <w:highlight w:val="none"/>
        </w:rPr>
      </w:pPr>
      <w:bookmarkStart w:id="29" w:name="_Toc407182093"/>
      <w:r>
        <w:rPr>
          <w:rFonts w:hint="eastAsia" w:ascii="宋体" w:hAnsi="宋体" w:eastAsia="宋体" w:cs="宋体"/>
          <w:b/>
          <w:color w:val="auto"/>
          <w:sz w:val="24"/>
          <w:highlight w:val="none"/>
        </w:rPr>
        <w:t>（一） 适用范围</w:t>
      </w:r>
      <w:bookmarkEnd w:id="29"/>
    </w:p>
    <w:p>
      <w:pPr>
        <w:spacing w:line="440" w:lineRule="exact"/>
        <w:ind w:firstLine="480" w:firstLineChars="200"/>
        <w:rPr>
          <w:rFonts w:hint="eastAsia" w:ascii="宋体" w:hAnsi="宋体" w:eastAsia="宋体" w:cs="宋体"/>
          <w:b/>
          <w:color w:val="auto"/>
          <w:sz w:val="24"/>
          <w:highlight w:val="none"/>
        </w:rPr>
      </w:pPr>
      <w:r>
        <w:rPr>
          <w:rFonts w:hint="eastAsia" w:ascii="宋体" w:hAnsi="宋体" w:eastAsia="宋体" w:cs="宋体"/>
          <w:color w:val="auto"/>
          <w:sz w:val="24"/>
          <w:highlight w:val="none"/>
        </w:rPr>
        <w:t>本招标文件适用于</w:t>
      </w:r>
      <w:r>
        <w:rPr>
          <w:rFonts w:hint="eastAsia" w:ascii="宋体" w:hAnsi="宋体" w:cs="宋体"/>
          <w:color w:val="auto"/>
          <w:sz w:val="24"/>
          <w:highlight w:val="none"/>
          <w:lang w:eastAsia="zh-CN"/>
        </w:rPr>
        <w:t>东阳市横店医院公共卫生综合楼百级手术室、供应中心净化系统设备采购及安装项目</w:t>
      </w:r>
      <w:r>
        <w:rPr>
          <w:rFonts w:hint="eastAsia" w:ascii="宋体" w:hAnsi="宋体" w:eastAsia="宋体" w:cs="宋体"/>
          <w:color w:val="auto"/>
          <w:sz w:val="24"/>
          <w:highlight w:val="none"/>
        </w:rPr>
        <w:t>的招标、投标、评标、定标、验收、合同履约、付款等行为（法律、法规另有规定的，从其规定）。</w:t>
      </w:r>
    </w:p>
    <w:p>
      <w:pPr>
        <w:spacing w:line="440" w:lineRule="exact"/>
        <w:rPr>
          <w:rFonts w:hint="eastAsia" w:ascii="宋体" w:hAnsi="宋体" w:eastAsia="宋体" w:cs="宋体"/>
          <w:b/>
          <w:color w:val="auto"/>
          <w:sz w:val="24"/>
          <w:highlight w:val="none"/>
          <w:lang w:val="en-US" w:eastAsia="zh-CN"/>
        </w:rPr>
      </w:pPr>
      <w:bookmarkStart w:id="30" w:name="_Toc407182094"/>
      <w:r>
        <w:rPr>
          <w:rFonts w:hint="eastAsia" w:ascii="宋体" w:hAnsi="宋体" w:eastAsia="宋体" w:cs="宋体"/>
          <w:b/>
          <w:color w:val="auto"/>
          <w:sz w:val="24"/>
          <w:highlight w:val="none"/>
        </w:rPr>
        <w:t>（二）定义</w:t>
      </w:r>
      <w:bookmarkEnd w:id="30"/>
      <w:r>
        <w:rPr>
          <w:rFonts w:hint="eastAsia" w:ascii="宋体" w:hAnsi="宋体" w:cs="宋体"/>
          <w:b/>
          <w:color w:val="auto"/>
          <w:sz w:val="24"/>
          <w:highlight w:val="none"/>
          <w:lang w:val="en-US" w:eastAsia="zh-CN"/>
        </w:rPr>
        <w:t>及</w:t>
      </w:r>
      <w:r>
        <w:rPr>
          <w:rFonts w:hint="eastAsia" w:ascii="宋体" w:hAnsi="宋体" w:eastAsia="宋体" w:cs="宋体"/>
          <w:b/>
          <w:color w:val="auto"/>
          <w:sz w:val="24"/>
          <w:highlight w:val="none"/>
        </w:rPr>
        <w:t>采购项目需要落实的政府采购政策</w:t>
      </w:r>
    </w:p>
    <w:p>
      <w:pPr>
        <w:spacing w:line="44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1.招标采购单位系指组织本次招标的东阳市鑫盛工程咨询有限公司（“招标方”）和</w:t>
      </w:r>
      <w:r>
        <w:rPr>
          <w:rFonts w:hint="eastAsia" w:ascii="宋体" w:hAnsi="宋体" w:cs="宋体"/>
          <w:color w:val="auto"/>
          <w:sz w:val="24"/>
          <w:highlight w:val="none"/>
          <w:lang w:val="en-US" w:eastAsia="zh-CN"/>
        </w:rPr>
        <w:t>东阳市横店医院</w:t>
      </w:r>
      <w:r>
        <w:rPr>
          <w:rFonts w:hint="eastAsia" w:ascii="宋体" w:hAnsi="宋体" w:eastAsia="宋体" w:cs="宋体"/>
          <w:color w:val="auto"/>
          <w:sz w:val="24"/>
          <w:highlight w:val="none"/>
        </w:rPr>
        <w:t>（“采购人”）。</w:t>
      </w:r>
    </w:p>
    <w:p>
      <w:pPr>
        <w:spacing w:line="44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2.“投标人”系指向招标方提交投标文件的单位或个人。</w:t>
      </w:r>
    </w:p>
    <w:p>
      <w:pPr>
        <w:spacing w:line="44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3.“服务”系指招标文件规定投标人须承担的本项目所衍生的一切服务义务。 </w:t>
      </w:r>
    </w:p>
    <w:p>
      <w:pPr>
        <w:spacing w:line="44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4.“项目”系指投标人按招标文件规定向采购人提供的成果和项目服务。</w:t>
      </w:r>
    </w:p>
    <w:p>
      <w:pPr>
        <w:spacing w:line="44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5.“书面形式”包括信函、传真、电报等。</w:t>
      </w:r>
    </w:p>
    <w:p>
      <w:pPr>
        <w:spacing w:line="440" w:lineRule="exact"/>
        <w:rPr>
          <w:rFonts w:hint="eastAsia" w:ascii="宋体" w:hAnsi="宋体" w:cs="宋体"/>
          <w:b/>
          <w:bCs/>
          <w:color w:val="auto"/>
          <w:sz w:val="24"/>
          <w:highlight w:val="none"/>
          <w:lang w:val="en-US" w:eastAsia="zh-CN"/>
        </w:rPr>
      </w:pPr>
      <w:r>
        <w:rPr>
          <w:rFonts w:hint="eastAsia" w:ascii="宋体" w:hAnsi="宋体" w:eastAsia="宋体" w:cs="宋体"/>
          <w:color w:val="auto"/>
          <w:sz w:val="24"/>
          <w:highlight w:val="none"/>
        </w:rPr>
        <w:t>6.</w:t>
      </w:r>
      <w:r>
        <w:rPr>
          <w:rFonts w:hint="eastAsia" w:ascii="宋体" w:hAnsi="宋体" w:eastAsia="宋体" w:cs="宋体"/>
          <w:b/>
          <w:bCs/>
          <w:color w:val="auto"/>
          <w:sz w:val="24"/>
          <w:highlight w:val="none"/>
          <w:lang w:val="en-US" w:eastAsia="zh-CN"/>
        </w:rPr>
        <w:t>“▲”系指实质性要求条款</w:t>
      </w:r>
      <w:r>
        <w:rPr>
          <w:rFonts w:hint="eastAsia" w:ascii="宋体" w:hAnsi="宋体" w:cs="宋体"/>
          <w:b/>
          <w:bCs/>
          <w:color w:val="auto"/>
          <w:sz w:val="24"/>
          <w:highlight w:val="none"/>
          <w:lang w:val="en-US" w:eastAsia="zh-CN"/>
        </w:rPr>
        <w:t>；</w:t>
      </w:r>
      <w:r>
        <w:rPr>
          <w:rFonts w:hint="eastAsia" w:ascii="宋体" w:hAnsi="宋体" w:eastAsia="宋体" w:cs="宋体"/>
          <w:b/>
          <w:bCs/>
          <w:color w:val="auto"/>
          <w:sz w:val="24"/>
          <w:highlight w:val="none"/>
          <w:lang w:val="en-US" w:eastAsia="zh-CN"/>
        </w:rPr>
        <w:t>“</w:t>
      </w:r>
      <w:r>
        <w:rPr>
          <w:rFonts w:hint="eastAsia" w:ascii="宋体" w:hAnsi="宋体" w:cs="宋体"/>
          <w:b/>
          <w:bCs/>
          <w:color w:val="auto"/>
          <w:sz w:val="24"/>
          <w:highlight w:val="none"/>
        </w:rPr>
        <w:t>★</w:t>
      </w:r>
      <w:r>
        <w:rPr>
          <w:rFonts w:hint="eastAsia" w:ascii="宋体" w:hAnsi="宋体" w:eastAsia="宋体" w:cs="宋体"/>
          <w:b/>
          <w:bCs/>
          <w:color w:val="auto"/>
          <w:sz w:val="24"/>
          <w:highlight w:val="none"/>
          <w:lang w:val="en-US" w:eastAsia="zh-CN"/>
        </w:rPr>
        <w:t>”系指重要指标</w:t>
      </w:r>
      <w:r>
        <w:rPr>
          <w:rFonts w:hint="eastAsia" w:ascii="宋体" w:hAnsi="宋体" w:cs="宋体"/>
          <w:b/>
          <w:bCs/>
          <w:color w:val="auto"/>
          <w:sz w:val="24"/>
          <w:highlight w:val="none"/>
          <w:lang w:val="en-US" w:eastAsia="zh-CN"/>
        </w:rPr>
        <w:t>。</w:t>
      </w:r>
    </w:p>
    <w:p>
      <w:pPr>
        <w:spacing w:line="440" w:lineRule="exact"/>
        <w:rPr>
          <w:rFonts w:hint="eastAsia" w:ascii="宋体" w:hAnsi="宋体" w:eastAsia="宋体" w:cs="宋体"/>
          <w:color w:val="auto"/>
          <w:sz w:val="24"/>
          <w:highlight w:val="none"/>
        </w:rPr>
      </w:pPr>
      <w:r>
        <w:rPr>
          <w:rFonts w:hint="eastAsia" w:ascii="宋体" w:hAnsi="宋体" w:cs="宋体"/>
          <w:color w:val="auto"/>
          <w:sz w:val="24"/>
          <w:highlight w:val="none"/>
          <w:lang w:val="en-US" w:eastAsia="zh-CN"/>
        </w:rPr>
        <w:t>7</w:t>
      </w:r>
      <w:r>
        <w:rPr>
          <w:rFonts w:hint="eastAsia" w:ascii="宋体" w:hAnsi="宋体" w:eastAsia="宋体" w:cs="宋体"/>
          <w:color w:val="auto"/>
          <w:sz w:val="24"/>
          <w:highlight w:val="none"/>
        </w:rPr>
        <w:t>. 采购项目需要落实的政府采购政策</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7.1 本项目原则上采购本国生产的货物、工程和服务，不允许采购进口产品。除非采购人采购进口产品，已经在采购活动开始前向财政部门提出申请并获得财政部门审核同意，且在采购需求中明确规定可以采购进口产品，未明确视同不得采购进口产品（但如果因信息不对称等原因，仍有满足需求的国内产品要求参与采购竞争的，采购人、采购机构不会对其加以限制，仍将按照公平竞争原则实施采购）。</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7.2 支持绿色发展</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7.2.1采购人拟采购的产品属于品目清单范围的，采购人及其委托的采购代理机构将依据国家确定的认证机构出具的、处于有效期之内的节能产品、环境标志产品认证证书，对获得证书的产品实施政府优先采购或强制采购。供应商须按采购文件要求提供相关产品认证证书。</w:t>
      </w: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采购人拟采购的产品属于政府强制采购的节能产品品目清单范围的，供应商未按采购文件要求提供国家确定的认证机构出具的、处于有效期之内的节能产品认证证书的，投标无效。</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7.2.2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7.3支持中小企业发展</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7.3.1中小企业，是指在中华人民共和国境内依法设立，依据国务院批准的中小企业划分标准确定的中型企业、小型企业和微型企业，但与大企业的负责人为同一人，或者与大企业存在直接控股、管理关系的除外。</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符合中小企业划分标准的个体工商户，在政府采购活动中视同中小企业。</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7.3.2在政府采购活动中，供应商提供的货物、工程或者服务符合下列情形的，享受中小企业扶持政策：</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7.3.2.1在货物采购项目中，货物由中小企业制造，即货物由中小企业生产且使用该中小企业商号或者注册商标；</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7.3.2.2在工程采购项目中，工程由中小企业承建，即工程施工单位为中小企业；</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7.3.2.3在服务采购项目中，服务由中小企业承接，即提供服务的人员为中小企业依照《中华人民共和国劳动合同法》订立劳动合同的从业人员。</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在货物采购项目中，供应商提供的货物既有中小企业制造货物，也有大型企业制造货物的，不享受中小企业扶持政策。</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以联合体形式参加政府采购活动，联合体各方均为中小企业的，联合体视同中小企业。其中，联合体各方均为小微企业的，联合体视同小微企业。</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7.3.3符合《关于促进残疾人就业政府采购政策的通知》（财库〔2017〕141号）规定的条件并提供《残疾人福利性单位声明函》（附件1）的残疾人福利性单位视同小型、微型企业；</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7.3.4符合《关于政府采购支持监狱企业发展有关问题的通知》（财库[2014]68号）规定的监狱企业并提供由省级以上监狱管理局、戒毒管理局（含新疆生产建设兵团）出具的属于监狱企业证明文件的，视同为小型、微型企业。</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7.3.5可享受中小企业扶持政策的供应商应按照采购文件格式要求提供《中小企业声明函》，供应商提供的《中小企业声明函》与实际情况不符的，供应商未按采购文件要求提供国家确定的认证机构出具的、处于有效期之内的产品认证证书的，不享受中小企业扶持政策。声明内容不实的，属于提供虚假材料谋取中标、成交的，依法承担法律责任。</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7.3.6中小企业享受扶持政策获得政府采购合同的，小微企业不得将合同分包给大中型企业，中型企业不得将合同分包给大型企业。</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7.4支持创新发展</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7.4.1 采购人优先采购被认定为首台套产品和“制造精品”的自主创新产品。</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7.4.2首台套产品被纳入《首台套产品推广应用指导目录》之日起3年内，以及产品核心技术高于国内领先水平，并具有明晰自主知识产权的“制造精品”产品，自认定之日起3年内视同已具备相应销售业绩，参加政府采购活动时业绩分值为满分。</w:t>
      </w:r>
    </w:p>
    <w:p>
      <w:pPr>
        <w:spacing w:line="440" w:lineRule="exact"/>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7.5中小企业信用融资：为支持和促进中小企业发展，进一步发挥政府采购政策功能， 省财政厅、浙江银监局、省金融办制定了《浙江省政府采购支持中小企业信用融资试点办法》浙财采监[2012]13号)，所称的政府采购信用融资，是指银行业金融机构(以下简称银行)以政府采购诚信考核和信用审查为基础，凭借政府采购合同，按优于一般中小企业的贷款利率直接向申请贷款的投标人发放贷款的一种融资方式。投标人可登录浙江政府采购(https://zfcg.czt.zj.gov.cn)的中小企业信用融资栏目了解相关信息。 供应商可以通过浙江政府采购网(https://zfcg. czt.zj. gov.cn/)首页的“浙江政采贷”模块进入申请，还可以通过政府采购云平台(https://wwwzcygov.cn/)首页的“金融服务”模块进入申请。</w:t>
      </w:r>
    </w:p>
    <w:p>
      <w:pPr>
        <w:spacing w:line="440" w:lineRule="exact"/>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（三）招标方式</w:t>
      </w:r>
    </w:p>
    <w:p>
      <w:pPr>
        <w:spacing w:line="44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本次招标采用公开招标方式进行。</w:t>
      </w:r>
    </w:p>
    <w:p>
      <w:pPr>
        <w:spacing w:line="440" w:lineRule="exact"/>
        <w:rPr>
          <w:rFonts w:hint="eastAsia" w:ascii="宋体" w:hAnsi="宋体" w:eastAsia="宋体" w:cs="宋体"/>
          <w:b/>
          <w:color w:val="auto"/>
          <w:sz w:val="24"/>
          <w:highlight w:val="none"/>
        </w:rPr>
      </w:pPr>
      <w:r>
        <w:rPr>
          <w:rFonts w:hint="eastAsia" w:ascii="宋体" w:hAnsi="宋体" w:eastAsia="宋体" w:cs="宋体"/>
          <w:b/>
          <w:color w:val="auto"/>
          <w:sz w:val="24"/>
          <w:highlight w:val="none"/>
        </w:rPr>
        <w:t>（四）投标委托</w:t>
      </w:r>
    </w:p>
    <w:p>
      <w:pPr>
        <w:spacing w:line="44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如投标人代表不是法定代表人，须有法定代表人出具的授权委托书，委托代理人必须为投标人的在职正式职工（以投标人本单位缴纳社保花名册为准）。</w:t>
      </w:r>
    </w:p>
    <w:p>
      <w:pPr>
        <w:spacing w:line="440" w:lineRule="exact"/>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▲（五）投标费用</w:t>
      </w:r>
    </w:p>
    <w:p>
      <w:pPr>
        <w:spacing w:line="440" w:lineRule="exact"/>
        <w:ind w:firstLine="480" w:firstLineChars="200"/>
        <w:rPr>
          <w:rFonts w:hint="eastAsia" w:ascii="宋体" w:hAnsi="宋体" w:eastAsia="宋体" w:cs="宋体"/>
          <w:b w:val="0"/>
          <w:bCs/>
          <w:color w:val="auto"/>
          <w:sz w:val="24"/>
          <w:szCs w:val="24"/>
          <w:highlight w:val="none"/>
        </w:rPr>
      </w:pPr>
      <w:r>
        <w:rPr>
          <w:rFonts w:hint="eastAsia" w:ascii="宋体" w:hAnsi="宋体" w:eastAsia="宋体" w:cs="宋体"/>
          <w:b w:val="0"/>
          <w:bCs/>
          <w:color w:val="auto"/>
          <w:sz w:val="24"/>
          <w:szCs w:val="24"/>
          <w:highlight w:val="none"/>
        </w:rPr>
        <w:t>1.不论投标结果如何，投标人均应自行承担所有与投标有关的全部费用（招标文件有相反规定除外）。</w:t>
      </w:r>
    </w:p>
    <w:p>
      <w:pPr>
        <w:spacing w:line="440" w:lineRule="exact"/>
        <w:ind w:firstLine="482" w:firstLineChars="200"/>
        <w:rPr>
          <w:rFonts w:hint="default" w:eastAsia="宋体"/>
          <w:color w:val="auto"/>
          <w:highlight w:val="none"/>
          <w:lang w:val="en-US" w:eastAsia="zh-CN"/>
        </w:rPr>
      </w:pPr>
      <w:r>
        <w:rPr>
          <w:rFonts w:hint="eastAsia" w:ascii="宋体" w:hAnsi="宋体" w:eastAsia="宋体" w:cs="宋体"/>
          <w:b/>
          <w:color w:val="auto"/>
          <w:sz w:val="24"/>
          <w:szCs w:val="24"/>
          <w:highlight w:val="none"/>
        </w:rPr>
        <w:t>2.东阳市鑫盛工程咨询有限公司按差额定率累进法计算（详见本条下列表格收费标准），向中标人收取中标服务费，在中标结果公示结束之日起3天内（在领取中标通知书前）交纳。</w:t>
      </w:r>
    </w:p>
    <w:tbl>
      <w:tblPr>
        <w:tblStyle w:val="22"/>
        <w:tblW w:w="93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74"/>
        <w:gridCol w:w="4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1" w:hRule="atLeast"/>
          <w:jc w:val="center"/>
        </w:trPr>
        <w:tc>
          <w:tcPr>
            <w:tcW w:w="5274" w:type="dxa"/>
            <w:tcBorders>
              <w:top w:val="single" w:color="auto" w:sz="4" w:space="0"/>
              <w:left w:val="single" w:color="auto" w:sz="4" w:space="0"/>
              <w:bottom w:val="single" w:color="auto" w:sz="4" w:space="0"/>
              <w:right w:val="single" w:color="auto" w:sz="4" w:space="0"/>
              <w:tl2br w:val="single" w:color="auto" w:sz="4" w:space="0"/>
            </w:tcBorders>
            <w:noWrap w:val="0"/>
            <w:vAlign w:val="top"/>
          </w:tcPr>
          <w:p>
            <w:pPr>
              <w:ind w:firstLine="840" w:firstLineChars="400"/>
              <w:rPr>
                <w:rFonts w:hint="eastAsia" w:ascii="宋体" w:hAnsi="宋体" w:cs="宋体"/>
                <w:b/>
                <w:color w:val="auto"/>
                <w:sz w:val="24"/>
                <w:highlight w:val="none"/>
              </w:rPr>
            </w:pPr>
            <w:r>
              <w:rPr>
                <w:rFonts w:hint="eastAsia" w:ascii="宋体" w:hAnsi="宋体" w:cs="宋体"/>
                <w:color w:val="auto"/>
                <w:highlight w:val="none"/>
              </w:rPr>
              <mc:AlternateContent>
                <mc:Choice Requires="wps">
                  <w:drawing>
                    <wp:anchor distT="0" distB="0" distL="114300" distR="114300" simplePos="0" relativeHeight="251659264" behindDoc="0" locked="0" layoutInCell="0" allowOverlap="1">
                      <wp:simplePos x="0" y="0"/>
                      <wp:positionH relativeFrom="column">
                        <wp:posOffset>-114300</wp:posOffset>
                      </wp:positionH>
                      <wp:positionV relativeFrom="paragraph">
                        <wp:posOffset>-6350</wp:posOffset>
                      </wp:positionV>
                      <wp:extent cx="635" cy="0"/>
                      <wp:effectExtent l="0" t="0" r="0" b="0"/>
                      <wp:wrapNone/>
                      <wp:docPr id="140" name="直接连接符 140"/>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9pt;margin-top:-0.5pt;height:0pt;width:0.05pt;z-index:251659264;mso-width-relative:page;mso-height-relative:page;" filled="f" stroked="t" coordsize="21600,21600" o:allowincell="f" o:gfxdata="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a5HTftUAAAAJAQAA&#10;DwAAAAAAAAABACAAAAAiAAAAZHJzL2Rvd25yZXYueG1sUEsBAhQAFAAAAAgAh07iQHmJbojjAQAA&#10;tgMAAA4AAAAAAAAAAQAgAAAAJAEAAGRycy9lMm9Eb2MueG1sUEsFBgAAAAAGAAYAWQEAAHkFAAAA&#10;AA==&#10;">
                      <v:fill on="f" focussize="0,0"/>
                      <v:stroke color="#000000" joinstyle="round"/>
                      <v:imagedata o:title=""/>
                      <o:lock v:ext="edit" aspectratio="f"/>
                    </v:line>
                  </w:pict>
                </mc:Fallback>
              </mc:AlternateContent>
            </w:r>
            <w:r>
              <w:rPr>
                <w:rFonts w:hint="eastAsia" w:ascii="宋体" w:hAnsi="宋体" w:cs="宋体"/>
                <w:b/>
                <w:color w:val="auto"/>
                <w:sz w:val="24"/>
                <w:highlight w:val="none"/>
              </w:rPr>
              <w:t>服务类型</w:t>
            </w:r>
          </w:p>
          <w:p>
            <w:pPr>
              <w:rPr>
                <w:rFonts w:hint="eastAsia" w:ascii="宋体" w:hAnsi="宋体" w:cs="宋体"/>
                <w:b/>
                <w:color w:val="auto"/>
                <w:sz w:val="24"/>
                <w:highlight w:val="none"/>
              </w:rPr>
            </w:pPr>
            <w:r>
              <w:rPr>
                <w:rFonts w:hint="eastAsia" w:ascii="宋体" w:hAnsi="宋体" w:cs="宋体"/>
                <w:b/>
                <w:color w:val="auto"/>
                <w:sz w:val="24"/>
                <w:highlight w:val="none"/>
              </w:rPr>
              <w:t>费率</w:t>
            </w:r>
          </w:p>
          <w:p>
            <w:pPr>
              <w:rPr>
                <w:rFonts w:hint="eastAsia" w:ascii="宋体" w:hAnsi="宋体" w:cs="宋体"/>
                <w:b/>
                <w:color w:val="auto"/>
                <w:sz w:val="24"/>
                <w:highlight w:val="none"/>
              </w:rPr>
            </w:pPr>
            <w:r>
              <w:rPr>
                <w:rFonts w:hint="eastAsia" w:ascii="宋体" w:hAnsi="宋体" w:cs="宋体"/>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-59690</wp:posOffset>
                      </wp:positionH>
                      <wp:positionV relativeFrom="paragraph">
                        <wp:posOffset>49530</wp:posOffset>
                      </wp:positionV>
                      <wp:extent cx="3342005" cy="417195"/>
                      <wp:effectExtent l="635" t="4445" r="10160" b="16510"/>
                      <wp:wrapNone/>
                      <wp:docPr id="141" name="直接连接符 141"/>
                      <wp:cNvGraphicFramePr/>
                      <a:graphic xmlns:a="http://schemas.openxmlformats.org/drawingml/2006/main">
                        <a:graphicData uri="http://schemas.microsoft.com/office/word/2010/wordprocessingShape">
                          <wps:wsp>
                            <wps:cNvCnPr>
                              <a:cxnSpLocks noChangeShapeType="1"/>
                            </wps:cNvCnPr>
                            <wps:spPr bwMode="auto">
                              <a:xfrm>
                                <a:off x="0" y="0"/>
                                <a:ext cx="3342005" cy="417195"/>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4.7pt;margin-top:3.9pt;height:32.85pt;width:263.15pt;z-index:251660288;mso-width-relative:page;mso-height-relative:page;" filled="f" stroked="t" coordsize="21600,21600" o:gfxdata="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MoRNYrWAAAABwEAAA8AAAAAAAAAAQAgAAAAIgAAAGRycy9kb3ducmV2LnhtbFBLAQIUABQAAAAI&#10;AIdO4kCh3RMs7wEAAMEDAAAOAAAAAAAAAAEAIAAAACUBAABkcnMvZTJvRG9jLnhtbFBLBQYAAAAA&#10;BgAGAFkBAACGBQAAAAA=&#10;">
                      <v:fill on="f" focussize="0,0"/>
                      <v:stroke color="#000000" joinstyle="round"/>
                      <v:imagedata o:title=""/>
                      <o:lock v:ext="edit" aspectratio="f"/>
                    </v:line>
                  </w:pict>
                </mc:Fallback>
              </mc:AlternateContent>
            </w:r>
          </w:p>
          <w:p>
            <w:pPr>
              <w:rPr>
                <w:rFonts w:hint="eastAsia" w:ascii="宋体" w:hAnsi="宋体" w:cs="宋体"/>
                <w:b/>
                <w:color w:val="auto"/>
                <w:sz w:val="24"/>
                <w:highlight w:val="none"/>
              </w:rPr>
            </w:pPr>
            <w:r>
              <w:rPr>
                <w:rFonts w:hint="eastAsia" w:ascii="宋体" w:hAnsi="宋体" w:cs="宋体"/>
                <w:b/>
                <w:color w:val="auto"/>
                <w:sz w:val="24"/>
                <w:highlight w:val="none"/>
              </w:rPr>
              <w:t>中标金额（万元）</w:t>
            </w:r>
          </w:p>
        </w:tc>
        <w:tc>
          <w:tcPr>
            <w:tcW w:w="4065" w:type="dxa"/>
            <w:tcBorders>
              <w:top w:val="single" w:color="auto" w:sz="4" w:space="0"/>
              <w:left w:val="single" w:color="auto" w:sz="4" w:space="0"/>
              <w:bottom w:val="single" w:color="auto" w:sz="4" w:space="0"/>
              <w:right w:val="single" w:color="auto" w:sz="4" w:space="0"/>
            </w:tcBorders>
            <w:noWrap w:val="0"/>
            <w:vAlign w:val="center"/>
          </w:tcPr>
          <w:p>
            <w:pPr>
              <w:spacing w:line="300" w:lineRule="exact"/>
              <w:jc w:val="center"/>
              <w:rPr>
                <w:rFonts w:hint="eastAsia" w:ascii="宋体" w:hAnsi="宋体" w:cs="宋体"/>
                <w:b/>
                <w:color w:val="auto"/>
                <w:sz w:val="24"/>
                <w:highlight w:val="none"/>
              </w:rPr>
            </w:pPr>
            <w:r>
              <w:rPr>
                <w:rFonts w:hint="eastAsia"/>
                <w:color w:val="auto"/>
                <w:kern w:val="2"/>
                <w:sz w:val="24"/>
                <w:szCs w:val="24"/>
                <w:highlight w:val="none"/>
                <w:lang w:val="en-US" w:eastAsia="zh-CN"/>
              </w:rPr>
              <w:t>收费标准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5274"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100以下</w:t>
            </w:r>
          </w:p>
        </w:tc>
        <w:tc>
          <w:tcPr>
            <w:tcW w:w="406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5274"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100-500</w:t>
            </w:r>
          </w:p>
        </w:tc>
        <w:tc>
          <w:tcPr>
            <w:tcW w:w="406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atLeast"/>
          <w:jc w:val="center"/>
        </w:trPr>
        <w:tc>
          <w:tcPr>
            <w:tcW w:w="5274"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500-1000</w:t>
            </w:r>
          </w:p>
        </w:tc>
        <w:tc>
          <w:tcPr>
            <w:tcW w:w="406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0.8％</w:t>
            </w:r>
          </w:p>
        </w:tc>
      </w:tr>
    </w:tbl>
    <w:p>
      <w:pPr>
        <w:spacing w:line="440" w:lineRule="exact"/>
        <w:ind w:firstLine="482" w:firstLineChars="200"/>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中标服务费由中标人汇至以下账户：</w:t>
      </w:r>
    </w:p>
    <w:p>
      <w:pPr>
        <w:spacing w:line="440" w:lineRule="exact"/>
        <w:ind w:firstLine="472" w:firstLineChars="196"/>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账户名称：东阳市鑫盛工程咨询有限公司</w:t>
      </w:r>
    </w:p>
    <w:p>
      <w:pPr>
        <w:spacing w:line="440" w:lineRule="exact"/>
        <w:ind w:firstLine="472" w:firstLineChars="196"/>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开户银行：兴业银行股份有限公司金华东阳支行</w:t>
      </w:r>
    </w:p>
    <w:p>
      <w:pPr>
        <w:spacing w:line="440" w:lineRule="exact"/>
        <w:ind w:firstLine="472" w:firstLineChars="196"/>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账号：356090100100082625</w:t>
      </w:r>
    </w:p>
    <w:p>
      <w:pPr>
        <w:spacing w:line="440" w:lineRule="exact"/>
        <w:rPr>
          <w:rFonts w:hint="eastAsia" w:ascii="宋体" w:hAnsi="宋体" w:eastAsia="宋体" w:cs="宋体"/>
          <w:color w:val="auto"/>
          <w:sz w:val="24"/>
          <w:highlight w:val="none"/>
        </w:rPr>
      </w:pPr>
      <w:r>
        <w:rPr>
          <w:rFonts w:hint="eastAsia" w:ascii="宋体" w:hAnsi="宋体" w:eastAsia="宋体" w:cs="宋体"/>
          <w:b/>
          <w:color w:val="auto"/>
          <w:sz w:val="24"/>
          <w:highlight w:val="none"/>
        </w:rPr>
        <w:t>（六）联合体投标</w:t>
      </w:r>
      <w:r>
        <w:rPr>
          <w:rFonts w:hint="eastAsia" w:ascii="宋体" w:hAnsi="宋体" w:eastAsia="宋体" w:cs="宋体"/>
          <w:b/>
          <w:color w:val="auto"/>
          <w:sz w:val="24"/>
          <w:highlight w:val="none"/>
        </w:rPr>
        <w:tab/>
      </w:r>
    </w:p>
    <w:p>
      <w:pPr>
        <w:spacing w:line="440" w:lineRule="exact"/>
        <w:ind w:firstLine="240" w:firstLineChars="1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本项目接受联合体投标。</w:t>
      </w:r>
    </w:p>
    <w:p>
      <w:pPr>
        <w:spacing w:line="440" w:lineRule="exact"/>
        <w:rPr>
          <w:rFonts w:hint="eastAsia" w:ascii="宋体" w:hAnsi="宋体" w:eastAsia="宋体" w:cs="宋体"/>
          <w:b/>
          <w:color w:val="auto"/>
          <w:kern w:val="0"/>
          <w:sz w:val="24"/>
          <w:highlight w:val="none"/>
        </w:rPr>
      </w:pPr>
      <w:r>
        <w:rPr>
          <w:rFonts w:hint="eastAsia" w:ascii="宋体" w:hAnsi="宋体" w:eastAsia="宋体" w:cs="宋体"/>
          <w:b/>
          <w:color w:val="auto"/>
          <w:sz w:val="24"/>
          <w:highlight w:val="none"/>
        </w:rPr>
        <w:t>（七）</w:t>
      </w:r>
      <w:r>
        <w:rPr>
          <w:rFonts w:hint="eastAsia" w:ascii="宋体" w:hAnsi="宋体" w:eastAsia="宋体" w:cs="宋体"/>
          <w:b/>
          <w:color w:val="auto"/>
          <w:kern w:val="0"/>
          <w:sz w:val="24"/>
          <w:highlight w:val="none"/>
        </w:rPr>
        <w:t>转包与分包</w:t>
      </w:r>
    </w:p>
    <w:p>
      <w:pPr>
        <w:spacing w:line="440" w:lineRule="exact"/>
        <w:ind w:firstLine="240" w:firstLineChars="1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1.本项目不允许转包。</w:t>
      </w:r>
    </w:p>
    <w:p>
      <w:pPr>
        <w:spacing w:line="440" w:lineRule="exact"/>
        <w:ind w:firstLine="240" w:firstLineChars="1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2.本项目允许分包。</w:t>
      </w:r>
    </w:p>
    <w:p>
      <w:pPr>
        <w:spacing w:line="440" w:lineRule="exact"/>
        <w:rPr>
          <w:rFonts w:hint="eastAsia" w:ascii="宋体" w:hAnsi="宋体" w:eastAsia="宋体" w:cs="宋体"/>
          <w:b/>
          <w:bCs/>
          <w:color w:val="auto"/>
          <w:sz w:val="24"/>
          <w:highlight w:val="none"/>
        </w:rPr>
      </w:pPr>
      <w:r>
        <w:rPr>
          <w:rFonts w:hint="eastAsia" w:ascii="宋体" w:hAnsi="宋体" w:eastAsia="宋体" w:cs="宋体"/>
          <w:color w:val="auto"/>
          <w:sz w:val="24"/>
          <w:highlight w:val="none"/>
          <w:lang w:val="en-US" w:eastAsia="zh-CN"/>
        </w:rPr>
        <w:t>▲</w:t>
      </w:r>
      <w:r>
        <w:rPr>
          <w:rFonts w:hint="eastAsia" w:ascii="宋体" w:hAnsi="宋体" w:eastAsia="宋体" w:cs="宋体"/>
          <w:b/>
          <w:bCs/>
          <w:color w:val="auto"/>
          <w:sz w:val="24"/>
          <w:highlight w:val="none"/>
        </w:rPr>
        <w:t>（八）特别说明：</w:t>
      </w:r>
    </w:p>
    <w:p>
      <w:pPr>
        <w:spacing w:line="44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1.多家供应商参加投标，如其中两家或两家以上供应商的法定代表人为同一人或相互之间存在投资关系且达到控股的，同时提供的是同一品牌产品的，应当按一个供应商认定。</w:t>
      </w:r>
    </w:p>
    <w:p>
      <w:pPr>
        <w:spacing w:line="440" w:lineRule="exact"/>
        <w:rPr>
          <w:rFonts w:ascii="宋体" w:hAnsi="宋体" w:cs="宋体"/>
          <w:color w:val="auto"/>
          <w:sz w:val="24"/>
          <w:highlight w:val="none"/>
        </w:rPr>
      </w:pPr>
      <w:r>
        <w:rPr>
          <w:rFonts w:hint="eastAsia" w:ascii="宋体" w:hAnsi="宋体" w:cs="宋体"/>
          <w:color w:val="auto"/>
          <w:sz w:val="24"/>
          <w:highlight w:val="none"/>
        </w:rPr>
        <w:t>评审时，提供相同品牌产品且通过资格审查、符合性审查的不同投标人参加同一合同下投标的，按一家投标人计算，评审后得分最高的同品牌投标人获得中标人推荐资格；评审得分相同的由采购人或者采购人委托评标委员会确定一个投标人获得中标人推荐资格，招标文件未规定的采取随机抽取方式确定，其他同品牌投标人不作为中标候选人。</w:t>
      </w:r>
    </w:p>
    <w:p>
      <w:pPr>
        <w:spacing w:line="440" w:lineRule="exact"/>
        <w:rPr>
          <w:rFonts w:ascii="宋体" w:hAnsi="宋体" w:cs="宋体"/>
          <w:color w:val="auto"/>
          <w:sz w:val="24"/>
          <w:highlight w:val="none"/>
        </w:rPr>
      </w:pPr>
      <w:r>
        <w:rPr>
          <w:rFonts w:hint="eastAsia" w:ascii="宋体" w:hAnsi="宋体" w:cs="宋体"/>
          <w:color w:val="auto"/>
          <w:sz w:val="24"/>
          <w:highlight w:val="none"/>
        </w:rPr>
        <w:t>多家代理商或经销商参加投标，如其中两家或两家以上供应商存在分级代理或代销关系，且提供的是其所代理品牌产品的，评审时，按上述规定确定其中一家为有效供应商。</w:t>
      </w:r>
    </w:p>
    <w:p>
      <w:pPr>
        <w:spacing w:line="44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2.投标人投标所使用的资格、信誉、荣誉与企业认证必须为本法人所拥有。投标人投标所使用的采购项目实施人员必须为本法人员工（或必须为本法人或控股公司正式员工）。</w:t>
      </w:r>
    </w:p>
    <w:p>
      <w:pPr>
        <w:spacing w:line="44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3.投标人应仔细阅读招标文件的所有内容，按照招标文件的要求提交投标文件，并对所提供的全部资料的真实性承担法律责任。</w:t>
      </w:r>
    </w:p>
    <w:p>
      <w:pPr>
        <w:spacing w:line="44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4.投标人在投标活动中提供任何虚假材料,其投标无效，并报监管部门查处；中标后发现的,中标人须依照《中华人民共和国消费者权益保护法》第49条之规定，按中标价双倍赔偿采购人，且民事赔偿并不免除违法投标人的行政与刑事责任。</w:t>
      </w:r>
    </w:p>
    <w:p>
      <w:pPr>
        <w:spacing w:line="44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5.评标委员会认为预中标人的投标报价明显低于其他通过符合性审查投标人的报价，有可能影响产品质量或者不能诚信履约的，应当要求其在评标现场合理的时间内提供书面说明，必要时提交相关证明材料，预中标人不能证明其报价合理性的，评标委员会应当将其作为无效投标处理。</w:t>
      </w:r>
    </w:p>
    <w:p>
      <w:pPr>
        <w:spacing w:line="44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6.招标方不保证最低报价者为中标方。</w:t>
      </w:r>
    </w:p>
    <w:p>
      <w:pPr>
        <w:spacing w:line="44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7.为维护国家利益及招标方自身利益，允许招标方在合同签订之前仍有选择或拒绝任何或全部投标的权力。</w:t>
      </w:r>
    </w:p>
    <w:p>
      <w:pPr>
        <w:spacing w:line="44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8.“政采云”平台运营机构，以及与该机构有直接控股或者管理关系可能影响采购公正性的任何单位和个人，不得在该平台进行的政府采购项目电子交易中投标、响应政府采购项目。</w:t>
      </w:r>
    </w:p>
    <w:p>
      <w:pPr>
        <w:spacing w:line="440" w:lineRule="exact"/>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（九）质疑和投诉</w:t>
      </w:r>
    </w:p>
    <w:p>
      <w:pPr>
        <w:spacing w:line="44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1.投标人认为招标文件、招标过程或中标结果使自己的合法权益受到损害的，应当在知道或者应知其权益受到损害之日起七个工作日内，以书面形式向采购人、招标方提出质疑。投标人对招标方的质疑答复不满意或者招标方未在规定时间内作出答复的，可以在答复期满后十五个工作日内向同级采购监管部门投诉。</w:t>
      </w:r>
    </w:p>
    <w:p>
      <w:pPr>
        <w:spacing w:line="44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2.质疑、投诉应当采用书面形式，质疑书、投诉书均应明确阐述招标文件、招标过程或中标结果中使自己合法权益受到损害的实质性内容，提供相关事实、依据和证据及其来源或线索，便于有关单位调查、答复和处理。</w:t>
      </w:r>
    </w:p>
    <w:p>
      <w:pPr>
        <w:spacing w:line="44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3. 采购人、招标方应当按照《浙江省政府采购供应商质疑处理办法》、中华人民共和国财政部第94号令《政府采购质疑和投诉办法》进行受理与答复质疑。</w:t>
      </w:r>
    </w:p>
    <w:p>
      <w:pPr>
        <w:pStyle w:val="2"/>
        <w:keepNext w:val="0"/>
        <w:keepLines w:val="0"/>
        <w:pageBreakBefore/>
        <w:spacing w:line="360" w:lineRule="auto"/>
        <w:jc w:val="center"/>
        <w:rPr>
          <w:rFonts w:hint="eastAsia" w:ascii="宋体" w:hAnsi="宋体" w:eastAsia="宋体" w:cs="宋体"/>
          <w:color w:val="auto"/>
          <w:sz w:val="24"/>
          <w:szCs w:val="24"/>
          <w:highlight w:val="none"/>
        </w:rPr>
      </w:pPr>
      <w:bookmarkStart w:id="31" w:name="_Toc12538"/>
      <w:bookmarkStart w:id="32" w:name="_Toc454196066"/>
      <w:bookmarkStart w:id="33" w:name="_Toc458697268"/>
      <w:r>
        <w:rPr>
          <w:rFonts w:hint="eastAsia" w:ascii="宋体" w:hAnsi="宋体" w:eastAsia="宋体" w:cs="宋体"/>
          <w:color w:val="auto"/>
          <w:sz w:val="24"/>
          <w:szCs w:val="24"/>
          <w:highlight w:val="none"/>
        </w:rPr>
        <w:t>二、招标文件</w:t>
      </w:r>
      <w:bookmarkEnd w:id="31"/>
      <w:bookmarkEnd w:id="32"/>
      <w:bookmarkEnd w:id="33"/>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（一）招标文件的构成。本招标文件由以下部分组成：</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1.招标公告</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2.招标需求</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3.投标人须知</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4.评标办法及标准</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5.合同主要条款</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6.投标文件格式</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7.本项目招标文件的澄清、答复、修改、补充的内容</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（二）投标人的风险</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投标人没有按照招标文件要求提供全部资料，或者投标人没有对招标文件在各方面作出实质性响应是投标人的风险，并可能导致其投标被拒绝。</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（三）招标文件的澄清与修改 </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r>
        <w:rPr>
          <w:rFonts w:hint="eastAsia" w:ascii="宋体" w:hAnsi="宋体" w:eastAsia="宋体" w:cs="宋体"/>
          <w:bCs/>
          <w:color w:val="auto"/>
          <w:sz w:val="24"/>
          <w:highlight w:val="none"/>
        </w:rPr>
        <w:t>投标人应认真阅读本招标文件，发现其中有误或有不合理要求的，投标人应当按照公开招标公告第</w:t>
      </w:r>
      <w:r>
        <w:rPr>
          <w:rFonts w:hint="eastAsia" w:ascii="宋体" w:hAnsi="宋体" w:eastAsia="宋体" w:cs="宋体"/>
          <w:bCs/>
          <w:color w:val="auto"/>
          <w:sz w:val="24"/>
          <w:highlight w:val="none"/>
          <w:lang w:eastAsia="zh-CN"/>
        </w:rPr>
        <w:t>三、</w:t>
      </w:r>
      <w:r>
        <w:rPr>
          <w:rFonts w:hint="eastAsia" w:ascii="宋体" w:hAnsi="宋体" w:cs="宋体"/>
          <w:bCs/>
          <w:color w:val="auto"/>
          <w:sz w:val="24"/>
          <w:highlight w:val="none"/>
          <w:lang w:val="en-US" w:eastAsia="zh-CN"/>
        </w:rPr>
        <w:t>七</w:t>
      </w:r>
      <w:r>
        <w:rPr>
          <w:rFonts w:hint="eastAsia" w:ascii="宋体" w:hAnsi="宋体" w:eastAsia="宋体" w:cs="宋体"/>
          <w:bCs/>
          <w:color w:val="auto"/>
          <w:sz w:val="24"/>
          <w:highlight w:val="none"/>
        </w:rPr>
        <w:t>条规定以书面形式要求招标方澄清</w:t>
      </w:r>
      <w:r>
        <w:rPr>
          <w:rFonts w:hint="eastAsia" w:ascii="宋体" w:hAnsi="宋体" w:eastAsia="宋体" w:cs="宋体"/>
          <w:color w:val="auto"/>
          <w:sz w:val="24"/>
          <w:highlight w:val="none"/>
        </w:rPr>
        <w:t>。招标方对已发出的招标文件进行必要澄清、答复、修改或补充的，应当在招标文件要求提交投标文件截止时间15日前，在财政部门指定的政府采购信息发布媒体上发布更正公告，并以书面形式通知所有招标文件收受人。</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2.招标方必须以书面形式答复投标人要求澄清的问题，并将不包含问题来源的答复书面通知所有购买招标文件的投标人；除书面答复以外的其他澄清方式及澄清内容均无效。</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3.招标文件澄清、答复、修改、补充的内容为招标文件的组成部分。当招标文件与招标文件的答复、澄清、修改、补充通知就同一内容的表述不一致时，以最后发出的书面文件为准。</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4.招标文件的澄清、答复、修改或补充都应该通过本招标机构以法定形式发布，采购人非通过本机构，不得擅自澄清、答复、修改或补充招标文件。</w:t>
      </w:r>
    </w:p>
    <w:p>
      <w:pPr>
        <w:pStyle w:val="2"/>
        <w:keepNext w:val="0"/>
        <w:keepLines w:val="0"/>
        <w:pageBreakBefore/>
        <w:spacing w:line="360" w:lineRule="auto"/>
        <w:jc w:val="center"/>
        <w:rPr>
          <w:rFonts w:hint="eastAsia" w:ascii="宋体" w:hAnsi="宋体" w:eastAsia="宋体" w:cs="宋体"/>
          <w:color w:val="auto"/>
          <w:sz w:val="24"/>
          <w:szCs w:val="24"/>
          <w:highlight w:val="none"/>
        </w:rPr>
      </w:pPr>
      <w:bookmarkStart w:id="34" w:name="_Toc454196067"/>
      <w:bookmarkStart w:id="35" w:name="_Toc458697269"/>
      <w:bookmarkStart w:id="36" w:name="_Toc6502"/>
      <w:r>
        <w:rPr>
          <w:rFonts w:hint="eastAsia" w:ascii="宋体" w:hAnsi="宋体" w:eastAsia="宋体" w:cs="宋体"/>
          <w:color w:val="auto"/>
          <w:sz w:val="24"/>
          <w:szCs w:val="24"/>
          <w:highlight w:val="none"/>
        </w:rPr>
        <w:t>三、投标文件的编制</w:t>
      </w:r>
      <w:bookmarkEnd w:id="34"/>
      <w:bookmarkEnd w:id="35"/>
      <w:bookmarkEnd w:id="36"/>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▲（一）投标文件的组成</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投标文件由资格审查文件、商务技术文件、报价文件三部分组成。</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1.资格审查文件：</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（1）具有独立承担民事责任的能力：投标人须在投标文件中出具符合以下情况的证明材料复印件（五选一）：</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①如投标人是企业（包括合伙企业），提供在工商部门注册的有效“企业法人营业执照”或“营业执照”；</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②如投标人是事业单位，提供有效的“事业单位法人证书”；</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③如投标人是非企业专业服务机构的，提供执业许可证等证明文件；</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④如投标人是个体工商户，提供有效的“个体工商户营业执照”；</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⑤如投标人是自然人，提供有效的自然人身份证明（居民身份证正反面或公安机关出具的临时居民身份证正反面或港澳台胞证或护照）。</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2</w:t>
      </w:r>
      <w:r>
        <w:rPr>
          <w:rFonts w:hint="eastAsia" w:ascii="宋体" w:hAnsi="宋体" w:eastAsia="宋体" w:cs="宋体"/>
          <w:color w:val="auto"/>
          <w:sz w:val="24"/>
          <w:highlight w:val="none"/>
        </w:rPr>
        <w:t>）法定代表人身份证复印件或法定代表人授权委托书(格式见附件)；</w:t>
      </w:r>
    </w:p>
    <w:p>
      <w:pPr>
        <w:spacing w:line="360" w:lineRule="auto"/>
        <w:rPr>
          <w:rFonts w:hint="eastAsia" w:ascii="宋体" w:hAnsi="宋体" w:cs="宋体"/>
          <w:color w:val="auto"/>
          <w:sz w:val="24"/>
          <w:highlight w:val="none"/>
          <w:lang w:val="en-US" w:eastAsia="zh-CN"/>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3</w:t>
      </w:r>
      <w:r>
        <w:rPr>
          <w:rFonts w:hint="eastAsia" w:ascii="宋体" w:hAnsi="宋体" w:cs="宋体"/>
          <w:color w:val="auto"/>
          <w:sz w:val="24"/>
          <w:highlight w:val="none"/>
        </w:rPr>
        <w:t>）</w:t>
      </w:r>
      <w:r>
        <w:rPr>
          <w:rFonts w:hint="eastAsia" w:ascii="宋体" w:hAnsi="宋体" w:cs="宋体"/>
          <w:color w:val="auto"/>
          <w:sz w:val="24"/>
          <w:highlight w:val="none"/>
          <w:lang w:eastAsia="zh-CN"/>
        </w:rPr>
        <w:t>符合参加政府采购活动应当具备的一般条件的承诺函（格式见附件）；</w:t>
      </w:r>
    </w:p>
    <w:p>
      <w:pPr>
        <w:pStyle w:val="8"/>
        <w:keepNext w:val="0"/>
        <w:keepLines w:val="0"/>
        <w:pageBreakBefore w:val="0"/>
        <w:numPr>
          <w:ilvl w:val="0"/>
          <w:numId w:val="0"/>
        </w:numPr>
        <w:kinsoku/>
        <w:wordWrap/>
        <w:overflowPunct/>
        <w:topLinePunct w:val="0"/>
        <w:autoSpaceDE/>
        <w:autoSpaceDN/>
        <w:bidi w:val="0"/>
        <w:adjustRightInd/>
        <w:spacing w:line="360" w:lineRule="auto"/>
        <w:textAlignment w:val="auto"/>
        <w:rPr>
          <w:rFonts w:hint="eastAsia" w:ascii="宋体" w:hAnsi="宋体" w:eastAsia="宋体" w:cs="宋体"/>
          <w:strike w:val="0"/>
          <w:dstrike w:val="0"/>
          <w:color w:val="auto"/>
          <w:sz w:val="24"/>
          <w:highlight w:val="none"/>
          <w:lang w:val="en-US" w:eastAsia="zh-CN"/>
        </w:rPr>
      </w:pPr>
      <w:r>
        <w:rPr>
          <w:rFonts w:hint="eastAsia" w:ascii="宋体" w:hAnsi="宋体" w:cs="宋体"/>
          <w:strike w:val="0"/>
          <w:dstrike w:val="0"/>
          <w:color w:val="auto"/>
          <w:sz w:val="24"/>
          <w:highlight w:val="none"/>
          <w:lang w:val="en-US" w:eastAsia="zh-CN"/>
        </w:rPr>
        <w:t>（4）</w:t>
      </w:r>
      <w:r>
        <w:rPr>
          <w:rFonts w:hint="eastAsia" w:ascii="宋体" w:hAnsi="宋体" w:eastAsia="宋体" w:cs="宋体"/>
          <w:strike w:val="0"/>
          <w:dstrike w:val="0"/>
          <w:color w:val="auto"/>
          <w:sz w:val="24"/>
          <w:highlight w:val="none"/>
          <w:lang w:val="en-US" w:eastAsia="zh-CN"/>
        </w:rPr>
        <w:t>具有医疗器械经营许可资格；</w:t>
      </w:r>
    </w:p>
    <w:p>
      <w:pPr>
        <w:pStyle w:val="8"/>
        <w:keepNext w:val="0"/>
        <w:keepLines w:val="0"/>
        <w:pageBreakBefore w:val="0"/>
        <w:numPr>
          <w:ilvl w:val="0"/>
          <w:numId w:val="0"/>
        </w:numPr>
        <w:kinsoku/>
        <w:wordWrap/>
        <w:overflowPunct/>
        <w:topLinePunct w:val="0"/>
        <w:autoSpaceDE/>
        <w:autoSpaceDN/>
        <w:bidi w:val="0"/>
        <w:adjustRightInd/>
        <w:spacing w:line="360" w:lineRule="auto"/>
        <w:textAlignment w:val="auto"/>
        <w:rPr>
          <w:rFonts w:hint="eastAsia"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（5）</w:t>
      </w:r>
      <w:r>
        <w:rPr>
          <w:rFonts w:hint="eastAsia" w:ascii="宋体" w:hAnsi="宋体" w:eastAsia="宋体" w:cs="宋体"/>
          <w:color w:val="auto"/>
          <w:sz w:val="24"/>
          <w:highlight w:val="none"/>
          <w:lang w:val="en-US" w:eastAsia="zh-CN"/>
        </w:rPr>
        <w:t>具有建筑机电安装工程专业承包</w:t>
      </w:r>
      <w:r>
        <w:rPr>
          <w:rFonts w:hint="eastAsia" w:ascii="宋体" w:hAnsi="宋体" w:cs="宋体"/>
          <w:color w:val="auto"/>
          <w:sz w:val="24"/>
          <w:highlight w:val="none"/>
          <w:lang w:val="en-US" w:eastAsia="zh-CN"/>
        </w:rPr>
        <w:t>三</w:t>
      </w:r>
      <w:r>
        <w:rPr>
          <w:rFonts w:hint="eastAsia" w:ascii="宋体" w:hAnsi="宋体" w:eastAsia="宋体" w:cs="宋体"/>
          <w:color w:val="auto"/>
          <w:sz w:val="24"/>
          <w:highlight w:val="none"/>
          <w:lang w:val="en-US" w:eastAsia="zh-CN"/>
        </w:rPr>
        <w:t>级及以上资质；</w:t>
      </w:r>
    </w:p>
    <w:p>
      <w:pPr>
        <w:spacing w:line="360" w:lineRule="auto"/>
        <w:rPr>
          <w:rFonts w:hint="eastAsia" w:ascii="宋体" w:hAnsi="宋体" w:eastAsia="宋体" w:cs="宋体"/>
          <w:color w:val="auto"/>
          <w:sz w:val="24"/>
          <w:highlight w:val="none"/>
        </w:rPr>
      </w:pPr>
      <w:r>
        <w:rPr>
          <w:rFonts w:hint="eastAsia" w:ascii="宋体" w:hAnsi="宋体" w:cs="宋体"/>
          <w:color w:val="auto"/>
          <w:sz w:val="24"/>
          <w:highlight w:val="none"/>
          <w:lang w:val="en-US" w:eastAsia="zh-CN"/>
        </w:rPr>
        <w:t>（6）</w:t>
      </w:r>
      <w:r>
        <w:rPr>
          <w:rFonts w:hint="eastAsia" w:ascii="宋体" w:hAnsi="宋体" w:eastAsia="宋体" w:cs="宋体"/>
          <w:color w:val="auto"/>
          <w:sz w:val="24"/>
          <w:highlight w:val="none"/>
        </w:rPr>
        <w:t>具有安全生产许可证</w:t>
      </w:r>
      <w:r>
        <w:rPr>
          <w:rFonts w:hint="eastAsia" w:ascii="宋体" w:hAnsi="宋体" w:eastAsia="宋体" w:cs="宋体"/>
          <w:color w:val="auto"/>
          <w:sz w:val="24"/>
          <w:highlight w:val="none"/>
          <w:lang w:val="en-US" w:eastAsia="zh-CN"/>
        </w:rPr>
        <w:t>；</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7</w:t>
      </w:r>
      <w:r>
        <w:rPr>
          <w:rFonts w:hint="eastAsia" w:ascii="宋体" w:hAnsi="宋体" w:eastAsia="宋体" w:cs="宋体"/>
          <w:color w:val="auto"/>
          <w:sz w:val="24"/>
          <w:highlight w:val="none"/>
        </w:rPr>
        <w:t>）联合体协议书/分包意向协议；（联合体投标/分包时提供，格式见附件）；</w:t>
      </w:r>
    </w:p>
    <w:p>
      <w:pPr>
        <w:pStyle w:val="4"/>
        <w:spacing w:line="360" w:lineRule="auto"/>
        <w:ind w:left="0" w:leftChars="0" w:firstLine="0" w:firstLineChars="0"/>
        <w:rPr>
          <w:rFonts w:hint="default" w:eastAsia="宋体"/>
          <w:color w:val="auto"/>
          <w:highlight w:val="none"/>
          <w:lang w:val="en-US" w:eastAsia="zh-CN"/>
        </w:rPr>
      </w:pPr>
      <w:r>
        <w:rPr>
          <w:rFonts w:hint="eastAsia" w:ascii="宋体" w:hAnsi="宋体" w:cs="宋体"/>
          <w:color w:val="auto"/>
          <w:sz w:val="24"/>
          <w:highlight w:val="none"/>
          <w:lang w:val="en-US" w:eastAsia="zh-CN"/>
        </w:rPr>
        <w:t>（8）中小企业声明函（格式见附件）；</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9</w:t>
      </w:r>
      <w:r>
        <w:rPr>
          <w:rFonts w:hint="eastAsia" w:ascii="宋体" w:hAnsi="宋体" w:eastAsia="宋体" w:cs="宋体"/>
          <w:color w:val="auto"/>
          <w:sz w:val="24"/>
          <w:highlight w:val="none"/>
        </w:rPr>
        <w:t>）信用记录网络查询页面截图（信用中国与中国政府采购网）；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10</w:t>
      </w:r>
      <w:r>
        <w:rPr>
          <w:rFonts w:hint="eastAsia" w:ascii="宋体" w:hAnsi="宋体" w:eastAsia="宋体" w:cs="宋体"/>
          <w:color w:val="auto"/>
          <w:sz w:val="24"/>
          <w:highlight w:val="none"/>
        </w:rPr>
        <w:t>）浙江政府采购网注册正式供应商的网络截图或承诺中标后30天内注册为浙江政府采购网正式供应商（须提供承诺书）；</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11</w:t>
      </w:r>
      <w:r>
        <w:rPr>
          <w:rFonts w:hint="eastAsia" w:ascii="宋体" w:hAnsi="宋体" w:eastAsia="宋体" w:cs="宋体"/>
          <w:color w:val="auto"/>
          <w:sz w:val="24"/>
          <w:highlight w:val="none"/>
        </w:rPr>
        <w:t>）东阳市政府采购代理机构社会评价表（格式见附件）</w:t>
      </w:r>
      <w:r>
        <w:rPr>
          <w:rFonts w:hint="eastAsia" w:ascii="宋体" w:hAnsi="宋体" w:cs="宋体"/>
          <w:color w:val="auto"/>
          <w:sz w:val="24"/>
          <w:highlight w:val="none"/>
          <w:lang w:eastAsia="zh-CN"/>
        </w:rPr>
        <w:t>；</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12</w:t>
      </w:r>
      <w:r>
        <w:rPr>
          <w:rFonts w:hint="eastAsia" w:ascii="宋体" w:hAnsi="宋体" w:eastAsia="宋体" w:cs="宋体"/>
          <w:color w:val="auto"/>
          <w:sz w:val="24"/>
          <w:highlight w:val="none"/>
        </w:rPr>
        <w:t>）投标声明书 (格式见附件)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rPr>
        <w:t>）政府采购活动现场确认声明书 (格式见附件)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r>
        <w:rPr>
          <w:rFonts w:hint="eastAsia" w:ascii="宋体" w:hAnsi="宋体" w:cs="宋体"/>
          <w:color w:val="auto"/>
          <w:sz w:val="24"/>
          <w:highlight w:val="none"/>
          <w:lang w:val="en-US" w:eastAsia="zh-CN"/>
        </w:rPr>
        <w:t>4</w:t>
      </w:r>
      <w:r>
        <w:rPr>
          <w:rFonts w:hint="eastAsia" w:ascii="宋体" w:hAnsi="宋体" w:eastAsia="宋体" w:cs="宋体"/>
          <w:color w:val="auto"/>
          <w:sz w:val="24"/>
          <w:highlight w:val="none"/>
        </w:rPr>
        <w:t>）投标人情况介绍；</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15</w:t>
      </w:r>
      <w:r>
        <w:rPr>
          <w:rFonts w:hint="eastAsia" w:ascii="宋体" w:hAnsi="宋体" w:eastAsia="宋体" w:cs="宋体"/>
          <w:color w:val="auto"/>
          <w:sz w:val="24"/>
          <w:highlight w:val="none"/>
        </w:rPr>
        <w:t>）投标人认为有必要提供的其它文件。</w:t>
      </w:r>
    </w:p>
    <w:p>
      <w:pPr>
        <w:spacing w:line="360" w:lineRule="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2.商务技术文件</w:t>
      </w:r>
    </w:p>
    <w:p>
      <w:pPr>
        <w:spacing w:line="360" w:lineRule="auto"/>
        <w:rPr>
          <w:rFonts w:hint="eastAsia" w:ascii="宋体" w:hAnsi="宋体"/>
          <w:color w:val="auto"/>
          <w:sz w:val="24"/>
          <w:highlight w:val="none"/>
        </w:rPr>
      </w:pPr>
      <w:r>
        <w:rPr>
          <w:rFonts w:hint="eastAsia" w:ascii="宋体" w:hAnsi="宋体"/>
          <w:color w:val="auto"/>
          <w:sz w:val="24"/>
          <w:highlight w:val="none"/>
        </w:rPr>
        <w:t>（1）投标人资信商务、技术自评得分表（格式见附件）；</w:t>
      </w:r>
    </w:p>
    <w:p>
      <w:pPr>
        <w:spacing w:line="360" w:lineRule="auto"/>
        <w:rPr>
          <w:rFonts w:hint="eastAsia" w:ascii="宋体" w:hAnsi="宋体"/>
          <w:color w:val="auto"/>
          <w:sz w:val="24"/>
          <w:highlight w:val="none"/>
        </w:rPr>
      </w:pPr>
      <w:r>
        <w:rPr>
          <w:rFonts w:hint="eastAsia" w:ascii="宋体" w:hAnsi="宋体"/>
          <w:color w:val="auto"/>
          <w:sz w:val="24"/>
          <w:highlight w:val="none"/>
        </w:rPr>
        <w:t>（2）商务响应表（格式见附件）；</w:t>
      </w:r>
    </w:p>
    <w:p>
      <w:pPr>
        <w:spacing w:line="360" w:lineRule="auto"/>
        <w:rPr>
          <w:rFonts w:hint="eastAsia" w:ascii="宋体" w:hAnsi="宋体"/>
          <w:color w:val="auto"/>
          <w:sz w:val="24"/>
          <w:highlight w:val="none"/>
        </w:rPr>
      </w:pPr>
      <w:r>
        <w:rPr>
          <w:rFonts w:hint="eastAsia" w:ascii="宋体" w:hAnsi="宋体"/>
          <w:color w:val="auto"/>
          <w:sz w:val="24"/>
          <w:highlight w:val="none"/>
        </w:rPr>
        <w:t>（3）技术响应表（格式见附件）；</w:t>
      </w:r>
    </w:p>
    <w:p>
      <w:pPr>
        <w:spacing w:line="360" w:lineRule="auto"/>
        <w:rPr>
          <w:rFonts w:hint="eastAsia" w:ascii="宋体" w:hAnsi="宋体"/>
          <w:color w:val="auto"/>
          <w:sz w:val="24"/>
          <w:highlight w:val="none"/>
        </w:rPr>
      </w:pPr>
      <w:r>
        <w:rPr>
          <w:rFonts w:hint="eastAsia" w:ascii="宋体" w:hAnsi="宋体"/>
          <w:color w:val="auto"/>
          <w:sz w:val="24"/>
          <w:highlight w:val="none"/>
        </w:rPr>
        <w:t>（4）</w:t>
      </w:r>
      <w:r>
        <w:rPr>
          <w:rFonts w:hint="eastAsia" w:ascii="宋体" w:hAnsi="宋体"/>
          <w:color w:val="auto"/>
          <w:sz w:val="24"/>
          <w:highlight w:val="none"/>
          <w:lang w:eastAsia="zh-CN"/>
        </w:rPr>
        <w:t>投标产品质量和技术性能</w:t>
      </w:r>
      <w:r>
        <w:rPr>
          <w:rFonts w:hint="eastAsia" w:ascii="宋体" w:hAnsi="宋体"/>
          <w:color w:val="auto"/>
          <w:sz w:val="24"/>
          <w:highlight w:val="none"/>
        </w:rPr>
        <w:t>；</w:t>
      </w:r>
    </w:p>
    <w:p>
      <w:pPr>
        <w:spacing w:line="360" w:lineRule="auto"/>
        <w:rPr>
          <w:rFonts w:hint="eastAsia" w:ascii="宋体" w:hAnsi="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5</w:t>
      </w:r>
      <w:r>
        <w:rPr>
          <w:rFonts w:hint="eastAsia" w:ascii="宋体" w:hAnsi="宋体"/>
          <w:color w:val="auto"/>
          <w:sz w:val="24"/>
          <w:highlight w:val="none"/>
        </w:rPr>
        <w:t>）</w:t>
      </w:r>
      <w:r>
        <w:rPr>
          <w:rFonts w:hint="eastAsia" w:ascii="宋体" w:hAnsi="宋体"/>
          <w:color w:val="auto"/>
          <w:sz w:val="24"/>
          <w:highlight w:val="none"/>
          <w:lang w:eastAsia="zh-CN"/>
        </w:rPr>
        <w:t>技术参数响应情况</w:t>
      </w:r>
      <w:r>
        <w:rPr>
          <w:rFonts w:hint="eastAsia" w:ascii="宋体" w:hAnsi="宋体"/>
          <w:color w:val="auto"/>
          <w:sz w:val="24"/>
          <w:highlight w:val="none"/>
        </w:rPr>
        <w:t>；</w:t>
      </w:r>
    </w:p>
    <w:p>
      <w:pPr>
        <w:spacing w:line="360" w:lineRule="auto"/>
        <w:rPr>
          <w:rFonts w:hint="eastAsia" w:ascii="宋体" w:hAnsi="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6</w:t>
      </w:r>
      <w:r>
        <w:rPr>
          <w:rFonts w:hint="eastAsia" w:ascii="宋体" w:hAnsi="宋体"/>
          <w:color w:val="auto"/>
          <w:sz w:val="24"/>
          <w:highlight w:val="none"/>
        </w:rPr>
        <w:t>）</w:t>
      </w:r>
      <w:r>
        <w:rPr>
          <w:rFonts w:hint="eastAsia" w:ascii="宋体" w:hAnsi="宋体"/>
          <w:color w:val="auto"/>
          <w:sz w:val="24"/>
          <w:highlight w:val="none"/>
          <w:lang w:eastAsia="zh-CN"/>
        </w:rPr>
        <w:t>实施方案</w:t>
      </w:r>
      <w:r>
        <w:rPr>
          <w:rFonts w:hint="eastAsia" w:ascii="宋体" w:hAnsi="宋体"/>
          <w:color w:val="auto"/>
          <w:sz w:val="24"/>
          <w:highlight w:val="none"/>
        </w:rPr>
        <w:t>；</w:t>
      </w:r>
    </w:p>
    <w:p>
      <w:pPr>
        <w:spacing w:line="360" w:lineRule="auto"/>
        <w:rPr>
          <w:rFonts w:hint="eastAsia" w:ascii="宋体" w:hAnsi="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7</w:t>
      </w:r>
      <w:r>
        <w:rPr>
          <w:rFonts w:hint="eastAsia" w:ascii="宋体" w:hAnsi="宋体"/>
          <w:color w:val="auto"/>
          <w:sz w:val="24"/>
          <w:highlight w:val="none"/>
        </w:rPr>
        <w:t>）认证证书；</w:t>
      </w:r>
    </w:p>
    <w:p>
      <w:pPr>
        <w:spacing w:line="360" w:lineRule="auto"/>
        <w:rPr>
          <w:rFonts w:hint="eastAsia" w:ascii="宋体" w:hAnsi="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8</w:t>
      </w:r>
      <w:r>
        <w:rPr>
          <w:rFonts w:hint="eastAsia" w:ascii="宋体" w:hAnsi="宋体"/>
          <w:color w:val="auto"/>
          <w:sz w:val="24"/>
          <w:highlight w:val="none"/>
        </w:rPr>
        <w:t>）同类业绩；</w:t>
      </w:r>
    </w:p>
    <w:p>
      <w:pPr>
        <w:spacing w:line="360" w:lineRule="auto"/>
        <w:rPr>
          <w:rFonts w:hint="eastAsia" w:ascii="宋体" w:hAnsi="宋体"/>
          <w:color w:val="auto"/>
          <w:sz w:val="24"/>
          <w:highlight w:val="none"/>
          <w:lang w:eastAsia="zh-CN"/>
        </w:rPr>
      </w:pPr>
      <w:r>
        <w:rPr>
          <w:rFonts w:hint="eastAsia" w:ascii="宋体" w:hAnsi="宋体"/>
          <w:color w:val="auto"/>
          <w:sz w:val="24"/>
          <w:highlight w:val="none"/>
          <w:lang w:eastAsia="zh-CN"/>
        </w:rPr>
        <w:t>（</w:t>
      </w:r>
      <w:r>
        <w:rPr>
          <w:rFonts w:hint="eastAsia" w:ascii="宋体" w:hAnsi="宋体"/>
          <w:color w:val="auto"/>
          <w:sz w:val="24"/>
          <w:highlight w:val="none"/>
          <w:lang w:val="en-US" w:eastAsia="zh-CN"/>
        </w:rPr>
        <w:t>9</w:t>
      </w:r>
      <w:r>
        <w:rPr>
          <w:rFonts w:hint="eastAsia" w:ascii="宋体" w:hAnsi="宋体"/>
          <w:color w:val="auto"/>
          <w:sz w:val="24"/>
          <w:highlight w:val="none"/>
          <w:lang w:eastAsia="zh-CN"/>
        </w:rPr>
        <w:t>）企业荣誉；</w:t>
      </w:r>
    </w:p>
    <w:p>
      <w:pPr>
        <w:spacing w:line="360" w:lineRule="auto"/>
        <w:rPr>
          <w:rFonts w:hint="eastAsia" w:ascii="宋体" w:hAnsi="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10</w:t>
      </w:r>
      <w:r>
        <w:rPr>
          <w:rFonts w:hint="eastAsia" w:ascii="宋体" w:hAnsi="宋体"/>
          <w:color w:val="auto"/>
          <w:sz w:val="24"/>
          <w:highlight w:val="none"/>
        </w:rPr>
        <w:t>）</w:t>
      </w:r>
      <w:r>
        <w:rPr>
          <w:rFonts w:hint="eastAsia" w:ascii="宋体" w:hAnsi="宋体"/>
          <w:color w:val="auto"/>
          <w:sz w:val="24"/>
          <w:highlight w:val="none"/>
          <w:lang w:eastAsia="zh-CN"/>
        </w:rPr>
        <w:t>项目负责人</w:t>
      </w:r>
      <w:r>
        <w:rPr>
          <w:rFonts w:hint="eastAsia" w:ascii="宋体" w:hAnsi="宋体"/>
          <w:color w:val="auto"/>
          <w:sz w:val="24"/>
          <w:highlight w:val="none"/>
        </w:rPr>
        <w:t>；</w:t>
      </w:r>
    </w:p>
    <w:p>
      <w:pPr>
        <w:spacing w:line="360" w:lineRule="auto"/>
        <w:rPr>
          <w:rFonts w:hint="eastAsia" w:ascii="宋体" w:hAnsi="宋体"/>
          <w:color w:val="auto"/>
          <w:sz w:val="24"/>
          <w:highlight w:val="none"/>
          <w:lang w:eastAsia="zh-CN"/>
        </w:rPr>
      </w:pPr>
      <w:r>
        <w:rPr>
          <w:rFonts w:hint="eastAsia" w:ascii="宋体" w:hAnsi="宋体"/>
          <w:color w:val="auto"/>
          <w:sz w:val="24"/>
          <w:highlight w:val="none"/>
          <w:lang w:eastAsia="zh-CN"/>
        </w:rPr>
        <w:t>（</w:t>
      </w:r>
      <w:r>
        <w:rPr>
          <w:rFonts w:hint="eastAsia" w:ascii="宋体" w:hAnsi="宋体"/>
          <w:color w:val="auto"/>
          <w:sz w:val="24"/>
          <w:highlight w:val="none"/>
          <w:lang w:val="en-US" w:eastAsia="zh-CN"/>
        </w:rPr>
        <w:t>11</w:t>
      </w:r>
      <w:r>
        <w:rPr>
          <w:rFonts w:hint="eastAsia" w:ascii="宋体" w:hAnsi="宋体"/>
          <w:color w:val="auto"/>
          <w:sz w:val="24"/>
          <w:highlight w:val="none"/>
          <w:lang w:eastAsia="zh-CN"/>
        </w:rPr>
        <w:t>）售后服务保障；</w:t>
      </w:r>
    </w:p>
    <w:p>
      <w:pPr>
        <w:spacing w:line="360" w:lineRule="auto"/>
        <w:rPr>
          <w:rFonts w:hint="eastAsia" w:ascii="宋体" w:hAnsi="宋体" w:cs="Times New Roman"/>
          <w:color w:val="auto"/>
          <w:sz w:val="24"/>
          <w:highlight w:val="none"/>
          <w:lang w:eastAsia="zh-CN"/>
        </w:rPr>
      </w:pPr>
      <w:r>
        <w:rPr>
          <w:rFonts w:hint="eastAsia" w:ascii="宋体" w:hAnsi="宋体" w:cs="Times New Roman"/>
          <w:color w:val="auto"/>
          <w:sz w:val="24"/>
          <w:highlight w:val="none"/>
          <w:lang w:val="en-US" w:eastAsia="zh-CN"/>
        </w:rPr>
        <w:t>（12）环保、节能产品；</w:t>
      </w:r>
    </w:p>
    <w:p>
      <w:pPr>
        <w:spacing w:line="360" w:lineRule="auto"/>
        <w:rPr>
          <w:rFonts w:hint="eastAsia" w:ascii="宋体" w:hAnsi="宋体" w:cs="Times New Roman"/>
          <w:color w:val="auto"/>
          <w:sz w:val="24"/>
          <w:highlight w:val="none"/>
          <w:lang w:eastAsia="zh-CN"/>
        </w:rPr>
      </w:pPr>
      <w:r>
        <w:rPr>
          <w:rFonts w:hint="eastAsia" w:ascii="宋体" w:hAnsi="宋体" w:cs="Times New Roman"/>
          <w:color w:val="auto"/>
          <w:sz w:val="24"/>
          <w:highlight w:val="none"/>
          <w:lang w:eastAsia="zh-CN"/>
        </w:rPr>
        <w:t>（</w:t>
      </w:r>
      <w:r>
        <w:rPr>
          <w:rFonts w:hint="eastAsia" w:ascii="宋体" w:hAnsi="宋体" w:cs="Times New Roman"/>
          <w:color w:val="auto"/>
          <w:sz w:val="24"/>
          <w:highlight w:val="none"/>
          <w:lang w:val="en-US" w:eastAsia="zh-CN"/>
        </w:rPr>
        <w:t>13</w:t>
      </w:r>
      <w:r>
        <w:rPr>
          <w:rFonts w:hint="eastAsia" w:ascii="宋体" w:hAnsi="宋体" w:cs="Times New Roman"/>
          <w:color w:val="auto"/>
          <w:sz w:val="24"/>
          <w:highlight w:val="none"/>
          <w:lang w:eastAsia="zh-CN"/>
        </w:rPr>
        <w:t>）安全生产承诺函（格式见附件）；</w:t>
      </w:r>
    </w:p>
    <w:p>
      <w:pPr>
        <w:spacing w:line="360" w:lineRule="auto"/>
        <w:rPr>
          <w:rFonts w:hint="eastAsia" w:ascii="宋体" w:hAnsi="宋体" w:cs="Times New Roman"/>
          <w:color w:val="auto"/>
          <w:sz w:val="24"/>
          <w:highlight w:val="none"/>
        </w:rPr>
      </w:pPr>
      <w:r>
        <w:rPr>
          <w:rFonts w:hint="eastAsia" w:ascii="宋体" w:hAnsi="宋体" w:cs="Times New Roman"/>
          <w:color w:val="auto"/>
          <w:sz w:val="24"/>
          <w:highlight w:val="none"/>
        </w:rPr>
        <w:t>（</w:t>
      </w:r>
      <w:r>
        <w:rPr>
          <w:rFonts w:hint="eastAsia" w:ascii="宋体" w:hAnsi="宋体" w:cs="Times New Roman"/>
          <w:color w:val="auto"/>
          <w:sz w:val="24"/>
          <w:highlight w:val="none"/>
          <w:lang w:val="en-US" w:eastAsia="zh-CN"/>
        </w:rPr>
        <w:t>14</w:t>
      </w:r>
      <w:r>
        <w:rPr>
          <w:rFonts w:hint="eastAsia" w:ascii="宋体" w:hAnsi="宋体" w:cs="Times New Roman"/>
          <w:color w:val="auto"/>
          <w:sz w:val="24"/>
          <w:highlight w:val="none"/>
        </w:rPr>
        <w:t>）服务费承诺书（格式见附件）；</w:t>
      </w:r>
    </w:p>
    <w:p>
      <w:pPr>
        <w:spacing w:line="360" w:lineRule="auto"/>
        <w:rPr>
          <w:rFonts w:hint="eastAsia" w:ascii="宋体" w:hAnsi="宋体" w:cs="Times New Roman"/>
          <w:color w:val="auto"/>
          <w:sz w:val="24"/>
          <w:highlight w:val="none"/>
          <w:lang w:val="en-US" w:eastAsia="zh-CN"/>
        </w:rPr>
      </w:pPr>
      <w:r>
        <w:rPr>
          <w:rFonts w:hint="eastAsia" w:ascii="宋体" w:hAnsi="宋体" w:cs="Times New Roman"/>
          <w:color w:val="auto"/>
          <w:sz w:val="24"/>
          <w:highlight w:val="none"/>
        </w:rPr>
        <w:t>（</w:t>
      </w:r>
      <w:r>
        <w:rPr>
          <w:rFonts w:hint="eastAsia" w:ascii="宋体" w:hAnsi="宋体" w:cs="Times New Roman"/>
          <w:color w:val="auto"/>
          <w:sz w:val="24"/>
          <w:highlight w:val="none"/>
          <w:lang w:val="en-US" w:eastAsia="zh-CN"/>
        </w:rPr>
        <w:t>15</w:t>
      </w:r>
      <w:r>
        <w:rPr>
          <w:rFonts w:hint="eastAsia" w:ascii="宋体" w:hAnsi="宋体" w:cs="Times New Roman"/>
          <w:color w:val="auto"/>
          <w:sz w:val="24"/>
          <w:highlight w:val="none"/>
        </w:rPr>
        <w:t>）投标人需要说明的其他文件和说明。</w:t>
      </w:r>
    </w:p>
    <w:p>
      <w:pPr>
        <w:numPr>
          <w:ilvl w:val="0"/>
          <w:numId w:val="18"/>
        </w:numPr>
        <w:spacing w:line="360" w:lineRule="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报价文件</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（1）投标函（格式见附件）；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2</w:t>
      </w:r>
      <w:r>
        <w:rPr>
          <w:rFonts w:hint="eastAsia" w:ascii="宋体" w:hAnsi="宋体" w:eastAsia="宋体" w:cs="宋体"/>
          <w:color w:val="auto"/>
          <w:sz w:val="24"/>
          <w:highlight w:val="none"/>
        </w:rPr>
        <w:t xml:space="preserve">）开标一览表（格式见附件）； </w:t>
      </w:r>
    </w:p>
    <w:p>
      <w:pPr>
        <w:spacing w:line="360" w:lineRule="auto"/>
        <w:rPr>
          <w:rFonts w:hint="eastAsia" w:ascii="宋体" w:hAnsi="宋体" w:eastAsia="宋体" w:cs="宋体"/>
          <w:b/>
          <w:bCs/>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rPr>
        <w:t>）投标人针对报价需要说明的其他文件和说明（格式自拟）。</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▲（二）投标文件的语言及计量</w:t>
      </w:r>
    </w:p>
    <w:p>
      <w:pPr>
        <w:spacing w:line="360" w:lineRule="auto"/>
        <w:ind w:firstLine="240" w:firstLineChars="100"/>
        <w:rPr>
          <w:rFonts w:hint="eastAsia" w:ascii="宋体" w:hAnsi="宋体" w:eastAsia="宋体" w:cs="宋体"/>
          <w:color w:val="auto"/>
          <w:sz w:val="24"/>
          <w:highlight w:val="none"/>
        </w:rPr>
      </w:pPr>
      <w:r>
        <w:rPr>
          <w:rFonts w:hint="eastAsia" w:ascii="宋体" w:hAnsi="宋体" w:eastAsia="宋体" w:cs="宋体"/>
          <w:color w:val="auto"/>
          <w:sz w:val="24"/>
          <w:highlight w:val="none"/>
        </w:rPr>
        <w:t>1．投标文件以及投标方与招标方就有关投标事宜的所有来往函电，均应以中文汉语书写。除签名、盖章、专用名称等特殊情形外，以中文汉语以外的文字表述的投标文件视同未提供。</w:t>
      </w:r>
    </w:p>
    <w:p>
      <w:pPr>
        <w:spacing w:line="360" w:lineRule="auto"/>
        <w:ind w:firstLine="240" w:firstLineChars="100"/>
        <w:rPr>
          <w:rFonts w:hint="eastAsia" w:ascii="宋体" w:hAnsi="宋体" w:eastAsia="宋体" w:cs="宋体"/>
          <w:color w:val="auto"/>
          <w:sz w:val="24"/>
          <w:highlight w:val="none"/>
        </w:rPr>
      </w:pPr>
      <w:r>
        <w:rPr>
          <w:rFonts w:hint="eastAsia" w:ascii="宋体" w:hAnsi="宋体" w:eastAsia="宋体" w:cs="宋体"/>
          <w:color w:val="auto"/>
          <w:sz w:val="24"/>
          <w:highlight w:val="none"/>
        </w:rPr>
        <w:t>2.投标计量单位，应采用中华人民共和国法定计量单位（货币单位：人民币元），否则视同未响应。</w:t>
      </w:r>
    </w:p>
    <w:p>
      <w:pPr>
        <w:spacing w:line="360" w:lineRule="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▲（三）投标报价</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1.投标报价应按招标文件中相关附表格式填写。</w:t>
      </w:r>
    </w:p>
    <w:p>
      <w:pPr>
        <w:pStyle w:val="4"/>
        <w:spacing w:line="360" w:lineRule="auto"/>
        <w:ind w:left="0" w:leftChars="0" w:firstLine="0" w:firstLineChars="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highlight w:val="none"/>
        </w:rPr>
        <w:t>2</w:t>
      </w:r>
      <w:r>
        <w:rPr>
          <w:rFonts w:hint="eastAsia" w:ascii="宋体" w:hAnsi="宋体" w:eastAsia="宋体" w:cs="宋体"/>
          <w:color w:val="auto"/>
          <w:kern w:val="2"/>
          <w:sz w:val="24"/>
          <w:szCs w:val="24"/>
          <w:highlight w:val="none"/>
          <w:lang w:val="en-US" w:eastAsia="zh-CN" w:bidi="ar-SA"/>
        </w:rPr>
        <w:t>.</w:t>
      </w:r>
      <w:r>
        <w:rPr>
          <w:rFonts w:hint="eastAsia" w:ascii="宋体" w:hAnsi="宋体" w:cs="宋体"/>
          <w:b/>
          <w:bCs/>
          <w:color w:val="auto"/>
          <w:sz w:val="24"/>
          <w:highlight w:val="none"/>
        </w:rPr>
        <w:t>投标报价应包括完成本项目所有相关工作可能发生的一切费用，包括所投货物及备品、备件、辅配件和专用工具费用、税费及包装、运至最终目的地的运输</w:t>
      </w:r>
      <w:r>
        <w:rPr>
          <w:rFonts w:hint="eastAsia" w:ascii="宋体" w:hAnsi="宋体" w:cs="宋体"/>
          <w:b/>
          <w:bCs/>
          <w:color w:val="auto"/>
          <w:sz w:val="24"/>
          <w:szCs w:val="24"/>
          <w:highlight w:val="none"/>
        </w:rPr>
        <w:t>、</w:t>
      </w:r>
      <w:r>
        <w:rPr>
          <w:rFonts w:hint="eastAsia" w:ascii="宋体" w:hAnsi="宋体" w:cs="宋体"/>
          <w:b/>
          <w:bCs/>
          <w:color w:val="auto"/>
          <w:sz w:val="24"/>
          <w:szCs w:val="24"/>
          <w:highlight w:val="none"/>
          <w:lang w:val="en-US" w:eastAsia="zh-CN"/>
        </w:rPr>
        <w:t>施工、</w:t>
      </w:r>
      <w:r>
        <w:rPr>
          <w:rFonts w:hint="eastAsia" w:ascii="宋体" w:hAnsi="宋体" w:cs="宋体"/>
          <w:b/>
          <w:bCs/>
          <w:color w:val="auto"/>
          <w:sz w:val="24"/>
          <w:highlight w:val="none"/>
        </w:rPr>
        <w:t>保险、检测、验收、安装、调试、技术支持与培训、售后服务与维保及相关劳务支出等工作所发生的全部费用以及投标人企业利润、税金和政策性文件规定及合同包含的所有风险、责任等各项应有费用。总包管理费按</w:t>
      </w:r>
      <w:r>
        <w:rPr>
          <w:rFonts w:hint="eastAsia" w:ascii="宋体" w:hAnsi="宋体" w:cs="宋体"/>
          <w:b/>
          <w:bCs/>
          <w:color w:val="auto"/>
          <w:sz w:val="24"/>
          <w:highlight w:val="none"/>
          <w:lang w:val="en-US" w:eastAsia="zh-CN"/>
        </w:rPr>
        <w:t>3</w:t>
      </w:r>
      <w:r>
        <w:rPr>
          <w:rFonts w:hint="eastAsia" w:ascii="宋体" w:hAnsi="宋体" w:cs="宋体"/>
          <w:b/>
          <w:bCs/>
          <w:color w:val="auto"/>
          <w:sz w:val="24"/>
          <w:highlight w:val="none"/>
        </w:rPr>
        <w:t>%，在报价中综合考虑。</w:t>
      </w:r>
      <w:r>
        <w:rPr>
          <w:rFonts w:hint="eastAsia" w:ascii="宋体" w:hAnsi="宋体" w:cs="宋体"/>
          <w:color w:val="auto"/>
          <w:sz w:val="24"/>
          <w:highlight w:val="none"/>
        </w:rPr>
        <w:t>投标人投标报价为投标人所能承受的整个项目的一次性最终最低报价，如有漏项，视同已包含在本项目投标报价中，</w:t>
      </w:r>
      <w:r>
        <w:rPr>
          <w:rFonts w:hint="eastAsia" w:ascii="宋体" w:hAnsi="宋体"/>
          <w:color w:val="auto"/>
          <w:sz w:val="24"/>
          <w:highlight w:val="none"/>
        </w:rPr>
        <w:t>合同总价不做调整</w:t>
      </w:r>
      <w:r>
        <w:rPr>
          <w:rFonts w:hint="eastAsia" w:ascii="宋体" w:hAnsi="宋体" w:cs="宋体"/>
          <w:color w:val="auto"/>
          <w:sz w:val="24"/>
          <w:highlight w:val="none"/>
        </w:rPr>
        <w:t>。</w:t>
      </w:r>
    </w:p>
    <w:p>
      <w:pPr>
        <w:spacing w:line="360" w:lineRule="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（四）投标文件的有效期</w:t>
      </w:r>
    </w:p>
    <w:p>
      <w:pPr>
        <w:spacing w:line="360" w:lineRule="auto"/>
        <w:rPr>
          <w:rFonts w:hint="eastAsia" w:ascii="宋体" w:hAnsi="宋体" w:eastAsia="宋体" w:cs="宋体"/>
          <w:color w:val="auto"/>
          <w:sz w:val="24"/>
          <w:highlight w:val="none"/>
        </w:rPr>
      </w:pPr>
      <w:bookmarkStart w:id="37" w:name="_Toc450548873"/>
      <w:bookmarkStart w:id="38" w:name="_Toc405368930"/>
      <w:r>
        <w:rPr>
          <w:rFonts w:hint="eastAsia" w:ascii="宋体" w:hAnsi="宋体" w:eastAsia="宋体" w:cs="宋体"/>
          <w:color w:val="auto"/>
          <w:sz w:val="24"/>
          <w:highlight w:val="none"/>
        </w:rPr>
        <w:t>▲1.自投标截止日起</w:t>
      </w:r>
      <w:r>
        <w:rPr>
          <w:rFonts w:hint="eastAsia" w:ascii="宋体" w:hAnsi="宋体" w:eastAsia="宋体" w:cs="宋体"/>
          <w:color w:val="auto"/>
          <w:sz w:val="24"/>
          <w:highlight w:val="none"/>
          <w:u w:val="single"/>
        </w:rPr>
        <w:t>60</w:t>
      </w:r>
      <w:r>
        <w:rPr>
          <w:rFonts w:hint="eastAsia" w:ascii="宋体" w:hAnsi="宋体" w:eastAsia="宋体" w:cs="宋体"/>
          <w:color w:val="auto"/>
          <w:sz w:val="24"/>
          <w:highlight w:val="none"/>
        </w:rPr>
        <w:t>天投标文件应保持有效。有效期不足的投标文件将被拒绝。</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2.在特殊情况下，招标人可与投标人协商延长投标书的有效期，这种要求和答复均以书面形式进行。</w:t>
      </w:r>
    </w:p>
    <w:p>
      <w:pPr>
        <w:spacing w:line="360" w:lineRule="auto"/>
        <w:rPr>
          <w:rFonts w:hint="eastAsia" w:ascii="宋体" w:hAnsi="宋体" w:eastAsia="宋体" w:cs="宋体"/>
          <w:color w:val="auto"/>
          <w:sz w:val="24"/>
          <w:highlight w:val="none"/>
        </w:rPr>
      </w:pPr>
      <w:bookmarkStart w:id="39" w:name="_Toc407182105"/>
      <w:r>
        <w:rPr>
          <w:rFonts w:hint="eastAsia" w:ascii="宋体" w:hAnsi="宋体" w:eastAsia="宋体" w:cs="宋体"/>
          <w:color w:val="auto"/>
          <w:sz w:val="24"/>
          <w:highlight w:val="none"/>
        </w:rPr>
        <w:t>3.投标人可拒绝接受延期要求，若同意延长有效期的投标人，则不能修改投标文件。</w:t>
      </w:r>
      <w:bookmarkEnd w:id="39"/>
      <w:r>
        <w:rPr>
          <w:rFonts w:hint="eastAsia" w:ascii="宋体" w:hAnsi="宋体" w:eastAsia="宋体" w:cs="宋体"/>
          <w:color w:val="auto"/>
          <w:sz w:val="24"/>
          <w:highlight w:val="none"/>
        </w:rPr>
        <w:t xml:space="preserve">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4.中标人的投标文件自开标之日起至合同履行完毕止均应保持有效。</w:t>
      </w:r>
    </w:p>
    <w:bookmarkEnd w:id="37"/>
    <w:bookmarkEnd w:id="38"/>
    <w:p>
      <w:pPr>
        <w:spacing w:line="360" w:lineRule="auto"/>
        <w:rPr>
          <w:rFonts w:hint="eastAsia" w:ascii="宋体" w:hAnsi="宋体" w:eastAsia="宋体" w:cs="宋体"/>
          <w:b/>
          <w:color w:val="auto"/>
          <w:sz w:val="24"/>
          <w:highlight w:val="none"/>
          <w:lang w:eastAsia="zh-CN"/>
        </w:rPr>
      </w:pPr>
      <w:r>
        <w:rPr>
          <w:rFonts w:hint="eastAsia" w:ascii="宋体" w:hAnsi="宋体" w:eastAsia="宋体" w:cs="宋体"/>
          <w:b/>
          <w:color w:val="auto"/>
          <w:sz w:val="24"/>
          <w:highlight w:val="none"/>
        </w:rPr>
        <w:t>（五）履约保证金</w:t>
      </w:r>
      <w:r>
        <w:rPr>
          <w:rFonts w:hint="eastAsia" w:ascii="宋体" w:hAnsi="宋体" w:cs="宋体"/>
          <w:b/>
          <w:color w:val="auto"/>
          <w:sz w:val="24"/>
          <w:highlight w:val="none"/>
          <w:lang w:eastAsia="zh-CN"/>
        </w:rPr>
        <w:t>：本项目不收取履约保证金</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w:t>
      </w:r>
      <w:r>
        <w:rPr>
          <w:rFonts w:hint="eastAsia" w:ascii="宋体" w:hAnsi="宋体" w:cs="宋体"/>
          <w:b/>
          <w:color w:val="auto"/>
          <w:sz w:val="24"/>
          <w:highlight w:val="none"/>
          <w:lang w:val="en-US" w:eastAsia="zh-CN"/>
        </w:rPr>
        <w:t>六</w:t>
      </w:r>
      <w:r>
        <w:rPr>
          <w:rFonts w:hint="eastAsia" w:ascii="宋体" w:hAnsi="宋体" w:eastAsia="宋体" w:cs="宋体"/>
          <w:b/>
          <w:color w:val="auto"/>
          <w:sz w:val="24"/>
          <w:highlight w:val="none"/>
        </w:rPr>
        <w:t>）投标文件的签署</w:t>
      </w:r>
    </w:p>
    <w:p>
      <w:pPr>
        <w:numPr>
          <w:ilvl w:val="0"/>
          <w:numId w:val="19"/>
        </w:num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投标人应按本招标文件规定的格式和顺序编制投标文件并标注页码，因投标文件内容不完整、编排混乱、放弃关联点或关联点错误等原因导致投标文件被误读、漏读或者查找不到相关内容等风险由投标人自行承担。</w:t>
      </w:r>
    </w:p>
    <w:p>
      <w:pPr>
        <w:spacing w:line="360" w:lineRule="auto"/>
        <w:rPr>
          <w:rFonts w:hint="eastAsia" w:ascii="宋体" w:hAnsi="宋体" w:eastAsia="宋体" w:cs="宋体"/>
          <w:b/>
          <w:color w:val="auto"/>
          <w:sz w:val="24"/>
          <w:highlight w:val="none"/>
        </w:rPr>
      </w:pPr>
      <w:r>
        <w:rPr>
          <w:rFonts w:hint="eastAsia" w:ascii="宋体" w:hAnsi="宋体" w:cs="宋体"/>
          <w:b/>
          <w:color w:val="auto"/>
          <w:sz w:val="24"/>
          <w:highlight w:val="none"/>
          <w:lang w:val="en-US" w:eastAsia="zh-CN"/>
        </w:rPr>
        <w:t>2</w:t>
      </w:r>
      <w:r>
        <w:rPr>
          <w:rFonts w:hint="eastAsia" w:ascii="宋体" w:hAnsi="宋体" w:eastAsia="宋体" w:cs="宋体"/>
          <w:b/>
          <w:color w:val="auto"/>
          <w:sz w:val="24"/>
          <w:highlight w:val="none"/>
        </w:rPr>
        <w:t>. 投标文件需盖章签字的地方必须由投标人法定代表人或法定代表人的授权委托人签署并加盖单位公章，投标人应写全称。</w:t>
      </w:r>
    </w:p>
    <w:p>
      <w:pPr>
        <w:spacing w:line="360" w:lineRule="auto"/>
        <w:rPr>
          <w:rFonts w:hint="eastAsia" w:ascii="宋体" w:hAnsi="宋体" w:eastAsia="宋体" w:cs="宋体"/>
          <w:color w:val="auto"/>
          <w:sz w:val="24"/>
          <w:highlight w:val="none"/>
        </w:rPr>
      </w:pP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rPr>
        <w:t>.投标文件不得涂改，若有修改错漏处，须加盖单位公章和由法定代表人或授权委托人签字或盖章。投标文件因字迹潦草或表达不清所引起的后果由投标人负责。</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w:t>
      </w:r>
      <w:r>
        <w:rPr>
          <w:rFonts w:hint="eastAsia" w:ascii="宋体" w:hAnsi="宋体" w:cs="宋体"/>
          <w:b/>
          <w:color w:val="auto"/>
          <w:sz w:val="24"/>
          <w:highlight w:val="none"/>
          <w:lang w:val="en-US" w:eastAsia="zh-CN"/>
        </w:rPr>
        <w:t>七</w:t>
      </w:r>
      <w:r>
        <w:rPr>
          <w:rFonts w:hint="eastAsia" w:ascii="宋体" w:hAnsi="宋体" w:eastAsia="宋体" w:cs="宋体"/>
          <w:b/>
          <w:color w:val="auto"/>
          <w:sz w:val="24"/>
          <w:highlight w:val="none"/>
        </w:rPr>
        <w:t>）投标文件的上传、递交、修改和撤回</w:t>
      </w:r>
    </w:p>
    <w:p>
      <w:pPr>
        <w:spacing w:line="360" w:lineRule="auto"/>
        <w:ind w:firstLine="495"/>
        <w:rPr>
          <w:rFonts w:hint="eastAsia" w:ascii="宋体" w:hAnsi="宋体" w:eastAsia="宋体" w:cs="宋体"/>
          <w:color w:val="auto"/>
          <w:sz w:val="24"/>
          <w:highlight w:val="none"/>
        </w:rPr>
      </w:pPr>
      <w:r>
        <w:rPr>
          <w:rFonts w:hint="eastAsia" w:ascii="宋体" w:hAnsi="宋体" w:eastAsia="宋体" w:cs="宋体"/>
          <w:color w:val="auto"/>
          <w:sz w:val="24"/>
          <w:highlight w:val="none"/>
        </w:rPr>
        <w:t>1. 投标人应当在投标截止时间前在“政采云”（电子交易平台）上自行上传加密的电子投标文件。</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2.未按规定上传的投标文件将被拒绝，由此造成投标文件解密失败或被误投的风险由投标人承担。</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 投标人未在“政采云”（电子交易平台）上自行上传加密的电子投标文件，仅提交电子备份投标文件的，投标无效。</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4. 投标人应当在投标截止时间前完成电子投标文件的传输递交，并可以补充、修改或者撤回电子投标文件。补充或者修改电子投标文件的，应当先行撤回原文件，补充、修改后重新传输递交。投标截止时间前未完成传输的，视为撤回投标文件。投标、响应截止时间后上传的投标响应文件，将被政采云平台拒收。</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投标人在投标截止时间之前，可以对已提交的电子备份投标文件进行修改或撤回，并书面通知招标采购单位；修改后重新递交的电子备份投标文件应当按本招标文件的要求签署、盖章。投标截止时间后，投标人不得撤回、修改电子备份投标文件。</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5. 截止开标时间，政采云（电子交易平台）自动提取所有投标文件，投标人须在开标时间截止后30分钟内对上传政采云的投标文件进行解密，所有投标人在规定的解密时限内解密完成或解密时限到后，采购代理机构开启投标文件；投标人超过解密时限的，系统默认自动放弃。</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6. 电子投标文件无法解密或解密失败时，投标人提供了电子备份投标文件的，以电子备份投标文件作为评审依据，否则视为投标文件撤回。投标文件已按时解密的，电子备份投标文件自动失效。</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w:t>
      </w:r>
      <w:r>
        <w:rPr>
          <w:rFonts w:hint="eastAsia" w:ascii="宋体" w:hAnsi="宋体" w:cs="宋体"/>
          <w:b/>
          <w:color w:val="auto"/>
          <w:sz w:val="24"/>
          <w:highlight w:val="none"/>
          <w:lang w:val="en-US" w:eastAsia="zh-CN"/>
        </w:rPr>
        <w:t>八</w:t>
      </w:r>
      <w:r>
        <w:rPr>
          <w:rFonts w:hint="eastAsia" w:ascii="宋体" w:hAnsi="宋体" w:eastAsia="宋体" w:cs="宋体"/>
          <w:b/>
          <w:color w:val="auto"/>
          <w:sz w:val="24"/>
          <w:highlight w:val="none"/>
        </w:rPr>
        <w:t>）投标无效的情形</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实质上没有响应招标文件要求的投标将被视为无效投标。投标人不得通过修正或撤消不合要求的偏离或保留从而使其投标成为实质上响应的投标，但经评标委员会认定属于投标人疏忽、笔误所造成的差错，应当允许其在评标结束之前进行修改或者补正。限期内不补正或经补正后仍不符合招标文件要求的，应认定其投标无效。投标人修改、补正投标文件后，不影响评标委员会对其投标文件所作的评价和评分结果。</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1.在符合性审查和商务评审时，如发现下列情形之一的，投标文件将被视为无效：</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1</w:t>
      </w:r>
      <w:r>
        <w:rPr>
          <w:rFonts w:hint="eastAsia" w:ascii="宋体" w:hAnsi="宋体" w:eastAsia="宋体" w:cs="宋体"/>
          <w:color w:val="auto"/>
          <w:sz w:val="24"/>
          <w:highlight w:val="none"/>
        </w:rPr>
        <w:t>）投标人仅提交电子备份投标文件的；</w:t>
      </w:r>
    </w:p>
    <w:p>
      <w:pPr>
        <w:spacing w:line="360" w:lineRule="auto"/>
        <w:rPr>
          <w:rFonts w:hint="eastAsia" w:ascii="宋体" w:hAnsi="宋体" w:eastAsia="宋体" w:cs="宋体"/>
          <w:color w:val="auto"/>
          <w:sz w:val="24"/>
          <w:highlight w:val="none"/>
        </w:rPr>
      </w:pP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2</w:t>
      </w:r>
      <w:r>
        <w:rPr>
          <w:rFonts w:hint="eastAsia" w:ascii="宋体" w:hAnsi="宋体" w:cs="宋体"/>
          <w:color w:val="auto"/>
          <w:sz w:val="24"/>
          <w:highlight w:val="none"/>
          <w:lang w:eastAsia="zh-CN"/>
        </w:rPr>
        <w:t>）</w:t>
      </w:r>
      <w:r>
        <w:rPr>
          <w:rFonts w:hint="eastAsia" w:ascii="宋体" w:hAnsi="宋体" w:eastAsia="宋体" w:cs="宋体"/>
          <w:color w:val="auto"/>
          <w:sz w:val="24"/>
          <w:highlight w:val="none"/>
        </w:rPr>
        <w:t>在开评标时出现电子投标文件无法解密或解密失败等情况，投标人未提供电子备份投标文件，无法对投标人继续进行评审的；</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rPr>
        <w:t>）投标人未在规定的时间内对电子询标函进行澄清回复、拒绝澄清回复或澄清回复的内容改变了投标文件的实质性内容的；</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4</w:t>
      </w:r>
      <w:r>
        <w:rPr>
          <w:rFonts w:hint="eastAsia" w:ascii="宋体" w:hAnsi="宋体" w:eastAsia="宋体" w:cs="宋体"/>
          <w:color w:val="auto"/>
          <w:sz w:val="24"/>
          <w:highlight w:val="none"/>
        </w:rPr>
        <w:t xml:space="preserve">）网上下载的证明文件，不能通过真实性验证的（发现提供虚假资料的，按照提供虚假资料处理）；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5</w:t>
      </w:r>
      <w:r>
        <w:rPr>
          <w:rFonts w:hint="eastAsia" w:ascii="宋体" w:hAnsi="宋体" w:eastAsia="宋体" w:cs="宋体"/>
          <w:color w:val="auto"/>
          <w:sz w:val="24"/>
          <w:highlight w:val="none"/>
        </w:rPr>
        <w:t>）资格证明文件不全的，或者不符合招标文件标明的资格要求的，及未提供招标文件中标有“ ▲”特殊符号的证明文件的；</w:t>
      </w:r>
    </w:p>
    <w:p>
      <w:pPr>
        <w:keepNext w:val="0"/>
        <w:keepLines w:val="0"/>
        <w:pageBreakBefore w:val="0"/>
        <w:widowControl w:val="0"/>
        <w:kinsoku/>
        <w:wordWrap/>
        <w:overflowPunct/>
        <w:topLinePunct w:val="0"/>
        <w:autoSpaceDE/>
        <w:autoSpaceDN/>
        <w:bidi w:val="0"/>
        <w:adjustRightInd/>
        <w:spacing w:line="450" w:lineRule="exact"/>
        <w:textAlignment w:val="auto"/>
        <w:rPr>
          <w:rFonts w:hint="eastAsia" w:ascii="宋体" w:hAnsi="宋体" w:cs="宋体"/>
          <w:color w:val="auto"/>
          <w:sz w:val="24"/>
          <w:szCs w:val="24"/>
          <w:highlight w:val="none"/>
        </w:rPr>
      </w:pP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6</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本项目投标截止之日前三年内，相关主体在“信用中国”网站、中国政府采购网有失信行为或被列入受惩黑名单。</w:t>
      </w:r>
    </w:p>
    <w:p>
      <w:pPr>
        <w:pStyle w:val="4"/>
        <w:rPr>
          <w:rFonts w:hint="eastAsia"/>
          <w:color w:val="auto"/>
          <w:highlight w:val="none"/>
        </w:rPr>
      </w:pP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7</w:t>
      </w:r>
      <w:r>
        <w:rPr>
          <w:rFonts w:hint="eastAsia" w:ascii="宋体" w:hAnsi="宋体" w:eastAsia="宋体" w:cs="宋体"/>
          <w:color w:val="auto"/>
          <w:sz w:val="24"/>
          <w:highlight w:val="none"/>
        </w:rPr>
        <w:t>）投标文件无法定代表人签字,或未提供法定代表人授权委托书、投标声明书或者填写项目不齐全的；</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8</w:t>
      </w:r>
      <w:r>
        <w:rPr>
          <w:rFonts w:hint="eastAsia" w:ascii="宋体" w:hAnsi="宋体" w:eastAsia="宋体" w:cs="宋体"/>
          <w:color w:val="auto"/>
          <w:sz w:val="24"/>
          <w:highlight w:val="none"/>
        </w:rPr>
        <w:t xml:space="preserve">）投标代表人未能出具身份证明或与法定代表人授权委托人身份不符的；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9</w:t>
      </w:r>
      <w:r>
        <w:rPr>
          <w:rFonts w:hint="eastAsia" w:ascii="宋体" w:hAnsi="宋体" w:eastAsia="宋体" w:cs="宋体"/>
          <w:color w:val="auto"/>
          <w:sz w:val="24"/>
          <w:highlight w:val="none"/>
        </w:rPr>
        <w:t>）投标文件格式未按招标文件附件规定的格式、未按招标文件规定的内容编制投标文件的或者内容虚假的、未按规定签字或盖章的；</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r>
        <w:rPr>
          <w:rFonts w:hint="eastAsia" w:ascii="宋体" w:hAnsi="宋体" w:cs="宋体"/>
          <w:color w:val="auto"/>
          <w:sz w:val="24"/>
          <w:highlight w:val="none"/>
          <w:lang w:val="en-US" w:eastAsia="zh-CN"/>
        </w:rPr>
        <w:t>0</w:t>
      </w:r>
      <w:r>
        <w:rPr>
          <w:rFonts w:hint="eastAsia" w:ascii="宋体" w:hAnsi="宋体" w:eastAsia="宋体" w:cs="宋体"/>
          <w:color w:val="auto"/>
          <w:sz w:val="24"/>
          <w:highlight w:val="none"/>
        </w:rPr>
        <w:t>）投标文件的实质性内容未使用中文表述的或意思表述不明确、前后矛盾的或者使用计量单位不符合招标文件要求的（经评标委员会认定并允许其当场更正的笔误除外）；</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r>
        <w:rPr>
          <w:rFonts w:hint="eastAsia" w:ascii="宋体" w:hAnsi="宋体" w:cs="宋体"/>
          <w:color w:val="auto"/>
          <w:sz w:val="24"/>
          <w:highlight w:val="none"/>
          <w:lang w:val="en-US" w:eastAsia="zh-CN"/>
        </w:rPr>
        <w:t>1</w:t>
      </w:r>
      <w:r>
        <w:rPr>
          <w:rFonts w:hint="eastAsia" w:ascii="宋体" w:hAnsi="宋体" w:eastAsia="宋体" w:cs="宋体"/>
          <w:color w:val="auto"/>
          <w:sz w:val="24"/>
          <w:highlight w:val="none"/>
        </w:rPr>
        <w:t>）投标有效期、服务期（交货期）、质保期、付款方式等商务条款不能满足招标文件要求的；</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r>
        <w:rPr>
          <w:rFonts w:hint="eastAsia" w:ascii="宋体" w:hAnsi="宋体" w:cs="宋体"/>
          <w:color w:val="auto"/>
          <w:sz w:val="24"/>
          <w:highlight w:val="none"/>
          <w:lang w:val="en-US" w:eastAsia="zh-CN"/>
        </w:rPr>
        <w:t>2</w:t>
      </w:r>
      <w:r>
        <w:rPr>
          <w:rFonts w:hint="eastAsia" w:ascii="宋体" w:hAnsi="宋体" w:eastAsia="宋体" w:cs="宋体"/>
          <w:color w:val="auto"/>
          <w:sz w:val="24"/>
          <w:highlight w:val="none"/>
        </w:rPr>
        <w:t>）未实质性响应招标文件要求或者投标文件有招标方不能接受的附加条件的；</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rPr>
        <w:t>）招标文件规定的其它投标无效的情况；</w:t>
      </w:r>
    </w:p>
    <w:p>
      <w:pPr>
        <w:tabs>
          <w:tab w:val="left" w:pos="401"/>
        </w:tabs>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r>
        <w:rPr>
          <w:rFonts w:hint="eastAsia" w:ascii="宋体" w:hAnsi="宋体" w:cs="宋体"/>
          <w:color w:val="auto"/>
          <w:sz w:val="24"/>
          <w:highlight w:val="none"/>
          <w:lang w:val="en-US" w:eastAsia="zh-CN"/>
        </w:rPr>
        <w:t>4</w:t>
      </w:r>
      <w:r>
        <w:rPr>
          <w:rFonts w:hint="eastAsia" w:ascii="宋体" w:hAnsi="宋体" w:eastAsia="宋体" w:cs="宋体"/>
          <w:color w:val="auto"/>
          <w:sz w:val="24"/>
          <w:highlight w:val="none"/>
        </w:rPr>
        <w:t>）法律、法规规定的其它投标无效情况。</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2.在技术资信评审时，如发现下列情形之一的，投标文件将被视为无效：</w:t>
      </w:r>
    </w:p>
    <w:p>
      <w:pPr>
        <w:spacing w:line="360" w:lineRule="auto"/>
        <w:rPr>
          <w:rFonts w:hint="eastAsia" w:ascii="宋体" w:hAnsi="宋体" w:eastAsia="宋体" w:cs="宋体"/>
          <w:b/>
          <w:color w:val="auto"/>
          <w:sz w:val="24"/>
          <w:highlight w:val="none"/>
        </w:rPr>
      </w:pPr>
      <w:r>
        <w:rPr>
          <w:rFonts w:hint="eastAsia" w:ascii="宋体" w:hAnsi="宋体" w:eastAsia="宋体" w:cs="宋体"/>
          <w:color w:val="auto"/>
          <w:sz w:val="24"/>
          <w:highlight w:val="none"/>
        </w:rPr>
        <w:t>（1）投标人未在规定的时间内对电子询标函进行澄清回复、拒绝澄清回复或澄清回复的内容改变了投标文件的实质性内容的；</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（2）投标文件标明的响应或偏离与事实不符的或虚假投标的；</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（3）明显不符合招标文件质量标准的，或者与招标文件中标有“ ▲”特殊符号的技术指标、主要功能项目发生实质性偏离的；</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（4）招标文件中允许偏离的技术、性能指标或者辅助功能发生较大负偏离的，经评标委员会认定对项目实际使用造成影响的；</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（5）投标技术方案不明确，存在一个或一个以上备选（替代）投标方案的；</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（6）与其他参加本次投标供应商的投标文件的文字表述内容相同连续20行以上或者差错相同2处以上的；</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（7）在资信及商务标、技术标内出现商务报价；</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（8）招标文件规定的其它投标无效的情况；</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（9）法律、法规规定的其它投标无效情况。</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3.在报价评审时，如发现下列情形之一的，投标文件将被视为无效：</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（1）投标人未在规定的时间内对电子询标函进行澄清回复、拒绝澄清回复或者澄清回复的内容改变了投标文件的实质性内容的；</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r>
        <w:rPr>
          <w:rFonts w:hint="eastAsia" w:ascii="宋体" w:hAnsi="宋体" w:cs="宋体"/>
          <w:color w:val="auto"/>
          <w:sz w:val="24"/>
          <w:highlight w:val="none"/>
          <w:lang w:eastAsia="zh-CN"/>
        </w:rPr>
        <w:t>未填写投标报价或</w:t>
      </w:r>
      <w:r>
        <w:rPr>
          <w:rFonts w:hint="eastAsia" w:ascii="宋体" w:hAnsi="宋体" w:eastAsia="宋体" w:cs="宋体"/>
          <w:color w:val="auto"/>
          <w:sz w:val="24"/>
          <w:highlight w:val="none"/>
        </w:rPr>
        <w:t>未采用人民币报价或者未按照招标文件标明的币种报价的；</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（3）投标报价具有选择性的，或者开标价格与投标文件承诺的优惠（折扣）价格不一致的；</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（4）报价</w:t>
      </w:r>
      <w:r>
        <w:rPr>
          <w:rFonts w:hint="eastAsia" w:ascii="宋体" w:hAnsi="宋体" w:cs="宋体"/>
          <w:color w:val="auto"/>
          <w:sz w:val="24"/>
          <w:highlight w:val="none"/>
          <w:lang w:val="en-US" w:eastAsia="zh-CN"/>
        </w:rPr>
        <w:t>高于</w:t>
      </w:r>
      <w:r>
        <w:rPr>
          <w:rFonts w:hint="eastAsia" w:ascii="宋体" w:hAnsi="宋体" w:eastAsia="宋体" w:cs="宋体"/>
          <w:color w:val="auto"/>
          <w:sz w:val="24"/>
          <w:highlight w:val="none"/>
        </w:rPr>
        <w:t>用户设定的最高限价或预算金额的；</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（5）招标文件规定的其它投标无效的情况；</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（6）法律、法规规定的其它投标无效情况。</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4.被拒绝的投标文件为无效。</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5.根据有关法律、法规规定为无效、废标的，按法律、法规规定执行。</w:t>
      </w:r>
    </w:p>
    <w:p>
      <w:pPr>
        <w:pStyle w:val="2"/>
        <w:keepNext w:val="0"/>
        <w:keepLines w:val="0"/>
        <w:pageBreakBefore/>
        <w:spacing w:line="360" w:lineRule="auto"/>
        <w:jc w:val="center"/>
        <w:rPr>
          <w:rFonts w:hint="eastAsia" w:ascii="宋体" w:hAnsi="宋体" w:eastAsia="宋体" w:cs="宋体"/>
          <w:color w:val="auto"/>
          <w:sz w:val="24"/>
          <w:szCs w:val="24"/>
          <w:highlight w:val="none"/>
        </w:rPr>
      </w:pPr>
      <w:bookmarkStart w:id="40" w:name="_Toc458697270"/>
      <w:bookmarkStart w:id="41" w:name="_Toc9559"/>
      <w:r>
        <w:rPr>
          <w:rFonts w:hint="eastAsia" w:ascii="宋体" w:hAnsi="宋体" w:eastAsia="宋体" w:cs="宋体"/>
          <w:color w:val="auto"/>
          <w:sz w:val="24"/>
          <w:szCs w:val="24"/>
          <w:highlight w:val="none"/>
        </w:rPr>
        <w:t>四、开标</w:t>
      </w:r>
      <w:bookmarkEnd w:id="40"/>
      <w:bookmarkEnd w:id="41"/>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（一）开标准备   </w:t>
      </w:r>
    </w:p>
    <w:p>
      <w:pPr>
        <w:spacing w:line="360" w:lineRule="auto"/>
        <w:ind w:firstLine="720" w:firstLineChars="300"/>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采购代理机构将在规定的时间和地点进行电子开标，投标人的法定代表人或其委托代理人【委托代理人应当是投标人的在职正式职工（以投标人本单位缴纳社保花名册为准）】应做好投标准备，准时在线参加电子开标会议，随时关注开标进度。</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（二）电子招投标开标程序</w:t>
      </w:r>
    </w:p>
    <w:p>
      <w:pPr>
        <w:spacing w:line="360" w:lineRule="auto"/>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1.开标会由招标代理机构主持，主持人宣布开标会议开始；</w:t>
      </w:r>
    </w:p>
    <w:p>
      <w:pPr>
        <w:spacing w:line="360" w:lineRule="auto"/>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2.主持人宣布评标室会议纪律及评标期间的有关事项；告知应当回避的情形,提请有关人员回避；</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3.开标及评审程序</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3.1在开标时间截止后30分钟内由各投标人自行对投标文件进行解密；</w:t>
      </w:r>
    </w:p>
    <w:p>
      <w:pPr>
        <w:spacing w:line="360" w:lineRule="auto"/>
        <w:ind w:left="480" w:hanging="480" w:hanging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3.2由采购人进行资格审查，通过资格审查的投标人进入商务技术响应文件进行评审；</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3.3系统对各投标人的商务技术进行汇总</w:t>
      </w:r>
      <w:r>
        <w:rPr>
          <w:rFonts w:hint="eastAsia" w:ascii="宋体" w:hAnsi="宋体" w:cs="宋体"/>
          <w:color w:val="auto"/>
          <w:sz w:val="24"/>
          <w:szCs w:val="24"/>
          <w:highlight w:val="none"/>
          <w:lang w:eastAsia="zh-CN"/>
        </w:rPr>
        <w:t>并公布商务技术得分</w:t>
      </w:r>
      <w:r>
        <w:rPr>
          <w:rFonts w:hint="eastAsia" w:ascii="宋体" w:hAnsi="宋体" w:eastAsia="宋体" w:cs="宋体"/>
          <w:color w:val="auto"/>
          <w:sz w:val="24"/>
          <w:highlight w:val="none"/>
        </w:rPr>
        <w:t>；</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3.4在系统上公开报价开标情况；</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3.5评标委员会对报价情况进行评审；</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3.6在系统上公布评审结果。</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特别说明：政采云公司如对电子化开标及评审程序有调整的，按调整后的程序操作。</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4、本项目采用政采云电子招投标开标及评审程序，开评标时出现电子投标文件无法解密或解密失败等情况时，采购代理机构可上传投标人的电子备份投标文件继续评审。</w:t>
      </w:r>
    </w:p>
    <w:p>
      <w:pPr>
        <w:pStyle w:val="2"/>
        <w:keepNext w:val="0"/>
        <w:keepLines w:val="0"/>
        <w:pageBreakBefore/>
        <w:spacing w:line="360" w:lineRule="auto"/>
        <w:jc w:val="center"/>
        <w:rPr>
          <w:rFonts w:hint="eastAsia" w:ascii="宋体" w:hAnsi="宋体" w:eastAsia="宋体" w:cs="宋体"/>
          <w:color w:val="auto"/>
          <w:sz w:val="24"/>
          <w:szCs w:val="24"/>
          <w:highlight w:val="none"/>
        </w:rPr>
      </w:pPr>
      <w:bookmarkStart w:id="42" w:name="_Toc458697271"/>
      <w:bookmarkStart w:id="43" w:name="_Toc15894"/>
      <w:r>
        <w:rPr>
          <w:rFonts w:hint="eastAsia" w:ascii="宋体" w:hAnsi="宋体" w:eastAsia="宋体" w:cs="宋体"/>
          <w:color w:val="auto"/>
          <w:sz w:val="24"/>
          <w:szCs w:val="24"/>
          <w:highlight w:val="none"/>
        </w:rPr>
        <w:t>五、评标</w:t>
      </w:r>
      <w:bookmarkEnd w:id="42"/>
      <w:bookmarkEnd w:id="43"/>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（一）组建评标委员会</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本项目评标委员会由政府采购评审专家</w:t>
      </w:r>
      <w:r>
        <w:rPr>
          <w:rFonts w:hint="eastAsia" w:ascii="宋体" w:hAnsi="宋体" w:cs="宋体"/>
          <w:color w:val="auto"/>
          <w:sz w:val="24"/>
          <w:highlight w:val="none"/>
          <w:u w:val="single"/>
          <w:lang w:val="en-US" w:eastAsia="zh-CN"/>
        </w:rPr>
        <w:t>4</w:t>
      </w:r>
      <w:r>
        <w:rPr>
          <w:rFonts w:hint="eastAsia" w:ascii="宋体" w:hAnsi="宋体" w:eastAsia="宋体" w:cs="宋体"/>
          <w:color w:val="auto"/>
          <w:sz w:val="24"/>
          <w:highlight w:val="none"/>
        </w:rPr>
        <w:t>人和采购人代表</w:t>
      </w:r>
      <w:r>
        <w:rPr>
          <w:rFonts w:hint="eastAsia" w:ascii="宋体" w:hAnsi="宋体" w:cs="宋体"/>
          <w:color w:val="auto"/>
          <w:sz w:val="24"/>
          <w:highlight w:val="none"/>
          <w:u w:val="single"/>
          <w:lang w:val="en-US" w:eastAsia="zh-CN"/>
        </w:rPr>
        <w:t>1</w:t>
      </w:r>
      <w:r>
        <w:rPr>
          <w:rFonts w:hint="eastAsia" w:ascii="宋体" w:hAnsi="宋体" w:eastAsia="宋体" w:cs="宋体"/>
          <w:color w:val="auto"/>
          <w:sz w:val="24"/>
          <w:highlight w:val="none"/>
        </w:rPr>
        <w:t>人,共</w:t>
      </w:r>
      <w:r>
        <w:rPr>
          <w:rFonts w:hint="eastAsia" w:ascii="宋体" w:hAnsi="宋体" w:cs="宋体"/>
          <w:color w:val="auto"/>
          <w:sz w:val="24"/>
          <w:highlight w:val="none"/>
          <w:lang w:val="en-US" w:eastAsia="zh-CN"/>
        </w:rPr>
        <w:t>5</w:t>
      </w:r>
      <w:r>
        <w:rPr>
          <w:rFonts w:hint="eastAsia" w:ascii="宋体" w:hAnsi="宋体" w:eastAsia="宋体" w:cs="宋体"/>
          <w:color w:val="auto"/>
          <w:sz w:val="24"/>
          <w:highlight w:val="none"/>
        </w:rPr>
        <w:t>人组成。（允许采购人不推荐采购人代表参加，如采购人不推荐采购人代表参加评审时，评标委员会（</w:t>
      </w:r>
      <w:r>
        <w:rPr>
          <w:rFonts w:hint="eastAsia" w:ascii="宋体" w:hAnsi="宋体" w:cs="宋体"/>
          <w:color w:val="auto"/>
          <w:sz w:val="24"/>
          <w:highlight w:val="none"/>
          <w:lang w:val="en-US" w:eastAsia="zh-CN"/>
        </w:rPr>
        <w:t>5</w:t>
      </w:r>
      <w:r>
        <w:rPr>
          <w:rFonts w:hint="eastAsia" w:ascii="宋体" w:hAnsi="宋体" w:eastAsia="宋体" w:cs="宋体"/>
          <w:color w:val="auto"/>
          <w:sz w:val="24"/>
          <w:highlight w:val="none"/>
        </w:rPr>
        <w:t>人）都从评标专家库中抽取）。</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（二）评标的方式</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本项目采用不公开方式评标，评标的依据为招标文件和投标文件。</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（三）评标程序</w:t>
      </w:r>
    </w:p>
    <w:p>
      <w:pPr>
        <w:spacing w:line="360" w:lineRule="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1.形式审查</w:t>
      </w:r>
    </w:p>
    <w:p>
      <w:pPr>
        <w:spacing w:line="360" w:lineRule="auto"/>
        <w:rPr>
          <w:rFonts w:hint="eastAsia" w:ascii="宋体" w:hAnsi="宋体" w:eastAsia="宋体" w:cs="宋体"/>
          <w:b/>
          <w:color w:val="auto"/>
          <w:sz w:val="24"/>
          <w:highlight w:val="none"/>
        </w:rPr>
      </w:pPr>
      <w:r>
        <w:rPr>
          <w:rFonts w:hint="eastAsia" w:ascii="宋体" w:hAnsi="宋体" w:eastAsia="宋体" w:cs="宋体"/>
          <w:color w:val="auto"/>
          <w:sz w:val="24"/>
          <w:highlight w:val="none"/>
        </w:rPr>
        <w:t>招标方工作人员协助评标委员会对投标人的商务技术文件、报价投标文件的完整性、合法性等进行审查。</w:t>
      </w:r>
    </w:p>
    <w:p>
      <w:pPr>
        <w:spacing w:line="360" w:lineRule="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2.实质审查与比较</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（1）评标委员会审查投标文件的实质性内容是否符合招标文件的实质性要求。</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（2）评标委员会将对投标人的投标文件进行审查、核对,如有疑问,将对投标人进行电子询标,投标人须在规定的时间内向评标委员会澄清有关问题,并在政采云上进行询标答复。</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投标人代表未在规定的时间内进行澄清、拒绝澄清或者澄清的内容改变了投标文件的实质性内容的，评标委员会有权对该投标文件作出不利于投标人的评判。</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（3）各投标人的技术得分为所有评委的有效评分的算术平均数，由指定专人进行计算复核。</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（4）招标方工作人员协助评标委员会审核商务报价有无计算错误，并根据本项目的评分标准计算各投标人的商务报价得分。</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（5）评标委员会完成评标后, 招标方工作人员对系统中的得分汇总进行复核,计算出本项目最终得分，评标委员会按评标原则推荐中标候选人并起草评标报告。</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（四）澄清问题的形式</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对投标文件中含义不明确、同类问题表述不一致或者有明显文字和计算错误的内容，评标委员会可要求投标人作出必要的澄清、说明或者纠正，投标人应在询标规定时间内进行澄清或说明（需盖CA电子签章或实体公章），并不得超出投标文件的范围或者改变投标文件的实质性内容。</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（五）错误修正</w:t>
      </w:r>
    </w:p>
    <w:p>
      <w:pPr>
        <w:spacing w:line="360" w:lineRule="auto"/>
        <w:ind w:firstLine="360" w:firstLineChars="150"/>
        <w:rPr>
          <w:rFonts w:hint="eastAsia" w:ascii="宋体" w:hAnsi="宋体" w:eastAsia="宋体" w:cs="宋体"/>
          <w:color w:val="auto"/>
          <w:sz w:val="24"/>
          <w:highlight w:val="none"/>
        </w:rPr>
      </w:pPr>
      <w:r>
        <w:rPr>
          <w:rFonts w:hint="eastAsia" w:ascii="宋体" w:hAnsi="宋体" w:eastAsia="宋体" w:cs="宋体"/>
          <w:color w:val="auto"/>
          <w:sz w:val="24"/>
          <w:highlight w:val="none"/>
        </w:rPr>
        <w:t>投标文件如果出现计算或表达上的错误，修正错误的原则如下：</w:t>
      </w:r>
    </w:p>
    <w:p>
      <w:pPr>
        <w:spacing w:line="360" w:lineRule="auto"/>
        <w:ind w:firstLine="360" w:firstLineChars="150"/>
        <w:rPr>
          <w:rFonts w:hint="eastAsia" w:ascii="宋体" w:hAnsi="宋体" w:eastAsia="宋体" w:cs="宋体"/>
          <w:color w:val="auto"/>
          <w:sz w:val="24"/>
          <w:highlight w:val="none"/>
        </w:rPr>
      </w:pPr>
      <w:r>
        <w:rPr>
          <w:rFonts w:hint="eastAsia" w:ascii="宋体" w:hAnsi="宋体" w:eastAsia="宋体" w:cs="宋体"/>
          <w:color w:val="auto"/>
          <w:sz w:val="24"/>
          <w:highlight w:val="none"/>
        </w:rPr>
        <w:t>1. 投标文件中开标一览表（报价表）内容与与投标文件中相应内容不一致的，以开标一览表（报价表）为准；</w:t>
      </w:r>
    </w:p>
    <w:p>
      <w:pPr>
        <w:spacing w:line="360" w:lineRule="auto"/>
        <w:ind w:firstLine="360" w:firstLineChars="150"/>
        <w:rPr>
          <w:rFonts w:hint="eastAsia" w:ascii="宋体" w:hAnsi="宋体" w:eastAsia="宋体" w:cs="宋体"/>
          <w:color w:val="auto"/>
          <w:sz w:val="24"/>
          <w:highlight w:val="none"/>
        </w:rPr>
      </w:pPr>
      <w:r>
        <w:rPr>
          <w:rFonts w:hint="eastAsia" w:ascii="宋体" w:hAnsi="宋体" w:eastAsia="宋体" w:cs="宋体"/>
          <w:color w:val="auto"/>
          <w:sz w:val="24"/>
          <w:highlight w:val="none"/>
        </w:rPr>
        <w:t>2.大写金额和小写金额不一致的，以大写金额为准；</w:t>
      </w:r>
    </w:p>
    <w:p>
      <w:pPr>
        <w:spacing w:line="360" w:lineRule="auto"/>
        <w:ind w:left="359" w:leftChars="171"/>
        <w:rPr>
          <w:rFonts w:hint="eastAsia" w:ascii="宋体" w:hAnsi="宋体" w:eastAsia="宋体" w:cs="宋体"/>
          <w:color w:val="auto"/>
          <w:sz w:val="24"/>
          <w:highlight w:val="none"/>
        </w:rPr>
      </w:pPr>
      <w:r>
        <w:rPr>
          <w:rFonts w:hint="eastAsia" w:ascii="宋体" w:hAnsi="宋体" w:eastAsia="宋体" w:cs="宋体"/>
          <w:color w:val="auto"/>
          <w:sz w:val="24"/>
          <w:highlight w:val="none"/>
        </w:rPr>
        <w:t>3.单价金额小数点或者百分比有明显错位的，以开标一览表的总价为准，并修改单价；4.总价金额与按单价汇总金额不一致的，以单价金额计算结果为准；</w:t>
      </w:r>
    </w:p>
    <w:p>
      <w:pPr>
        <w:pStyle w:val="21"/>
        <w:ind w:left="0" w:leftChars="0" w:firstLine="480"/>
        <w:rPr>
          <w:rFonts w:hint="eastAsia" w:ascii="宋体" w:hAnsi="宋体" w:eastAsia="宋体" w:cs="宋体"/>
          <w:color w:val="auto"/>
          <w:sz w:val="24"/>
          <w:highlight w:val="none"/>
        </w:rPr>
      </w:pPr>
      <w:r>
        <w:rPr>
          <w:rFonts w:hint="eastAsia" w:ascii="宋体" w:hAnsi="宋体" w:eastAsia="宋体" w:cs="宋体"/>
          <w:color w:val="auto"/>
          <w:sz w:val="24"/>
          <w:highlight w:val="none"/>
        </w:rPr>
        <w:t>5.政采云系统投标报价与投标文件中开标一览表（报价表）相应内容不一致的，以开标一览表（报价表）为准。</w:t>
      </w:r>
    </w:p>
    <w:p>
      <w:pPr>
        <w:spacing w:line="360" w:lineRule="auto"/>
        <w:ind w:firstLine="360" w:firstLineChars="150"/>
        <w:rPr>
          <w:rFonts w:hint="eastAsia" w:ascii="宋体" w:hAnsi="宋体" w:eastAsia="宋体" w:cs="宋体"/>
          <w:color w:val="auto"/>
          <w:sz w:val="24"/>
          <w:highlight w:val="none"/>
        </w:rPr>
      </w:pPr>
      <w:r>
        <w:rPr>
          <w:rFonts w:hint="eastAsia" w:ascii="宋体" w:hAnsi="宋体" w:eastAsia="宋体" w:cs="宋体"/>
          <w:color w:val="auto"/>
          <w:sz w:val="24"/>
          <w:highlight w:val="none"/>
        </w:rPr>
        <w:t>6.对不同文字文本投标文件的解释发生异议的，以中文文本为准。</w:t>
      </w:r>
    </w:p>
    <w:p>
      <w:pPr>
        <w:spacing w:line="360" w:lineRule="auto"/>
        <w:ind w:firstLine="240" w:firstLineChars="100"/>
        <w:rPr>
          <w:rFonts w:hint="eastAsia" w:ascii="宋体" w:hAnsi="宋体" w:eastAsia="宋体" w:cs="宋体"/>
          <w:color w:val="auto"/>
          <w:sz w:val="24"/>
          <w:highlight w:val="none"/>
        </w:rPr>
      </w:pPr>
      <w:r>
        <w:rPr>
          <w:rFonts w:hint="eastAsia" w:ascii="宋体" w:hAnsi="宋体" w:eastAsia="宋体" w:cs="宋体"/>
          <w:color w:val="auto"/>
          <w:sz w:val="24"/>
          <w:highlight w:val="none"/>
        </w:rPr>
        <w:t>同时出现两种以上不一致的，按照前款规定的顺序修正。修正后的报价按照《政府采购货物和服务招标投标管理办法》（第87号令）第五十一条第二款规定：投标人的澄清、说明或者补正应当采用书面形式，并加盖公章，或者由法定代表人或其授权的代表签字。投标人的澄清、说明或者补正不得超出投标文件的范围或者改变投标文件的实质性内容的规定经投标人确认后产生约束力，投标人不确认的，其投标无效。</w:t>
      </w:r>
    </w:p>
    <w:p>
      <w:pPr>
        <w:spacing w:line="360" w:lineRule="auto"/>
        <w:rPr>
          <w:rFonts w:ascii="宋体" w:hAnsi="宋体" w:cs="宋体"/>
          <w:b/>
          <w:bCs/>
          <w:color w:val="auto"/>
          <w:sz w:val="24"/>
          <w:highlight w:val="none"/>
        </w:rPr>
      </w:pPr>
      <w:bookmarkStart w:id="44" w:name="_Toc458697272"/>
      <w:r>
        <w:rPr>
          <w:rFonts w:hint="eastAsia" w:ascii="宋体" w:hAnsi="宋体" w:cs="宋体"/>
          <w:b/>
          <w:color w:val="auto"/>
          <w:sz w:val="24"/>
          <w:highlight w:val="none"/>
        </w:rPr>
        <w:t>（六）评标原则和评标办法</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val="en-US" w:eastAsia="zh-CN"/>
        </w:rPr>
        <w:t>1.</w:t>
      </w:r>
      <w:r>
        <w:rPr>
          <w:rFonts w:hint="eastAsia" w:ascii="宋体" w:hAnsi="宋体" w:cs="宋体"/>
          <w:color w:val="auto"/>
          <w:sz w:val="24"/>
          <w:highlight w:val="none"/>
        </w:rPr>
        <w:t>评审专家必须公平、公正评审，遵纪守法，客观、廉洁地履行职责。</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val="en-US" w:eastAsia="zh-CN"/>
        </w:rPr>
        <w:t>2.</w:t>
      </w:r>
      <w:r>
        <w:rPr>
          <w:rFonts w:hint="eastAsia" w:ascii="宋体" w:hAnsi="宋体" w:cs="宋体"/>
          <w:color w:val="auto"/>
          <w:sz w:val="24"/>
          <w:highlight w:val="none"/>
        </w:rPr>
        <w:t>评审专家在评审开始前，应关闭并上交随身携带的各种通信工具。</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val="en-US" w:eastAsia="zh-CN"/>
        </w:rPr>
        <w:t>3.</w:t>
      </w:r>
      <w:r>
        <w:rPr>
          <w:rFonts w:hint="eastAsia" w:ascii="宋体" w:hAnsi="宋体" w:cs="宋体"/>
          <w:color w:val="auto"/>
          <w:sz w:val="24"/>
          <w:highlight w:val="none"/>
        </w:rPr>
        <w:t>评审专家在评审过程中，未经许可不得中途离开评审现场，不得迟到早退。</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val="en-US" w:eastAsia="zh-CN"/>
        </w:rPr>
        <w:t>4.</w:t>
      </w:r>
      <w:r>
        <w:rPr>
          <w:rFonts w:hint="eastAsia" w:ascii="宋体" w:hAnsi="宋体" w:cs="宋体"/>
          <w:color w:val="auto"/>
          <w:sz w:val="24"/>
          <w:highlight w:val="none"/>
        </w:rPr>
        <w:t>评审专家和工作人员不得透露评审过程中的讨论情况和评审结果。</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val="en-US" w:eastAsia="zh-CN"/>
        </w:rPr>
        <w:t>5.</w:t>
      </w:r>
      <w:r>
        <w:rPr>
          <w:rFonts w:hint="eastAsia" w:ascii="宋体" w:hAnsi="宋体" w:cs="宋体"/>
          <w:color w:val="auto"/>
          <w:sz w:val="24"/>
          <w:highlight w:val="none"/>
        </w:rPr>
        <w:t>评审时，评审专家须按招标文件规定的程序、条件和标准，对投标人投标文件的合规性、完整性和有效性进行审查、比较和评估，其中对投标人的资格条件、主要技术参数、商务报价和其他评审要素等，评审专家应逐项进行审查、比较，不得漏评少评。如发现与招标文件要求相偏离的，应对其偏离情形进行必要的核实，并在工作底稿中予以说明；如属于实质性偏离或符合无效投标文件的，可询问投标人，并允许投标人进行陈述申辩，但不允许其对偏离条款进行补充、修正或撤回。</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rPr>
        <w:t>6.采购人、采购代理机构不得向评审委员会的评审专家作倾向性、误导性的解释或者说明。</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val="en-US" w:eastAsia="zh-CN"/>
        </w:rPr>
        <w:t>7.</w:t>
      </w:r>
      <w:r>
        <w:rPr>
          <w:rFonts w:hint="eastAsia" w:ascii="宋体" w:hAnsi="宋体" w:cs="宋体"/>
          <w:color w:val="auto"/>
          <w:sz w:val="24"/>
          <w:highlight w:val="none"/>
        </w:rPr>
        <w:t>采购代理机构应当为评审专家提供必要的评审条件和相应的评审工作底稿，并严格按规定程序组织评审专家有步骤地进行项目评审，对各评审专家的评审情况和评审意见进行合理性和合规性审查，对明显畸高、畸低的重大差异评审情况（其总评分偏离平均分30%以上），提醒相关评审专家进行复核或书面说明理由。</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val="en-US" w:eastAsia="zh-CN"/>
        </w:rPr>
        <w:t>8.</w:t>
      </w:r>
      <w:r>
        <w:rPr>
          <w:rFonts w:hint="eastAsia" w:ascii="宋体" w:hAnsi="宋体" w:cs="宋体"/>
          <w:color w:val="auto"/>
          <w:sz w:val="24"/>
          <w:highlight w:val="none"/>
        </w:rPr>
        <w:t>评审专家在评审过程中不得将自己的观点强加给其他评审专家，评审专家应自主发表见解，对评审意见承担个人责任。</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val="en-US" w:eastAsia="zh-CN"/>
        </w:rPr>
        <w:t>9.</w:t>
      </w:r>
      <w:r>
        <w:rPr>
          <w:rFonts w:hint="eastAsia" w:ascii="宋体" w:hAnsi="宋体" w:cs="宋体"/>
          <w:color w:val="auto"/>
          <w:sz w:val="24"/>
          <w:highlight w:val="none"/>
        </w:rPr>
        <w:t>评审结束后，评审委员会应向采购代理机构提交项目评审报告。评审报告是采购人确定中标人的合法依据，评审委员会应当如实、客观地反映评审情况，按招标文件的评审办法和细则的规定推荐中标候选人，说明推荐理由，并重点对中标候选人的技术、服务和价格等情况进行评价和比较。如排名第一的投标人报价为最高报价的，评审报告中须对其报价的合理性等进行分析和特别说明。</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val="en-US" w:eastAsia="zh-CN"/>
        </w:rPr>
        <w:t>10.</w:t>
      </w:r>
      <w:r>
        <w:rPr>
          <w:rFonts w:hint="eastAsia" w:ascii="宋体" w:hAnsi="宋体" w:cs="宋体"/>
          <w:color w:val="auto"/>
          <w:sz w:val="24"/>
          <w:highlight w:val="none"/>
        </w:rPr>
        <w:t>评审专家应当独立、客观、公正地提出评审意见，不得带有倾向性，不得影响其他评审专家评审，并在评审报告上签字；如对评审报告有异议的，可在报告上签署不同意见，并说明理由，否则将视为同意。</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val="en-US" w:eastAsia="zh-CN"/>
        </w:rPr>
        <w:t>11.</w:t>
      </w:r>
      <w:r>
        <w:rPr>
          <w:rFonts w:hint="eastAsia" w:ascii="宋体" w:hAnsi="宋体" w:cs="宋体"/>
          <w:color w:val="auto"/>
          <w:sz w:val="24"/>
          <w:highlight w:val="none"/>
        </w:rPr>
        <w:t>评审专家应当遵守评审工作纪律，不得泄露评审文件、评审情况和评审中获悉的商业秘密。</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rPr>
        <w:t>评审委员会在评审过程中发现投标人有行贿、提供虚假材料或者串通等违法行为的，应当及时向财政部门报告。</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val="en-US" w:eastAsia="zh-CN"/>
        </w:rPr>
        <w:t>12.</w:t>
      </w:r>
      <w:r>
        <w:rPr>
          <w:rFonts w:hint="eastAsia" w:ascii="宋体" w:hAnsi="宋体" w:cs="宋体"/>
          <w:color w:val="auto"/>
          <w:sz w:val="24"/>
          <w:highlight w:val="none"/>
        </w:rPr>
        <w:t>招标文件内容违反国家有关强制性规定的，评审委员会应当停止评审并向采购代理机构说明情况。</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val="en-US" w:eastAsia="zh-CN"/>
        </w:rPr>
        <w:t>13.</w:t>
      </w:r>
      <w:r>
        <w:rPr>
          <w:rFonts w:hint="eastAsia" w:ascii="宋体" w:hAnsi="宋体" w:cs="宋体"/>
          <w:color w:val="auto"/>
          <w:sz w:val="24"/>
          <w:highlight w:val="none"/>
        </w:rPr>
        <w:t>评审专家应当配合采购代理机构答复投标人提出的质疑。</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val="en-US" w:eastAsia="zh-CN"/>
        </w:rPr>
        <w:t>14.</w:t>
      </w:r>
      <w:r>
        <w:rPr>
          <w:rFonts w:hint="eastAsia" w:ascii="宋体" w:hAnsi="宋体" w:cs="宋体"/>
          <w:color w:val="auto"/>
          <w:sz w:val="24"/>
          <w:highlight w:val="none"/>
        </w:rPr>
        <w:t>评审专家应当配合财政部门的投诉处理工作。</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val="en-US" w:eastAsia="zh-CN"/>
        </w:rPr>
        <w:t>15.</w:t>
      </w:r>
      <w:r>
        <w:rPr>
          <w:rFonts w:hint="eastAsia" w:ascii="宋体" w:hAnsi="宋体" w:cs="宋体"/>
          <w:color w:val="auto"/>
          <w:sz w:val="24"/>
          <w:highlight w:val="none"/>
        </w:rPr>
        <w:t>评审专家有如下行为之一的，责令改正，给予警告，可以并处一千元以下的罚款：</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eastAsia="zh-CN"/>
        </w:rPr>
        <w:t>①</w:t>
      </w:r>
      <w:r>
        <w:rPr>
          <w:rFonts w:hint="eastAsia" w:ascii="宋体" w:hAnsi="宋体" w:cs="宋体"/>
          <w:color w:val="auto"/>
          <w:sz w:val="24"/>
          <w:highlight w:val="none"/>
        </w:rPr>
        <w:t>明知应当回避而未主动回避的；</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eastAsia="zh-CN"/>
        </w:rPr>
        <w:t>②</w:t>
      </w:r>
      <w:r>
        <w:rPr>
          <w:rFonts w:hint="eastAsia" w:ascii="宋体" w:hAnsi="宋体" w:cs="宋体"/>
          <w:color w:val="auto"/>
          <w:sz w:val="24"/>
          <w:highlight w:val="none"/>
        </w:rPr>
        <w:t>在</w:t>
      </w:r>
      <w:r>
        <w:rPr>
          <w:rFonts w:hint="eastAsia" w:ascii="宋体" w:hAnsi="宋体" w:cs="宋体"/>
          <w:color w:val="auto"/>
          <w:sz w:val="24"/>
          <w:highlight w:val="none"/>
          <w:lang w:eastAsia="zh-CN"/>
        </w:rPr>
        <w:t>得知</w:t>
      </w:r>
      <w:r>
        <w:rPr>
          <w:rFonts w:hint="eastAsia" w:ascii="宋体" w:hAnsi="宋体" w:cs="宋体"/>
          <w:color w:val="auto"/>
          <w:sz w:val="24"/>
          <w:highlight w:val="none"/>
        </w:rPr>
        <w:t>自己为评审专家身份后至评审结束前时段内私下接触投标人的；</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eastAsia="zh-CN"/>
        </w:rPr>
        <w:t>③</w:t>
      </w:r>
      <w:r>
        <w:rPr>
          <w:rFonts w:hint="eastAsia" w:ascii="宋体" w:hAnsi="宋体" w:cs="宋体"/>
          <w:color w:val="auto"/>
          <w:sz w:val="24"/>
          <w:highlight w:val="none"/>
        </w:rPr>
        <w:t>在评审过程中擅离职守，影响评审程序正常进行的；</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eastAsia="zh-CN"/>
        </w:rPr>
        <w:t>④</w:t>
      </w:r>
      <w:r>
        <w:rPr>
          <w:rFonts w:hint="eastAsia" w:ascii="宋体" w:hAnsi="宋体" w:cs="宋体"/>
          <w:color w:val="auto"/>
          <w:sz w:val="24"/>
          <w:highlight w:val="none"/>
        </w:rPr>
        <w:t>在评审过程有明显不合理或者不正当倾向性的；</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eastAsia="zh-CN"/>
        </w:rPr>
        <w:t>⑤</w:t>
      </w:r>
      <w:r>
        <w:rPr>
          <w:rFonts w:hint="eastAsia" w:ascii="宋体" w:hAnsi="宋体" w:cs="宋体"/>
          <w:color w:val="auto"/>
          <w:sz w:val="24"/>
          <w:highlight w:val="none"/>
        </w:rPr>
        <w:t>未按招标文件规定的评审方法和标准进行评审的。</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eastAsia="zh-CN"/>
        </w:rPr>
        <w:t>⑥</w:t>
      </w:r>
      <w:r>
        <w:rPr>
          <w:rFonts w:hint="eastAsia" w:ascii="宋体" w:hAnsi="宋体" w:cs="宋体"/>
          <w:color w:val="auto"/>
          <w:sz w:val="24"/>
          <w:highlight w:val="none"/>
        </w:rPr>
        <w:t>上述</w:t>
      </w:r>
      <w:r>
        <w:rPr>
          <w:rFonts w:hint="eastAsia" w:ascii="宋体" w:hAnsi="宋体" w:cs="宋体"/>
          <w:color w:val="auto"/>
          <w:sz w:val="24"/>
          <w:highlight w:val="none"/>
          <w:lang w:eastAsia="zh-CN"/>
        </w:rPr>
        <w:t>①</w:t>
      </w:r>
      <w:r>
        <w:rPr>
          <w:rFonts w:hint="eastAsia" w:ascii="宋体" w:hAnsi="宋体" w:cs="宋体"/>
          <w:color w:val="auto"/>
          <w:sz w:val="24"/>
          <w:highlight w:val="none"/>
        </w:rPr>
        <w:t>至</w:t>
      </w:r>
      <w:r>
        <w:rPr>
          <w:rFonts w:hint="eastAsia" w:ascii="宋体" w:hAnsi="宋体" w:cs="宋体"/>
          <w:color w:val="auto"/>
          <w:sz w:val="24"/>
          <w:highlight w:val="none"/>
          <w:lang w:eastAsia="zh-CN"/>
        </w:rPr>
        <w:t>⑤</w:t>
      </w:r>
      <w:r>
        <w:rPr>
          <w:rFonts w:hint="eastAsia" w:ascii="宋体" w:hAnsi="宋体" w:cs="宋体"/>
          <w:color w:val="auto"/>
          <w:sz w:val="24"/>
          <w:highlight w:val="none"/>
        </w:rPr>
        <w:t>行为影响中标结果的，中标结果无效。</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val="en-US" w:eastAsia="zh-CN"/>
        </w:rPr>
        <w:t>16.</w:t>
      </w:r>
      <w:r>
        <w:rPr>
          <w:rFonts w:hint="eastAsia" w:ascii="宋体" w:hAnsi="宋体" w:cs="宋体"/>
          <w:color w:val="auto"/>
          <w:sz w:val="24"/>
          <w:highlight w:val="none"/>
        </w:rPr>
        <w:t>政府采购评审专家未按照招标文件规定的评审程序、评审方法和评审标准进行独立评审或者泄露评审文件、评审情况的，由财政部门给予警告，并处2000元以上2万元以下的罚款；影响中标、成交结果的，处2万元以上5万元以下的罚款，禁止其参加政府采购评审活动。</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rPr>
        <w:t>政府采购评审专家与投标人存在利害关系未回避的，处2万元以上5万元以下的罚款，禁止其参加政府采购评审活动。</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rPr>
        <w:t>政府采购评审专家收受采购人、采购代理机构、投标人贿赂或者获取其他不正当利益，构成犯罪的，依法追究刑事责任；尚不构成犯罪的，处2万元以上5万元以下的罚款，禁止其参加政府采购评审活动。</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rPr>
        <w:t>政府采购评审专家有上述违法行为的，其评审意见无效，不得获取评审费；有违法所得的，没收违法所得；给他人造成损失的，依法承担民事责任。</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lang w:val="en-US" w:eastAsia="zh-CN"/>
        </w:rPr>
        <w:t>17</w:t>
      </w:r>
      <w:r>
        <w:rPr>
          <w:rFonts w:hint="eastAsia" w:ascii="宋体" w:hAnsi="宋体" w:cs="宋体"/>
          <w:color w:val="auto"/>
          <w:sz w:val="24"/>
          <w:highlight w:val="none"/>
        </w:rPr>
        <w:t>.评标办法。</w:t>
      </w:r>
    </w:p>
    <w:p>
      <w:pP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rPr>
        <w:t>本项目评标办法是：综合评分法，具体评标内容及评分标准等详见《第四章：评标办法及评分标准》。</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（七）评标过程的监控</w:t>
      </w:r>
    </w:p>
    <w:p>
      <w:pPr>
        <w:spacing w:line="360" w:lineRule="auto"/>
        <w:ind w:firstLine="120" w:firstLineChars="50"/>
        <w:rPr>
          <w:rFonts w:ascii="宋体" w:hAnsi="宋体" w:cs="宋体"/>
          <w:color w:val="auto"/>
          <w:sz w:val="24"/>
          <w:highlight w:val="none"/>
        </w:rPr>
      </w:pPr>
      <w:r>
        <w:rPr>
          <w:rFonts w:hint="eastAsia" w:ascii="宋体" w:hAnsi="宋体" w:cs="宋体"/>
          <w:color w:val="auto"/>
          <w:sz w:val="24"/>
          <w:highlight w:val="none"/>
        </w:rPr>
        <w:t>本项目评标过程实行全程录音、录像监控，投标人在评标过程中所进行的试图影响评标结果的不公正活动，可能导致其投标被拒绝。</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（八）其他</w:t>
      </w:r>
    </w:p>
    <w:p>
      <w:pPr>
        <w:spacing w:line="360" w:lineRule="auto"/>
        <w:ind w:firstLine="470" w:firstLineChars="196"/>
        <w:rPr>
          <w:rFonts w:ascii="宋体" w:hAnsi="宋体" w:cs="宋体"/>
          <w:color w:val="auto"/>
          <w:sz w:val="24"/>
          <w:highlight w:val="none"/>
        </w:rPr>
      </w:pPr>
      <w:r>
        <w:rPr>
          <w:rFonts w:hint="eastAsia" w:ascii="宋体" w:hAnsi="宋体" w:cs="宋体"/>
          <w:color w:val="auto"/>
          <w:sz w:val="24"/>
          <w:highlight w:val="none"/>
        </w:rPr>
        <w:t>采购过程中出现以下情形，导致电子交易平台无法正常运行，或者无法保证电子交易的公平、公正和安全时，采购组织机构可中止电子交易活动：</w:t>
      </w:r>
    </w:p>
    <w:p>
      <w:pPr>
        <w:spacing w:line="360" w:lineRule="auto"/>
        <w:ind w:firstLine="352" w:firstLineChars="147"/>
        <w:rPr>
          <w:rFonts w:ascii="宋体" w:hAnsi="宋体" w:cs="宋体"/>
          <w:color w:val="auto"/>
          <w:sz w:val="24"/>
          <w:highlight w:val="none"/>
        </w:rPr>
      </w:pPr>
      <w:r>
        <w:rPr>
          <w:rFonts w:hint="eastAsia" w:ascii="宋体" w:hAnsi="宋体" w:cs="宋体"/>
          <w:color w:val="auto"/>
          <w:sz w:val="24"/>
          <w:highlight w:val="none"/>
        </w:rPr>
        <w:t>1、电子交易平台发生故障而无法登录访问的；</w:t>
      </w:r>
    </w:p>
    <w:p>
      <w:pPr>
        <w:spacing w:line="360" w:lineRule="auto"/>
        <w:ind w:firstLine="352" w:firstLineChars="147"/>
        <w:rPr>
          <w:rFonts w:ascii="宋体" w:hAnsi="宋体" w:cs="宋体"/>
          <w:color w:val="auto"/>
          <w:sz w:val="24"/>
          <w:highlight w:val="none"/>
        </w:rPr>
      </w:pPr>
      <w:r>
        <w:rPr>
          <w:rFonts w:hint="eastAsia" w:ascii="宋体" w:hAnsi="宋体" w:cs="宋体"/>
          <w:color w:val="auto"/>
          <w:sz w:val="24"/>
          <w:highlight w:val="none"/>
        </w:rPr>
        <w:t>2、电子交易平台应用或数据库出现错误，不能进行正常操作的；</w:t>
      </w:r>
    </w:p>
    <w:p>
      <w:pPr>
        <w:spacing w:line="360" w:lineRule="auto"/>
        <w:ind w:firstLine="352" w:firstLineChars="147"/>
        <w:rPr>
          <w:rFonts w:ascii="宋体" w:hAnsi="宋体" w:cs="宋体"/>
          <w:color w:val="auto"/>
          <w:sz w:val="24"/>
          <w:highlight w:val="none"/>
        </w:rPr>
      </w:pPr>
      <w:r>
        <w:rPr>
          <w:rFonts w:hint="eastAsia" w:ascii="宋体" w:hAnsi="宋体" w:cs="宋体"/>
          <w:color w:val="auto"/>
          <w:sz w:val="24"/>
          <w:highlight w:val="none"/>
        </w:rPr>
        <w:t>3、电子交易平台发现严重安全漏洞，有潜在泄密危险的；</w:t>
      </w:r>
    </w:p>
    <w:p>
      <w:pPr>
        <w:spacing w:line="360" w:lineRule="auto"/>
        <w:ind w:firstLine="352" w:firstLineChars="147"/>
        <w:rPr>
          <w:rFonts w:ascii="宋体" w:hAnsi="宋体" w:cs="宋体"/>
          <w:color w:val="auto"/>
          <w:sz w:val="24"/>
          <w:highlight w:val="none"/>
        </w:rPr>
      </w:pPr>
      <w:r>
        <w:rPr>
          <w:rFonts w:hint="eastAsia" w:ascii="宋体" w:hAnsi="宋体" w:cs="宋体"/>
          <w:color w:val="auto"/>
          <w:sz w:val="24"/>
          <w:highlight w:val="none"/>
        </w:rPr>
        <w:t>4、病毒发作导致不能进行正常操作的；</w:t>
      </w:r>
    </w:p>
    <w:p>
      <w:pPr>
        <w:spacing w:line="360" w:lineRule="auto"/>
        <w:ind w:firstLine="352" w:firstLineChars="147"/>
        <w:rPr>
          <w:rFonts w:ascii="宋体" w:hAnsi="宋体" w:cs="宋体"/>
          <w:color w:val="auto"/>
          <w:sz w:val="24"/>
          <w:highlight w:val="none"/>
        </w:rPr>
      </w:pPr>
      <w:r>
        <w:rPr>
          <w:rFonts w:hint="eastAsia" w:ascii="宋体" w:hAnsi="宋体" w:cs="宋体"/>
          <w:color w:val="auto"/>
          <w:sz w:val="24"/>
          <w:highlight w:val="none"/>
        </w:rPr>
        <w:t>5、其他无法保证电子交易的公平、公正和安全的情况。</w:t>
      </w:r>
    </w:p>
    <w:p>
      <w:pPr>
        <w:spacing w:line="360" w:lineRule="auto"/>
        <w:ind w:firstLine="470" w:firstLineChars="196"/>
        <w:rPr>
          <w:rFonts w:ascii="宋体" w:hAnsi="宋体" w:cs="宋体"/>
          <w:color w:val="auto"/>
          <w:sz w:val="24"/>
          <w:highlight w:val="none"/>
        </w:rPr>
      </w:pPr>
      <w:r>
        <w:rPr>
          <w:rFonts w:hint="eastAsia" w:ascii="宋体" w:hAnsi="宋体" w:cs="宋体"/>
          <w:color w:val="auto"/>
          <w:sz w:val="24"/>
          <w:highlight w:val="none"/>
        </w:rPr>
        <w:t>出现前款规定情形，不影响采购公平、公正性的，采购组织机构可以待上述情形消除后继续组织电子交易活动；影响或可能影响采购公平、公正性的，应当重新采购。</w:t>
      </w:r>
    </w:p>
    <w:p>
      <w:pPr>
        <w:pStyle w:val="2"/>
        <w:keepNext w:val="0"/>
        <w:keepLines w:val="0"/>
        <w:pageBreakBefore/>
        <w:spacing w:line="360" w:lineRule="auto"/>
        <w:jc w:val="center"/>
        <w:rPr>
          <w:rFonts w:hint="eastAsia" w:ascii="宋体" w:hAnsi="宋体" w:eastAsia="宋体" w:cs="宋体"/>
          <w:color w:val="auto"/>
          <w:sz w:val="24"/>
          <w:szCs w:val="24"/>
          <w:highlight w:val="none"/>
        </w:rPr>
      </w:pPr>
      <w:bookmarkStart w:id="45" w:name="_Toc22936"/>
      <w:r>
        <w:rPr>
          <w:rFonts w:hint="eastAsia" w:ascii="宋体" w:hAnsi="宋体" w:eastAsia="宋体" w:cs="宋体"/>
          <w:color w:val="auto"/>
          <w:sz w:val="24"/>
          <w:szCs w:val="24"/>
          <w:highlight w:val="none"/>
        </w:rPr>
        <w:t>六、定标</w:t>
      </w:r>
      <w:bookmarkEnd w:id="44"/>
      <w:bookmarkEnd w:id="45"/>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（一）确定中标人 。</w:t>
      </w:r>
      <w:r>
        <w:rPr>
          <w:rFonts w:hint="eastAsia" w:ascii="宋体" w:hAnsi="宋体" w:eastAsia="宋体" w:cs="宋体"/>
          <w:b/>
          <w:bCs/>
          <w:color w:val="auto"/>
          <w:sz w:val="24"/>
          <w:highlight w:val="none"/>
        </w:rPr>
        <w:t>本项目由采购人授权评标委员会确定中标人。</w:t>
      </w:r>
    </w:p>
    <w:p>
      <w:pPr>
        <w:spacing w:line="360" w:lineRule="auto"/>
        <w:rPr>
          <w:rFonts w:hint="eastAsia" w:ascii="宋体" w:hAnsi="宋体" w:cs="宋体"/>
          <w:color w:val="auto"/>
          <w:sz w:val="24"/>
          <w:szCs w:val="24"/>
          <w:highlight w:val="none"/>
        </w:rPr>
      </w:pPr>
      <w:bookmarkStart w:id="46" w:name="_Toc458697273"/>
      <w:r>
        <w:rPr>
          <w:rFonts w:hint="eastAsia" w:ascii="宋体" w:hAnsi="宋体" w:cs="宋体"/>
          <w:color w:val="auto"/>
          <w:sz w:val="24"/>
          <w:szCs w:val="24"/>
          <w:highlight w:val="none"/>
        </w:rPr>
        <w:t>1.招标方在评标结束后2个工作日内将评标报告交采购人确认。</w:t>
      </w:r>
    </w:p>
    <w:p>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2.采购人应在收到评标报告后5个工作日内对评标结果进行确认。如有投标人对评标结果提出质疑的，采购人可在质疑处理完毕后确定中标人。</w:t>
      </w:r>
    </w:p>
    <w:p>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3.采购人依法确定中标人后2个工作日内，招标方以书面形式发出《中标通知书》,并同时在相关网站上发布中标公告。</w:t>
      </w:r>
    </w:p>
    <w:p>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4. 确定中标人后，中标人应在三个工作日内，向招标方领取《中标通知书》，否则按放弃中标资格处理，并因违反诚信原则，提交财政部门列入政府采购黑名单。</w:t>
      </w:r>
    </w:p>
    <w:p>
      <w:pPr>
        <w:pStyle w:val="2"/>
        <w:keepNext w:val="0"/>
        <w:keepLines w:val="0"/>
        <w:pageBreakBefore/>
        <w:spacing w:line="360" w:lineRule="auto"/>
        <w:jc w:val="center"/>
        <w:rPr>
          <w:rFonts w:hint="eastAsia" w:ascii="宋体" w:hAnsi="宋体" w:eastAsia="宋体" w:cs="宋体"/>
          <w:color w:val="auto"/>
          <w:sz w:val="24"/>
          <w:szCs w:val="24"/>
          <w:highlight w:val="none"/>
        </w:rPr>
      </w:pPr>
      <w:bookmarkStart w:id="47" w:name="_Toc17283"/>
      <w:r>
        <w:rPr>
          <w:rFonts w:hint="eastAsia" w:ascii="宋体" w:hAnsi="宋体" w:eastAsia="宋体" w:cs="宋体"/>
          <w:color w:val="auto"/>
          <w:sz w:val="24"/>
          <w:szCs w:val="24"/>
          <w:highlight w:val="none"/>
        </w:rPr>
        <w:t>七、合同授予</w:t>
      </w:r>
      <w:bookmarkEnd w:id="46"/>
      <w:bookmarkEnd w:id="47"/>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（一）签订合同</w:t>
      </w:r>
    </w:p>
    <w:p>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1</w:t>
      </w:r>
      <w:r>
        <w:rPr>
          <w:rFonts w:hint="eastAsia" w:ascii="宋体" w:hAnsi="宋体" w:cs="宋体"/>
          <w:color w:val="auto"/>
          <w:sz w:val="24"/>
          <w:szCs w:val="24"/>
          <w:highlight w:val="none"/>
          <w:lang w:val="en-US" w:eastAsia="zh-CN"/>
        </w:rPr>
        <w:t>.</w:t>
      </w:r>
      <w:r>
        <w:rPr>
          <w:rFonts w:hint="eastAsia" w:ascii="宋体" w:hAnsi="宋体" w:cs="宋体"/>
          <w:color w:val="auto"/>
          <w:sz w:val="24"/>
          <w:szCs w:val="24"/>
          <w:highlight w:val="none"/>
        </w:rPr>
        <w:t>除不可抗力等特殊情况外，采购人原则上应当在中标通知书发出之日起20日内，与成交人按照采购文件确定的事项签订政府采购合同，并在签订之日起2个工作日内将政府采购合同在浙江政府采购网上公告。</w:t>
      </w:r>
    </w:p>
    <w:p>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2.</w:t>
      </w:r>
      <w:r>
        <w:rPr>
          <w:rFonts w:hint="eastAsia" w:ascii="宋体" w:hAnsi="宋体" w:cs="宋体"/>
          <w:color w:val="auto"/>
          <w:sz w:val="24"/>
          <w:szCs w:val="24"/>
          <w:highlight w:val="none"/>
        </w:rPr>
        <w:t>成交人按规定的日期、时间、地点，由法定代表人或其授权代表与采购人代表签订合同。如成交人为联合体的，由联合体成员各方法定代表人或其授权代表与采购人代表签订合同。</w:t>
      </w:r>
    </w:p>
    <w:p>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3.</w:t>
      </w:r>
      <w:r>
        <w:rPr>
          <w:rFonts w:hint="eastAsia" w:ascii="宋体" w:hAnsi="宋体" w:cs="宋体"/>
          <w:color w:val="auto"/>
          <w:sz w:val="24"/>
          <w:szCs w:val="24"/>
          <w:highlight w:val="none"/>
        </w:rPr>
        <w:t>如签订合同并生效后，供应商无故拒绝或延期，除按照合同条款处理外，列入不良行为记录一次，并给予通报。</w:t>
      </w:r>
    </w:p>
    <w:p>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4.</w:t>
      </w:r>
      <w:r>
        <w:rPr>
          <w:rFonts w:hint="eastAsia" w:ascii="宋体" w:hAnsi="宋体" w:cs="宋体"/>
          <w:color w:val="auto"/>
          <w:sz w:val="24"/>
          <w:szCs w:val="24"/>
          <w:highlight w:val="none"/>
        </w:rPr>
        <w:t>成交人拒绝与采购人签订合同的，采购人可以按照评审报告推荐的中标或者成交候选人名单排序，确定下一候选人为成交人，也可以重新开展政府采购活动。</w:t>
      </w:r>
    </w:p>
    <w:p>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5.</w:t>
      </w:r>
      <w:r>
        <w:rPr>
          <w:rFonts w:hint="eastAsia" w:ascii="宋体" w:hAnsi="宋体" w:cs="宋体"/>
          <w:color w:val="auto"/>
          <w:sz w:val="24"/>
          <w:szCs w:val="24"/>
          <w:highlight w:val="none"/>
        </w:rPr>
        <w:t>采购合同由采购人与成交人根据采购文件、磋商响应文件等内容通过政府采购电子交易平台在线签订，自动备案。</w:t>
      </w:r>
    </w:p>
    <w:p>
      <w:pPr>
        <w:spacing w:line="360" w:lineRule="auto"/>
        <w:rPr>
          <w:rFonts w:hint="eastAsia" w:ascii="宋体" w:hAnsi="宋体" w:eastAsia="宋体" w:cs="宋体"/>
          <w:b w:val="0"/>
          <w:bCs/>
          <w:color w:val="auto"/>
          <w:sz w:val="24"/>
          <w:highlight w:val="none"/>
        </w:rPr>
      </w:pPr>
      <w:r>
        <w:rPr>
          <w:rFonts w:hint="eastAsia" w:ascii="宋体" w:hAnsi="宋体" w:eastAsia="宋体" w:cs="宋体"/>
          <w:b w:val="0"/>
          <w:bCs/>
          <w:color w:val="auto"/>
          <w:sz w:val="24"/>
          <w:highlight w:val="none"/>
        </w:rPr>
        <w:t>6</w:t>
      </w:r>
      <w:r>
        <w:rPr>
          <w:rFonts w:hint="eastAsia" w:ascii="宋体" w:hAnsi="宋体" w:cs="宋体"/>
          <w:b w:val="0"/>
          <w:bCs/>
          <w:color w:val="auto"/>
          <w:sz w:val="24"/>
          <w:highlight w:val="none"/>
          <w:lang w:val="en-US" w:eastAsia="zh-CN"/>
        </w:rPr>
        <w:t>.</w:t>
      </w:r>
      <w:r>
        <w:rPr>
          <w:rFonts w:hint="eastAsia" w:ascii="宋体" w:hAnsi="宋体" w:eastAsia="宋体" w:cs="宋体"/>
          <w:b w:val="0"/>
          <w:bCs/>
          <w:color w:val="auto"/>
          <w:sz w:val="24"/>
          <w:highlight w:val="none"/>
        </w:rPr>
        <w:t>政府采购货物和服务项目不得收取质量保证金。政府采购工程以及与工程建设有关的货物、服务，采用招标方式采购的，按国家和省有关规定执行。</w:t>
      </w:r>
    </w:p>
    <w:p>
      <w:pPr>
        <w:rPr>
          <w:rFonts w:hint="eastAsia" w:ascii="宋体" w:hAnsi="宋体" w:eastAsia="宋体" w:cs="宋体"/>
          <w:color w:val="auto"/>
          <w:sz w:val="24"/>
          <w:highlight w:val="none"/>
        </w:rPr>
      </w:pPr>
    </w:p>
    <w:p>
      <w:pPr>
        <w:pStyle w:val="12"/>
        <w:pageBreakBefore/>
        <w:snapToGrid w:val="0"/>
        <w:spacing w:before="120" w:after="120" w:line="360" w:lineRule="auto"/>
        <w:jc w:val="center"/>
        <w:outlineLvl w:val="0"/>
        <w:rPr>
          <w:rFonts w:hint="eastAsia" w:ascii="宋体" w:hAnsi="宋体" w:eastAsia="宋体" w:cs="宋体"/>
          <w:b/>
          <w:color w:val="auto"/>
          <w:szCs w:val="24"/>
          <w:highlight w:val="none"/>
        </w:rPr>
      </w:pPr>
      <w:bookmarkStart w:id="48" w:name="_Toc18271"/>
      <w:r>
        <w:rPr>
          <w:rFonts w:hint="eastAsia" w:ascii="宋体" w:hAnsi="宋体" w:eastAsia="宋体" w:cs="宋体"/>
          <w:b/>
          <w:color w:val="auto"/>
          <w:szCs w:val="24"/>
          <w:highlight w:val="none"/>
        </w:rPr>
        <w:t>第四章  评标办法及评分标准</w:t>
      </w:r>
      <w:bookmarkEnd w:id="48"/>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为公正、公平、科学地选择中标人，根据《中华人民共和国政府采购法》等有关法律法规的规定，并结合本项目的实际，制定本办法。</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本办法适用于</w:t>
      </w:r>
      <w:r>
        <w:rPr>
          <w:rFonts w:hint="eastAsia" w:ascii="宋体" w:hAnsi="宋体" w:cs="宋体"/>
          <w:color w:val="auto"/>
          <w:sz w:val="24"/>
          <w:highlight w:val="none"/>
          <w:lang w:eastAsia="zh-CN"/>
        </w:rPr>
        <w:t>东阳市横店医院公共卫生综合楼百级手术室、供应中心净化系统设备采购及安装项目</w:t>
      </w:r>
      <w:r>
        <w:rPr>
          <w:rFonts w:hint="eastAsia" w:ascii="宋体" w:hAnsi="宋体" w:eastAsia="宋体" w:cs="宋体"/>
          <w:color w:val="auto"/>
          <w:sz w:val="24"/>
          <w:highlight w:val="none"/>
        </w:rPr>
        <w:t>的评标。</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宋体" w:hAnsi="宋体" w:eastAsia="宋体" w:cs="宋体"/>
          <w:b/>
          <w:color w:val="auto"/>
          <w:sz w:val="24"/>
          <w:highlight w:val="none"/>
        </w:rPr>
      </w:pPr>
      <w:bookmarkStart w:id="49" w:name="_Toc12525"/>
      <w:bookmarkStart w:id="50" w:name="_Toc31315"/>
      <w:bookmarkStart w:id="51" w:name="_Toc26574"/>
      <w:bookmarkStart w:id="52" w:name="_Toc452728219"/>
      <w:r>
        <w:rPr>
          <w:rFonts w:hint="eastAsia" w:ascii="宋体" w:hAnsi="宋体" w:eastAsia="宋体" w:cs="宋体"/>
          <w:b/>
          <w:color w:val="auto"/>
          <w:sz w:val="24"/>
          <w:highlight w:val="none"/>
        </w:rPr>
        <w:t>一、总则</w:t>
      </w:r>
      <w:bookmarkEnd w:id="49"/>
      <w:bookmarkEnd w:id="50"/>
      <w:bookmarkEnd w:id="51"/>
      <w:bookmarkEnd w:id="52"/>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本次评标采用综合评分法，总分为100分，其中价格分</w:t>
      </w: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rPr>
        <w:t>0分，技术、商务、资信及其他分</w:t>
      </w:r>
      <w:r>
        <w:rPr>
          <w:rFonts w:hint="eastAsia" w:ascii="宋体" w:hAnsi="宋体" w:cs="宋体"/>
          <w:color w:val="auto"/>
          <w:sz w:val="24"/>
          <w:highlight w:val="none"/>
          <w:lang w:val="en-US" w:eastAsia="zh-CN"/>
        </w:rPr>
        <w:t>7</w:t>
      </w:r>
      <w:r>
        <w:rPr>
          <w:rFonts w:hint="eastAsia" w:ascii="宋体" w:hAnsi="宋体" w:eastAsia="宋体" w:cs="宋体"/>
          <w:color w:val="auto"/>
          <w:sz w:val="24"/>
          <w:highlight w:val="none"/>
        </w:rPr>
        <w:t>0分；合格投标人的评标得分为各项目汇总得分，中标候选资格按评标综合得分由高到低顺序排列，得分相同的，按投标报价由低到高顺序排列；得分且投标报价相同的，按技术得分由高到低顺序排列。排名第一的投标人为中标候选人,排名第二的投标人为候补中标候选人……其他投标人中标候选资格依此类推。评分过程中采用四舍五入法，并保留小数2位。</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投标人评标综合得分=价格分+(技术分+商务分+资信及其他分)</w:t>
      </w:r>
    </w:p>
    <w:p>
      <w:pPr>
        <w:keepNext w:val="0"/>
        <w:keepLines w:val="0"/>
        <w:pageBreakBefore w:val="0"/>
        <w:widowControl w:val="0"/>
        <w:numPr>
          <w:ilvl w:val="0"/>
          <w:numId w:val="17"/>
        </w:numPr>
        <w:kinsoku/>
        <w:wordWrap/>
        <w:overflowPunct/>
        <w:topLinePunct w:val="0"/>
        <w:autoSpaceDE/>
        <w:autoSpaceDN/>
        <w:bidi w:val="0"/>
        <w:adjustRightInd/>
        <w:snapToGrid/>
        <w:spacing w:line="560" w:lineRule="exact"/>
        <w:textAlignment w:val="auto"/>
        <w:rPr>
          <w:rFonts w:hint="eastAsia" w:ascii="宋体" w:hAnsi="宋体" w:eastAsia="宋体" w:cs="宋体"/>
          <w:b/>
          <w:color w:val="auto"/>
          <w:sz w:val="24"/>
          <w:highlight w:val="none"/>
        </w:rPr>
      </w:pPr>
      <w:bookmarkStart w:id="53" w:name="_Toc6122"/>
      <w:bookmarkStart w:id="54" w:name="_Toc16785"/>
      <w:bookmarkStart w:id="55" w:name="_Toc12387"/>
      <w:bookmarkStart w:id="56" w:name="_Toc452728220"/>
      <w:r>
        <w:rPr>
          <w:rFonts w:hint="eastAsia" w:ascii="宋体" w:hAnsi="宋体" w:eastAsia="宋体" w:cs="宋体"/>
          <w:b/>
          <w:color w:val="auto"/>
          <w:sz w:val="24"/>
          <w:highlight w:val="none"/>
        </w:rPr>
        <w:t>评标内容及标准</w:t>
      </w:r>
      <w:bookmarkEnd w:id="53"/>
      <w:bookmarkEnd w:id="54"/>
      <w:bookmarkEnd w:id="55"/>
      <w:bookmarkEnd w:id="56"/>
      <w:bookmarkStart w:id="57" w:name="_Toc502652282"/>
      <w:bookmarkStart w:id="58" w:name="_Hlt452359758"/>
      <w:bookmarkStart w:id="59" w:name="_Hlt452359757"/>
    </w:p>
    <w:p>
      <w:pPr>
        <w:pStyle w:val="12"/>
        <w:keepNext w:val="0"/>
        <w:keepLines w:val="0"/>
        <w:pageBreakBefore w:val="0"/>
        <w:widowControl w:val="0"/>
        <w:kinsoku/>
        <w:wordWrap/>
        <w:overflowPunct/>
        <w:topLinePunct w:val="0"/>
        <w:autoSpaceDE/>
        <w:autoSpaceDN/>
        <w:bidi w:val="0"/>
        <w:adjustRightInd/>
        <w:snapToGrid/>
        <w:spacing w:before="120" w:after="120" w:line="560" w:lineRule="exact"/>
        <w:textAlignment w:val="auto"/>
        <w:rPr>
          <w:rFonts w:hint="eastAsia" w:ascii="宋体" w:hAnsi="宋体" w:eastAsia="宋体" w:cs="宋体"/>
          <w:b/>
          <w:bCs/>
          <w:color w:val="auto"/>
          <w:szCs w:val="24"/>
          <w:highlight w:val="none"/>
        </w:rPr>
      </w:pPr>
      <w:r>
        <w:rPr>
          <w:rFonts w:hint="eastAsia" w:ascii="宋体" w:hAnsi="宋体" w:eastAsia="宋体" w:cs="宋体"/>
          <w:b/>
          <w:bCs/>
          <w:color w:val="auto"/>
          <w:szCs w:val="24"/>
          <w:highlight w:val="none"/>
        </w:rPr>
        <w:t>（一）技术、商务、资信及其他分（</w:t>
      </w:r>
      <w:r>
        <w:rPr>
          <w:rFonts w:hint="eastAsia" w:ascii="宋体" w:hAnsi="宋体" w:cs="宋体"/>
          <w:b/>
          <w:bCs/>
          <w:color w:val="auto"/>
          <w:szCs w:val="24"/>
          <w:highlight w:val="none"/>
          <w:lang w:val="en-US" w:eastAsia="zh-CN"/>
        </w:rPr>
        <w:t>7</w:t>
      </w:r>
      <w:r>
        <w:rPr>
          <w:rFonts w:hint="eastAsia" w:ascii="宋体" w:hAnsi="宋体" w:eastAsia="宋体" w:cs="宋体"/>
          <w:b/>
          <w:bCs/>
          <w:color w:val="auto"/>
          <w:szCs w:val="24"/>
          <w:highlight w:val="none"/>
        </w:rPr>
        <w:t>0分）</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技术、商务资信及其他分响应标书要求的投标单位全部进入商务报价评审。</w:t>
      </w:r>
    </w:p>
    <w:p>
      <w:pPr>
        <w:pStyle w:val="5"/>
        <w:keepNext w:val="0"/>
        <w:keepLines w:val="0"/>
        <w:pageBreakBefore w:val="0"/>
        <w:widowControl w:val="0"/>
        <w:kinsoku/>
        <w:wordWrap/>
        <w:overflowPunct/>
        <w:topLinePunct w:val="0"/>
        <w:autoSpaceDE/>
        <w:autoSpaceDN/>
        <w:bidi w:val="0"/>
        <w:adjustRightInd/>
        <w:snapToGrid/>
        <w:spacing w:line="560" w:lineRule="exact"/>
        <w:ind w:left="0" w:leftChars="0"/>
        <w:textAlignment w:val="auto"/>
        <w:rPr>
          <w:rFonts w:hint="eastAsia" w:ascii="宋体" w:hAnsi="宋体" w:eastAsia="宋体" w:cs="宋体"/>
          <w:b/>
          <w:bCs/>
          <w:color w:val="auto"/>
          <w:sz w:val="24"/>
          <w:highlight w:val="none"/>
        </w:rPr>
      </w:pPr>
      <w:r>
        <w:rPr>
          <w:rFonts w:hint="eastAsia" w:ascii="宋体" w:hAnsi="宋体" w:eastAsia="宋体" w:cs="宋体"/>
          <w:b/>
          <w:color w:val="auto"/>
          <w:sz w:val="24"/>
          <w:highlight w:val="none"/>
        </w:rPr>
        <w:t>（二）</w:t>
      </w:r>
      <w:r>
        <w:rPr>
          <w:rFonts w:hint="eastAsia" w:ascii="宋体" w:hAnsi="宋体" w:eastAsia="宋体" w:cs="宋体"/>
          <w:b/>
          <w:bCs/>
          <w:color w:val="auto"/>
          <w:sz w:val="24"/>
          <w:highlight w:val="none"/>
        </w:rPr>
        <w:t>价格分（</w:t>
      </w:r>
      <w:r>
        <w:rPr>
          <w:rFonts w:hint="eastAsia" w:ascii="宋体" w:hAnsi="宋体" w:cs="宋体"/>
          <w:b/>
          <w:bCs/>
          <w:color w:val="auto"/>
          <w:sz w:val="24"/>
          <w:highlight w:val="none"/>
          <w:lang w:val="en-US" w:eastAsia="zh-CN"/>
        </w:rPr>
        <w:t>3</w:t>
      </w:r>
      <w:r>
        <w:rPr>
          <w:rFonts w:hint="eastAsia" w:ascii="宋体" w:hAnsi="宋体" w:eastAsia="宋体" w:cs="宋体"/>
          <w:b/>
          <w:bCs/>
          <w:color w:val="auto"/>
          <w:sz w:val="24"/>
          <w:highlight w:val="none"/>
        </w:rPr>
        <w:t xml:space="preserve">0分） </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宋体" w:hAnsi="宋体"/>
          <w:color w:val="auto"/>
          <w:sz w:val="24"/>
          <w:szCs w:val="24"/>
          <w:highlight w:val="none"/>
          <w:lang w:val="en-US" w:eastAsia="zh-CN"/>
        </w:rPr>
      </w:pPr>
      <w:r>
        <w:rPr>
          <w:rFonts w:hint="eastAsia" w:ascii="宋体" w:hAnsi="宋体"/>
          <w:color w:val="auto"/>
          <w:sz w:val="24"/>
          <w:szCs w:val="24"/>
          <w:highlight w:val="none"/>
          <w:lang w:val="en-US" w:eastAsia="zh-CN"/>
        </w:rPr>
        <w:t>价格分采用低价优先法计算，取所有技术、资信商务得分入围投标人中，投标价格最低的投标报价为评标基准价，其他投标人的价格分按照下列公式计算：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color w:val="auto"/>
          <w:highlight w:val="none"/>
          <w:lang w:val="en-US" w:eastAsia="zh-CN"/>
        </w:rPr>
      </w:pPr>
      <w:r>
        <w:rPr>
          <w:rFonts w:hint="eastAsia" w:ascii="宋体" w:hAnsi="宋体"/>
          <w:color w:val="auto"/>
          <w:sz w:val="24"/>
          <w:szCs w:val="24"/>
          <w:highlight w:val="none"/>
          <w:lang w:val="en-US" w:eastAsia="zh-CN"/>
        </w:rPr>
        <w:t>价格分=评标基准价/投标报价×30</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（三）技术、商务、资信及其他分的计算</w:t>
      </w:r>
    </w:p>
    <w:p>
      <w:pPr>
        <w:keepNext w:val="0"/>
        <w:keepLines w:val="0"/>
        <w:pageBreakBefore w:val="0"/>
        <w:widowControl w:val="0"/>
        <w:kinsoku/>
        <w:wordWrap/>
        <w:overflowPunct/>
        <w:topLinePunct w:val="0"/>
        <w:autoSpaceDE/>
        <w:autoSpaceDN/>
        <w:bidi w:val="0"/>
        <w:adjustRightInd/>
        <w:snapToGrid/>
        <w:spacing w:before="120" w:beforeLines="50" w:after="120" w:afterLines="50" w:line="56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技术、商务、资信及其他分按照评标委员会成员的独立评分结果的算术平均分计算，计算公式为：</w:t>
      </w:r>
    </w:p>
    <w:p>
      <w:pPr>
        <w:keepNext w:val="0"/>
        <w:keepLines w:val="0"/>
        <w:pageBreakBefore w:val="0"/>
        <w:widowControl w:val="0"/>
        <w:kinsoku/>
        <w:wordWrap/>
        <w:overflowPunct/>
        <w:topLinePunct w:val="0"/>
        <w:autoSpaceDE/>
        <w:autoSpaceDN/>
        <w:bidi w:val="0"/>
        <w:adjustRightInd/>
        <w:snapToGrid/>
        <w:spacing w:before="120" w:beforeLines="50" w:after="120" w:afterLines="50" w:line="560" w:lineRule="exact"/>
        <w:ind w:firstLine="480" w:firstLineChars="200"/>
        <w:textAlignment w:val="auto"/>
        <w:rPr>
          <w:rFonts w:hint="default" w:ascii="宋体" w:hAnsi="宋体" w:eastAsia="宋体" w:cs="宋体"/>
          <w:b/>
          <w:color w:val="auto"/>
          <w:sz w:val="24"/>
          <w:highlight w:val="none"/>
          <w:lang w:val="en-US" w:eastAsia="zh-CN"/>
        </w:rPr>
      </w:pPr>
      <w:r>
        <w:rPr>
          <w:rFonts w:hint="eastAsia" w:ascii="宋体" w:hAnsi="宋体" w:eastAsia="宋体" w:cs="宋体"/>
          <w:color w:val="auto"/>
          <w:sz w:val="24"/>
          <w:highlight w:val="none"/>
        </w:rPr>
        <w:t>技术商务资信及其他分=评标委员会所有成员有效评分合计数/</w:t>
      </w:r>
      <w:r>
        <w:rPr>
          <w:rFonts w:hint="eastAsia" w:ascii="宋体" w:hAnsi="宋体" w:cs="宋体"/>
          <w:color w:val="auto"/>
          <w:sz w:val="24"/>
          <w:highlight w:val="none"/>
          <w:lang w:val="en-US" w:eastAsia="zh-CN"/>
        </w:rPr>
        <w:t>5</w:t>
      </w:r>
    </w:p>
    <w:p>
      <w:pPr>
        <w:pStyle w:val="12"/>
        <w:keepNext w:val="0"/>
        <w:keepLines w:val="0"/>
        <w:pageBreakBefore w:val="0"/>
        <w:widowControl w:val="0"/>
        <w:numPr>
          <w:ilvl w:val="0"/>
          <w:numId w:val="20"/>
        </w:numPr>
        <w:kinsoku/>
        <w:wordWrap/>
        <w:overflowPunct/>
        <w:topLinePunct w:val="0"/>
        <w:autoSpaceDE/>
        <w:autoSpaceDN/>
        <w:bidi w:val="0"/>
        <w:adjustRightInd/>
        <w:snapToGrid/>
        <w:spacing w:before="120" w:after="120" w:line="560" w:lineRule="exact"/>
        <w:textAlignment w:val="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技术分、商务分、资信及其他分评分标准，共</w:t>
      </w:r>
      <w:r>
        <w:rPr>
          <w:rFonts w:hint="eastAsia" w:ascii="宋体" w:hAnsi="宋体" w:cs="宋体"/>
          <w:b/>
          <w:bCs/>
          <w:color w:val="auto"/>
          <w:sz w:val="24"/>
          <w:highlight w:val="none"/>
          <w:lang w:val="en-US" w:eastAsia="zh-CN"/>
        </w:rPr>
        <w:t>7</w:t>
      </w:r>
      <w:r>
        <w:rPr>
          <w:rFonts w:hint="eastAsia" w:ascii="宋体" w:hAnsi="宋体" w:eastAsia="宋体" w:cs="宋体"/>
          <w:b/>
          <w:bCs/>
          <w:color w:val="auto"/>
          <w:sz w:val="24"/>
          <w:highlight w:val="none"/>
        </w:rPr>
        <w:t>0分</w:t>
      </w:r>
    </w:p>
    <w:tbl>
      <w:tblPr>
        <w:tblStyle w:val="22"/>
        <w:tblW w:w="10565"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33"/>
        <w:gridCol w:w="408"/>
        <w:gridCol w:w="1108"/>
        <w:gridCol w:w="7346"/>
        <w:gridCol w:w="87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pStyle w:val="17"/>
              <w:spacing w:line="360" w:lineRule="auto"/>
              <w:ind w:firstLine="0"/>
              <w:jc w:val="center"/>
              <w:rPr>
                <w:rFonts w:ascii="宋体"/>
                <w:b/>
                <w:bCs/>
                <w:color w:val="auto"/>
                <w:sz w:val="24"/>
                <w:highlight w:val="none"/>
              </w:rPr>
            </w:pPr>
            <w:r>
              <w:rPr>
                <w:rFonts w:hint="eastAsia" w:ascii="宋体"/>
                <w:b/>
                <w:bCs/>
                <w:color w:val="auto"/>
                <w:sz w:val="24"/>
                <w:highlight w:val="none"/>
              </w:rPr>
              <w:t>序号</w:t>
            </w:r>
          </w:p>
        </w:tc>
        <w:tc>
          <w:tcPr>
            <w:tcW w:w="1516" w:type="dxa"/>
            <w:gridSpan w:val="2"/>
            <w:tcBorders>
              <w:top w:val="single" w:color="auto" w:sz="4" w:space="0"/>
              <w:left w:val="single" w:color="auto" w:sz="4" w:space="0"/>
              <w:bottom w:val="single" w:color="auto" w:sz="4" w:space="0"/>
              <w:right w:val="single" w:color="auto" w:sz="4" w:space="0"/>
            </w:tcBorders>
            <w:noWrap w:val="0"/>
            <w:vAlign w:val="center"/>
          </w:tcPr>
          <w:p>
            <w:pPr>
              <w:pStyle w:val="17"/>
              <w:spacing w:line="360" w:lineRule="auto"/>
              <w:ind w:firstLine="0"/>
              <w:jc w:val="center"/>
              <w:rPr>
                <w:rFonts w:ascii="宋体"/>
                <w:b/>
                <w:bCs/>
                <w:color w:val="auto"/>
                <w:sz w:val="24"/>
                <w:highlight w:val="none"/>
              </w:rPr>
            </w:pPr>
            <w:r>
              <w:rPr>
                <w:rFonts w:hint="eastAsia" w:ascii="宋体"/>
                <w:b/>
                <w:bCs/>
                <w:color w:val="auto"/>
                <w:sz w:val="24"/>
                <w:highlight w:val="none"/>
              </w:rPr>
              <w:t>评审内容</w:t>
            </w:r>
          </w:p>
        </w:tc>
        <w:tc>
          <w:tcPr>
            <w:tcW w:w="7346" w:type="dxa"/>
            <w:tcBorders>
              <w:top w:val="single" w:color="auto" w:sz="4" w:space="0"/>
              <w:left w:val="single" w:color="auto" w:sz="4" w:space="0"/>
              <w:bottom w:val="single" w:color="auto" w:sz="4" w:space="0"/>
              <w:right w:val="single" w:color="auto" w:sz="4" w:space="0"/>
            </w:tcBorders>
            <w:noWrap w:val="0"/>
            <w:vAlign w:val="center"/>
          </w:tcPr>
          <w:p>
            <w:pPr>
              <w:pStyle w:val="17"/>
              <w:spacing w:line="360" w:lineRule="auto"/>
              <w:ind w:firstLine="482"/>
              <w:jc w:val="center"/>
              <w:rPr>
                <w:rFonts w:ascii="宋体"/>
                <w:b/>
                <w:bCs/>
                <w:color w:val="auto"/>
                <w:sz w:val="24"/>
                <w:highlight w:val="none"/>
              </w:rPr>
            </w:pPr>
            <w:r>
              <w:rPr>
                <w:rFonts w:hint="eastAsia" w:ascii="宋体"/>
                <w:b/>
                <w:bCs/>
                <w:color w:val="auto"/>
                <w:sz w:val="24"/>
                <w:highlight w:val="none"/>
              </w:rPr>
              <w:t>评分标准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pStyle w:val="17"/>
              <w:spacing w:line="360" w:lineRule="auto"/>
              <w:ind w:firstLine="0"/>
              <w:jc w:val="center"/>
              <w:rPr>
                <w:rFonts w:ascii="宋体"/>
                <w:b/>
                <w:bCs/>
                <w:color w:val="auto"/>
                <w:sz w:val="24"/>
                <w:highlight w:val="none"/>
              </w:rPr>
            </w:pPr>
            <w:r>
              <w:rPr>
                <w:rFonts w:hint="eastAsia" w:ascii="宋体"/>
                <w:b/>
                <w:bCs/>
                <w:color w:val="auto"/>
                <w:sz w:val="24"/>
                <w:highlight w:val="none"/>
              </w:rPr>
              <w:t>分值</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pStyle w:val="17"/>
              <w:spacing w:line="360" w:lineRule="auto"/>
              <w:ind w:firstLine="0"/>
              <w:jc w:val="center"/>
              <w:rPr>
                <w:rFonts w:ascii="宋体"/>
                <w:b/>
                <w:bCs/>
                <w:color w:val="auto"/>
                <w:sz w:val="24"/>
                <w:highlight w:val="none"/>
              </w:rPr>
            </w:pPr>
            <w:r>
              <w:rPr>
                <w:rFonts w:hint="eastAsia" w:ascii="宋体"/>
                <w:b/>
                <w:bCs/>
                <w:color w:val="auto"/>
                <w:sz w:val="24"/>
                <w:highlight w:val="none"/>
              </w:rPr>
              <w:t>一</w:t>
            </w:r>
          </w:p>
        </w:tc>
        <w:tc>
          <w:tcPr>
            <w:tcW w:w="8862" w:type="dxa"/>
            <w:gridSpan w:val="3"/>
            <w:tcBorders>
              <w:top w:val="single" w:color="auto" w:sz="4" w:space="0"/>
              <w:left w:val="single" w:color="auto" w:sz="4" w:space="0"/>
              <w:bottom w:val="single" w:color="auto" w:sz="4" w:space="0"/>
              <w:right w:val="single" w:color="auto" w:sz="4" w:space="0"/>
            </w:tcBorders>
            <w:noWrap w:val="0"/>
            <w:vAlign w:val="center"/>
          </w:tcPr>
          <w:p>
            <w:pPr>
              <w:pStyle w:val="17"/>
              <w:spacing w:line="360" w:lineRule="auto"/>
              <w:ind w:firstLine="482"/>
              <w:jc w:val="center"/>
              <w:rPr>
                <w:rFonts w:ascii="宋体"/>
                <w:b/>
                <w:bCs/>
                <w:color w:val="auto"/>
                <w:sz w:val="24"/>
                <w:highlight w:val="none"/>
              </w:rPr>
            </w:pPr>
            <w:r>
              <w:rPr>
                <w:rFonts w:hint="eastAsia" w:ascii="宋体"/>
                <w:b/>
                <w:bCs/>
                <w:color w:val="auto"/>
                <w:sz w:val="24"/>
                <w:highlight w:val="none"/>
              </w:rPr>
              <w:t>技术分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pStyle w:val="17"/>
              <w:spacing w:line="360" w:lineRule="auto"/>
              <w:ind w:firstLine="0"/>
              <w:jc w:val="center"/>
              <w:rPr>
                <w:rFonts w:ascii="宋体"/>
                <w:b/>
                <w:bCs/>
                <w:color w:val="auto"/>
                <w:sz w:val="24"/>
                <w:highlight w:val="none"/>
              </w:rPr>
            </w:pPr>
            <w:r>
              <w:rPr>
                <w:rFonts w:hint="eastAsia" w:ascii="宋体"/>
                <w:b/>
                <w:bCs/>
                <w:color w:val="auto"/>
                <w:sz w:val="24"/>
                <w:szCs w:val="28"/>
                <w:highlight w:val="none"/>
              </w:rPr>
              <w:t>4</w:t>
            </w:r>
            <w:r>
              <w:rPr>
                <w:rFonts w:hint="eastAsia" w:ascii="宋体"/>
                <w:b/>
                <w:bCs/>
                <w:color w:val="auto"/>
                <w:sz w:val="24"/>
                <w:szCs w:val="28"/>
                <w:highlight w:val="none"/>
                <w:lang w:val="en-US" w:eastAsia="zh-CN"/>
              </w:rPr>
              <w:t>9</w:t>
            </w:r>
            <w:r>
              <w:rPr>
                <w:rFonts w:hint="eastAsia" w:ascii="宋体"/>
                <w:b/>
                <w:bCs/>
                <w:color w:val="auto"/>
                <w:sz w:val="24"/>
                <w:szCs w:val="28"/>
                <w:highlight w:val="none"/>
              </w:rPr>
              <w:t>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92"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pStyle w:val="17"/>
              <w:spacing w:line="360" w:lineRule="auto"/>
              <w:ind w:firstLine="0"/>
              <w:jc w:val="center"/>
              <w:rPr>
                <w:rFonts w:ascii="宋体"/>
                <w:b/>
                <w:bCs/>
                <w:color w:val="auto"/>
                <w:sz w:val="24"/>
                <w:highlight w:val="none"/>
              </w:rPr>
            </w:pPr>
            <w:r>
              <w:rPr>
                <w:rFonts w:hint="eastAsia" w:ascii="宋体"/>
                <w:color w:val="auto"/>
                <w:sz w:val="24"/>
                <w:highlight w:val="none"/>
              </w:rPr>
              <w:t>1</w:t>
            </w:r>
          </w:p>
        </w:tc>
        <w:tc>
          <w:tcPr>
            <w:tcW w:w="408" w:type="dxa"/>
            <w:vMerge w:val="restart"/>
            <w:tcBorders>
              <w:top w:val="single" w:color="auto" w:sz="4" w:space="0"/>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r>
              <w:rPr>
                <w:rFonts w:hint="eastAsia" w:hAnsi="宋体" w:cs="宋体"/>
                <w:color w:val="auto"/>
                <w:sz w:val="24"/>
                <w:highlight w:val="none"/>
              </w:rPr>
              <w:t>技术服务水平</w:t>
            </w:r>
          </w:p>
        </w:tc>
        <w:tc>
          <w:tcPr>
            <w:tcW w:w="1108" w:type="dxa"/>
            <w:vMerge w:val="restart"/>
            <w:tcBorders>
              <w:top w:val="single" w:color="auto" w:sz="4" w:space="0"/>
              <w:left w:val="single" w:color="auto" w:sz="4" w:space="0"/>
              <w:right w:val="single" w:color="auto" w:sz="4" w:space="0"/>
            </w:tcBorders>
            <w:noWrap w:val="0"/>
            <w:vAlign w:val="center"/>
          </w:tcPr>
          <w:p>
            <w:pPr>
              <w:spacing w:line="360" w:lineRule="auto"/>
              <w:jc w:val="center"/>
              <w:rPr>
                <w:rFonts w:hint="default" w:hAnsi="宋体" w:eastAsia="宋体" w:cs="宋体"/>
                <w:color w:val="auto"/>
                <w:sz w:val="24"/>
                <w:highlight w:val="none"/>
                <w:lang w:val="en-US" w:eastAsia="zh-CN"/>
              </w:rPr>
            </w:pPr>
            <w:r>
              <w:rPr>
                <w:rFonts w:hint="eastAsia" w:hAnsi="宋体" w:cs="宋体"/>
                <w:color w:val="auto"/>
                <w:sz w:val="24"/>
                <w:highlight w:val="none"/>
                <w:lang w:eastAsia="zh-CN"/>
              </w:rPr>
              <w:t>投标产品质量和技术性能</w:t>
            </w:r>
          </w:p>
        </w:tc>
        <w:tc>
          <w:tcPr>
            <w:tcW w:w="7346" w:type="dxa"/>
            <w:tcBorders>
              <w:top w:val="single" w:color="auto" w:sz="4" w:space="0"/>
              <w:left w:val="single" w:color="auto" w:sz="4" w:space="0"/>
              <w:bottom w:val="single" w:color="auto" w:sz="4" w:space="0"/>
              <w:right w:val="single" w:color="auto" w:sz="4" w:space="0"/>
            </w:tcBorders>
            <w:noWrap w:val="0"/>
            <w:vAlign w:val="center"/>
          </w:tcPr>
          <w:p>
            <w:pPr>
              <w:widowControl w:val="0"/>
              <w:spacing w:line="420" w:lineRule="exact"/>
              <w:rPr>
                <w:rFonts w:hint="eastAsia" w:ascii="宋体" w:eastAsia="宋体"/>
                <w:b/>
                <w:bCs/>
                <w:color w:val="auto"/>
                <w:sz w:val="24"/>
                <w:szCs w:val="24"/>
                <w:highlight w:val="none"/>
                <w:lang w:eastAsia="zh-CN"/>
              </w:rPr>
            </w:pPr>
            <w:r>
              <w:rPr>
                <w:rFonts w:hint="eastAsia" w:ascii="宋体" w:hAnsi="宋体" w:cs="宋体"/>
                <w:color w:val="auto"/>
                <w:sz w:val="24"/>
                <w:szCs w:val="24"/>
                <w:highlight w:val="none"/>
              </w:rPr>
              <w:t>配套装饰装修、基本装备系统的投标产品系统技术的可行性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0-2分）</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系统配置的安全性、系统的稳定性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0-2分）</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系统的实用性、系统的先进性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0-1分），</w:t>
            </w:r>
            <w:r>
              <w:rPr>
                <w:rFonts w:hint="eastAsia" w:ascii="宋体" w:hAnsi="宋体" w:cs="宋体"/>
                <w:color w:val="auto"/>
                <w:sz w:val="24"/>
                <w:szCs w:val="24"/>
                <w:highlight w:val="none"/>
              </w:rPr>
              <w:t>满足招标文件的程度由评委进行打分</w:t>
            </w:r>
            <w:r>
              <w:rPr>
                <w:rFonts w:hint="eastAsia" w:ascii="宋体" w:hAnsi="宋体" w:cs="宋体"/>
                <w:color w:val="auto"/>
                <w:sz w:val="24"/>
                <w:szCs w:val="24"/>
                <w:highlight w:val="none"/>
                <w:lang w:eastAsia="zh-CN"/>
              </w:rPr>
              <w:t>。</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eastAsia="宋体"/>
                <w:b/>
                <w:bCs/>
                <w:color w:val="auto"/>
                <w:highlight w:val="none"/>
                <w:lang w:val="en-US" w:eastAsia="zh-CN"/>
              </w:rPr>
            </w:pPr>
            <w:r>
              <w:rPr>
                <w:rFonts w:hint="eastAsia" w:ascii="宋体" w:hAnsi="宋体" w:cs="宋体"/>
                <w:color w:val="auto"/>
                <w:sz w:val="24"/>
                <w:highlight w:val="none"/>
                <w:lang w:val="en-US" w:eastAsia="zh-CN"/>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61"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pStyle w:val="17"/>
              <w:spacing w:line="360" w:lineRule="auto"/>
              <w:ind w:firstLine="0"/>
              <w:jc w:val="center"/>
              <w:rPr>
                <w:rFonts w:ascii="宋体"/>
                <w:color w:val="auto"/>
                <w:sz w:val="24"/>
                <w:highlight w:val="none"/>
              </w:rPr>
            </w:pPr>
            <w:r>
              <w:rPr>
                <w:rFonts w:hint="eastAsia" w:ascii="宋体"/>
                <w:color w:val="auto"/>
                <w:sz w:val="24"/>
                <w:highlight w:val="none"/>
              </w:rPr>
              <w:t>2</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7346"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Ansi="宋体" w:cs="宋体"/>
                <w:color w:val="auto"/>
                <w:sz w:val="24"/>
                <w:szCs w:val="24"/>
                <w:highlight w:val="none"/>
              </w:rPr>
            </w:pPr>
            <w:r>
              <w:rPr>
                <w:rFonts w:hint="eastAsia" w:ascii="宋体" w:hAnsi="宋体" w:cs="宋体"/>
                <w:color w:val="auto"/>
                <w:sz w:val="24"/>
                <w:szCs w:val="24"/>
                <w:highlight w:val="none"/>
              </w:rPr>
              <w:t>净化系统的投标产品系统技术的可行性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0-2分）</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系统配置的安全性、系统的稳定性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0-2分）</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系统的实用性、系统的先进性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0-1分），</w:t>
            </w:r>
            <w:r>
              <w:rPr>
                <w:rFonts w:hint="eastAsia" w:ascii="宋体" w:hAnsi="宋体" w:cs="宋体"/>
                <w:color w:val="auto"/>
                <w:sz w:val="24"/>
                <w:szCs w:val="24"/>
                <w:highlight w:val="none"/>
              </w:rPr>
              <w:t>满足招标文件的程度由评委进行打分。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80"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ascii="宋体" w:hAnsi="宋体"/>
                <w:color w:val="auto"/>
                <w:sz w:val="24"/>
                <w:highlight w:val="none"/>
              </w:rPr>
            </w:pPr>
            <w:r>
              <w:rPr>
                <w:rFonts w:hint="eastAsia" w:ascii="宋体" w:hAnsi="宋体"/>
                <w:color w:val="auto"/>
                <w:sz w:val="24"/>
                <w:highlight w:val="none"/>
              </w:rPr>
              <w:t>3</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7346" w:type="dxa"/>
            <w:tcBorders>
              <w:top w:val="single" w:color="auto" w:sz="4" w:space="0"/>
              <w:left w:val="single" w:color="auto" w:sz="4" w:space="0"/>
              <w:bottom w:val="single" w:color="auto" w:sz="4" w:space="0"/>
              <w:right w:val="single" w:color="auto" w:sz="4" w:space="0"/>
            </w:tcBorders>
            <w:noWrap w:val="0"/>
            <w:vAlign w:val="center"/>
          </w:tcPr>
          <w:p>
            <w:pPr>
              <w:widowControl w:val="0"/>
              <w:spacing w:line="420" w:lineRule="exact"/>
              <w:rPr>
                <w:rFonts w:hAnsi="宋体" w:cs="宋体"/>
                <w:color w:val="auto"/>
                <w:sz w:val="24"/>
                <w:szCs w:val="24"/>
                <w:highlight w:val="none"/>
              </w:rPr>
            </w:pPr>
            <w:r>
              <w:rPr>
                <w:rFonts w:hint="eastAsia" w:ascii="宋体" w:hAnsi="宋体" w:cs="宋体"/>
                <w:color w:val="auto"/>
                <w:sz w:val="24"/>
                <w:szCs w:val="24"/>
                <w:highlight w:val="none"/>
              </w:rPr>
              <w:t>电气及控制系统的投标产品系统技术的可行性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0-2分）</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系统配置的安全性、系统的稳定性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0-2分）</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系统的实用性、系统的先进性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0-1分），</w:t>
            </w:r>
            <w:r>
              <w:rPr>
                <w:rFonts w:hint="eastAsia" w:ascii="宋体" w:hAnsi="宋体" w:cs="宋体"/>
                <w:color w:val="auto"/>
                <w:sz w:val="24"/>
                <w:szCs w:val="24"/>
                <w:highlight w:val="none"/>
              </w:rPr>
              <w:t>满足招标文件的程度由评委进行打分。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ascii="宋体" w:hAnsi="宋体"/>
                <w:color w:val="auto"/>
                <w:sz w:val="24"/>
                <w:highlight w:val="none"/>
              </w:rPr>
            </w:pPr>
            <w:r>
              <w:rPr>
                <w:rFonts w:hint="eastAsia" w:ascii="宋体" w:hAnsi="宋体"/>
                <w:color w:val="auto"/>
                <w:sz w:val="24"/>
                <w:highlight w:val="none"/>
              </w:rPr>
              <w:t>4</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vMerge w:val="continue"/>
            <w:tcBorders>
              <w:left w:val="single" w:color="auto" w:sz="4" w:space="0"/>
              <w:right w:val="single" w:color="auto" w:sz="4" w:space="0"/>
            </w:tcBorders>
            <w:noWrap w:val="0"/>
            <w:vAlign w:val="center"/>
          </w:tcPr>
          <w:p>
            <w:pPr>
              <w:widowControl/>
              <w:spacing w:line="360" w:lineRule="auto"/>
              <w:jc w:val="center"/>
              <w:rPr>
                <w:rFonts w:ascii="宋体" w:hAnsi="宋体" w:cs="仿宋"/>
                <w:color w:val="auto"/>
                <w:kern w:val="0"/>
                <w:sz w:val="24"/>
                <w:highlight w:val="none"/>
              </w:rPr>
            </w:pPr>
          </w:p>
        </w:tc>
        <w:tc>
          <w:tcPr>
            <w:tcW w:w="7346"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rPr>
                <w:rFonts w:ascii="宋体" w:hAnsi="宋体" w:cs="仿宋"/>
                <w:color w:val="auto"/>
                <w:kern w:val="0"/>
                <w:sz w:val="24"/>
                <w:szCs w:val="24"/>
                <w:highlight w:val="none"/>
              </w:rPr>
            </w:pPr>
            <w:r>
              <w:rPr>
                <w:rFonts w:hint="eastAsia" w:hAnsi="宋体" w:cs="宋体"/>
                <w:color w:val="auto"/>
                <w:sz w:val="24"/>
                <w:szCs w:val="24"/>
                <w:highlight w:val="none"/>
              </w:rPr>
              <w:t>医用气体</w:t>
            </w:r>
            <w:r>
              <w:rPr>
                <w:rFonts w:hint="eastAsia" w:ascii="宋体" w:hAnsi="宋体" w:cs="宋体"/>
                <w:color w:val="auto"/>
                <w:sz w:val="24"/>
                <w:szCs w:val="24"/>
                <w:highlight w:val="none"/>
              </w:rPr>
              <w:t>系统的投标产品系统技术的可行性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0-1分）</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系统配置的安全性、系统的稳定性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0-2分）</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系统的实用性、系统的先进性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0-1分），</w:t>
            </w:r>
            <w:r>
              <w:rPr>
                <w:rFonts w:hint="eastAsia" w:ascii="宋体" w:hAnsi="宋体" w:cs="宋体"/>
                <w:color w:val="auto"/>
                <w:sz w:val="24"/>
                <w:szCs w:val="24"/>
                <w:highlight w:val="none"/>
              </w:rPr>
              <w:t>满足招标文件的程度由评委进行打分。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default" w:ascii="宋体" w:hAnsi="宋体" w:eastAsia="宋体" w:cs="仿宋"/>
                <w:color w:val="auto"/>
                <w:kern w:val="0"/>
                <w:sz w:val="24"/>
                <w:highlight w:val="none"/>
                <w:lang w:val="en-US" w:eastAsia="zh-CN"/>
              </w:rPr>
            </w:pPr>
            <w:r>
              <w:rPr>
                <w:rFonts w:hint="eastAsia" w:ascii="宋体" w:hAnsi="宋体" w:cs="仿宋"/>
                <w:color w:val="auto"/>
                <w:kern w:val="0"/>
                <w:sz w:val="24"/>
                <w:highlight w:val="none"/>
                <w:lang w:val="en-US" w:eastAsia="zh-CN"/>
              </w:rPr>
              <w:t>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ascii="宋体" w:hAnsi="宋体"/>
                <w:color w:val="auto"/>
                <w:sz w:val="24"/>
                <w:highlight w:val="none"/>
              </w:rPr>
            </w:pPr>
            <w:r>
              <w:rPr>
                <w:rFonts w:hint="eastAsia" w:ascii="宋体" w:hAnsi="宋体"/>
                <w:color w:val="auto"/>
                <w:sz w:val="24"/>
                <w:highlight w:val="none"/>
              </w:rPr>
              <w:t>5</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vMerge w:val="continue"/>
            <w:tcBorders>
              <w:left w:val="single" w:color="auto" w:sz="4" w:space="0"/>
              <w:bottom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7346"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Ansi="宋体" w:cs="宋体"/>
                <w:color w:val="auto"/>
                <w:sz w:val="24"/>
                <w:szCs w:val="24"/>
                <w:highlight w:val="none"/>
              </w:rPr>
            </w:pPr>
            <w:r>
              <w:rPr>
                <w:rFonts w:hint="eastAsia" w:hAnsi="宋体" w:cs="宋体"/>
                <w:color w:val="auto"/>
                <w:sz w:val="24"/>
                <w:szCs w:val="24"/>
                <w:highlight w:val="none"/>
              </w:rPr>
              <w:t>给排水</w:t>
            </w:r>
            <w:r>
              <w:rPr>
                <w:rFonts w:hint="eastAsia" w:ascii="宋体" w:hAnsi="宋体" w:cs="宋体"/>
                <w:color w:val="auto"/>
                <w:sz w:val="24"/>
                <w:szCs w:val="24"/>
                <w:highlight w:val="none"/>
              </w:rPr>
              <w:t>系统的投标产品系统技术的可行性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0-1分）</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系统配置的安全性、系统的稳定性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0-2分）</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系统的实用性、系统的先进性</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0-1分）</w:t>
            </w:r>
            <w:r>
              <w:rPr>
                <w:rFonts w:hint="eastAsia" w:ascii="宋体" w:hAnsi="宋体" w:cs="宋体"/>
                <w:color w:val="auto"/>
                <w:sz w:val="24"/>
                <w:szCs w:val="24"/>
                <w:highlight w:val="none"/>
              </w:rPr>
              <w:t>满足招标文件的程度由评委进行打分。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8"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ascii="宋体" w:hAnsi="宋体"/>
                <w:color w:val="auto"/>
                <w:sz w:val="24"/>
                <w:highlight w:val="none"/>
              </w:rPr>
            </w:pPr>
            <w:r>
              <w:rPr>
                <w:rFonts w:hint="eastAsia" w:ascii="宋体" w:hAnsi="宋体"/>
                <w:color w:val="auto"/>
                <w:sz w:val="24"/>
                <w:highlight w:val="none"/>
              </w:rPr>
              <w:t>6</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hAnsi="宋体" w:eastAsia="宋体" w:cs="宋体"/>
                <w:color w:val="auto"/>
                <w:sz w:val="24"/>
                <w:highlight w:val="none"/>
                <w:lang w:eastAsia="zh-CN"/>
              </w:rPr>
            </w:pPr>
            <w:r>
              <w:rPr>
                <w:rFonts w:hint="eastAsia" w:hAnsi="宋体" w:cs="宋体"/>
                <w:color w:val="auto"/>
                <w:sz w:val="24"/>
                <w:highlight w:val="none"/>
                <w:lang w:eastAsia="zh-CN"/>
              </w:rPr>
              <w:t>技术参数响应情况</w:t>
            </w:r>
          </w:p>
        </w:tc>
        <w:tc>
          <w:tcPr>
            <w:tcW w:w="7346"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left"/>
              <w:rPr>
                <w:rFonts w:hint="eastAsia" w:hAnsi="宋体" w:eastAsia="宋体" w:cs="宋体"/>
                <w:color w:val="auto"/>
                <w:sz w:val="24"/>
                <w:highlight w:val="none"/>
                <w:lang w:eastAsia="zh-CN"/>
              </w:rPr>
            </w:pPr>
            <w:r>
              <w:rPr>
                <w:rFonts w:hint="eastAsia" w:hAnsi="宋体" w:cs="宋体"/>
                <w:color w:val="auto"/>
                <w:sz w:val="24"/>
                <w:highlight w:val="none"/>
              </w:rPr>
              <w:t>投标人所投产品除不可偏离指标外，均满足招标需求的得8分，负偏离每项扣1分，扣完为止</w:t>
            </w:r>
            <w:r>
              <w:rPr>
                <w:rFonts w:hint="eastAsia" w:hAnsi="宋体" w:cs="宋体"/>
                <w:color w:val="auto"/>
                <w:sz w:val="24"/>
                <w:highlight w:val="none"/>
                <w:lang w:eastAsia="zh-CN"/>
              </w:rPr>
              <w:t>。</w:t>
            </w:r>
            <w:r>
              <w:rPr>
                <w:rFonts w:hint="eastAsia" w:ascii="宋体" w:hAnsi="宋体" w:cs="宋体"/>
                <w:color w:val="auto"/>
                <w:sz w:val="24"/>
                <w:highlight w:val="none"/>
              </w:rPr>
              <w:t>注：对于载明具体参数要求的技术需求，投标人未作出明确响应</w:t>
            </w:r>
            <w:r>
              <w:rPr>
                <w:rFonts w:hint="eastAsia" w:ascii="宋体" w:hAnsi="宋体" w:cs="宋体"/>
                <w:color w:val="auto"/>
                <w:sz w:val="24"/>
                <w:highlight w:val="none"/>
                <w:lang w:val="en-US" w:eastAsia="zh-CN"/>
              </w:rPr>
              <w:t>、</w:t>
            </w:r>
            <w:r>
              <w:rPr>
                <w:rFonts w:hint="eastAsia" w:ascii="宋体" w:hAnsi="宋体" w:cs="宋体"/>
                <w:color w:val="auto"/>
                <w:sz w:val="24"/>
                <w:highlight w:val="none"/>
              </w:rPr>
              <w:t>未提供技术资料佐证的，均视为负偏离。</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eastAsia="宋体" w:cs="宋体"/>
                <w:color w:val="auto"/>
                <w:sz w:val="24"/>
                <w:highlight w:val="none"/>
                <w:lang w:eastAsia="zh-CN"/>
              </w:rPr>
            </w:pPr>
            <w:r>
              <w:rPr>
                <w:rFonts w:hint="eastAsia" w:ascii="宋体" w:hAnsi="宋体" w:cs="宋体"/>
                <w:color w:val="auto"/>
                <w:sz w:val="24"/>
                <w:highlight w:val="none"/>
                <w:lang w:val="en-US" w:eastAsia="zh-CN"/>
              </w:rPr>
              <w:t>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08"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eastAsia" w:ascii="宋体" w:hAnsi="宋体" w:eastAsia="宋体"/>
                <w:color w:val="auto"/>
                <w:sz w:val="24"/>
                <w:highlight w:val="none"/>
                <w:lang w:val="en-US" w:eastAsia="zh-CN"/>
              </w:rPr>
            </w:pPr>
            <w:r>
              <w:rPr>
                <w:rFonts w:hint="eastAsia" w:ascii="宋体" w:hAnsi="宋体"/>
                <w:color w:val="auto"/>
                <w:sz w:val="24"/>
                <w:highlight w:val="none"/>
                <w:lang w:val="en-US" w:eastAsia="zh-CN"/>
              </w:rPr>
              <w:t>7</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vMerge w:val="restart"/>
            <w:tcBorders>
              <w:top w:val="single" w:color="auto" w:sz="4" w:space="0"/>
              <w:left w:val="single" w:color="auto" w:sz="4" w:space="0"/>
              <w:right w:val="single" w:color="auto" w:sz="4" w:space="0"/>
            </w:tcBorders>
            <w:noWrap w:val="0"/>
            <w:vAlign w:val="center"/>
          </w:tcPr>
          <w:p>
            <w:pPr>
              <w:spacing w:line="360" w:lineRule="auto"/>
              <w:jc w:val="center"/>
              <w:rPr>
                <w:rFonts w:hint="eastAsia" w:hAnsi="宋体" w:cs="宋体"/>
                <w:color w:val="auto"/>
                <w:sz w:val="24"/>
                <w:highlight w:val="none"/>
                <w:lang w:eastAsia="zh-CN"/>
              </w:rPr>
            </w:pPr>
          </w:p>
          <w:p>
            <w:pPr>
              <w:spacing w:line="360" w:lineRule="auto"/>
              <w:jc w:val="center"/>
              <w:rPr>
                <w:rFonts w:hint="eastAsia" w:hAnsi="宋体" w:cs="宋体"/>
                <w:color w:val="auto"/>
                <w:sz w:val="24"/>
                <w:highlight w:val="none"/>
                <w:lang w:eastAsia="zh-CN"/>
              </w:rPr>
            </w:pPr>
          </w:p>
          <w:p>
            <w:pPr>
              <w:spacing w:line="360" w:lineRule="auto"/>
              <w:jc w:val="center"/>
              <w:rPr>
                <w:rFonts w:hint="eastAsia" w:hAnsi="宋体" w:cs="宋体"/>
                <w:color w:val="auto"/>
                <w:sz w:val="24"/>
                <w:highlight w:val="none"/>
                <w:lang w:eastAsia="zh-CN"/>
              </w:rPr>
            </w:pPr>
          </w:p>
          <w:p>
            <w:pPr>
              <w:spacing w:line="360" w:lineRule="auto"/>
              <w:ind w:firstLine="240" w:firstLineChars="100"/>
              <w:jc w:val="both"/>
              <w:rPr>
                <w:rFonts w:hint="eastAsia" w:hAnsi="宋体" w:cs="宋体"/>
                <w:color w:val="auto"/>
                <w:sz w:val="24"/>
                <w:highlight w:val="none"/>
                <w:lang w:eastAsia="zh-CN"/>
              </w:rPr>
            </w:pPr>
            <w:r>
              <w:rPr>
                <w:rFonts w:hint="eastAsia" w:hAnsi="宋体" w:cs="宋体"/>
                <w:color w:val="auto"/>
                <w:sz w:val="24"/>
                <w:highlight w:val="none"/>
                <w:lang w:eastAsia="zh-CN"/>
              </w:rPr>
              <w:t>实</w:t>
            </w:r>
          </w:p>
          <w:p>
            <w:pPr>
              <w:spacing w:line="360" w:lineRule="auto"/>
              <w:jc w:val="center"/>
              <w:rPr>
                <w:rFonts w:hint="eastAsia" w:hAnsi="宋体" w:cs="宋体"/>
                <w:color w:val="auto"/>
                <w:sz w:val="24"/>
                <w:highlight w:val="none"/>
                <w:lang w:eastAsia="zh-CN"/>
              </w:rPr>
            </w:pPr>
            <w:r>
              <w:rPr>
                <w:rFonts w:hint="eastAsia" w:hAnsi="宋体" w:cs="宋体"/>
                <w:color w:val="auto"/>
                <w:sz w:val="24"/>
                <w:highlight w:val="none"/>
                <w:lang w:eastAsia="zh-CN"/>
              </w:rPr>
              <w:t>施</w:t>
            </w:r>
          </w:p>
          <w:p>
            <w:pPr>
              <w:spacing w:line="360" w:lineRule="auto"/>
              <w:jc w:val="center"/>
              <w:rPr>
                <w:rFonts w:hint="eastAsia" w:hAnsi="宋体" w:cs="宋体"/>
                <w:color w:val="auto"/>
                <w:sz w:val="24"/>
                <w:highlight w:val="none"/>
                <w:lang w:eastAsia="zh-CN"/>
              </w:rPr>
            </w:pPr>
            <w:r>
              <w:rPr>
                <w:rFonts w:hint="eastAsia" w:hAnsi="宋体" w:cs="宋体"/>
                <w:color w:val="auto"/>
                <w:sz w:val="24"/>
                <w:highlight w:val="none"/>
                <w:lang w:eastAsia="zh-CN"/>
              </w:rPr>
              <w:t>方</w:t>
            </w:r>
          </w:p>
          <w:p>
            <w:pPr>
              <w:spacing w:line="360" w:lineRule="auto"/>
              <w:jc w:val="center"/>
              <w:rPr>
                <w:rFonts w:hint="eastAsia" w:hAnsi="宋体" w:cs="宋体"/>
                <w:color w:val="auto"/>
                <w:sz w:val="24"/>
                <w:highlight w:val="none"/>
                <w:lang w:eastAsia="zh-CN"/>
              </w:rPr>
            </w:pPr>
            <w:r>
              <w:rPr>
                <w:rFonts w:hint="eastAsia" w:hAnsi="宋体" w:cs="宋体"/>
                <w:color w:val="auto"/>
                <w:sz w:val="24"/>
                <w:highlight w:val="none"/>
                <w:lang w:eastAsia="zh-CN"/>
              </w:rPr>
              <w:t>案</w:t>
            </w:r>
          </w:p>
        </w:tc>
        <w:tc>
          <w:tcPr>
            <w:tcW w:w="7346" w:type="dxa"/>
            <w:tcBorders>
              <w:top w:val="single" w:color="auto" w:sz="4" w:space="0"/>
              <w:left w:val="single" w:color="auto" w:sz="4" w:space="0"/>
              <w:bottom w:val="single" w:color="auto" w:sz="4" w:space="0"/>
              <w:right w:val="single" w:color="auto" w:sz="4" w:space="0"/>
            </w:tcBorders>
            <w:noWrap w:val="0"/>
            <w:vAlign w:val="center"/>
          </w:tcPr>
          <w:p>
            <w:pPr>
              <w:widowControl w:val="0"/>
              <w:spacing w:line="420" w:lineRule="exact"/>
              <w:rPr>
                <w:rFonts w:hint="eastAsia" w:hAnsi="宋体" w:cs="宋体"/>
                <w:color w:val="auto"/>
                <w:sz w:val="24"/>
                <w:szCs w:val="24"/>
                <w:highlight w:val="none"/>
              </w:rPr>
            </w:pPr>
            <w:r>
              <w:rPr>
                <w:rFonts w:hint="eastAsia" w:ascii="宋体" w:hAnsi="宋体" w:cs="宋体"/>
                <w:color w:val="auto"/>
                <w:sz w:val="24"/>
                <w:szCs w:val="24"/>
                <w:highlight w:val="none"/>
              </w:rPr>
              <w:t>实施组织设计总体设想，方案</w:t>
            </w:r>
            <w:r>
              <w:rPr>
                <w:rFonts w:hint="eastAsia" w:ascii="宋体" w:hAnsi="宋体" w:cs="宋体"/>
                <w:color w:val="auto"/>
                <w:sz w:val="24"/>
                <w:szCs w:val="24"/>
                <w:highlight w:val="none"/>
                <w:lang w:val="en-US" w:eastAsia="zh-CN"/>
              </w:rPr>
              <w:t>是否</w:t>
            </w:r>
            <w:r>
              <w:rPr>
                <w:rFonts w:hint="eastAsia" w:ascii="宋体" w:hAnsi="宋体" w:cs="宋体"/>
                <w:color w:val="auto"/>
                <w:sz w:val="24"/>
                <w:szCs w:val="24"/>
                <w:highlight w:val="none"/>
              </w:rPr>
              <w:t>有针对性及实施阶段划分</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进行打</w:t>
            </w:r>
            <w:r>
              <w:rPr>
                <w:rFonts w:hint="eastAsia" w:ascii="宋体" w:hAnsi="宋体" w:cs="宋体"/>
                <w:color w:val="auto"/>
                <w:sz w:val="24"/>
                <w:szCs w:val="24"/>
                <w:highlight w:val="none"/>
              </w:rPr>
              <w:t>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宋体" w:hAnsi="宋体" w:cs="宋体"/>
                <w:color w:val="auto"/>
                <w:sz w:val="24"/>
                <w:highlight w:val="none"/>
                <w:lang w:val="en-US" w:eastAsia="zh-CN"/>
              </w:rPr>
            </w:pPr>
            <w:r>
              <w:rPr>
                <w:rFonts w:hint="eastAsia" w:ascii="宋体" w:hAnsi="宋体" w:cs="宋体"/>
                <w:color w:val="auto"/>
                <w:sz w:val="24"/>
                <w:highlight w:val="none"/>
                <w:lang w:val="en-US" w:eastAsia="zh-CN"/>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88"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eastAsia" w:ascii="宋体" w:hAnsi="宋体" w:eastAsia="宋体"/>
                <w:color w:val="auto"/>
                <w:sz w:val="24"/>
                <w:highlight w:val="none"/>
                <w:lang w:val="en-US" w:eastAsia="zh-CN"/>
              </w:rPr>
            </w:pPr>
            <w:r>
              <w:rPr>
                <w:rFonts w:hint="eastAsia" w:ascii="宋体" w:hAnsi="宋体"/>
                <w:color w:val="auto"/>
                <w:sz w:val="24"/>
                <w:highlight w:val="none"/>
                <w:lang w:val="en-US" w:eastAsia="zh-CN"/>
              </w:rPr>
              <w:t>8</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vMerge w:val="continue"/>
            <w:tcBorders>
              <w:left w:val="single" w:color="auto" w:sz="4" w:space="0"/>
              <w:right w:val="single" w:color="auto" w:sz="4" w:space="0"/>
            </w:tcBorders>
            <w:noWrap w:val="0"/>
            <w:vAlign w:val="center"/>
          </w:tcPr>
          <w:p>
            <w:pPr>
              <w:spacing w:line="360" w:lineRule="auto"/>
              <w:jc w:val="center"/>
              <w:rPr>
                <w:rFonts w:hint="eastAsia" w:hAnsi="宋体" w:cs="宋体"/>
                <w:color w:val="auto"/>
                <w:sz w:val="24"/>
                <w:highlight w:val="none"/>
                <w:lang w:eastAsia="zh-CN"/>
              </w:rPr>
            </w:pPr>
          </w:p>
        </w:tc>
        <w:tc>
          <w:tcPr>
            <w:tcW w:w="7346" w:type="dxa"/>
            <w:tcBorders>
              <w:top w:val="single" w:color="auto" w:sz="4" w:space="0"/>
              <w:left w:val="single" w:color="auto" w:sz="4" w:space="0"/>
              <w:bottom w:val="single" w:color="auto" w:sz="4" w:space="0"/>
              <w:right w:val="single" w:color="auto" w:sz="4" w:space="0"/>
            </w:tcBorders>
            <w:noWrap w:val="0"/>
            <w:vAlign w:val="center"/>
          </w:tcPr>
          <w:p>
            <w:pPr>
              <w:widowControl w:val="0"/>
              <w:spacing w:line="420" w:lineRule="exact"/>
              <w:rPr>
                <w:rFonts w:hint="eastAsia" w:hAnsi="宋体" w:cs="宋体"/>
                <w:color w:val="auto"/>
                <w:sz w:val="24"/>
                <w:szCs w:val="24"/>
                <w:highlight w:val="none"/>
              </w:rPr>
            </w:pPr>
            <w:r>
              <w:rPr>
                <w:rFonts w:hint="eastAsia" w:ascii="宋体" w:hAnsi="宋体" w:cs="宋体"/>
                <w:color w:val="auto"/>
                <w:sz w:val="24"/>
                <w:szCs w:val="24"/>
                <w:highlight w:val="none"/>
              </w:rPr>
              <w:t>各分部分项实施方案</w:t>
            </w:r>
            <w:r>
              <w:rPr>
                <w:rFonts w:hint="eastAsia" w:ascii="宋体" w:hAnsi="宋体" w:cs="宋体"/>
                <w:color w:val="auto"/>
                <w:sz w:val="24"/>
                <w:szCs w:val="24"/>
                <w:highlight w:val="none"/>
                <w:lang w:val="en-US" w:eastAsia="zh-CN"/>
              </w:rPr>
              <w:t>是否</w:t>
            </w:r>
            <w:r>
              <w:rPr>
                <w:rFonts w:hint="eastAsia" w:ascii="宋体" w:hAnsi="宋体" w:cs="宋体"/>
                <w:color w:val="auto"/>
                <w:sz w:val="24"/>
                <w:szCs w:val="24"/>
                <w:highlight w:val="none"/>
              </w:rPr>
              <w:t>科学，技术可行，目标明确，措施到位，针对性强</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进行打</w:t>
            </w:r>
            <w:r>
              <w:rPr>
                <w:rFonts w:hint="eastAsia" w:ascii="宋体" w:hAnsi="宋体" w:cs="宋体"/>
                <w:color w:val="auto"/>
                <w:sz w:val="24"/>
                <w:szCs w:val="24"/>
                <w:highlight w:val="none"/>
              </w:rPr>
              <w:t>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宋体" w:hAnsi="宋体" w:cs="宋体"/>
                <w:color w:val="auto"/>
                <w:sz w:val="24"/>
                <w:highlight w:val="none"/>
                <w:lang w:val="en-US" w:eastAsia="zh-CN"/>
              </w:rPr>
            </w:pPr>
            <w:r>
              <w:rPr>
                <w:rFonts w:hint="eastAsia" w:ascii="宋体" w:hAnsi="宋体" w:cs="宋体"/>
                <w:color w:val="auto"/>
                <w:sz w:val="24"/>
                <w:highlight w:val="none"/>
                <w:lang w:val="en-US" w:eastAsia="zh-CN"/>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88"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eastAsia" w:ascii="宋体" w:hAnsi="宋体" w:eastAsia="宋体"/>
                <w:color w:val="auto"/>
                <w:sz w:val="24"/>
                <w:highlight w:val="none"/>
                <w:lang w:val="en-US" w:eastAsia="zh-CN"/>
              </w:rPr>
            </w:pPr>
            <w:r>
              <w:rPr>
                <w:rFonts w:hint="eastAsia" w:ascii="宋体" w:hAnsi="宋体"/>
                <w:color w:val="auto"/>
                <w:sz w:val="24"/>
                <w:highlight w:val="none"/>
                <w:lang w:val="en-US" w:eastAsia="zh-CN"/>
              </w:rPr>
              <w:t>9</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vMerge w:val="continue"/>
            <w:tcBorders>
              <w:left w:val="single" w:color="auto" w:sz="4" w:space="0"/>
              <w:right w:val="single" w:color="auto" w:sz="4" w:space="0"/>
            </w:tcBorders>
            <w:noWrap w:val="0"/>
            <w:vAlign w:val="center"/>
          </w:tcPr>
          <w:p>
            <w:pPr>
              <w:spacing w:line="360" w:lineRule="auto"/>
              <w:jc w:val="center"/>
              <w:rPr>
                <w:rFonts w:hint="eastAsia" w:hAnsi="宋体" w:cs="宋体"/>
                <w:color w:val="auto"/>
                <w:sz w:val="24"/>
                <w:highlight w:val="none"/>
                <w:lang w:eastAsia="zh-CN"/>
              </w:rPr>
            </w:pPr>
          </w:p>
        </w:tc>
        <w:tc>
          <w:tcPr>
            <w:tcW w:w="7346" w:type="dxa"/>
            <w:tcBorders>
              <w:top w:val="single" w:color="auto" w:sz="4" w:space="0"/>
              <w:left w:val="single" w:color="auto" w:sz="4" w:space="0"/>
              <w:bottom w:val="single" w:color="auto" w:sz="4" w:space="0"/>
              <w:right w:val="single" w:color="auto" w:sz="4" w:space="0"/>
            </w:tcBorders>
            <w:noWrap w:val="0"/>
            <w:vAlign w:val="center"/>
          </w:tcPr>
          <w:p>
            <w:pPr>
              <w:widowControl w:val="0"/>
              <w:spacing w:line="420" w:lineRule="exact"/>
              <w:rPr>
                <w:rFonts w:hint="eastAsia" w:hAnsi="宋体" w:cs="宋体"/>
                <w:color w:val="auto"/>
                <w:sz w:val="24"/>
                <w:szCs w:val="24"/>
                <w:highlight w:val="none"/>
              </w:rPr>
            </w:pPr>
            <w:r>
              <w:rPr>
                <w:rFonts w:hint="eastAsia" w:ascii="宋体" w:hAnsi="宋体" w:cs="宋体"/>
                <w:color w:val="auto"/>
                <w:sz w:val="24"/>
                <w:szCs w:val="24"/>
                <w:highlight w:val="none"/>
              </w:rPr>
              <w:t>确保质量、安全生产，文明安装及环境保护的技术组织措施</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进行打</w:t>
            </w:r>
            <w:r>
              <w:rPr>
                <w:rFonts w:hint="eastAsia" w:ascii="宋体" w:hAnsi="宋体" w:cs="宋体"/>
                <w:color w:val="auto"/>
                <w:sz w:val="24"/>
                <w:szCs w:val="24"/>
                <w:highlight w:val="none"/>
              </w:rPr>
              <w:t>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宋体" w:hAnsi="宋体" w:cs="宋体"/>
                <w:color w:val="auto"/>
                <w:sz w:val="24"/>
                <w:highlight w:val="none"/>
                <w:lang w:val="en-US" w:eastAsia="zh-CN"/>
              </w:rPr>
            </w:pPr>
            <w:r>
              <w:rPr>
                <w:rFonts w:hint="eastAsia" w:ascii="宋体" w:hAnsi="宋体" w:cs="宋体"/>
                <w:color w:val="auto"/>
                <w:sz w:val="24"/>
                <w:highlight w:val="none"/>
                <w:lang w:val="en-US" w:eastAsia="zh-CN"/>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10</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vMerge w:val="continue"/>
            <w:tcBorders>
              <w:left w:val="single" w:color="auto" w:sz="4" w:space="0"/>
              <w:right w:val="single" w:color="auto" w:sz="4" w:space="0"/>
            </w:tcBorders>
            <w:noWrap w:val="0"/>
            <w:vAlign w:val="center"/>
          </w:tcPr>
          <w:p>
            <w:pPr>
              <w:spacing w:line="360" w:lineRule="auto"/>
              <w:jc w:val="center"/>
              <w:rPr>
                <w:rFonts w:hint="eastAsia" w:hAnsi="宋体" w:cs="宋体"/>
                <w:color w:val="auto"/>
                <w:sz w:val="24"/>
                <w:highlight w:val="none"/>
                <w:lang w:eastAsia="zh-CN"/>
              </w:rPr>
            </w:pPr>
          </w:p>
        </w:tc>
        <w:tc>
          <w:tcPr>
            <w:tcW w:w="7346" w:type="dxa"/>
            <w:tcBorders>
              <w:top w:val="single" w:color="auto" w:sz="4" w:space="0"/>
              <w:left w:val="single" w:color="auto" w:sz="4" w:space="0"/>
              <w:bottom w:val="single" w:color="auto" w:sz="4" w:space="0"/>
              <w:right w:val="single" w:color="auto" w:sz="4" w:space="0"/>
            </w:tcBorders>
            <w:noWrap w:val="0"/>
            <w:vAlign w:val="center"/>
          </w:tcPr>
          <w:p>
            <w:pPr>
              <w:widowControl w:val="0"/>
              <w:spacing w:line="420" w:lineRule="exact"/>
              <w:rPr>
                <w:rFonts w:hint="eastAsia" w:hAnsi="宋体" w:cs="宋体"/>
                <w:color w:val="auto"/>
                <w:sz w:val="24"/>
                <w:szCs w:val="24"/>
                <w:highlight w:val="none"/>
              </w:rPr>
            </w:pPr>
            <w:r>
              <w:rPr>
                <w:rFonts w:hint="eastAsia" w:ascii="宋体" w:hAnsi="宋体" w:cs="宋体"/>
                <w:color w:val="auto"/>
                <w:sz w:val="24"/>
                <w:szCs w:val="24"/>
                <w:highlight w:val="none"/>
              </w:rPr>
              <w:t>实施总进度计划、劳动力计划表及进度计划的保证措施</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进行打</w:t>
            </w:r>
            <w:r>
              <w:rPr>
                <w:rFonts w:hint="eastAsia" w:ascii="宋体" w:hAnsi="宋体" w:cs="宋体"/>
                <w:color w:val="auto"/>
                <w:sz w:val="24"/>
                <w:szCs w:val="24"/>
                <w:highlight w:val="none"/>
              </w:rPr>
              <w:t>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宋体" w:hAnsi="宋体" w:cs="宋体"/>
                <w:color w:val="auto"/>
                <w:sz w:val="24"/>
                <w:highlight w:val="none"/>
                <w:lang w:val="en-US" w:eastAsia="zh-CN"/>
              </w:rPr>
            </w:pPr>
            <w:r>
              <w:rPr>
                <w:rFonts w:hint="eastAsia" w:ascii="宋体" w:hAnsi="宋体" w:cs="宋体"/>
                <w:color w:val="auto"/>
                <w:sz w:val="24"/>
                <w:highlight w:val="none"/>
                <w:lang w:val="en-US" w:eastAsia="zh-CN"/>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11</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vMerge w:val="continue"/>
            <w:tcBorders>
              <w:left w:val="single" w:color="auto" w:sz="4" w:space="0"/>
              <w:right w:val="single" w:color="auto" w:sz="4" w:space="0"/>
            </w:tcBorders>
            <w:noWrap w:val="0"/>
            <w:vAlign w:val="center"/>
          </w:tcPr>
          <w:p>
            <w:pPr>
              <w:spacing w:line="360" w:lineRule="auto"/>
              <w:jc w:val="center"/>
              <w:rPr>
                <w:rFonts w:hint="eastAsia" w:hAnsi="宋体" w:cs="宋体"/>
                <w:color w:val="auto"/>
                <w:sz w:val="24"/>
                <w:highlight w:val="none"/>
                <w:lang w:eastAsia="zh-CN"/>
              </w:rPr>
            </w:pPr>
          </w:p>
        </w:tc>
        <w:tc>
          <w:tcPr>
            <w:tcW w:w="7346" w:type="dxa"/>
            <w:tcBorders>
              <w:top w:val="single" w:color="auto" w:sz="4" w:space="0"/>
              <w:left w:val="single" w:color="auto" w:sz="4" w:space="0"/>
              <w:bottom w:val="single" w:color="auto" w:sz="4" w:space="0"/>
              <w:right w:val="single" w:color="auto" w:sz="4" w:space="0"/>
            </w:tcBorders>
            <w:noWrap w:val="0"/>
            <w:vAlign w:val="center"/>
          </w:tcPr>
          <w:p>
            <w:pPr>
              <w:pStyle w:val="10"/>
              <w:spacing w:line="360" w:lineRule="auto"/>
              <w:ind w:left="0" w:leftChars="0"/>
              <w:rPr>
                <w:rFonts w:hint="eastAsia" w:ascii="宋体" w:hAnsi="宋体" w:cs="宋体"/>
                <w:color w:val="auto"/>
                <w:kern w:val="0"/>
                <w:sz w:val="24"/>
                <w:highlight w:val="none"/>
              </w:rPr>
            </w:pPr>
            <w:r>
              <w:rPr>
                <w:rFonts w:hint="eastAsia" w:ascii="宋体" w:hAnsi="宋体" w:cs="宋体"/>
                <w:color w:val="auto"/>
                <w:kern w:val="0"/>
                <w:sz w:val="24"/>
                <w:highlight w:val="none"/>
              </w:rPr>
              <w:t>根据拟派项目组成员的结构、专业配备的合理性、人员资质、从业经验等情况，</w:t>
            </w:r>
            <w:r>
              <w:rPr>
                <w:rFonts w:hint="eastAsia" w:ascii="宋体" w:hAnsi="宋体" w:cs="宋体"/>
                <w:color w:val="auto"/>
                <w:kern w:val="0"/>
                <w:sz w:val="24"/>
                <w:highlight w:val="none"/>
                <w:lang w:val="en-US" w:eastAsia="zh-CN"/>
              </w:rPr>
              <w:t>进行</w:t>
            </w:r>
            <w:r>
              <w:rPr>
                <w:rFonts w:hint="eastAsia" w:ascii="宋体" w:hAnsi="宋体" w:cs="宋体"/>
                <w:color w:val="auto"/>
                <w:kern w:val="0"/>
                <w:sz w:val="24"/>
                <w:highlight w:val="none"/>
              </w:rPr>
              <w:t>打分。</w:t>
            </w:r>
          </w:p>
          <w:p>
            <w:pPr>
              <w:widowControl w:val="0"/>
              <w:spacing w:line="420" w:lineRule="exact"/>
              <w:rPr>
                <w:rFonts w:hint="eastAsia" w:ascii="宋体" w:hAnsi="宋体" w:cs="宋体"/>
                <w:color w:val="auto"/>
                <w:sz w:val="24"/>
                <w:szCs w:val="24"/>
                <w:highlight w:val="none"/>
              </w:rPr>
            </w:pPr>
            <w:r>
              <w:rPr>
                <w:rFonts w:hint="eastAsia" w:ascii="宋体" w:hAnsi="宋体" w:cs="宋体"/>
                <w:color w:val="auto"/>
                <w:kern w:val="0"/>
                <w:sz w:val="24"/>
                <w:highlight w:val="none"/>
              </w:rPr>
              <w:t>(需提供证书复印件</w:t>
            </w:r>
            <w:r>
              <w:rPr>
                <w:rFonts w:hint="eastAsia" w:ascii="宋体" w:hAnsi="宋体" w:cs="宋体"/>
                <w:color w:val="auto"/>
                <w:kern w:val="0"/>
                <w:sz w:val="24"/>
                <w:highlight w:val="none"/>
                <w:lang w:val="en-US" w:eastAsia="zh-CN"/>
              </w:rPr>
              <w:t>，人员证书需在有效期内，需提供</w:t>
            </w:r>
            <w:r>
              <w:rPr>
                <w:rFonts w:hint="eastAsia" w:ascii="宋体" w:hAnsi="宋体" w:cs="宋体"/>
                <w:color w:val="auto"/>
                <w:kern w:val="0"/>
                <w:sz w:val="24"/>
                <w:highlight w:val="none"/>
              </w:rPr>
              <w:t>投标人为其缴纳的社保清单复印件</w:t>
            </w:r>
            <w:r>
              <w:rPr>
                <w:rFonts w:hint="eastAsia" w:ascii="宋体" w:hAnsi="宋体" w:cs="宋体"/>
                <w:color w:val="auto"/>
                <w:sz w:val="24"/>
                <w:highlight w:val="none"/>
              </w:rPr>
              <w:t>。</w:t>
            </w:r>
            <w:r>
              <w:rPr>
                <w:rFonts w:hint="eastAsia" w:ascii="宋体" w:hAnsi="宋体" w:cs="宋体"/>
                <w:color w:val="auto"/>
                <w:kern w:val="0"/>
                <w:sz w:val="24"/>
                <w:highlight w:val="none"/>
              </w:rPr>
              <w:t>）</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宋体" w:hAnsi="宋体" w:cs="宋体"/>
                <w:color w:val="auto"/>
                <w:sz w:val="24"/>
                <w:highlight w:val="none"/>
                <w:lang w:val="en-US" w:eastAsia="zh-CN"/>
              </w:rPr>
            </w:pPr>
            <w:r>
              <w:rPr>
                <w:rFonts w:hint="eastAsia" w:ascii="宋体" w:hAnsi="宋体" w:cs="宋体"/>
                <w:color w:val="auto"/>
                <w:sz w:val="24"/>
                <w:highlight w:val="none"/>
                <w:lang w:val="en-US" w:eastAsia="zh-CN"/>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40"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12</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vMerge w:val="continue"/>
            <w:tcBorders>
              <w:left w:val="single" w:color="auto" w:sz="4" w:space="0"/>
              <w:bottom w:val="single" w:color="auto" w:sz="4" w:space="0"/>
              <w:right w:val="single" w:color="auto" w:sz="4" w:space="0"/>
            </w:tcBorders>
            <w:noWrap w:val="0"/>
            <w:vAlign w:val="center"/>
          </w:tcPr>
          <w:p>
            <w:pPr>
              <w:spacing w:line="360" w:lineRule="auto"/>
              <w:jc w:val="center"/>
              <w:rPr>
                <w:rFonts w:hint="eastAsia" w:hAnsi="宋体" w:cs="宋体"/>
                <w:color w:val="auto"/>
                <w:sz w:val="24"/>
                <w:highlight w:val="none"/>
                <w:lang w:eastAsia="zh-CN"/>
              </w:rPr>
            </w:pPr>
          </w:p>
        </w:tc>
        <w:tc>
          <w:tcPr>
            <w:tcW w:w="7346" w:type="dxa"/>
            <w:tcBorders>
              <w:top w:val="single" w:color="auto" w:sz="4" w:space="0"/>
              <w:left w:val="single" w:color="auto" w:sz="4" w:space="0"/>
              <w:bottom w:val="single" w:color="auto" w:sz="4" w:space="0"/>
              <w:right w:val="single" w:color="auto" w:sz="4" w:space="0"/>
            </w:tcBorders>
            <w:noWrap w:val="0"/>
            <w:vAlign w:val="center"/>
          </w:tcPr>
          <w:p>
            <w:pPr>
              <w:widowControl w:val="0"/>
              <w:spacing w:line="420" w:lineRule="exact"/>
              <w:rPr>
                <w:rFonts w:hint="eastAsia" w:hAnsi="宋体" w:cs="宋体"/>
                <w:color w:val="auto"/>
                <w:sz w:val="24"/>
                <w:szCs w:val="24"/>
                <w:highlight w:val="none"/>
              </w:rPr>
            </w:pPr>
            <w:r>
              <w:rPr>
                <w:rFonts w:hint="eastAsia" w:ascii="宋体" w:hAnsi="宋体" w:cs="宋体"/>
                <w:color w:val="auto"/>
                <w:sz w:val="24"/>
                <w:szCs w:val="24"/>
                <w:highlight w:val="none"/>
              </w:rPr>
              <w:t>关键实施技术、工艺及项目实施的重点、难点</w:t>
            </w:r>
            <w:r>
              <w:rPr>
                <w:rFonts w:hint="eastAsia" w:ascii="宋体" w:hAnsi="宋体" w:cs="宋体"/>
                <w:color w:val="auto"/>
                <w:sz w:val="24"/>
                <w:szCs w:val="24"/>
                <w:highlight w:val="none"/>
                <w:lang w:val="en-US" w:eastAsia="zh-CN"/>
              </w:rPr>
              <w:t>及</w:t>
            </w:r>
            <w:r>
              <w:rPr>
                <w:rFonts w:hint="eastAsia" w:ascii="宋体" w:hAnsi="宋体" w:cs="宋体"/>
                <w:color w:val="auto"/>
                <w:sz w:val="24"/>
                <w:szCs w:val="24"/>
                <w:highlight w:val="none"/>
              </w:rPr>
              <w:t>解决方案</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进行打</w:t>
            </w:r>
            <w:r>
              <w:rPr>
                <w:rFonts w:hint="eastAsia" w:ascii="宋体" w:hAnsi="宋体" w:cs="宋体"/>
                <w:color w:val="auto"/>
                <w:sz w:val="24"/>
                <w:szCs w:val="24"/>
                <w:highlight w:val="none"/>
              </w:rPr>
              <w:t>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宋体" w:hAnsi="宋体" w:cs="宋体"/>
                <w:color w:val="auto"/>
                <w:sz w:val="24"/>
                <w:highlight w:val="none"/>
                <w:lang w:val="en-US" w:eastAsia="zh-CN"/>
              </w:rPr>
            </w:pPr>
            <w:r>
              <w:rPr>
                <w:rFonts w:hint="eastAsia" w:ascii="宋体" w:hAnsi="宋体" w:cs="宋体"/>
                <w:color w:val="auto"/>
                <w:sz w:val="24"/>
                <w:highlight w:val="none"/>
                <w:lang w:val="en-US" w:eastAsia="zh-CN"/>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4"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pStyle w:val="17"/>
              <w:spacing w:line="360" w:lineRule="auto"/>
              <w:ind w:firstLine="0"/>
              <w:jc w:val="center"/>
              <w:rPr>
                <w:rFonts w:ascii="宋体"/>
                <w:b/>
                <w:bCs/>
                <w:color w:val="auto"/>
                <w:sz w:val="24"/>
                <w:highlight w:val="none"/>
              </w:rPr>
            </w:pPr>
            <w:r>
              <w:rPr>
                <w:rFonts w:hint="eastAsia" w:ascii="宋体"/>
                <w:b/>
                <w:bCs/>
                <w:color w:val="auto"/>
                <w:sz w:val="24"/>
                <w:highlight w:val="none"/>
              </w:rPr>
              <w:t>二</w:t>
            </w:r>
          </w:p>
        </w:tc>
        <w:tc>
          <w:tcPr>
            <w:tcW w:w="8862" w:type="dxa"/>
            <w:gridSpan w:val="3"/>
            <w:tcBorders>
              <w:top w:val="single" w:color="auto" w:sz="4" w:space="0"/>
              <w:left w:val="single" w:color="auto" w:sz="4" w:space="0"/>
              <w:bottom w:val="single" w:color="auto" w:sz="4" w:space="0"/>
              <w:right w:val="single" w:color="auto" w:sz="4" w:space="0"/>
            </w:tcBorders>
            <w:noWrap w:val="0"/>
            <w:vAlign w:val="center"/>
          </w:tcPr>
          <w:p>
            <w:pPr>
              <w:pStyle w:val="17"/>
              <w:spacing w:line="360" w:lineRule="auto"/>
              <w:ind w:firstLine="0"/>
              <w:jc w:val="center"/>
              <w:rPr>
                <w:rFonts w:ascii="宋体"/>
                <w:b/>
                <w:bCs/>
                <w:color w:val="auto"/>
                <w:sz w:val="24"/>
                <w:highlight w:val="none"/>
              </w:rPr>
            </w:pPr>
            <w:r>
              <w:rPr>
                <w:rFonts w:hint="eastAsia" w:ascii="宋体"/>
                <w:b/>
                <w:bCs/>
                <w:color w:val="auto"/>
                <w:sz w:val="24"/>
                <w:highlight w:val="none"/>
              </w:rPr>
              <w:t>商务资信及其他分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pStyle w:val="17"/>
              <w:spacing w:line="360" w:lineRule="auto"/>
              <w:ind w:firstLine="0"/>
              <w:jc w:val="center"/>
              <w:rPr>
                <w:rFonts w:ascii="宋体"/>
                <w:b/>
                <w:bCs/>
                <w:color w:val="auto"/>
                <w:sz w:val="24"/>
                <w:highlight w:val="none"/>
              </w:rPr>
            </w:pPr>
            <w:r>
              <w:rPr>
                <w:rFonts w:hint="eastAsia" w:ascii="宋体"/>
                <w:b/>
                <w:bCs/>
                <w:color w:val="auto"/>
                <w:sz w:val="24"/>
                <w:highlight w:val="none"/>
                <w:lang w:val="en-US" w:eastAsia="zh-CN"/>
              </w:rPr>
              <w:t>21</w:t>
            </w:r>
            <w:r>
              <w:rPr>
                <w:rFonts w:hint="eastAsia" w:ascii="宋体"/>
                <w:b/>
                <w:bCs/>
                <w:color w:val="auto"/>
                <w:sz w:val="24"/>
                <w:highlight w:val="none"/>
              </w:rPr>
              <w:t>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22"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13</w:t>
            </w:r>
          </w:p>
        </w:tc>
        <w:tc>
          <w:tcPr>
            <w:tcW w:w="408" w:type="dxa"/>
            <w:vMerge w:val="restart"/>
            <w:tcBorders>
              <w:top w:val="single" w:color="auto" w:sz="4" w:space="0"/>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p>
            <w:pPr>
              <w:spacing w:line="360" w:lineRule="auto"/>
              <w:jc w:val="center"/>
              <w:rPr>
                <w:rFonts w:hAnsi="宋体" w:cs="宋体"/>
                <w:color w:val="auto"/>
                <w:sz w:val="24"/>
                <w:highlight w:val="none"/>
              </w:rPr>
            </w:pPr>
          </w:p>
          <w:p>
            <w:pPr>
              <w:spacing w:line="360" w:lineRule="auto"/>
              <w:jc w:val="center"/>
              <w:rPr>
                <w:rFonts w:hAnsi="宋体" w:cs="宋体"/>
                <w:color w:val="auto"/>
                <w:sz w:val="24"/>
                <w:highlight w:val="none"/>
              </w:rPr>
            </w:pPr>
          </w:p>
          <w:p>
            <w:pPr>
              <w:spacing w:line="360" w:lineRule="auto"/>
              <w:jc w:val="center"/>
              <w:rPr>
                <w:rFonts w:hAnsi="宋体" w:cs="宋体"/>
                <w:color w:val="auto"/>
                <w:sz w:val="24"/>
                <w:highlight w:val="none"/>
              </w:rPr>
            </w:pPr>
          </w:p>
          <w:p>
            <w:pPr>
              <w:spacing w:line="360" w:lineRule="auto"/>
              <w:jc w:val="center"/>
              <w:rPr>
                <w:rFonts w:hAnsi="宋体" w:cs="宋体"/>
                <w:color w:val="auto"/>
                <w:sz w:val="24"/>
                <w:highlight w:val="none"/>
              </w:rPr>
            </w:pPr>
          </w:p>
          <w:p>
            <w:pPr>
              <w:spacing w:line="360" w:lineRule="auto"/>
              <w:jc w:val="center"/>
              <w:rPr>
                <w:rFonts w:hAnsi="宋体" w:cs="宋体"/>
                <w:color w:val="auto"/>
                <w:sz w:val="24"/>
                <w:highlight w:val="none"/>
              </w:rPr>
            </w:pPr>
            <w:r>
              <w:rPr>
                <w:rFonts w:hint="eastAsia" w:hAnsi="宋体" w:cs="宋体"/>
                <w:color w:val="auto"/>
                <w:sz w:val="24"/>
                <w:highlight w:val="none"/>
              </w:rPr>
              <w:t>履约及售后能力</w:t>
            </w:r>
          </w:p>
        </w:tc>
        <w:tc>
          <w:tcPr>
            <w:tcW w:w="1108" w:type="dxa"/>
            <w:vMerge w:val="restart"/>
            <w:tcBorders>
              <w:top w:val="single" w:color="auto" w:sz="4" w:space="0"/>
              <w:left w:val="single" w:color="auto" w:sz="4" w:space="0"/>
              <w:right w:val="single" w:color="auto" w:sz="4" w:space="0"/>
            </w:tcBorders>
            <w:noWrap w:val="0"/>
            <w:vAlign w:val="center"/>
          </w:tcPr>
          <w:p>
            <w:pPr>
              <w:spacing w:line="360" w:lineRule="auto"/>
              <w:jc w:val="center"/>
              <w:rPr>
                <w:rFonts w:hint="eastAsia" w:hAnsi="宋体" w:cs="宋体"/>
                <w:color w:val="auto"/>
                <w:sz w:val="24"/>
                <w:highlight w:val="none"/>
              </w:rPr>
            </w:pPr>
            <w:r>
              <w:rPr>
                <w:rFonts w:hint="eastAsia" w:hAnsi="宋体" w:cs="宋体"/>
                <w:color w:val="auto"/>
                <w:sz w:val="24"/>
                <w:highlight w:val="none"/>
              </w:rPr>
              <w:t>认证</w:t>
            </w:r>
          </w:p>
          <w:p>
            <w:pPr>
              <w:spacing w:line="360" w:lineRule="auto"/>
              <w:jc w:val="center"/>
              <w:rPr>
                <w:rFonts w:hAnsi="宋体" w:cs="宋体"/>
                <w:color w:val="auto"/>
                <w:sz w:val="24"/>
                <w:highlight w:val="none"/>
              </w:rPr>
            </w:pPr>
            <w:r>
              <w:rPr>
                <w:rFonts w:hint="eastAsia" w:hAnsi="宋体" w:cs="宋体"/>
                <w:color w:val="auto"/>
                <w:sz w:val="24"/>
                <w:highlight w:val="none"/>
              </w:rPr>
              <w:t>证书</w:t>
            </w:r>
          </w:p>
        </w:tc>
        <w:tc>
          <w:tcPr>
            <w:tcW w:w="7346"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default" w:hAnsi="宋体" w:eastAsia="宋体" w:cs="宋体"/>
                <w:color w:val="auto"/>
                <w:sz w:val="24"/>
                <w:szCs w:val="24"/>
                <w:highlight w:val="none"/>
                <w:lang w:val="en-US" w:eastAsia="zh-CN"/>
              </w:rPr>
            </w:pPr>
            <w:r>
              <w:rPr>
                <w:rFonts w:hint="eastAsia" w:ascii="宋体" w:hAnsi="宋体" w:cs="宋体"/>
                <w:color w:val="auto"/>
                <w:sz w:val="24"/>
                <w:szCs w:val="24"/>
                <w:highlight w:val="none"/>
              </w:rPr>
              <w:t>投标人具有质量管理体系认证、环境管理体系认证、职业健康安全管理体系认证证书且在有效期内（证书范围涵盖净化工程）；提供证书复印件，有一项得1分，最高得3分。</w:t>
            </w:r>
            <w:r>
              <w:rPr>
                <w:rFonts w:hint="eastAsia" w:ascii="宋体" w:hAnsi="宋体" w:cs="宋体"/>
                <w:color w:val="auto"/>
                <w:sz w:val="24"/>
                <w:szCs w:val="24"/>
                <w:highlight w:val="none"/>
                <w:lang w:val="en-US" w:eastAsia="zh-CN"/>
              </w:rPr>
              <w:t xml:space="preserve">  </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lang w:val="en-US" w:eastAsia="zh-CN"/>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70"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14</w:t>
            </w:r>
          </w:p>
        </w:tc>
        <w:tc>
          <w:tcPr>
            <w:tcW w:w="408" w:type="dxa"/>
            <w:vMerge w:val="continue"/>
            <w:tcBorders>
              <w:left w:val="single" w:color="auto" w:sz="4" w:space="0"/>
              <w:right w:val="single" w:color="auto" w:sz="4" w:space="0"/>
            </w:tcBorders>
            <w:noWrap w:val="0"/>
            <w:vAlign w:val="center"/>
          </w:tcPr>
          <w:p>
            <w:pPr>
              <w:spacing w:line="360" w:lineRule="auto"/>
              <w:jc w:val="center"/>
              <w:rPr>
                <w:rFonts w:hint="eastAsia" w:hAnsi="宋体" w:cs="宋体"/>
                <w:color w:val="auto"/>
                <w:sz w:val="24"/>
                <w:highlight w:val="none"/>
              </w:rPr>
            </w:pPr>
          </w:p>
        </w:tc>
        <w:tc>
          <w:tcPr>
            <w:tcW w:w="1108" w:type="dxa"/>
            <w:vMerge w:val="continue"/>
            <w:tcBorders>
              <w:left w:val="single" w:color="auto" w:sz="4" w:space="0"/>
              <w:right w:val="single" w:color="auto" w:sz="4" w:space="0"/>
            </w:tcBorders>
            <w:noWrap w:val="0"/>
            <w:vAlign w:val="center"/>
          </w:tcPr>
          <w:p>
            <w:pPr>
              <w:spacing w:line="360" w:lineRule="auto"/>
              <w:jc w:val="center"/>
              <w:rPr>
                <w:rFonts w:hint="eastAsia" w:hAnsi="宋体" w:cs="宋体"/>
                <w:color w:val="auto"/>
                <w:sz w:val="24"/>
                <w:highlight w:val="none"/>
              </w:rPr>
            </w:pPr>
          </w:p>
        </w:tc>
        <w:tc>
          <w:tcPr>
            <w:tcW w:w="7346" w:type="dxa"/>
            <w:tcBorders>
              <w:top w:val="single" w:color="auto" w:sz="4" w:space="0"/>
              <w:left w:val="single" w:color="auto" w:sz="4" w:space="0"/>
              <w:bottom w:val="single" w:color="auto" w:sz="4" w:space="0"/>
              <w:right w:val="single" w:color="auto" w:sz="4" w:space="0"/>
            </w:tcBorders>
            <w:noWrap w:val="0"/>
            <w:vAlign w:val="center"/>
          </w:tcPr>
          <w:p>
            <w:pPr>
              <w:pStyle w:val="54"/>
              <w:numPr>
                <w:ilvl w:val="0"/>
                <w:numId w:val="0"/>
              </w:numPr>
              <w:tabs>
                <w:tab w:val="left" w:pos="0"/>
              </w:tabs>
              <w:snapToGrid w:val="0"/>
              <w:spacing w:line="360" w:lineRule="auto"/>
              <w:rPr>
                <w:rFonts w:hint="eastAsia" w:ascii="宋体" w:hAnsi="宋体" w:cs="宋体"/>
                <w:color w:val="auto"/>
                <w:sz w:val="24"/>
                <w:szCs w:val="24"/>
                <w:highlight w:val="none"/>
              </w:rPr>
            </w:pPr>
            <w:r>
              <w:rPr>
                <w:rFonts w:hint="eastAsia" w:ascii="宋体" w:hAnsi="宋体" w:eastAsia="宋体" w:cs="宋体"/>
                <w:color w:val="auto"/>
                <w:kern w:val="2"/>
                <w:sz w:val="24"/>
                <w:szCs w:val="24"/>
                <w:highlight w:val="none"/>
                <w:lang w:val="en-US" w:eastAsia="zh-CN" w:bidi="ar-SA"/>
              </w:rPr>
              <w:t>投标人具备售后服务认证证书，达到三星级别，得1分；四星级别，得2分；五星级别，得3分。提供证书</w:t>
            </w:r>
            <w:r>
              <w:rPr>
                <w:rFonts w:hint="eastAsia" w:hAnsi="宋体" w:eastAsia="宋体" w:cs="宋体"/>
                <w:color w:val="auto"/>
                <w:kern w:val="2"/>
                <w:sz w:val="24"/>
                <w:szCs w:val="24"/>
                <w:highlight w:val="none"/>
                <w:lang w:val="en-US" w:eastAsia="zh-CN" w:bidi="ar-SA"/>
              </w:rPr>
              <w:t>复印</w:t>
            </w:r>
            <w:r>
              <w:rPr>
                <w:rFonts w:hint="eastAsia" w:ascii="宋体" w:hAnsi="宋体" w:eastAsia="宋体" w:cs="宋体"/>
                <w:color w:val="auto"/>
                <w:kern w:val="2"/>
                <w:sz w:val="24"/>
                <w:szCs w:val="24"/>
                <w:highlight w:val="none"/>
                <w:lang w:val="en-US" w:eastAsia="zh-CN" w:bidi="ar-SA"/>
              </w:rPr>
              <w:t>件，不提供不得分。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00"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default" w:ascii="宋体" w:hAnsi="宋体"/>
                <w:color w:val="auto"/>
                <w:sz w:val="24"/>
                <w:highlight w:val="none"/>
                <w:lang w:val="en-US" w:eastAsia="zh-CN"/>
              </w:rPr>
            </w:pPr>
            <w:r>
              <w:rPr>
                <w:rFonts w:hint="eastAsia" w:ascii="宋体" w:hAnsi="宋体"/>
                <w:color w:val="auto"/>
                <w:sz w:val="24"/>
                <w:highlight w:val="none"/>
                <w:lang w:val="en-US" w:eastAsia="zh-CN"/>
              </w:rPr>
              <w:t>15</w:t>
            </w:r>
          </w:p>
        </w:tc>
        <w:tc>
          <w:tcPr>
            <w:tcW w:w="408" w:type="dxa"/>
            <w:vMerge w:val="continue"/>
            <w:tcBorders>
              <w:left w:val="single" w:color="auto" w:sz="4" w:space="0"/>
              <w:right w:val="single" w:color="auto" w:sz="4" w:space="0"/>
            </w:tcBorders>
            <w:noWrap w:val="0"/>
            <w:vAlign w:val="center"/>
          </w:tcPr>
          <w:p>
            <w:pPr>
              <w:spacing w:line="360" w:lineRule="auto"/>
              <w:jc w:val="center"/>
              <w:rPr>
                <w:rFonts w:hint="eastAsia" w:hAnsi="宋体" w:cs="宋体"/>
                <w:color w:val="auto"/>
                <w:sz w:val="24"/>
                <w:highlight w:val="none"/>
              </w:rPr>
            </w:pPr>
          </w:p>
        </w:tc>
        <w:tc>
          <w:tcPr>
            <w:tcW w:w="1108" w:type="dxa"/>
            <w:vMerge w:val="continue"/>
            <w:tcBorders>
              <w:left w:val="single" w:color="auto" w:sz="4" w:space="0"/>
              <w:bottom w:val="single" w:color="auto" w:sz="4" w:space="0"/>
              <w:right w:val="single" w:color="auto" w:sz="4" w:space="0"/>
            </w:tcBorders>
            <w:noWrap w:val="0"/>
            <w:vAlign w:val="center"/>
          </w:tcPr>
          <w:p>
            <w:pPr>
              <w:spacing w:line="360" w:lineRule="auto"/>
              <w:jc w:val="center"/>
              <w:rPr>
                <w:rFonts w:hint="eastAsia" w:hAnsi="宋体" w:cs="宋体"/>
                <w:color w:val="auto"/>
                <w:sz w:val="24"/>
                <w:highlight w:val="none"/>
              </w:rPr>
            </w:pPr>
          </w:p>
        </w:tc>
        <w:tc>
          <w:tcPr>
            <w:tcW w:w="7346" w:type="dxa"/>
            <w:tcBorders>
              <w:top w:val="single" w:color="auto" w:sz="4" w:space="0"/>
              <w:left w:val="single" w:color="auto" w:sz="4" w:space="0"/>
              <w:bottom w:val="single" w:color="auto" w:sz="4" w:space="0"/>
              <w:right w:val="single" w:color="auto" w:sz="4" w:space="0"/>
            </w:tcBorders>
            <w:noWrap w:val="0"/>
            <w:vAlign w:val="center"/>
          </w:tcPr>
          <w:p>
            <w:pPr>
              <w:pStyle w:val="54"/>
              <w:numPr>
                <w:ilvl w:val="0"/>
                <w:numId w:val="0"/>
              </w:numPr>
              <w:tabs>
                <w:tab w:val="left" w:pos="0"/>
              </w:tabs>
              <w:snapToGrid w:val="0"/>
              <w:spacing w:line="360" w:lineRule="auto"/>
              <w:rPr>
                <w:rFonts w:hint="default"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投标人</w:t>
            </w:r>
            <w:r>
              <w:rPr>
                <w:rFonts w:hint="eastAsia" w:ascii="宋体" w:hAnsi="宋体" w:eastAsia="宋体" w:cs="宋体"/>
                <w:strike w:val="0"/>
                <w:dstrike w:val="0"/>
                <w:color w:val="auto"/>
                <w:sz w:val="24"/>
                <w:highlight w:val="none"/>
                <w:lang w:val="en-US" w:eastAsia="zh-CN"/>
              </w:rPr>
              <w:t>具有压力管道安装维修改造许可证（GC2级及以上）或特种设备生产许可证（工业管道安装 GC2级及以上）证书</w:t>
            </w:r>
            <w:r>
              <w:rPr>
                <w:rFonts w:hint="eastAsia" w:hAnsi="宋体" w:eastAsia="宋体" w:cs="宋体"/>
                <w:strike w:val="0"/>
                <w:dstrike w:val="0"/>
                <w:color w:val="auto"/>
                <w:sz w:val="24"/>
                <w:highlight w:val="none"/>
                <w:lang w:val="en-US" w:eastAsia="zh-CN"/>
              </w:rPr>
              <w:t>的得1分</w:t>
            </w:r>
            <w:r>
              <w:rPr>
                <w:rFonts w:hint="eastAsia" w:ascii="宋体" w:hAnsi="宋体" w:eastAsia="宋体" w:cs="宋体"/>
                <w:color w:val="auto"/>
                <w:kern w:val="2"/>
                <w:sz w:val="24"/>
                <w:szCs w:val="24"/>
                <w:highlight w:val="none"/>
                <w:lang w:val="en-US" w:eastAsia="zh-CN" w:bidi="ar-SA"/>
              </w:rPr>
              <w:t>。</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90"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16</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hAnsi="宋体" w:cs="宋体"/>
                <w:color w:val="auto"/>
                <w:sz w:val="24"/>
                <w:highlight w:val="none"/>
              </w:rPr>
            </w:pPr>
            <w:r>
              <w:rPr>
                <w:rFonts w:hint="eastAsia" w:hAnsi="宋体" w:cs="宋体"/>
                <w:color w:val="auto"/>
                <w:sz w:val="24"/>
                <w:highlight w:val="none"/>
              </w:rPr>
              <w:t>同类</w:t>
            </w:r>
          </w:p>
          <w:p>
            <w:pPr>
              <w:spacing w:line="360" w:lineRule="auto"/>
              <w:jc w:val="center"/>
              <w:rPr>
                <w:rFonts w:hAnsi="宋体" w:cs="宋体"/>
                <w:color w:val="auto"/>
                <w:sz w:val="24"/>
                <w:highlight w:val="none"/>
              </w:rPr>
            </w:pPr>
            <w:r>
              <w:rPr>
                <w:rFonts w:hint="eastAsia" w:hAnsi="宋体" w:cs="宋体"/>
                <w:color w:val="auto"/>
                <w:sz w:val="24"/>
                <w:highlight w:val="none"/>
              </w:rPr>
              <w:t>业绩</w:t>
            </w:r>
          </w:p>
        </w:tc>
        <w:tc>
          <w:tcPr>
            <w:tcW w:w="7346"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default"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投标人自20</w:t>
            </w:r>
            <w:r>
              <w:rPr>
                <w:rFonts w:hint="eastAsia" w:ascii="宋体" w:hAnsi="宋体" w:cs="宋体"/>
                <w:color w:val="auto"/>
                <w:sz w:val="24"/>
                <w:szCs w:val="24"/>
                <w:highlight w:val="none"/>
                <w:lang w:val="en-US" w:eastAsia="zh-CN"/>
              </w:rPr>
              <w:t>19</w:t>
            </w:r>
            <w:r>
              <w:rPr>
                <w:rFonts w:hint="eastAsia" w:ascii="宋体" w:hAnsi="宋体" w:eastAsia="宋体" w:cs="宋体"/>
                <w:color w:val="auto"/>
                <w:sz w:val="24"/>
                <w:szCs w:val="24"/>
                <w:highlight w:val="none"/>
              </w:rPr>
              <w:t>年1月以来，提供同类项目业绩的，每个得</w:t>
            </w:r>
            <w:r>
              <w:rPr>
                <w:rFonts w:hint="eastAsia" w:ascii="宋体" w:hAnsi="宋体" w:cs="宋体"/>
                <w:color w:val="auto"/>
                <w:sz w:val="24"/>
                <w:szCs w:val="24"/>
                <w:highlight w:val="none"/>
                <w:lang w:val="en-US" w:eastAsia="zh-CN"/>
              </w:rPr>
              <w:t>1</w:t>
            </w:r>
            <w:r>
              <w:rPr>
                <w:rFonts w:hint="eastAsia" w:ascii="宋体" w:hAnsi="宋体" w:eastAsia="宋体" w:cs="宋体"/>
                <w:color w:val="auto"/>
                <w:sz w:val="24"/>
                <w:szCs w:val="24"/>
                <w:highlight w:val="none"/>
              </w:rPr>
              <w:t>分，最多得</w:t>
            </w:r>
            <w:r>
              <w:rPr>
                <w:rFonts w:hint="eastAsia" w:ascii="宋体" w:hAnsi="宋体" w:cs="宋体"/>
                <w:color w:val="auto"/>
                <w:sz w:val="24"/>
                <w:szCs w:val="24"/>
                <w:highlight w:val="none"/>
                <w:lang w:val="en-US" w:eastAsia="zh-CN"/>
              </w:rPr>
              <w:t>3</w:t>
            </w:r>
            <w:r>
              <w:rPr>
                <w:rFonts w:hint="eastAsia" w:ascii="宋体" w:hAnsi="宋体" w:eastAsia="宋体" w:cs="宋体"/>
                <w:color w:val="auto"/>
                <w:sz w:val="24"/>
                <w:szCs w:val="24"/>
                <w:highlight w:val="none"/>
              </w:rPr>
              <w:t>分。（</w:t>
            </w:r>
            <w:r>
              <w:rPr>
                <w:rFonts w:hint="eastAsia" w:ascii="宋体" w:hAnsi="宋体" w:cs="宋体"/>
                <w:color w:val="auto"/>
                <w:sz w:val="24"/>
                <w:szCs w:val="24"/>
                <w:highlight w:val="none"/>
              </w:rPr>
              <w:t>需提供项目中标通知书或合同，同时需提供竣工验收单</w:t>
            </w:r>
            <w:r>
              <w:rPr>
                <w:rFonts w:hint="eastAsia" w:ascii="宋体" w:hAnsi="宋体" w:eastAsia="宋体" w:cs="宋体"/>
                <w:color w:val="auto"/>
                <w:sz w:val="24"/>
                <w:szCs w:val="24"/>
                <w:highlight w:val="none"/>
              </w:rPr>
              <w:t>）</w:t>
            </w:r>
            <w:r>
              <w:rPr>
                <w:rFonts w:hint="eastAsia" w:ascii="宋体" w:hAnsi="宋体" w:cs="宋体"/>
                <w:color w:val="auto"/>
                <w:sz w:val="24"/>
                <w:szCs w:val="24"/>
                <w:highlight w:val="none"/>
                <w:lang w:val="en-US" w:eastAsia="zh-CN"/>
              </w:rPr>
              <w:t xml:space="preserve">   </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lang w:val="en-US" w:eastAsia="zh-CN"/>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58"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17</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企业</w:t>
            </w:r>
          </w:p>
          <w:p>
            <w:pPr>
              <w:spacing w:line="360" w:lineRule="auto"/>
              <w:jc w:val="center"/>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荣誉</w:t>
            </w:r>
          </w:p>
        </w:tc>
        <w:tc>
          <w:tcPr>
            <w:tcW w:w="7346"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投标人所承接类似项目获得市级及以上荣誉奖项的，得</w:t>
            </w:r>
            <w:r>
              <w:rPr>
                <w:rFonts w:hint="eastAsia" w:ascii="宋体" w:hAnsi="宋体" w:cs="宋体"/>
                <w:color w:val="auto"/>
                <w:sz w:val="24"/>
                <w:szCs w:val="24"/>
                <w:highlight w:val="none"/>
                <w:lang w:val="en-US" w:eastAsia="zh-CN"/>
              </w:rPr>
              <w:t>1</w:t>
            </w:r>
            <w:r>
              <w:rPr>
                <w:rFonts w:hint="eastAsia" w:ascii="宋体" w:hAnsi="宋体" w:cs="宋体"/>
                <w:color w:val="auto"/>
                <w:sz w:val="24"/>
                <w:szCs w:val="24"/>
                <w:highlight w:val="none"/>
              </w:rPr>
              <w:t>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97"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18</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项目负责人</w:t>
            </w:r>
          </w:p>
        </w:tc>
        <w:tc>
          <w:tcPr>
            <w:tcW w:w="7346"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lang w:val="zh-CN"/>
              </w:rPr>
              <w:t>项目负责</w:t>
            </w:r>
            <w:r>
              <w:rPr>
                <w:rFonts w:hint="eastAsia" w:ascii="宋体" w:hAnsi="宋体" w:cs="宋体"/>
                <w:color w:val="auto"/>
                <w:sz w:val="24"/>
                <w:szCs w:val="24"/>
                <w:highlight w:val="none"/>
              </w:rPr>
              <w:t>人具有机电工程专业二级及以上注册建造师证书，且具有高</w:t>
            </w:r>
            <w:r>
              <w:rPr>
                <w:rFonts w:hint="eastAsia" w:ascii="宋体" w:hAnsi="宋体" w:cs="宋体"/>
                <w:color w:val="auto"/>
                <w:sz w:val="24"/>
                <w:szCs w:val="24"/>
                <w:highlight w:val="none"/>
                <w:lang w:val="zh-CN"/>
              </w:rPr>
              <w:t>级职称证书</w:t>
            </w:r>
            <w:r>
              <w:rPr>
                <w:rFonts w:hint="eastAsia" w:ascii="宋体" w:hAnsi="宋体" w:cs="宋体"/>
                <w:color w:val="auto"/>
                <w:sz w:val="24"/>
                <w:szCs w:val="24"/>
                <w:highlight w:val="none"/>
              </w:rPr>
              <w:t>得2分。</w:t>
            </w:r>
          </w:p>
          <w:p>
            <w:pPr>
              <w:spacing w:line="360" w:lineRule="auto"/>
              <w:rPr>
                <w:rFonts w:hint="default"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需</w:t>
            </w:r>
            <w:r>
              <w:rPr>
                <w:rFonts w:hint="eastAsia" w:ascii="宋体" w:hAnsi="宋体" w:cs="宋体"/>
                <w:color w:val="auto"/>
                <w:sz w:val="24"/>
                <w:szCs w:val="24"/>
                <w:highlight w:val="none"/>
              </w:rPr>
              <w:t>提供证书复印件、</w:t>
            </w:r>
            <w:r>
              <w:rPr>
                <w:rFonts w:hint="eastAsia" w:ascii="宋体" w:hAnsi="宋体" w:cs="宋体"/>
                <w:color w:val="auto"/>
                <w:kern w:val="0"/>
                <w:sz w:val="24"/>
                <w:highlight w:val="none"/>
                <w:lang w:val="en-US" w:eastAsia="zh-CN"/>
              </w:rPr>
              <w:t>需提供</w:t>
            </w:r>
            <w:r>
              <w:rPr>
                <w:rFonts w:hint="eastAsia" w:ascii="宋体" w:hAnsi="宋体" w:cs="宋体"/>
                <w:color w:val="auto"/>
                <w:kern w:val="0"/>
                <w:sz w:val="24"/>
                <w:highlight w:val="none"/>
              </w:rPr>
              <w:t>投标人为其缴纳的社保清单复印件</w:t>
            </w:r>
            <w:r>
              <w:rPr>
                <w:rFonts w:hint="eastAsia" w:ascii="宋体" w:hAnsi="宋体" w:cs="宋体"/>
                <w:color w:val="auto"/>
                <w:sz w:val="24"/>
                <w:szCs w:val="24"/>
                <w:highlight w:val="none"/>
              </w:rPr>
              <w:t>及无</w:t>
            </w:r>
            <w:r>
              <w:rPr>
                <w:rFonts w:hint="eastAsia" w:ascii="宋体" w:hAnsi="宋体" w:cs="宋体"/>
                <w:color w:val="auto"/>
                <w:sz w:val="24"/>
                <w:szCs w:val="24"/>
                <w:highlight w:val="none"/>
                <w:lang w:eastAsia="zh-CN"/>
              </w:rPr>
              <w:t>在建</w:t>
            </w:r>
            <w:r>
              <w:rPr>
                <w:rFonts w:hint="eastAsia" w:ascii="宋体" w:hAnsi="宋体" w:cs="宋体"/>
                <w:color w:val="auto"/>
                <w:sz w:val="24"/>
                <w:szCs w:val="24"/>
                <w:highlight w:val="none"/>
              </w:rPr>
              <w:t>项目证明。</w:t>
            </w:r>
            <w:r>
              <w:rPr>
                <w:rFonts w:hint="eastAsia" w:ascii="宋体" w:hAnsi="宋体" w:cs="宋体"/>
                <w:color w:val="auto"/>
                <w:sz w:val="24"/>
                <w:szCs w:val="24"/>
                <w:highlight w:val="none"/>
                <w:lang w:val="en-US" w:eastAsia="zh-CN"/>
              </w:rPr>
              <w:t xml:space="preserve">  </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45"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19</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vMerge w:val="restart"/>
            <w:tcBorders>
              <w:top w:val="single" w:color="auto" w:sz="4" w:space="0"/>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r>
              <w:rPr>
                <w:rFonts w:hint="eastAsia" w:hAnsi="宋体" w:cs="宋体"/>
                <w:color w:val="auto"/>
                <w:sz w:val="24"/>
                <w:highlight w:val="none"/>
              </w:rPr>
              <w:t>售后服务保障</w:t>
            </w:r>
          </w:p>
        </w:tc>
        <w:tc>
          <w:tcPr>
            <w:tcW w:w="7346"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hAnsi="宋体" w:eastAsia="宋体" w:cs="宋体"/>
                <w:color w:val="auto"/>
                <w:sz w:val="24"/>
                <w:highlight w:val="none"/>
                <w:lang w:eastAsia="zh-CN"/>
              </w:rPr>
            </w:pPr>
            <w:r>
              <w:rPr>
                <w:rFonts w:hint="eastAsia" w:hAnsi="宋体" w:cs="宋体"/>
                <w:color w:val="auto"/>
                <w:sz w:val="24"/>
                <w:highlight w:val="none"/>
                <w:lang w:eastAsia="zh-CN"/>
              </w:rPr>
              <w:t>培训：</w:t>
            </w:r>
            <w:r>
              <w:rPr>
                <w:rFonts w:hint="eastAsia" w:hAnsi="宋体" w:cs="宋体"/>
                <w:color w:val="auto"/>
                <w:sz w:val="24"/>
                <w:highlight w:val="none"/>
              </w:rPr>
              <w:t>根据投标产品应用培训方案的完整性，合理性等方面</w:t>
            </w:r>
            <w:r>
              <w:rPr>
                <w:rFonts w:hint="eastAsia" w:ascii="宋体" w:hAnsi="宋体" w:cs="宋体"/>
                <w:color w:val="auto"/>
                <w:kern w:val="0"/>
                <w:sz w:val="24"/>
                <w:highlight w:val="none"/>
                <w:lang w:val="en-US" w:eastAsia="zh-CN"/>
              </w:rPr>
              <w:t>进行</w:t>
            </w:r>
            <w:r>
              <w:rPr>
                <w:rFonts w:hint="eastAsia" w:ascii="宋体" w:hAnsi="宋体" w:cs="宋体"/>
                <w:color w:val="auto"/>
                <w:kern w:val="0"/>
                <w:sz w:val="24"/>
                <w:highlight w:val="none"/>
              </w:rPr>
              <w:t>打分</w:t>
            </w:r>
            <w:r>
              <w:rPr>
                <w:rFonts w:hint="eastAsia" w:ascii="宋体" w:hAnsi="宋体" w:cs="宋体"/>
                <w:color w:val="auto"/>
                <w:sz w:val="24"/>
                <w:highlight w:val="none"/>
              </w:rPr>
              <w:t>。无培训计划的不得分。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eastAsia="宋体" w:cs="宋体"/>
                <w:color w:val="auto"/>
                <w:sz w:val="24"/>
                <w:highlight w:val="none"/>
                <w:lang w:eastAsia="zh-CN"/>
              </w:rPr>
            </w:pPr>
            <w:r>
              <w:rPr>
                <w:rFonts w:hint="eastAsia" w:ascii="宋体" w:hAnsi="宋体" w:cs="宋体"/>
                <w:color w:val="auto"/>
                <w:sz w:val="24"/>
                <w:highlight w:val="none"/>
                <w:lang w:val="en-US" w:eastAsia="zh-CN"/>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48"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20</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7346"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Ansi="宋体" w:cs="宋体"/>
                <w:color w:val="auto"/>
                <w:sz w:val="24"/>
                <w:highlight w:val="none"/>
              </w:rPr>
            </w:pPr>
            <w:r>
              <w:rPr>
                <w:rFonts w:hint="eastAsia" w:hAnsi="宋体" w:cs="宋体"/>
                <w:color w:val="auto"/>
                <w:sz w:val="24"/>
                <w:highlight w:val="none"/>
              </w:rPr>
              <w:t>根据售后服务体系完善性、售后服务条款的针对性，</w:t>
            </w:r>
            <w:r>
              <w:rPr>
                <w:rFonts w:hint="eastAsia" w:ascii="宋体" w:hAnsi="宋体" w:cs="宋体"/>
                <w:color w:val="auto"/>
                <w:kern w:val="0"/>
                <w:sz w:val="24"/>
                <w:highlight w:val="none"/>
                <w:lang w:val="en-US" w:eastAsia="zh-CN"/>
              </w:rPr>
              <w:t>进行</w:t>
            </w:r>
            <w:r>
              <w:rPr>
                <w:rFonts w:hint="eastAsia" w:ascii="宋体" w:hAnsi="宋体" w:cs="宋体"/>
                <w:color w:val="auto"/>
                <w:kern w:val="0"/>
                <w:sz w:val="24"/>
                <w:highlight w:val="none"/>
              </w:rPr>
              <w:t>打分</w:t>
            </w:r>
            <w:r>
              <w:rPr>
                <w:rFonts w:hint="eastAsia" w:hAnsi="宋体" w:cs="宋体"/>
                <w:color w:val="auto"/>
                <w:sz w:val="24"/>
                <w:highlight w:val="none"/>
              </w:rPr>
              <w:t>。</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19"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21</w:t>
            </w:r>
          </w:p>
        </w:tc>
        <w:tc>
          <w:tcPr>
            <w:tcW w:w="4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1108" w:type="dxa"/>
            <w:vMerge w:val="continue"/>
            <w:tcBorders>
              <w:left w:val="single" w:color="auto" w:sz="4" w:space="0"/>
              <w:right w:val="single" w:color="auto" w:sz="4" w:space="0"/>
            </w:tcBorders>
            <w:noWrap w:val="0"/>
            <w:vAlign w:val="center"/>
          </w:tcPr>
          <w:p>
            <w:pPr>
              <w:spacing w:line="360" w:lineRule="auto"/>
              <w:jc w:val="center"/>
              <w:rPr>
                <w:rFonts w:hAnsi="宋体" w:cs="宋体"/>
                <w:color w:val="auto"/>
                <w:sz w:val="24"/>
                <w:highlight w:val="none"/>
              </w:rPr>
            </w:pPr>
          </w:p>
        </w:tc>
        <w:tc>
          <w:tcPr>
            <w:tcW w:w="7346"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Ansi="宋体" w:cs="宋体"/>
                <w:color w:val="auto"/>
                <w:sz w:val="24"/>
                <w:highlight w:val="none"/>
              </w:rPr>
            </w:pPr>
            <w:r>
              <w:rPr>
                <w:rFonts w:hint="eastAsia" w:hAnsi="宋体" w:cs="宋体"/>
                <w:color w:val="auto"/>
                <w:sz w:val="24"/>
                <w:highlight w:val="none"/>
              </w:rPr>
              <w:t>根据投标人提供售后服务的便捷性、维修响应时间的及时性，</w:t>
            </w:r>
            <w:r>
              <w:rPr>
                <w:rFonts w:hint="eastAsia" w:ascii="宋体" w:hAnsi="宋体" w:cs="宋体"/>
                <w:color w:val="auto"/>
                <w:kern w:val="0"/>
                <w:sz w:val="24"/>
                <w:highlight w:val="none"/>
                <w:lang w:val="en-US" w:eastAsia="zh-CN"/>
              </w:rPr>
              <w:t>进行</w:t>
            </w:r>
            <w:r>
              <w:rPr>
                <w:rFonts w:hint="eastAsia" w:hAnsi="宋体" w:cs="宋体"/>
                <w:color w:val="auto"/>
                <w:sz w:val="24"/>
                <w:highlight w:val="none"/>
              </w:rPr>
              <w:t>打分。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3"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rPr>
                <w:rFonts w:hint="default" w:ascii="宋体" w:hAnsi="宋体" w:eastAsia="宋体"/>
                <w:color w:val="auto"/>
                <w:sz w:val="24"/>
                <w:highlight w:val="none"/>
                <w:lang w:val="en-US" w:eastAsia="zh-CN"/>
              </w:rPr>
            </w:pPr>
            <w:r>
              <w:rPr>
                <w:rFonts w:hint="eastAsia" w:ascii="宋体" w:hAnsi="宋体"/>
                <w:color w:val="auto"/>
                <w:sz w:val="24"/>
                <w:highlight w:val="none"/>
                <w:lang w:val="en-US" w:eastAsia="zh-CN"/>
              </w:rPr>
              <w:t>22</w:t>
            </w:r>
          </w:p>
        </w:tc>
        <w:tc>
          <w:tcPr>
            <w:tcW w:w="1516"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hAnsi="宋体" w:cs="宋体"/>
                <w:color w:val="auto"/>
                <w:sz w:val="24"/>
                <w:highlight w:val="none"/>
              </w:rPr>
            </w:pPr>
            <w:r>
              <w:rPr>
                <w:rFonts w:hint="eastAsia" w:hAnsi="宋体" w:cs="宋体"/>
                <w:color w:val="auto"/>
                <w:sz w:val="24"/>
                <w:highlight w:val="none"/>
              </w:rPr>
              <w:t>环保节能</w:t>
            </w:r>
          </w:p>
          <w:p>
            <w:pPr>
              <w:spacing w:line="360" w:lineRule="auto"/>
              <w:jc w:val="center"/>
              <w:rPr>
                <w:rFonts w:hAnsi="宋体" w:cs="宋体"/>
                <w:color w:val="auto"/>
                <w:sz w:val="24"/>
                <w:highlight w:val="none"/>
              </w:rPr>
            </w:pPr>
            <w:r>
              <w:rPr>
                <w:rFonts w:hint="eastAsia" w:hAnsi="宋体" w:cs="宋体"/>
                <w:color w:val="auto"/>
                <w:sz w:val="24"/>
                <w:highlight w:val="none"/>
              </w:rPr>
              <w:t>产品</w:t>
            </w:r>
          </w:p>
        </w:tc>
        <w:tc>
          <w:tcPr>
            <w:tcW w:w="7346"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Ansi="宋体" w:cs="宋体"/>
                <w:color w:val="auto"/>
                <w:sz w:val="24"/>
                <w:highlight w:val="none"/>
              </w:rPr>
            </w:pPr>
            <w:r>
              <w:rPr>
                <w:rFonts w:hint="eastAsia" w:hAnsi="宋体" w:cs="宋体"/>
                <w:color w:val="auto"/>
                <w:sz w:val="24"/>
                <w:highlight w:val="none"/>
              </w:rPr>
              <w:t>1）投标产品列入财政部、发展改革委发布的节能产品品目清单的，提供国家市场监督管理总局公布的《参与实施政府采购节能产品认证机构名录》内的认证机构出具的、处于有效期之内的节能标志产品认证证书的，得</w:t>
            </w:r>
            <w:r>
              <w:rPr>
                <w:rFonts w:hint="eastAsia" w:hAnsi="宋体" w:cs="宋体"/>
                <w:color w:val="auto"/>
                <w:sz w:val="24"/>
                <w:highlight w:val="none"/>
                <w:lang w:val="en-US" w:eastAsia="zh-CN"/>
              </w:rPr>
              <w:t>0.5</w:t>
            </w:r>
            <w:r>
              <w:rPr>
                <w:rFonts w:hint="eastAsia" w:hAnsi="宋体" w:cs="宋体"/>
                <w:color w:val="auto"/>
                <w:sz w:val="24"/>
                <w:highlight w:val="none"/>
              </w:rPr>
              <w:t>分。</w:t>
            </w:r>
          </w:p>
          <w:p>
            <w:pPr>
              <w:spacing w:line="360" w:lineRule="auto"/>
              <w:rPr>
                <w:rFonts w:hAnsi="宋体" w:cs="宋体"/>
                <w:color w:val="auto"/>
                <w:sz w:val="24"/>
                <w:highlight w:val="none"/>
              </w:rPr>
            </w:pPr>
            <w:r>
              <w:rPr>
                <w:rFonts w:hint="eastAsia" w:hAnsi="宋体" w:cs="宋体"/>
                <w:color w:val="auto"/>
                <w:sz w:val="24"/>
                <w:highlight w:val="none"/>
              </w:rPr>
              <w:t>2）投标产品列入财政部、生态环境部发布的环境标志产品品目清单的，提供国家市场监督管理总局公布的《参与实施政府采购环境标志产品认证机构名录》内的认证机构出具的、处于有效期之内的环境标志产品认证证书，得</w:t>
            </w:r>
            <w:r>
              <w:rPr>
                <w:rFonts w:hint="eastAsia" w:hAnsi="宋体" w:cs="宋体"/>
                <w:color w:val="auto"/>
                <w:sz w:val="24"/>
                <w:highlight w:val="none"/>
                <w:lang w:val="en-US" w:eastAsia="zh-CN"/>
              </w:rPr>
              <w:t>0.5</w:t>
            </w:r>
            <w:r>
              <w:rPr>
                <w:rFonts w:hint="eastAsia" w:hAnsi="宋体" w:cs="宋体"/>
                <w:color w:val="auto"/>
                <w:sz w:val="24"/>
                <w:highlight w:val="none"/>
              </w:rPr>
              <w:t>分。</w:t>
            </w:r>
          </w:p>
        </w:tc>
        <w:tc>
          <w:tcPr>
            <w:tcW w:w="8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1</w:t>
            </w:r>
          </w:p>
        </w:tc>
      </w:tr>
    </w:tbl>
    <w:p>
      <w:pPr>
        <w:numPr>
          <w:ilvl w:val="0"/>
          <w:numId w:val="0"/>
        </w:numPr>
        <w:rPr>
          <w:rFonts w:hint="eastAsia"/>
          <w:color w:val="auto"/>
          <w:highlight w:val="none"/>
        </w:rPr>
      </w:pPr>
    </w:p>
    <w:p>
      <w:pPr>
        <w:pStyle w:val="3"/>
        <w:keepNext w:val="0"/>
        <w:keepLines w:val="0"/>
        <w:pageBreakBefore/>
        <w:numPr>
          <w:ilvl w:val="0"/>
          <w:numId w:val="21"/>
        </w:numPr>
        <w:spacing w:line="240" w:lineRule="auto"/>
        <w:jc w:val="center"/>
        <w:rPr>
          <w:rFonts w:hint="eastAsia" w:ascii="宋体" w:hAnsi="宋体" w:eastAsia="宋体" w:cs="宋体"/>
          <w:bCs w:val="0"/>
          <w:color w:val="auto"/>
          <w:sz w:val="32"/>
          <w:szCs w:val="32"/>
          <w:highlight w:val="none"/>
        </w:rPr>
      </w:pPr>
      <w:bookmarkStart w:id="60" w:name="_Toc21026"/>
      <w:r>
        <w:rPr>
          <w:rFonts w:hint="eastAsia" w:ascii="宋体" w:hAnsi="宋体" w:eastAsia="宋体" w:cs="宋体"/>
          <w:bCs w:val="0"/>
          <w:color w:val="auto"/>
          <w:sz w:val="32"/>
          <w:szCs w:val="32"/>
          <w:highlight w:val="none"/>
        </w:rPr>
        <w:t>合同主要条款</w:t>
      </w:r>
      <w:bookmarkEnd w:id="57"/>
      <w:bookmarkEnd w:id="60"/>
    </w:p>
    <w:p>
      <w:pPr>
        <w:spacing w:line="480" w:lineRule="auto"/>
        <w:jc w:val="center"/>
        <w:outlineLvl w:val="1"/>
        <w:rPr>
          <w:rFonts w:hint="eastAsia" w:ascii="宋体" w:hAnsi="宋体"/>
          <w:b/>
          <w:color w:val="auto"/>
          <w:sz w:val="36"/>
          <w:szCs w:val="32"/>
          <w:highlight w:val="none"/>
        </w:rPr>
      </w:pPr>
      <w:bookmarkStart w:id="61" w:name="_Toc6142"/>
      <w:bookmarkStart w:id="62" w:name="_Toc9779"/>
      <w:bookmarkStart w:id="63" w:name="_Toc7487"/>
      <w:r>
        <w:rPr>
          <w:rFonts w:hint="eastAsia" w:ascii="宋体" w:hAnsi="宋体"/>
          <w:b/>
          <w:color w:val="auto"/>
          <w:sz w:val="36"/>
          <w:szCs w:val="32"/>
          <w:highlight w:val="none"/>
        </w:rPr>
        <w:t>东阳市政府采购合同（样本）</w:t>
      </w:r>
      <w:bookmarkEnd w:id="61"/>
      <w:bookmarkEnd w:id="62"/>
      <w:bookmarkEnd w:id="63"/>
    </w:p>
    <w:p>
      <w:pPr>
        <w:snapToGrid w:val="0"/>
        <w:spacing w:before="120" w:after="120" w:line="400" w:lineRule="exact"/>
        <w:rPr>
          <w:rFonts w:ascii="宋体" w:hAnsi="宋体"/>
          <w:color w:val="auto"/>
          <w:sz w:val="24"/>
          <w:szCs w:val="24"/>
          <w:highlight w:val="none"/>
        </w:rPr>
      </w:pPr>
      <w:r>
        <w:rPr>
          <w:rFonts w:ascii="宋体" w:hAnsi="宋体"/>
          <w:color w:val="auto"/>
          <w:sz w:val="24"/>
          <w:szCs w:val="24"/>
          <w:highlight w:val="none"/>
        </w:rPr>
        <w:t>项目名称：                   项目编号：</w:t>
      </w:r>
      <w:r>
        <w:rPr>
          <w:rFonts w:hint="eastAsia" w:ascii="宋体" w:hAnsi="宋体"/>
          <w:color w:val="auto"/>
          <w:sz w:val="24"/>
          <w:szCs w:val="24"/>
          <w:highlight w:val="none"/>
        </w:rPr>
        <w:t xml:space="preserve">               合同号：</w:t>
      </w:r>
    </w:p>
    <w:p>
      <w:pPr>
        <w:snapToGrid w:val="0"/>
        <w:spacing w:before="120" w:after="120" w:line="400" w:lineRule="exact"/>
        <w:rPr>
          <w:rFonts w:ascii="宋体" w:hAnsi="宋体"/>
          <w:color w:val="auto"/>
          <w:sz w:val="24"/>
          <w:szCs w:val="24"/>
          <w:highlight w:val="none"/>
        </w:rPr>
      </w:pPr>
      <w:r>
        <w:rPr>
          <w:rFonts w:ascii="宋体" w:hAnsi="宋体"/>
          <w:color w:val="auto"/>
          <w:sz w:val="24"/>
          <w:szCs w:val="24"/>
          <w:highlight w:val="none"/>
        </w:rPr>
        <w:t>甲方（买方）</w:t>
      </w:r>
      <w:r>
        <w:rPr>
          <w:rFonts w:hint="eastAsia" w:ascii="宋体" w:hAnsi="宋体"/>
          <w:color w:val="auto"/>
          <w:sz w:val="24"/>
          <w:szCs w:val="24"/>
          <w:highlight w:val="none"/>
        </w:rPr>
        <w:t>：</w:t>
      </w:r>
    </w:p>
    <w:p>
      <w:pPr>
        <w:snapToGrid w:val="0"/>
        <w:spacing w:before="120" w:after="120" w:line="400" w:lineRule="exact"/>
        <w:rPr>
          <w:rFonts w:ascii="宋体" w:hAnsi="宋体"/>
          <w:color w:val="auto"/>
          <w:sz w:val="24"/>
          <w:szCs w:val="24"/>
          <w:highlight w:val="none"/>
        </w:rPr>
      </w:pPr>
      <w:r>
        <w:rPr>
          <w:rFonts w:ascii="宋体" w:hAnsi="宋体"/>
          <w:color w:val="auto"/>
          <w:sz w:val="24"/>
          <w:szCs w:val="24"/>
          <w:highlight w:val="none"/>
        </w:rPr>
        <w:t>乙方（卖方）</w:t>
      </w:r>
      <w:r>
        <w:rPr>
          <w:rFonts w:hint="eastAsia" w:ascii="宋体" w:hAnsi="宋体"/>
          <w:color w:val="auto"/>
          <w:sz w:val="24"/>
          <w:szCs w:val="24"/>
          <w:highlight w:val="none"/>
        </w:rPr>
        <w:t>：</w:t>
      </w:r>
    </w:p>
    <w:p>
      <w:pPr>
        <w:snapToGrid w:val="0"/>
        <w:spacing w:before="120" w:after="120" w:line="400" w:lineRule="exact"/>
        <w:rPr>
          <w:rFonts w:ascii="宋体" w:hAnsi="宋体"/>
          <w:color w:val="auto"/>
          <w:sz w:val="24"/>
          <w:szCs w:val="24"/>
          <w:highlight w:val="none"/>
        </w:rPr>
      </w:pPr>
      <w:r>
        <w:rPr>
          <w:rFonts w:hint="eastAsia" w:ascii="宋体" w:hAnsi="宋体"/>
          <w:color w:val="auto"/>
          <w:sz w:val="24"/>
          <w:szCs w:val="24"/>
          <w:highlight w:val="none"/>
        </w:rPr>
        <w:t>鉴证方（招标方）：</w:t>
      </w:r>
    </w:p>
    <w:p>
      <w:pPr>
        <w:snapToGrid w:val="0"/>
        <w:spacing w:before="120" w:after="120" w:line="400" w:lineRule="exact"/>
        <w:ind w:firstLine="495"/>
        <w:rPr>
          <w:rFonts w:ascii="宋体" w:hAnsi="宋体"/>
          <w:color w:val="auto"/>
          <w:sz w:val="24"/>
          <w:szCs w:val="24"/>
          <w:highlight w:val="none"/>
          <w:u w:val="single"/>
        </w:rPr>
      </w:pPr>
      <w:r>
        <w:rPr>
          <w:rFonts w:hint="eastAsia" w:ascii="宋体" w:hAnsi="宋体"/>
          <w:color w:val="auto"/>
          <w:sz w:val="24"/>
          <w:szCs w:val="24"/>
          <w:highlight w:val="none"/>
        </w:rPr>
        <w:t>甲、乙双方根据</w:t>
      </w:r>
      <w:r>
        <w:rPr>
          <w:rFonts w:hint="eastAsia" w:ascii="宋体" w:hAnsi="宋体"/>
          <w:color w:val="auto"/>
          <w:sz w:val="24"/>
          <w:szCs w:val="24"/>
          <w:highlight w:val="none"/>
          <w:u w:val="single"/>
        </w:rPr>
        <w:t xml:space="preserve">     </w:t>
      </w:r>
      <w:r>
        <w:rPr>
          <w:rFonts w:hint="eastAsia" w:ascii="宋体" w:hAnsi="宋体"/>
          <w:color w:val="auto"/>
          <w:sz w:val="24"/>
          <w:szCs w:val="24"/>
          <w:highlight w:val="none"/>
        </w:rPr>
        <w:t>年</w:t>
      </w:r>
      <w:r>
        <w:rPr>
          <w:rFonts w:hint="eastAsia" w:ascii="宋体" w:hAnsi="宋体"/>
          <w:color w:val="auto"/>
          <w:sz w:val="24"/>
          <w:szCs w:val="24"/>
          <w:highlight w:val="none"/>
          <w:u w:val="single"/>
        </w:rPr>
        <w:t xml:space="preserve">  </w:t>
      </w:r>
      <w:r>
        <w:rPr>
          <w:rFonts w:hint="eastAsia" w:ascii="宋体" w:hAnsi="宋体"/>
          <w:color w:val="auto"/>
          <w:sz w:val="24"/>
          <w:szCs w:val="24"/>
          <w:highlight w:val="none"/>
        </w:rPr>
        <w:t>月</w:t>
      </w:r>
      <w:r>
        <w:rPr>
          <w:rFonts w:hint="eastAsia" w:ascii="宋体" w:hAnsi="宋体"/>
          <w:color w:val="auto"/>
          <w:sz w:val="24"/>
          <w:szCs w:val="24"/>
          <w:highlight w:val="none"/>
          <w:u w:val="single"/>
        </w:rPr>
        <w:t xml:space="preserve">  </w:t>
      </w:r>
      <w:r>
        <w:rPr>
          <w:rFonts w:hint="eastAsia" w:ascii="宋体" w:hAnsi="宋体"/>
          <w:color w:val="auto"/>
          <w:sz w:val="24"/>
          <w:szCs w:val="24"/>
          <w:highlight w:val="none"/>
        </w:rPr>
        <w:t>日东阳市鑫盛工程咨询有限公司关于</w:t>
      </w:r>
      <w:r>
        <w:rPr>
          <w:rFonts w:hint="eastAsia" w:ascii="宋体" w:hAnsi="宋体"/>
          <w:color w:val="auto"/>
          <w:sz w:val="24"/>
          <w:szCs w:val="24"/>
          <w:highlight w:val="none"/>
          <w:u w:val="single"/>
        </w:rPr>
        <w:t xml:space="preserve">              </w:t>
      </w:r>
      <w:r>
        <w:rPr>
          <w:rFonts w:hint="eastAsia" w:ascii="宋体" w:hAnsi="宋体"/>
          <w:color w:val="auto"/>
          <w:sz w:val="24"/>
          <w:szCs w:val="24"/>
          <w:highlight w:val="none"/>
        </w:rPr>
        <w:t>项目公开招标的结果，签署本合同。</w:t>
      </w:r>
    </w:p>
    <w:p>
      <w:pPr>
        <w:snapToGrid w:val="0"/>
        <w:spacing w:before="120" w:after="120" w:line="400" w:lineRule="exact"/>
        <w:rPr>
          <w:rFonts w:ascii="宋体" w:hAnsi="宋体"/>
          <w:b/>
          <w:color w:val="auto"/>
          <w:sz w:val="24"/>
          <w:szCs w:val="24"/>
          <w:highlight w:val="none"/>
        </w:rPr>
      </w:pPr>
      <w:r>
        <w:rPr>
          <w:rFonts w:ascii="宋体" w:hAnsi="宋体"/>
          <w:b/>
          <w:color w:val="auto"/>
          <w:sz w:val="24"/>
          <w:szCs w:val="24"/>
          <w:highlight w:val="none"/>
        </w:rPr>
        <w:t>一、服务内容</w:t>
      </w:r>
      <w:r>
        <w:rPr>
          <w:rFonts w:hint="eastAsia" w:ascii="宋体" w:hAnsi="宋体"/>
          <w:b/>
          <w:color w:val="auto"/>
          <w:sz w:val="24"/>
          <w:szCs w:val="24"/>
          <w:highlight w:val="none"/>
        </w:rPr>
        <w:t>：</w:t>
      </w:r>
    </w:p>
    <w:p>
      <w:pPr>
        <w:snapToGrid w:val="0"/>
        <w:spacing w:before="120" w:after="120" w:line="400" w:lineRule="exact"/>
        <w:rPr>
          <w:rFonts w:hint="eastAsia" w:ascii="宋体" w:hAnsi="宋体" w:eastAsia="宋体"/>
          <w:b/>
          <w:color w:val="auto"/>
          <w:sz w:val="24"/>
          <w:szCs w:val="24"/>
          <w:highlight w:val="none"/>
          <w:lang w:eastAsia="zh-CN"/>
        </w:rPr>
      </w:pPr>
      <w:r>
        <w:rPr>
          <w:rFonts w:ascii="宋体" w:hAnsi="宋体"/>
          <w:b/>
          <w:color w:val="auto"/>
          <w:sz w:val="24"/>
          <w:szCs w:val="24"/>
          <w:highlight w:val="none"/>
        </w:rPr>
        <w:t>二、</w:t>
      </w:r>
      <w:r>
        <w:rPr>
          <w:rFonts w:hint="eastAsia" w:ascii="宋体" w:hAnsi="宋体"/>
          <w:b/>
          <w:color w:val="auto"/>
          <w:sz w:val="24"/>
          <w:szCs w:val="24"/>
          <w:highlight w:val="none"/>
          <w:lang w:val="en-US" w:eastAsia="zh-CN"/>
        </w:rPr>
        <w:t>合同金额</w:t>
      </w:r>
      <w:r>
        <w:rPr>
          <w:rFonts w:hint="eastAsia" w:ascii="宋体" w:hAnsi="宋体"/>
          <w:b/>
          <w:color w:val="auto"/>
          <w:sz w:val="24"/>
          <w:szCs w:val="24"/>
          <w:highlight w:val="none"/>
          <w:lang w:eastAsia="zh-CN"/>
        </w:rPr>
        <w:t>：</w:t>
      </w:r>
    </w:p>
    <w:p>
      <w:pPr>
        <w:snapToGrid w:val="0"/>
        <w:spacing w:before="120" w:after="120" w:line="400" w:lineRule="exact"/>
        <w:rPr>
          <w:rFonts w:ascii="宋体" w:hAnsi="宋体"/>
          <w:b/>
          <w:color w:val="auto"/>
          <w:sz w:val="24"/>
          <w:szCs w:val="24"/>
          <w:highlight w:val="none"/>
        </w:rPr>
      </w:pPr>
      <w:r>
        <w:rPr>
          <w:rFonts w:ascii="宋体" w:hAnsi="宋体"/>
          <w:b/>
          <w:color w:val="auto"/>
          <w:sz w:val="24"/>
          <w:szCs w:val="24"/>
          <w:highlight w:val="none"/>
        </w:rPr>
        <w:t>三、技术资料</w:t>
      </w:r>
    </w:p>
    <w:p>
      <w:pPr>
        <w:snapToGrid w:val="0"/>
        <w:spacing w:before="120" w:after="120" w:line="400" w:lineRule="exact"/>
        <w:ind w:left="410" w:hanging="410"/>
        <w:rPr>
          <w:rFonts w:ascii="宋体" w:hAnsi="宋体"/>
          <w:color w:val="auto"/>
          <w:sz w:val="24"/>
          <w:szCs w:val="24"/>
          <w:highlight w:val="none"/>
        </w:rPr>
      </w:pPr>
      <w:r>
        <w:rPr>
          <w:rFonts w:ascii="宋体" w:hAnsi="宋体"/>
          <w:color w:val="auto"/>
          <w:sz w:val="24"/>
          <w:szCs w:val="24"/>
          <w:highlight w:val="none"/>
        </w:rPr>
        <w:t>1</w:t>
      </w:r>
      <w:r>
        <w:rPr>
          <w:rFonts w:hint="eastAsia" w:ascii="宋体" w:hAnsi="宋体"/>
          <w:color w:val="auto"/>
          <w:sz w:val="24"/>
          <w:szCs w:val="24"/>
          <w:highlight w:val="none"/>
        </w:rPr>
        <w:t xml:space="preserve">. </w:t>
      </w:r>
      <w:r>
        <w:rPr>
          <w:rFonts w:ascii="宋体" w:hAnsi="宋体"/>
          <w:color w:val="auto"/>
          <w:sz w:val="24"/>
          <w:szCs w:val="24"/>
          <w:highlight w:val="none"/>
        </w:rPr>
        <w:t>乙方应按招标文件规定的时间向甲方提供有关技术资料。</w:t>
      </w:r>
    </w:p>
    <w:p>
      <w:pPr>
        <w:snapToGrid w:val="0"/>
        <w:spacing w:before="120" w:after="120" w:line="400" w:lineRule="exact"/>
        <w:ind w:left="410" w:hanging="410"/>
        <w:rPr>
          <w:rFonts w:ascii="宋体" w:hAnsi="宋体"/>
          <w:color w:val="auto"/>
          <w:sz w:val="24"/>
          <w:szCs w:val="24"/>
          <w:highlight w:val="none"/>
        </w:rPr>
      </w:pPr>
      <w:r>
        <w:rPr>
          <w:rFonts w:ascii="宋体" w:hAnsi="宋体"/>
          <w:color w:val="auto"/>
          <w:sz w:val="24"/>
          <w:szCs w:val="24"/>
          <w:highlight w:val="none"/>
        </w:rPr>
        <w:t>2</w:t>
      </w:r>
      <w:r>
        <w:rPr>
          <w:rFonts w:hint="eastAsia" w:ascii="宋体" w:hAnsi="宋体"/>
          <w:color w:val="auto"/>
          <w:sz w:val="24"/>
          <w:szCs w:val="24"/>
          <w:highlight w:val="none"/>
        </w:rPr>
        <w:t xml:space="preserve">. </w:t>
      </w:r>
      <w:r>
        <w:rPr>
          <w:rFonts w:ascii="宋体" w:hAnsi="宋体"/>
          <w:color w:val="auto"/>
          <w:sz w:val="24"/>
          <w:szCs w:val="24"/>
          <w:highlight w:val="none"/>
        </w:rPr>
        <w:t>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pPr>
        <w:snapToGrid w:val="0"/>
        <w:spacing w:before="120" w:after="120" w:line="400" w:lineRule="exact"/>
        <w:ind w:left="410" w:hanging="410"/>
        <w:rPr>
          <w:rFonts w:ascii="宋体" w:hAnsi="宋体"/>
          <w:b/>
          <w:color w:val="auto"/>
          <w:sz w:val="24"/>
          <w:szCs w:val="24"/>
          <w:highlight w:val="none"/>
        </w:rPr>
      </w:pPr>
      <w:r>
        <w:rPr>
          <w:rFonts w:ascii="宋体" w:hAnsi="宋体"/>
          <w:b/>
          <w:color w:val="auto"/>
          <w:sz w:val="24"/>
          <w:szCs w:val="24"/>
          <w:highlight w:val="none"/>
        </w:rPr>
        <w:t>四、知识产权</w:t>
      </w:r>
    </w:p>
    <w:p>
      <w:pPr>
        <w:snapToGrid w:val="0"/>
        <w:spacing w:before="120" w:after="120" w:line="400" w:lineRule="exact"/>
        <w:ind w:left="410" w:hanging="410"/>
        <w:rPr>
          <w:rFonts w:ascii="宋体" w:hAnsi="宋体"/>
          <w:b w:val="0"/>
          <w:bCs w:val="0"/>
          <w:color w:val="auto"/>
          <w:sz w:val="24"/>
          <w:szCs w:val="24"/>
          <w:highlight w:val="none"/>
        </w:rPr>
      </w:pPr>
      <w:r>
        <w:rPr>
          <w:rFonts w:ascii="宋体" w:hAnsi="宋体"/>
          <w:color w:val="auto"/>
          <w:sz w:val="24"/>
          <w:szCs w:val="24"/>
          <w:highlight w:val="none"/>
        </w:rPr>
        <w:t>乙方应保证提供服务过程中不会侵犯任何第三</w:t>
      </w:r>
      <w:r>
        <w:rPr>
          <w:rFonts w:ascii="宋体" w:hAnsi="宋体"/>
          <w:b w:val="0"/>
          <w:bCs w:val="0"/>
          <w:color w:val="auto"/>
          <w:sz w:val="24"/>
          <w:szCs w:val="24"/>
          <w:highlight w:val="none"/>
        </w:rPr>
        <w:t>方的知识产权。</w:t>
      </w:r>
    </w:p>
    <w:p>
      <w:pPr>
        <w:snapToGrid w:val="0"/>
        <w:spacing w:before="120" w:after="120" w:line="400" w:lineRule="exact"/>
        <w:ind w:left="410" w:hanging="410"/>
        <w:rPr>
          <w:rFonts w:ascii="宋体" w:hAnsi="宋体"/>
          <w:b w:val="0"/>
          <w:bCs w:val="0"/>
          <w:color w:val="auto"/>
          <w:sz w:val="24"/>
          <w:szCs w:val="24"/>
          <w:highlight w:val="none"/>
        </w:rPr>
      </w:pPr>
      <w:r>
        <w:rPr>
          <w:rFonts w:hint="eastAsia" w:ascii="宋体" w:hAnsi="宋体"/>
          <w:b w:val="0"/>
          <w:bCs w:val="0"/>
          <w:color w:val="auto"/>
          <w:sz w:val="24"/>
          <w:szCs w:val="24"/>
          <w:highlight w:val="none"/>
        </w:rPr>
        <w:t>若乙方提供的服务或资料侵犯他人知识产权的，则乙方承担相应赔偿责任。</w:t>
      </w:r>
    </w:p>
    <w:p>
      <w:pPr>
        <w:snapToGrid w:val="0"/>
        <w:spacing w:before="120" w:after="120" w:line="400" w:lineRule="exact"/>
        <w:ind w:left="408" w:hanging="408"/>
        <w:rPr>
          <w:rFonts w:hint="default" w:ascii="宋体" w:hAnsi="宋体" w:eastAsia="宋体"/>
          <w:b/>
          <w:color w:val="auto"/>
          <w:sz w:val="24"/>
          <w:szCs w:val="24"/>
          <w:highlight w:val="none"/>
          <w:lang w:val="en-US" w:eastAsia="zh-CN"/>
        </w:rPr>
      </w:pPr>
      <w:r>
        <w:rPr>
          <w:rFonts w:hint="eastAsia" w:ascii="宋体" w:hAnsi="宋体"/>
          <w:b/>
          <w:color w:val="auto"/>
          <w:sz w:val="24"/>
          <w:szCs w:val="24"/>
          <w:highlight w:val="none"/>
        </w:rPr>
        <w:t>五</w:t>
      </w:r>
      <w:r>
        <w:rPr>
          <w:rFonts w:ascii="宋体" w:hAnsi="宋体"/>
          <w:b/>
          <w:color w:val="auto"/>
          <w:sz w:val="24"/>
          <w:szCs w:val="24"/>
          <w:highlight w:val="none"/>
        </w:rPr>
        <w:t>、履约保证金</w:t>
      </w:r>
      <w:r>
        <w:rPr>
          <w:rFonts w:hint="eastAsia" w:ascii="宋体" w:hAnsi="宋体"/>
          <w:b/>
          <w:color w:val="auto"/>
          <w:sz w:val="24"/>
          <w:szCs w:val="24"/>
          <w:highlight w:val="none"/>
          <w:lang w:eastAsia="zh-CN"/>
        </w:rPr>
        <w:t>：</w:t>
      </w:r>
      <w:r>
        <w:rPr>
          <w:rFonts w:hint="eastAsia" w:ascii="宋体" w:hAnsi="宋体"/>
          <w:b/>
          <w:color w:val="auto"/>
          <w:sz w:val="24"/>
          <w:szCs w:val="24"/>
          <w:highlight w:val="none"/>
          <w:lang w:val="en-US" w:eastAsia="zh-CN"/>
        </w:rPr>
        <w:t>/</w:t>
      </w:r>
    </w:p>
    <w:p>
      <w:pPr>
        <w:snapToGrid w:val="0"/>
        <w:spacing w:before="120" w:after="120" w:line="400" w:lineRule="exact"/>
        <w:rPr>
          <w:rFonts w:ascii="宋体" w:hAnsi="宋体"/>
          <w:b/>
          <w:color w:val="auto"/>
          <w:sz w:val="24"/>
          <w:szCs w:val="24"/>
          <w:highlight w:val="none"/>
        </w:rPr>
      </w:pPr>
      <w:r>
        <w:rPr>
          <w:rFonts w:hint="eastAsia" w:ascii="宋体" w:hAnsi="宋体"/>
          <w:b/>
          <w:color w:val="auto"/>
          <w:sz w:val="24"/>
          <w:szCs w:val="24"/>
          <w:highlight w:val="none"/>
        </w:rPr>
        <w:t>六、转包</w:t>
      </w:r>
    </w:p>
    <w:p>
      <w:pPr>
        <w:snapToGrid w:val="0"/>
        <w:spacing w:before="120" w:after="120" w:line="400" w:lineRule="exact"/>
        <w:rPr>
          <w:rFonts w:ascii="宋体" w:hAnsi="宋体"/>
          <w:color w:val="auto"/>
          <w:sz w:val="24"/>
          <w:szCs w:val="24"/>
          <w:highlight w:val="none"/>
        </w:rPr>
      </w:pPr>
      <w:r>
        <w:rPr>
          <w:rFonts w:hint="eastAsia" w:ascii="宋体" w:hAnsi="宋体"/>
          <w:color w:val="auto"/>
          <w:sz w:val="24"/>
          <w:szCs w:val="24"/>
          <w:highlight w:val="none"/>
        </w:rPr>
        <w:t>1.本合同范围的服务，应由乙方直接供应，不得转让他人供应；</w:t>
      </w:r>
    </w:p>
    <w:p>
      <w:pPr>
        <w:snapToGrid w:val="0"/>
        <w:spacing w:before="120" w:after="120" w:line="400" w:lineRule="exact"/>
        <w:ind w:left="410" w:hanging="410"/>
        <w:rPr>
          <w:rFonts w:ascii="宋体" w:hAnsi="宋体"/>
          <w:color w:val="auto"/>
          <w:sz w:val="24"/>
          <w:szCs w:val="24"/>
          <w:highlight w:val="none"/>
        </w:rPr>
      </w:pPr>
      <w:r>
        <w:rPr>
          <w:rFonts w:hint="eastAsia" w:ascii="宋体" w:hAnsi="宋体"/>
          <w:color w:val="auto"/>
          <w:sz w:val="24"/>
          <w:szCs w:val="24"/>
          <w:highlight w:val="none"/>
        </w:rPr>
        <w:t>2. 如发现转包行为，甲方有权解除合同，并追究乙方的违约责任。</w:t>
      </w:r>
    </w:p>
    <w:p>
      <w:pPr>
        <w:snapToGrid w:val="0"/>
        <w:spacing w:before="120" w:after="120" w:line="400" w:lineRule="exact"/>
        <w:rPr>
          <w:rFonts w:ascii="宋体" w:hAnsi="宋体"/>
          <w:b/>
          <w:color w:val="auto"/>
          <w:sz w:val="24"/>
          <w:szCs w:val="24"/>
          <w:highlight w:val="none"/>
        </w:rPr>
      </w:pPr>
      <w:r>
        <w:rPr>
          <w:rFonts w:hint="eastAsia" w:ascii="宋体" w:hAnsi="宋体"/>
          <w:b/>
          <w:color w:val="auto"/>
          <w:sz w:val="24"/>
          <w:szCs w:val="24"/>
          <w:highlight w:val="none"/>
        </w:rPr>
        <w:t>七</w:t>
      </w:r>
      <w:r>
        <w:rPr>
          <w:rFonts w:ascii="宋体" w:hAnsi="宋体"/>
          <w:b/>
          <w:color w:val="auto"/>
          <w:sz w:val="24"/>
          <w:szCs w:val="24"/>
          <w:highlight w:val="none"/>
        </w:rPr>
        <w:t>、合同履行时间、履行方式及履行地点</w:t>
      </w:r>
    </w:p>
    <w:p>
      <w:pPr>
        <w:snapToGrid w:val="0"/>
        <w:spacing w:before="120" w:after="120" w:line="400" w:lineRule="exact"/>
        <w:rPr>
          <w:rFonts w:ascii="宋体" w:hAnsi="宋体"/>
          <w:bCs/>
          <w:color w:val="auto"/>
          <w:sz w:val="24"/>
          <w:szCs w:val="24"/>
          <w:highlight w:val="none"/>
        </w:rPr>
      </w:pPr>
      <w:r>
        <w:rPr>
          <w:rFonts w:ascii="宋体" w:hAnsi="宋体"/>
          <w:bCs/>
          <w:color w:val="auto"/>
          <w:sz w:val="24"/>
          <w:szCs w:val="24"/>
          <w:highlight w:val="none"/>
        </w:rPr>
        <w:t>1</w:t>
      </w:r>
      <w:r>
        <w:rPr>
          <w:rFonts w:hint="eastAsia" w:ascii="宋体" w:hAnsi="宋体"/>
          <w:bCs/>
          <w:color w:val="auto"/>
          <w:sz w:val="24"/>
          <w:szCs w:val="24"/>
          <w:highlight w:val="none"/>
        </w:rPr>
        <w:t>.</w:t>
      </w:r>
      <w:r>
        <w:rPr>
          <w:rFonts w:ascii="宋体" w:hAnsi="宋体"/>
          <w:bCs/>
          <w:color w:val="auto"/>
          <w:sz w:val="24"/>
          <w:szCs w:val="24"/>
          <w:highlight w:val="none"/>
        </w:rPr>
        <w:t xml:space="preserve"> </w:t>
      </w:r>
      <w:r>
        <w:rPr>
          <w:rFonts w:ascii="宋体" w:hAnsi="宋体"/>
          <w:color w:val="auto"/>
          <w:sz w:val="24"/>
          <w:szCs w:val="24"/>
          <w:highlight w:val="none"/>
        </w:rPr>
        <w:t>履行时间</w:t>
      </w:r>
      <w:r>
        <w:rPr>
          <w:rFonts w:ascii="宋体" w:hAnsi="宋体"/>
          <w:bCs/>
          <w:color w:val="auto"/>
          <w:sz w:val="24"/>
          <w:szCs w:val="24"/>
          <w:highlight w:val="none"/>
        </w:rPr>
        <w:t>：</w:t>
      </w:r>
    </w:p>
    <w:p>
      <w:pPr>
        <w:snapToGrid w:val="0"/>
        <w:spacing w:before="120" w:after="120" w:line="400" w:lineRule="exact"/>
        <w:rPr>
          <w:rFonts w:ascii="宋体" w:hAnsi="宋体"/>
          <w:bCs/>
          <w:color w:val="auto"/>
          <w:sz w:val="24"/>
          <w:szCs w:val="24"/>
          <w:highlight w:val="none"/>
        </w:rPr>
      </w:pPr>
      <w:r>
        <w:rPr>
          <w:rFonts w:ascii="宋体" w:hAnsi="宋体"/>
          <w:bCs/>
          <w:color w:val="auto"/>
          <w:sz w:val="24"/>
          <w:szCs w:val="24"/>
          <w:highlight w:val="none"/>
        </w:rPr>
        <w:t>2</w:t>
      </w:r>
      <w:r>
        <w:rPr>
          <w:rFonts w:hint="eastAsia" w:ascii="宋体" w:hAnsi="宋体"/>
          <w:bCs/>
          <w:color w:val="auto"/>
          <w:sz w:val="24"/>
          <w:szCs w:val="24"/>
          <w:highlight w:val="none"/>
        </w:rPr>
        <w:t>.</w:t>
      </w:r>
      <w:r>
        <w:rPr>
          <w:rFonts w:ascii="宋体" w:hAnsi="宋体"/>
          <w:bCs/>
          <w:color w:val="auto"/>
          <w:sz w:val="24"/>
          <w:szCs w:val="24"/>
          <w:highlight w:val="none"/>
        </w:rPr>
        <w:t xml:space="preserve"> </w:t>
      </w:r>
      <w:r>
        <w:rPr>
          <w:rFonts w:ascii="宋体" w:hAnsi="宋体"/>
          <w:color w:val="auto"/>
          <w:sz w:val="24"/>
          <w:szCs w:val="24"/>
          <w:highlight w:val="none"/>
        </w:rPr>
        <w:t>履行方式</w:t>
      </w:r>
      <w:r>
        <w:rPr>
          <w:rFonts w:ascii="宋体" w:hAnsi="宋体"/>
          <w:bCs/>
          <w:color w:val="auto"/>
          <w:sz w:val="24"/>
          <w:szCs w:val="24"/>
          <w:highlight w:val="none"/>
        </w:rPr>
        <w:t>：</w:t>
      </w:r>
    </w:p>
    <w:p>
      <w:pPr>
        <w:snapToGrid w:val="0"/>
        <w:spacing w:before="120" w:after="120" w:line="400" w:lineRule="exact"/>
        <w:rPr>
          <w:rFonts w:ascii="宋体" w:hAnsi="宋体"/>
          <w:color w:val="auto"/>
          <w:sz w:val="24"/>
          <w:szCs w:val="24"/>
          <w:highlight w:val="none"/>
        </w:rPr>
      </w:pPr>
      <w:r>
        <w:rPr>
          <w:rFonts w:ascii="宋体" w:hAnsi="宋体"/>
          <w:bCs/>
          <w:color w:val="auto"/>
          <w:sz w:val="24"/>
          <w:szCs w:val="24"/>
          <w:highlight w:val="none"/>
        </w:rPr>
        <w:t>3</w:t>
      </w:r>
      <w:r>
        <w:rPr>
          <w:rFonts w:hint="eastAsia" w:ascii="宋体" w:hAnsi="宋体"/>
          <w:bCs/>
          <w:color w:val="auto"/>
          <w:sz w:val="24"/>
          <w:szCs w:val="24"/>
          <w:highlight w:val="none"/>
        </w:rPr>
        <w:t>.</w:t>
      </w:r>
      <w:r>
        <w:rPr>
          <w:rFonts w:ascii="宋体" w:hAnsi="宋体"/>
          <w:bCs/>
          <w:color w:val="auto"/>
          <w:sz w:val="24"/>
          <w:szCs w:val="24"/>
          <w:highlight w:val="none"/>
        </w:rPr>
        <w:t xml:space="preserve"> </w:t>
      </w:r>
      <w:r>
        <w:rPr>
          <w:rFonts w:ascii="宋体" w:hAnsi="宋体"/>
          <w:color w:val="auto"/>
          <w:sz w:val="24"/>
          <w:szCs w:val="24"/>
          <w:highlight w:val="none"/>
        </w:rPr>
        <w:t>履行地点</w:t>
      </w:r>
      <w:r>
        <w:rPr>
          <w:rFonts w:ascii="宋体" w:hAnsi="宋体"/>
          <w:bCs/>
          <w:color w:val="auto"/>
          <w:sz w:val="24"/>
          <w:szCs w:val="24"/>
          <w:highlight w:val="none"/>
        </w:rPr>
        <w:t>：</w:t>
      </w:r>
    </w:p>
    <w:p>
      <w:pPr>
        <w:snapToGrid w:val="0"/>
        <w:spacing w:before="120" w:after="120" w:line="400" w:lineRule="exact"/>
        <w:rPr>
          <w:rFonts w:ascii="宋体" w:hAnsi="宋体"/>
          <w:b/>
          <w:color w:val="auto"/>
          <w:sz w:val="24"/>
          <w:szCs w:val="24"/>
          <w:highlight w:val="none"/>
        </w:rPr>
      </w:pPr>
      <w:r>
        <w:rPr>
          <w:rFonts w:hint="eastAsia" w:ascii="宋体" w:hAnsi="宋体"/>
          <w:b/>
          <w:color w:val="auto"/>
          <w:sz w:val="24"/>
          <w:szCs w:val="24"/>
          <w:highlight w:val="none"/>
        </w:rPr>
        <w:t>八</w:t>
      </w:r>
      <w:r>
        <w:rPr>
          <w:rFonts w:ascii="宋体" w:hAnsi="宋体"/>
          <w:b/>
          <w:color w:val="auto"/>
          <w:sz w:val="24"/>
          <w:szCs w:val="24"/>
          <w:highlight w:val="none"/>
        </w:rPr>
        <w:t>、付款方式</w:t>
      </w:r>
      <w:r>
        <w:rPr>
          <w:rFonts w:hint="eastAsia" w:ascii="宋体" w:hAnsi="宋体"/>
          <w:b/>
          <w:color w:val="auto"/>
          <w:sz w:val="24"/>
          <w:szCs w:val="24"/>
          <w:highlight w:val="none"/>
        </w:rPr>
        <w:t>：</w:t>
      </w:r>
    </w:p>
    <w:p>
      <w:pPr>
        <w:snapToGrid w:val="0"/>
        <w:spacing w:before="120" w:after="120" w:line="400" w:lineRule="exact"/>
        <w:rPr>
          <w:rFonts w:ascii="宋体" w:hAnsi="宋体"/>
          <w:b/>
          <w:color w:val="auto"/>
          <w:sz w:val="24"/>
          <w:szCs w:val="24"/>
          <w:highlight w:val="none"/>
        </w:rPr>
      </w:pPr>
      <w:r>
        <w:rPr>
          <w:rFonts w:hint="eastAsia" w:ascii="宋体" w:hAnsi="宋体"/>
          <w:b/>
          <w:color w:val="auto"/>
          <w:sz w:val="24"/>
          <w:szCs w:val="24"/>
          <w:highlight w:val="none"/>
        </w:rPr>
        <w:t>九、税费</w:t>
      </w:r>
    </w:p>
    <w:p>
      <w:pPr>
        <w:snapToGrid w:val="0"/>
        <w:spacing w:before="120" w:after="120" w:line="400" w:lineRule="exact"/>
        <w:rPr>
          <w:rFonts w:ascii="宋体" w:hAnsi="宋体"/>
          <w:color w:val="auto"/>
          <w:sz w:val="24"/>
          <w:szCs w:val="24"/>
          <w:highlight w:val="none"/>
        </w:rPr>
      </w:pPr>
      <w:r>
        <w:rPr>
          <w:rFonts w:hint="eastAsia" w:ascii="宋体" w:hAnsi="宋体"/>
          <w:color w:val="auto"/>
          <w:sz w:val="24"/>
          <w:szCs w:val="24"/>
          <w:highlight w:val="none"/>
        </w:rPr>
        <w:t>本合同执行中相关的一切税费均由</w:t>
      </w:r>
      <w:r>
        <w:rPr>
          <w:rFonts w:hAnsi="宋体"/>
          <w:color w:val="auto"/>
          <w:sz w:val="24"/>
          <w:szCs w:val="24"/>
          <w:highlight w:val="none"/>
        </w:rPr>
        <w:t>乙</w:t>
      </w:r>
      <w:r>
        <w:rPr>
          <w:rFonts w:hint="eastAsia" w:ascii="宋体" w:hAnsi="宋体"/>
          <w:color w:val="auto"/>
          <w:sz w:val="24"/>
          <w:szCs w:val="24"/>
          <w:highlight w:val="none"/>
        </w:rPr>
        <w:t>方负担。</w:t>
      </w:r>
    </w:p>
    <w:p>
      <w:pPr>
        <w:snapToGrid w:val="0"/>
        <w:spacing w:before="120" w:after="120" w:line="400" w:lineRule="exact"/>
        <w:ind w:left="410" w:hanging="410"/>
        <w:rPr>
          <w:rFonts w:ascii="宋体" w:hAnsi="宋体"/>
          <w:color w:val="auto"/>
          <w:sz w:val="24"/>
          <w:szCs w:val="24"/>
          <w:highlight w:val="none"/>
        </w:rPr>
      </w:pPr>
      <w:r>
        <w:rPr>
          <w:rFonts w:ascii="宋体" w:hAnsi="宋体"/>
          <w:b/>
          <w:color w:val="auto"/>
          <w:sz w:val="24"/>
          <w:szCs w:val="24"/>
          <w:highlight w:val="none"/>
        </w:rPr>
        <w:t>十、质量保证及后续服务</w:t>
      </w:r>
    </w:p>
    <w:p>
      <w:pPr>
        <w:snapToGrid w:val="0"/>
        <w:spacing w:before="120" w:after="120" w:line="400" w:lineRule="exact"/>
        <w:ind w:left="410" w:hanging="410"/>
        <w:rPr>
          <w:rFonts w:ascii="宋体" w:hAnsi="宋体"/>
          <w:color w:val="auto"/>
          <w:sz w:val="24"/>
          <w:szCs w:val="24"/>
          <w:highlight w:val="none"/>
        </w:rPr>
      </w:pPr>
      <w:r>
        <w:rPr>
          <w:rFonts w:ascii="宋体" w:hAnsi="宋体"/>
          <w:color w:val="auto"/>
          <w:sz w:val="24"/>
          <w:szCs w:val="24"/>
          <w:highlight w:val="none"/>
        </w:rPr>
        <w:t>1</w:t>
      </w:r>
      <w:r>
        <w:rPr>
          <w:rFonts w:hint="eastAsia" w:ascii="宋体" w:hAnsi="宋体"/>
          <w:color w:val="auto"/>
          <w:sz w:val="24"/>
          <w:szCs w:val="24"/>
          <w:highlight w:val="none"/>
        </w:rPr>
        <w:t>．</w:t>
      </w:r>
      <w:r>
        <w:rPr>
          <w:rFonts w:ascii="宋体" w:hAnsi="宋体"/>
          <w:color w:val="auto"/>
          <w:sz w:val="24"/>
          <w:szCs w:val="24"/>
          <w:highlight w:val="none"/>
        </w:rPr>
        <w:t xml:space="preserve"> 乙方应按招标文件规定向甲方提供服务。</w:t>
      </w:r>
    </w:p>
    <w:p>
      <w:pPr>
        <w:snapToGrid w:val="0"/>
        <w:spacing w:before="120" w:after="120" w:line="400" w:lineRule="exact"/>
        <w:ind w:left="480" w:hanging="480"/>
        <w:rPr>
          <w:rFonts w:ascii="宋体" w:hAnsi="宋体"/>
          <w:color w:val="auto"/>
          <w:sz w:val="24"/>
          <w:szCs w:val="24"/>
          <w:highlight w:val="none"/>
        </w:rPr>
      </w:pPr>
      <w:r>
        <w:rPr>
          <w:rFonts w:ascii="宋体" w:hAnsi="宋体"/>
          <w:color w:val="auto"/>
          <w:sz w:val="24"/>
          <w:szCs w:val="24"/>
          <w:highlight w:val="none"/>
        </w:rPr>
        <w:t>2</w:t>
      </w:r>
      <w:r>
        <w:rPr>
          <w:rFonts w:hint="eastAsia" w:ascii="宋体" w:hAnsi="宋体"/>
          <w:color w:val="auto"/>
          <w:sz w:val="24"/>
          <w:szCs w:val="24"/>
          <w:highlight w:val="none"/>
        </w:rPr>
        <w:t>．</w:t>
      </w:r>
      <w:r>
        <w:rPr>
          <w:rFonts w:ascii="宋体" w:hAnsi="宋体"/>
          <w:color w:val="auto"/>
          <w:sz w:val="24"/>
          <w:szCs w:val="24"/>
          <w:highlight w:val="none"/>
        </w:rPr>
        <w:t xml:space="preserve"> 乙方提供的服务成果在服务质量保证期内发生故障，乙方应负责免费提供后续服务。对达不到要求者，根据实际情况，经双方协商，可按以下办法处理：</w:t>
      </w:r>
    </w:p>
    <w:p>
      <w:pPr>
        <w:snapToGrid w:val="0"/>
        <w:spacing w:before="120" w:after="120" w:line="400" w:lineRule="exact"/>
        <w:ind w:firstLine="420"/>
        <w:rPr>
          <w:rFonts w:ascii="宋体" w:hAnsi="宋体"/>
          <w:color w:val="auto"/>
          <w:sz w:val="24"/>
          <w:szCs w:val="24"/>
          <w:highlight w:val="none"/>
        </w:rPr>
      </w:pPr>
      <w:r>
        <w:rPr>
          <w:rFonts w:ascii="宋体" w:hAnsi="宋体"/>
          <w:color w:val="auto"/>
          <w:sz w:val="24"/>
          <w:szCs w:val="24"/>
          <w:highlight w:val="none"/>
        </w:rPr>
        <w:t>⑴重做：由乙方承担所发生的全部费用。</w:t>
      </w:r>
    </w:p>
    <w:p>
      <w:pPr>
        <w:snapToGrid w:val="0"/>
        <w:spacing w:before="120" w:after="120" w:line="400" w:lineRule="exact"/>
        <w:ind w:firstLine="420"/>
        <w:rPr>
          <w:rFonts w:ascii="宋体" w:hAnsi="宋体"/>
          <w:color w:val="auto"/>
          <w:sz w:val="24"/>
          <w:szCs w:val="24"/>
          <w:highlight w:val="none"/>
        </w:rPr>
      </w:pPr>
      <w:r>
        <w:rPr>
          <w:rFonts w:ascii="宋体" w:hAnsi="宋体"/>
          <w:color w:val="auto"/>
          <w:sz w:val="24"/>
          <w:szCs w:val="24"/>
          <w:highlight w:val="none"/>
        </w:rPr>
        <w:t>⑵贬值处理：由甲乙双方合议定价。</w:t>
      </w:r>
    </w:p>
    <w:p>
      <w:pPr>
        <w:snapToGrid w:val="0"/>
        <w:spacing w:before="120" w:after="120" w:line="400" w:lineRule="exact"/>
        <w:ind w:left="420" w:leftChars="200"/>
        <w:rPr>
          <w:rFonts w:ascii="宋体" w:hAnsi="宋体"/>
          <w:color w:val="auto"/>
          <w:sz w:val="24"/>
          <w:szCs w:val="24"/>
          <w:highlight w:val="none"/>
        </w:rPr>
      </w:pPr>
      <w:r>
        <w:rPr>
          <w:rFonts w:ascii="宋体" w:hAnsi="宋体"/>
          <w:color w:val="auto"/>
          <w:sz w:val="24"/>
          <w:szCs w:val="24"/>
          <w:highlight w:val="none"/>
        </w:rPr>
        <w:t>⑶解除合同。</w:t>
      </w:r>
    </w:p>
    <w:p>
      <w:pPr>
        <w:snapToGrid w:val="0"/>
        <w:spacing w:before="120" w:after="120" w:line="400" w:lineRule="exact"/>
        <w:rPr>
          <w:rFonts w:ascii="宋体" w:hAnsi="宋体"/>
          <w:color w:val="auto"/>
          <w:sz w:val="24"/>
          <w:szCs w:val="24"/>
          <w:highlight w:val="none"/>
        </w:rPr>
      </w:pPr>
      <w:r>
        <w:rPr>
          <w:rFonts w:ascii="宋体" w:hAnsi="宋体"/>
          <w:color w:val="auto"/>
          <w:sz w:val="24"/>
          <w:szCs w:val="24"/>
          <w:highlight w:val="none"/>
        </w:rPr>
        <w:t>3</w:t>
      </w:r>
      <w:r>
        <w:rPr>
          <w:rFonts w:hint="eastAsia" w:ascii="宋体" w:hAnsi="宋体"/>
          <w:color w:val="auto"/>
          <w:sz w:val="24"/>
          <w:szCs w:val="24"/>
          <w:highlight w:val="none"/>
        </w:rPr>
        <w:t>．</w:t>
      </w:r>
      <w:r>
        <w:rPr>
          <w:rFonts w:ascii="宋体" w:hAnsi="宋体"/>
          <w:color w:val="auto"/>
          <w:sz w:val="24"/>
          <w:szCs w:val="24"/>
          <w:highlight w:val="none"/>
        </w:rPr>
        <w:t>如在使用过程中发生问题，乙方在接到甲方通知后</w:t>
      </w:r>
      <w:r>
        <w:rPr>
          <w:rFonts w:hint="eastAsia" w:ascii="宋体" w:hAnsi="宋体"/>
          <w:color w:val="auto"/>
          <w:sz w:val="24"/>
          <w:szCs w:val="24"/>
          <w:highlight w:val="none"/>
          <w:u w:val="single"/>
          <w:lang w:val="en-US" w:eastAsia="zh-CN"/>
        </w:rPr>
        <w:t>48</w:t>
      </w:r>
      <w:r>
        <w:rPr>
          <w:rFonts w:ascii="宋体" w:hAnsi="宋体"/>
          <w:color w:val="auto"/>
          <w:sz w:val="24"/>
          <w:szCs w:val="24"/>
          <w:highlight w:val="none"/>
        </w:rPr>
        <w:t>小时内到达甲方现场。</w:t>
      </w:r>
    </w:p>
    <w:p>
      <w:pPr>
        <w:snapToGrid w:val="0"/>
        <w:spacing w:before="120" w:after="120" w:line="400" w:lineRule="exact"/>
        <w:rPr>
          <w:rFonts w:ascii="宋体" w:hAnsi="宋体"/>
          <w:color w:val="auto"/>
          <w:sz w:val="24"/>
          <w:szCs w:val="24"/>
          <w:highlight w:val="none"/>
        </w:rPr>
      </w:pPr>
      <w:r>
        <w:rPr>
          <w:rFonts w:ascii="宋体" w:hAnsi="宋体"/>
          <w:color w:val="auto"/>
          <w:sz w:val="24"/>
          <w:szCs w:val="24"/>
          <w:highlight w:val="none"/>
        </w:rPr>
        <w:t>4</w:t>
      </w:r>
      <w:r>
        <w:rPr>
          <w:rFonts w:hint="eastAsia" w:ascii="宋体" w:hAnsi="宋体"/>
          <w:color w:val="auto"/>
          <w:sz w:val="24"/>
          <w:szCs w:val="24"/>
          <w:highlight w:val="none"/>
        </w:rPr>
        <w:t>．</w:t>
      </w:r>
      <w:r>
        <w:rPr>
          <w:rFonts w:ascii="宋体" w:hAnsi="宋体"/>
          <w:color w:val="auto"/>
          <w:sz w:val="24"/>
          <w:szCs w:val="24"/>
          <w:highlight w:val="none"/>
        </w:rPr>
        <w:t>在服务质量保证期内，乙方应对出现的质量及安全问题负责处理解决并承担一切费用。</w:t>
      </w:r>
    </w:p>
    <w:p>
      <w:pPr>
        <w:snapToGrid w:val="0"/>
        <w:spacing w:before="120" w:after="120" w:line="400" w:lineRule="exact"/>
        <w:rPr>
          <w:rFonts w:ascii="宋体" w:hAnsi="宋体"/>
          <w:b/>
          <w:color w:val="auto"/>
          <w:sz w:val="24"/>
          <w:szCs w:val="24"/>
          <w:highlight w:val="none"/>
        </w:rPr>
      </w:pPr>
      <w:r>
        <w:rPr>
          <w:rFonts w:ascii="宋体" w:hAnsi="宋体"/>
          <w:b/>
          <w:color w:val="auto"/>
          <w:sz w:val="24"/>
          <w:szCs w:val="24"/>
          <w:highlight w:val="none"/>
        </w:rPr>
        <w:t>十</w:t>
      </w:r>
      <w:r>
        <w:rPr>
          <w:rFonts w:hint="eastAsia" w:ascii="宋体" w:hAnsi="宋体"/>
          <w:b/>
          <w:color w:val="auto"/>
          <w:sz w:val="24"/>
          <w:szCs w:val="24"/>
          <w:highlight w:val="none"/>
        </w:rPr>
        <w:t>一</w:t>
      </w:r>
      <w:r>
        <w:rPr>
          <w:rFonts w:ascii="宋体" w:hAnsi="宋体"/>
          <w:b/>
          <w:color w:val="auto"/>
          <w:sz w:val="24"/>
          <w:szCs w:val="24"/>
          <w:highlight w:val="none"/>
        </w:rPr>
        <w:t>、违约责任</w:t>
      </w:r>
    </w:p>
    <w:p>
      <w:pPr>
        <w:snapToGrid w:val="0"/>
        <w:spacing w:before="120" w:after="120" w:line="400" w:lineRule="exact"/>
        <w:ind w:left="410" w:hanging="410"/>
        <w:rPr>
          <w:rFonts w:ascii="宋体" w:hAnsi="宋体"/>
          <w:color w:val="auto"/>
          <w:sz w:val="24"/>
          <w:szCs w:val="24"/>
          <w:highlight w:val="none"/>
        </w:rPr>
      </w:pPr>
      <w:r>
        <w:rPr>
          <w:rFonts w:ascii="宋体" w:hAnsi="宋体"/>
          <w:color w:val="auto"/>
          <w:sz w:val="24"/>
          <w:szCs w:val="24"/>
          <w:highlight w:val="none"/>
        </w:rPr>
        <w:t>1</w:t>
      </w:r>
      <w:r>
        <w:rPr>
          <w:rFonts w:hint="eastAsia" w:ascii="宋体" w:hAnsi="宋体"/>
          <w:color w:val="auto"/>
          <w:sz w:val="24"/>
          <w:szCs w:val="24"/>
          <w:highlight w:val="none"/>
        </w:rPr>
        <w:t>．</w:t>
      </w:r>
      <w:r>
        <w:rPr>
          <w:rFonts w:ascii="宋体" w:hAnsi="宋体"/>
          <w:color w:val="auto"/>
          <w:sz w:val="24"/>
          <w:szCs w:val="24"/>
          <w:highlight w:val="none"/>
        </w:rPr>
        <w:t>甲方无正当理由拒收接受服务的，甲方向乙方偿付合同款项百分之五作为违约金。</w:t>
      </w:r>
    </w:p>
    <w:p>
      <w:pPr>
        <w:snapToGrid w:val="0"/>
        <w:spacing w:before="120" w:after="120" w:line="400" w:lineRule="exact"/>
        <w:ind w:left="410" w:hanging="410"/>
        <w:rPr>
          <w:rFonts w:ascii="宋体" w:hAnsi="宋体"/>
          <w:color w:val="auto"/>
          <w:sz w:val="24"/>
          <w:szCs w:val="24"/>
          <w:highlight w:val="none"/>
        </w:rPr>
      </w:pPr>
      <w:r>
        <w:rPr>
          <w:rFonts w:ascii="宋体" w:hAnsi="宋体"/>
          <w:color w:val="auto"/>
          <w:sz w:val="24"/>
          <w:szCs w:val="24"/>
          <w:highlight w:val="none"/>
        </w:rPr>
        <w:t>2</w:t>
      </w:r>
      <w:r>
        <w:rPr>
          <w:rFonts w:hint="eastAsia" w:ascii="宋体" w:hAnsi="宋体"/>
          <w:color w:val="auto"/>
          <w:sz w:val="24"/>
          <w:szCs w:val="24"/>
          <w:highlight w:val="none"/>
        </w:rPr>
        <w:t>．</w:t>
      </w:r>
      <w:r>
        <w:rPr>
          <w:rFonts w:ascii="宋体" w:hAnsi="宋体"/>
          <w:color w:val="auto"/>
          <w:sz w:val="24"/>
          <w:szCs w:val="24"/>
          <w:highlight w:val="none"/>
        </w:rPr>
        <w:t>甲方无故逾期验收和办理款项支付手续的,甲方应按逾期付款总额每日万分之五向乙方支付违约金。</w:t>
      </w:r>
    </w:p>
    <w:p>
      <w:pPr>
        <w:snapToGrid w:val="0"/>
        <w:spacing w:before="120" w:after="120" w:line="400" w:lineRule="exact"/>
        <w:ind w:left="410" w:hanging="410"/>
        <w:rPr>
          <w:rFonts w:ascii="宋体" w:hAnsi="宋体"/>
          <w:color w:val="auto"/>
          <w:sz w:val="24"/>
          <w:szCs w:val="24"/>
          <w:highlight w:val="none"/>
        </w:rPr>
      </w:pPr>
      <w:r>
        <w:rPr>
          <w:rFonts w:ascii="宋体" w:hAnsi="宋体"/>
          <w:color w:val="auto"/>
          <w:sz w:val="24"/>
          <w:szCs w:val="24"/>
          <w:highlight w:val="none"/>
        </w:rPr>
        <w:t>3</w:t>
      </w:r>
      <w:r>
        <w:rPr>
          <w:rFonts w:hint="eastAsia" w:ascii="宋体" w:hAnsi="宋体"/>
          <w:color w:val="auto"/>
          <w:sz w:val="24"/>
          <w:szCs w:val="24"/>
          <w:highlight w:val="none"/>
        </w:rPr>
        <w:t>．</w:t>
      </w:r>
      <w:r>
        <w:rPr>
          <w:rFonts w:ascii="宋体" w:hAnsi="宋体"/>
          <w:color w:val="auto"/>
          <w:sz w:val="24"/>
          <w:szCs w:val="24"/>
          <w:highlight w:val="none"/>
        </w:rPr>
        <w:t xml:space="preserve"> 乙方</w:t>
      </w:r>
      <w:r>
        <w:rPr>
          <w:rFonts w:hint="eastAsia" w:ascii="宋体" w:hAnsi="宋体"/>
          <w:color w:val="auto"/>
          <w:sz w:val="24"/>
          <w:szCs w:val="24"/>
          <w:highlight w:val="none"/>
        </w:rPr>
        <w:t>未能如</w:t>
      </w:r>
      <w:r>
        <w:rPr>
          <w:rFonts w:ascii="宋体" w:hAnsi="宋体"/>
          <w:color w:val="auto"/>
          <w:sz w:val="24"/>
          <w:szCs w:val="24"/>
          <w:highlight w:val="none"/>
        </w:rPr>
        <w:t>期提供服务的，每日向甲方支付</w:t>
      </w:r>
      <w:r>
        <w:rPr>
          <w:rFonts w:hint="eastAsia" w:ascii="宋体" w:hAnsi="宋体"/>
          <w:color w:val="auto"/>
          <w:sz w:val="24"/>
          <w:szCs w:val="24"/>
          <w:highlight w:val="none"/>
        </w:rPr>
        <w:t>合同款项的</w:t>
      </w:r>
      <w:r>
        <w:rPr>
          <w:rFonts w:ascii="宋体" w:hAnsi="宋体"/>
          <w:color w:val="auto"/>
          <w:sz w:val="24"/>
          <w:szCs w:val="24"/>
          <w:highlight w:val="none"/>
        </w:rPr>
        <w:t>千分之六</w:t>
      </w:r>
      <w:r>
        <w:rPr>
          <w:rFonts w:hint="eastAsia" w:ascii="宋体" w:hAnsi="宋体"/>
          <w:color w:val="auto"/>
          <w:sz w:val="24"/>
          <w:szCs w:val="24"/>
          <w:highlight w:val="none"/>
        </w:rPr>
        <w:t>作为</w:t>
      </w:r>
      <w:r>
        <w:rPr>
          <w:rFonts w:ascii="宋体" w:hAnsi="宋体"/>
          <w:color w:val="auto"/>
          <w:sz w:val="24"/>
          <w:szCs w:val="24"/>
          <w:highlight w:val="none"/>
        </w:rPr>
        <w:t>违约金。乙方超过约定日期10个工作日</w:t>
      </w:r>
      <w:r>
        <w:rPr>
          <w:rFonts w:hint="eastAsia" w:ascii="宋体" w:hAnsi="宋体"/>
          <w:color w:val="auto"/>
          <w:sz w:val="24"/>
          <w:szCs w:val="24"/>
          <w:highlight w:val="none"/>
        </w:rPr>
        <w:t>仍</w:t>
      </w:r>
      <w:r>
        <w:rPr>
          <w:rFonts w:ascii="宋体" w:hAnsi="宋体"/>
          <w:color w:val="auto"/>
          <w:sz w:val="24"/>
          <w:szCs w:val="24"/>
          <w:highlight w:val="none"/>
        </w:rPr>
        <w:t>不能</w:t>
      </w:r>
      <w:r>
        <w:rPr>
          <w:rFonts w:hint="eastAsia" w:ascii="宋体" w:hAnsi="宋体"/>
          <w:color w:val="auto"/>
          <w:sz w:val="24"/>
          <w:szCs w:val="24"/>
          <w:highlight w:val="none"/>
        </w:rPr>
        <w:t>提供服务</w:t>
      </w:r>
      <w:r>
        <w:rPr>
          <w:rFonts w:ascii="宋体" w:hAnsi="宋体"/>
          <w:color w:val="auto"/>
          <w:sz w:val="24"/>
          <w:szCs w:val="24"/>
          <w:highlight w:val="none"/>
        </w:rPr>
        <w:t>的，甲方可解除本合同。乙方因</w:t>
      </w:r>
      <w:r>
        <w:rPr>
          <w:rFonts w:hint="eastAsia" w:ascii="宋体" w:hAnsi="宋体"/>
          <w:color w:val="auto"/>
          <w:sz w:val="24"/>
          <w:szCs w:val="24"/>
          <w:highlight w:val="none"/>
        </w:rPr>
        <w:t>未能如</w:t>
      </w:r>
      <w:r>
        <w:rPr>
          <w:rFonts w:ascii="宋体" w:hAnsi="宋体"/>
          <w:color w:val="auto"/>
          <w:sz w:val="24"/>
          <w:szCs w:val="24"/>
          <w:highlight w:val="none"/>
        </w:rPr>
        <w:t xml:space="preserve">期提供服务或因其他违约行为导致甲方解除合同的，乙方应向甲方支付合同总值5%的违约金，如造成甲方损失超过违约金的，超出部分由乙方继续承担赔偿责任。 </w:t>
      </w:r>
    </w:p>
    <w:p>
      <w:pPr>
        <w:snapToGrid w:val="0"/>
        <w:spacing w:before="120" w:after="120" w:line="400" w:lineRule="exact"/>
        <w:rPr>
          <w:rFonts w:ascii="宋体" w:hAnsi="宋体"/>
          <w:b/>
          <w:color w:val="auto"/>
          <w:sz w:val="24"/>
          <w:szCs w:val="24"/>
          <w:highlight w:val="none"/>
        </w:rPr>
      </w:pPr>
      <w:r>
        <w:rPr>
          <w:rFonts w:ascii="宋体" w:hAnsi="宋体"/>
          <w:b/>
          <w:color w:val="auto"/>
          <w:sz w:val="24"/>
          <w:szCs w:val="24"/>
          <w:highlight w:val="none"/>
        </w:rPr>
        <w:t>十</w:t>
      </w:r>
      <w:r>
        <w:rPr>
          <w:rFonts w:hint="eastAsia" w:ascii="宋体" w:hAnsi="宋体"/>
          <w:b/>
          <w:color w:val="auto"/>
          <w:sz w:val="24"/>
          <w:szCs w:val="24"/>
          <w:highlight w:val="none"/>
        </w:rPr>
        <w:t>二</w:t>
      </w:r>
      <w:r>
        <w:rPr>
          <w:rFonts w:ascii="宋体" w:hAnsi="宋体"/>
          <w:b/>
          <w:color w:val="auto"/>
          <w:sz w:val="24"/>
          <w:szCs w:val="24"/>
          <w:highlight w:val="none"/>
        </w:rPr>
        <w:t>、不可抗力事件处理</w:t>
      </w:r>
    </w:p>
    <w:p>
      <w:pPr>
        <w:snapToGrid w:val="0"/>
        <w:spacing w:before="120" w:after="120" w:line="400" w:lineRule="exact"/>
        <w:ind w:left="480" w:hanging="480"/>
        <w:rPr>
          <w:rFonts w:ascii="宋体" w:hAnsi="宋体"/>
          <w:color w:val="auto"/>
          <w:sz w:val="24"/>
          <w:szCs w:val="24"/>
          <w:highlight w:val="none"/>
        </w:rPr>
      </w:pPr>
      <w:r>
        <w:rPr>
          <w:rFonts w:ascii="宋体" w:hAnsi="宋体"/>
          <w:color w:val="auto"/>
          <w:sz w:val="24"/>
          <w:szCs w:val="24"/>
          <w:highlight w:val="none"/>
        </w:rPr>
        <w:t>1</w:t>
      </w:r>
      <w:r>
        <w:rPr>
          <w:rFonts w:hint="eastAsia" w:ascii="宋体" w:hAnsi="宋体"/>
          <w:color w:val="auto"/>
          <w:sz w:val="24"/>
          <w:szCs w:val="24"/>
          <w:highlight w:val="none"/>
        </w:rPr>
        <w:t>．</w:t>
      </w:r>
      <w:r>
        <w:rPr>
          <w:rFonts w:ascii="宋体" w:hAnsi="宋体"/>
          <w:color w:val="auto"/>
          <w:sz w:val="24"/>
          <w:szCs w:val="24"/>
          <w:highlight w:val="none"/>
        </w:rPr>
        <w:t>在合同有效期内，任何一方因不可抗力事件导致不能履行合同，则合同履行期可延长，其延长期与不可抗力影响期相同。</w:t>
      </w:r>
    </w:p>
    <w:p>
      <w:pPr>
        <w:snapToGrid w:val="0"/>
        <w:spacing w:before="120" w:after="120" w:line="400" w:lineRule="exact"/>
        <w:rPr>
          <w:rFonts w:ascii="宋体" w:hAnsi="宋体"/>
          <w:color w:val="auto"/>
          <w:sz w:val="24"/>
          <w:szCs w:val="24"/>
          <w:highlight w:val="none"/>
        </w:rPr>
      </w:pPr>
      <w:r>
        <w:rPr>
          <w:rFonts w:ascii="宋体" w:hAnsi="宋体"/>
          <w:color w:val="auto"/>
          <w:sz w:val="24"/>
          <w:szCs w:val="24"/>
          <w:highlight w:val="none"/>
        </w:rPr>
        <w:t>2</w:t>
      </w:r>
      <w:r>
        <w:rPr>
          <w:rFonts w:hint="eastAsia" w:ascii="宋体" w:hAnsi="宋体"/>
          <w:color w:val="auto"/>
          <w:sz w:val="24"/>
          <w:szCs w:val="24"/>
          <w:highlight w:val="none"/>
        </w:rPr>
        <w:t>．</w:t>
      </w:r>
      <w:r>
        <w:rPr>
          <w:rFonts w:ascii="宋体" w:hAnsi="宋体"/>
          <w:color w:val="auto"/>
          <w:sz w:val="24"/>
          <w:szCs w:val="24"/>
          <w:highlight w:val="none"/>
        </w:rPr>
        <w:t>不可抗力事件发生后，应立即通知对方，并寄送有关权威机构出具的证明。</w:t>
      </w:r>
    </w:p>
    <w:p>
      <w:pPr>
        <w:snapToGrid w:val="0"/>
        <w:spacing w:before="120" w:after="120" w:line="400" w:lineRule="exact"/>
        <w:rPr>
          <w:rFonts w:ascii="宋体" w:hAnsi="宋体"/>
          <w:color w:val="auto"/>
          <w:sz w:val="24"/>
          <w:szCs w:val="24"/>
          <w:highlight w:val="none"/>
        </w:rPr>
      </w:pPr>
      <w:r>
        <w:rPr>
          <w:rFonts w:ascii="宋体" w:hAnsi="宋体"/>
          <w:color w:val="auto"/>
          <w:sz w:val="24"/>
          <w:szCs w:val="24"/>
          <w:highlight w:val="none"/>
        </w:rPr>
        <w:t>3</w:t>
      </w:r>
      <w:r>
        <w:rPr>
          <w:rFonts w:hint="eastAsia" w:ascii="宋体" w:hAnsi="宋体"/>
          <w:color w:val="auto"/>
          <w:sz w:val="24"/>
          <w:szCs w:val="24"/>
          <w:highlight w:val="none"/>
        </w:rPr>
        <w:t>．</w:t>
      </w:r>
      <w:r>
        <w:rPr>
          <w:rFonts w:ascii="宋体" w:hAnsi="宋体"/>
          <w:color w:val="auto"/>
          <w:sz w:val="24"/>
          <w:szCs w:val="24"/>
          <w:highlight w:val="none"/>
        </w:rPr>
        <w:t>不可抗力事件延续120天以上，双方应通过友好协商，确定是否继续履行合同。</w:t>
      </w:r>
    </w:p>
    <w:p>
      <w:pPr>
        <w:snapToGrid w:val="0"/>
        <w:spacing w:before="120" w:after="120" w:line="400" w:lineRule="exact"/>
        <w:rPr>
          <w:rFonts w:ascii="宋体" w:hAnsi="宋体"/>
          <w:b/>
          <w:color w:val="auto"/>
          <w:sz w:val="24"/>
          <w:szCs w:val="24"/>
          <w:highlight w:val="none"/>
        </w:rPr>
      </w:pPr>
      <w:r>
        <w:rPr>
          <w:rFonts w:ascii="宋体" w:hAnsi="宋体"/>
          <w:b/>
          <w:color w:val="auto"/>
          <w:sz w:val="24"/>
          <w:szCs w:val="24"/>
          <w:highlight w:val="none"/>
        </w:rPr>
        <w:t>十</w:t>
      </w:r>
      <w:r>
        <w:rPr>
          <w:rFonts w:hint="eastAsia" w:ascii="宋体" w:hAnsi="宋体"/>
          <w:b/>
          <w:color w:val="auto"/>
          <w:sz w:val="24"/>
          <w:szCs w:val="24"/>
          <w:highlight w:val="none"/>
        </w:rPr>
        <w:t>三</w:t>
      </w:r>
      <w:r>
        <w:rPr>
          <w:rFonts w:ascii="宋体" w:hAnsi="宋体"/>
          <w:b/>
          <w:color w:val="auto"/>
          <w:sz w:val="24"/>
          <w:szCs w:val="24"/>
          <w:highlight w:val="none"/>
        </w:rPr>
        <w:t>、诉讼</w:t>
      </w:r>
    </w:p>
    <w:p>
      <w:pPr>
        <w:snapToGrid w:val="0"/>
        <w:spacing w:before="120" w:after="120" w:line="400" w:lineRule="exact"/>
        <w:ind w:firstLine="120"/>
        <w:jc w:val="left"/>
        <w:rPr>
          <w:rFonts w:ascii="宋体" w:hAnsi="宋体"/>
          <w:color w:val="auto"/>
          <w:sz w:val="24"/>
          <w:szCs w:val="24"/>
          <w:highlight w:val="none"/>
        </w:rPr>
      </w:pPr>
      <w:r>
        <w:rPr>
          <w:rFonts w:ascii="宋体" w:hAnsi="宋体"/>
          <w:color w:val="auto"/>
          <w:sz w:val="24"/>
          <w:szCs w:val="24"/>
          <w:highlight w:val="none"/>
        </w:rPr>
        <w:t>双方在执行合同中所发生的一切争议，应通过协商解决。如协商不成，可向</w:t>
      </w:r>
      <w:r>
        <w:rPr>
          <w:rFonts w:hint="eastAsia" w:ascii="宋体" w:hAnsi="宋体"/>
          <w:color w:val="auto"/>
          <w:sz w:val="24"/>
          <w:szCs w:val="24"/>
          <w:highlight w:val="none"/>
        </w:rPr>
        <w:t>甲方所在</w:t>
      </w:r>
      <w:r>
        <w:rPr>
          <w:rFonts w:ascii="宋体" w:hAnsi="宋体"/>
          <w:color w:val="auto"/>
          <w:sz w:val="24"/>
          <w:szCs w:val="24"/>
          <w:highlight w:val="none"/>
        </w:rPr>
        <w:t>地法院起诉。</w:t>
      </w:r>
    </w:p>
    <w:p>
      <w:pPr>
        <w:snapToGrid w:val="0"/>
        <w:spacing w:before="120" w:after="120" w:line="400" w:lineRule="exact"/>
        <w:rPr>
          <w:rFonts w:ascii="宋体" w:hAnsi="宋体"/>
          <w:b/>
          <w:color w:val="auto"/>
          <w:sz w:val="24"/>
          <w:szCs w:val="24"/>
          <w:highlight w:val="none"/>
        </w:rPr>
      </w:pPr>
      <w:r>
        <w:rPr>
          <w:rFonts w:ascii="宋体" w:hAnsi="宋体"/>
          <w:b/>
          <w:color w:val="auto"/>
          <w:sz w:val="24"/>
          <w:szCs w:val="24"/>
          <w:highlight w:val="none"/>
        </w:rPr>
        <w:t>十</w:t>
      </w:r>
      <w:r>
        <w:rPr>
          <w:rFonts w:hint="eastAsia" w:ascii="宋体" w:hAnsi="宋体"/>
          <w:b/>
          <w:color w:val="auto"/>
          <w:sz w:val="24"/>
          <w:szCs w:val="24"/>
          <w:highlight w:val="none"/>
        </w:rPr>
        <w:t>四</w:t>
      </w:r>
      <w:r>
        <w:rPr>
          <w:rFonts w:ascii="宋体" w:hAnsi="宋体"/>
          <w:b/>
          <w:color w:val="auto"/>
          <w:sz w:val="24"/>
          <w:szCs w:val="24"/>
          <w:highlight w:val="none"/>
        </w:rPr>
        <w:t>、合同生效及其它</w:t>
      </w:r>
    </w:p>
    <w:p>
      <w:pPr>
        <w:snapToGrid w:val="0"/>
        <w:spacing w:before="120" w:after="120" w:line="400" w:lineRule="exact"/>
        <w:rPr>
          <w:rFonts w:ascii="宋体" w:hAnsi="宋体"/>
          <w:color w:val="auto"/>
          <w:sz w:val="24"/>
          <w:szCs w:val="24"/>
          <w:highlight w:val="none"/>
        </w:rPr>
      </w:pPr>
      <w:r>
        <w:rPr>
          <w:rFonts w:ascii="宋体" w:hAnsi="宋体"/>
          <w:color w:val="auto"/>
          <w:sz w:val="24"/>
          <w:szCs w:val="24"/>
          <w:highlight w:val="none"/>
        </w:rPr>
        <w:t>1</w:t>
      </w:r>
      <w:r>
        <w:rPr>
          <w:rFonts w:hint="eastAsia" w:ascii="宋体" w:hAnsi="宋体"/>
          <w:color w:val="auto"/>
          <w:sz w:val="24"/>
          <w:szCs w:val="24"/>
          <w:highlight w:val="none"/>
        </w:rPr>
        <w:t>.</w:t>
      </w:r>
      <w:r>
        <w:rPr>
          <w:rFonts w:ascii="宋体" w:hAnsi="宋体"/>
          <w:color w:val="auto"/>
          <w:sz w:val="24"/>
          <w:szCs w:val="24"/>
          <w:highlight w:val="none"/>
        </w:rPr>
        <w:t xml:space="preserve"> 合同经</w:t>
      </w:r>
      <w:r>
        <w:rPr>
          <w:rFonts w:hint="eastAsia" w:ascii="宋体" w:hAnsi="宋体"/>
          <w:color w:val="auto"/>
          <w:sz w:val="24"/>
          <w:szCs w:val="24"/>
          <w:highlight w:val="none"/>
        </w:rPr>
        <w:t>三</w:t>
      </w:r>
      <w:r>
        <w:rPr>
          <w:rFonts w:ascii="宋体" w:hAnsi="宋体"/>
          <w:color w:val="auto"/>
          <w:sz w:val="24"/>
          <w:szCs w:val="24"/>
          <w:highlight w:val="none"/>
        </w:rPr>
        <w:t>方法定代表人或授权代表签字并加盖单位公章后</w:t>
      </w:r>
      <w:r>
        <w:rPr>
          <w:rFonts w:hint="eastAsia" w:ascii="宋体" w:hAnsi="宋体"/>
          <w:color w:val="auto"/>
          <w:sz w:val="24"/>
          <w:szCs w:val="24"/>
          <w:highlight w:val="none"/>
        </w:rPr>
        <w:t>，报</w:t>
      </w:r>
      <w:r>
        <w:rPr>
          <w:rFonts w:hint="eastAsia" w:ascii="宋体" w:hAnsi="宋体"/>
          <w:color w:val="auto"/>
          <w:sz w:val="24"/>
          <w:szCs w:val="24"/>
          <w:highlight w:val="none"/>
          <w:lang w:eastAsia="zh-CN"/>
        </w:rPr>
        <w:t>东阳市财政局</w:t>
      </w:r>
      <w:r>
        <w:rPr>
          <w:rFonts w:hint="eastAsia" w:ascii="宋体" w:hAnsi="宋体"/>
          <w:color w:val="auto"/>
          <w:sz w:val="24"/>
          <w:szCs w:val="24"/>
          <w:highlight w:val="none"/>
        </w:rPr>
        <w:t>采监科备案后</w:t>
      </w:r>
      <w:r>
        <w:rPr>
          <w:rFonts w:ascii="宋体" w:hAnsi="宋体"/>
          <w:color w:val="auto"/>
          <w:sz w:val="24"/>
          <w:szCs w:val="24"/>
          <w:highlight w:val="none"/>
        </w:rPr>
        <w:t>生效。</w:t>
      </w:r>
    </w:p>
    <w:p>
      <w:pPr>
        <w:snapToGrid w:val="0"/>
        <w:spacing w:before="120" w:after="120" w:line="400" w:lineRule="exact"/>
        <w:rPr>
          <w:rFonts w:ascii="宋体" w:hAnsi="宋体"/>
          <w:color w:val="auto"/>
          <w:sz w:val="24"/>
          <w:szCs w:val="24"/>
          <w:highlight w:val="none"/>
        </w:rPr>
      </w:pPr>
      <w:r>
        <w:rPr>
          <w:rFonts w:ascii="宋体" w:hAnsi="宋体"/>
          <w:color w:val="auto"/>
          <w:sz w:val="24"/>
          <w:szCs w:val="24"/>
          <w:highlight w:val="none"/>
        </w:rPr>
        <w:t>2</w:t>
      </w:r>
      <w:r>
        <w:rPr>
          <w:rFonts w:hint="eastAsia" w:ascii="宋体" w:hAnsi="宋体"/>
          <w:color w:val="auto"/>
          <w:sz w:val="24"/>
          <w:szCs w:val="24"/>
          <w:highlight w:val="none"/>
        </w:rPr>
        <w:t>.</w:t>
      </w:r>
      <w:r>
        <w:rPr>
          <w:rFonts w:ascii="宋体" w:hAnsi="宋体"/>
          <w:color w:val="auto"/>
          <w:sz w:val="24"/>
          <w:szCs w:val="24"/>
          <w:highlight w:val="none"/>
        </w:rPr>
        <w:t>合同执行中涉及采购资金和采购内容修改或补充的，须经财政部门审批，并签书面补充协议报政府采购监督管理部门备案，方可作为主合同不可分割的一部分。</w:t>
      </w:r>
    </w:p>
    <w:p>
      <w:pPr>
        <w:snapToGrid w:val="0"/>
        <w:spacing w:before="120" w:after="120" w:line="400" w:lineRule="exact"/>
        <w:rPr>
          <w:rFonts w:ascii="宋体" w:hAnsi="宋体"/>
          <w:color w:val="auto"/>
          <w:sz w:val="24"/>
          <w:szCs w:val="24"/>
          <w:highlight w:val="none"/>
        </w:rPr>
      </w:pPr>
      <w:r>
        <w:rPr>
          <w:rFonts w:ascii="宋体" w:hAnsi="宋体"/>
          <w:color w:val="auto"/>
          <w:sz w:val="24"/>
          <w:szCs w:val="24"/>
          <w:highlight w:val="none"/>
        </w:rPr>
        <w:t>3</w:t>
      </w:r>
      <w:r>
        <w:rPr>
          <w:rFonts w:hint="eastAsia" w:ascii="宋体" w:hAnsi="宋体"/>
          <w:color w:val="auto"/>
          <w:sz w:val="24"/>
          <w:szCs w:val="24"/>
          <w:highlight w:val="none"/>
        </w:rPr>
        <w:t>.</w:t>
      </w:r>
      <w:r>
        <w:rPr>
          <w:rFonts w:ascii="宋体" w:hAnsi="宋体"/>
          <w:color w:val="auto"/>
          <w:sz w:val="24"/>
          <w:szCs w:val="24"/>
          <w:highlight w:val="none"/>
        </w:rPr>
        <w:t>本合同未尽事宜，遵照</w:t>
      </w:r>
      <w:r>
        <w:rPr>
          <w:rFonts w:hint="eastAsia" w:ascii="宋体" w:hAnsi="宋体"/>
          <w:color w:val="auto"/>
          <w:sz w:val="24"/>
          <w:szCs w:val="24"/>
          <w:highlight w:val="none"/>
        </w:rPr>
        <w:t>《中华人民共和国民法典》</w:t>
      </w:r>
      <w:r>
        <w:rPr>
          <w:rFonts w:ascii="宋体" w:hAnsi="宋体"/>
          <w:color w:val="auto"/>
          <w:sz w:val="24"/>
          <w:szCs w:val="24"/>
          <w:highlight w:val="none"/>
        </w:rPr>
        <w:t>有关条文执行。</w:t>
      </w:r>
    </w:p>
    <w:p>
      <w:pPr>
        <w:spacing w:line="400" w:lineRule="exact"/>
        <w:rPr>
          <w:rFonts w:ascii="宋体" w:hAnsi="宋体"/>
          <w:color w:val="auto"/>
          <w:sz w:val="24"/>
          <w:szCs w:val="24"/>
          <w:highlight w:val="none"/>
        </w:rPr>
      </w:pPr>
      <w:r>
        <w:rPr>
          <w:rFonts w:hint="eastAsia" w:ascii="宋体" w:hAnsi="宋体"/>
          <w:color w:val="auto"/>
          <w:sz w:val="24"/>
          <w:szCs w:val="24"/>
          <w:highlight w:val="none"/>
        </w:rPr>
        <w:t>4.本合同一式六份，</w:t>
      </w:r>
      <w:r>
        <w:rPr>
          <w:rFonts w:hint="eastAsia" w:ascii="宋体" w:hAnsi="宋体"/>
          <w:color w:val="auto"/>
          <w:sz w:val="24"/>
          <w:szCs w:val="24"/>
          <w:highlight w:val="none"/>
          <w:lang w:eastAsia="zh-CN"/>
        </w:rPr>
        <w:t>东阳市财政局</w:t>
      </w:r>
      <w:r>
        <w:rPr>
          <w:rFonts w:hint="eastAsia" w:ascii="宋体" w:hAnsi="宋体"/>
          <w:color w:val="auto"/>
          <w:sz w:val="24"/>
          <w:szCs w:val="24"/>
          <w:highlight w:val="none"/>
        </w:rPr>
        <w:t>采监科、招标代理机构各执一份，甲、乙双方各执二份，其都具有同等法律效力。</w:t>
      </w:r>
    </w:p>
    <w:p>
      <w:pPr>
        <w:spacing w:line="400" w:lineRule="exact"/>
        <w:rPr>
          <w:rFonts w:ascii="宋体" w:hAnsi="宋体"/>
          <w:color w:val="auto"/>
          <w:sz w:val="24"/>
          <w:szCs w:val="24"/>
          <w:highlight w:val="none"/>
        </w:rPr>
      </w:pPr>
      <w:r>
        <w:rPr>
          <w:rFonts w:hint="eastAsia" w:ascii="宋体" w:hAnsi="宋体"/>
          <w:b/>
          <w:color w:val="auto"/>
          <w:sz w:val="24"/>
          <w:szCs w:val="24"/>
          <w:highlight w:val="none"/>
        </w:rPr>
        <w:t>5.后附政府采购廉洁承诺书。</w:t>
      </w:r>
    </w:p>
    <w:p>
      <w:pPr>
        <w:spacing w:before="120" w:after="120" w:line="400" w:lineRule="exact"/>
        <w:rPr>
          <w:rFonts w:hint="eastAsia" w:ascii="宋体" w:hAnsi="宋体"/>
          <w:b/>
          <w:bCs/>
          <w:color w:val="auto"/>
          <w:sz w:val="24"/>
          <w:szCs w:val="24"/>
          <w:highlight w:val="none"/>
        </w:rPr>
      </w:pPr>
    </w:p>
    <w:p>
      <w:pPr>
        <w:spacing w:before="120" w:after="120" w:line="400" w:lineRule="exact"/>
        <w:rPr>
          <w:rFonts w:ascii="宋体" w:hAnsi="宋体"/>
          <w:color w:val="auto"/>
          <w:sz w:val="24"/>
          <w:szCs w:val="24"/>
          <w:highlight w:val="none"/>
        </w:rPr>
      </w:pPr>
      <w:r>
        <w:rPr>
          <w:rFonts w:hint="eastAsia" w:ascii="宋体" w:hAnsi="宋体"/>
          <w:b/>
          <w:bCs/>
          <w:color w:val="auto"/>
          <w:sz w:val="24"/>
          <w:szCs w:val="24"/>
          <w:highlight w:val="none"/>
        </w:rPr>
        <w:t>甲方（盖公章）：                       乙方（盖公章）：</w:t>
      </w:r>
    </w:p>
    <w:p>
      <w:pPr>
        <w:snapToGrid w:val="0"/>
        <w:spacing w:before="120" w:after="120" w:line="400" w:lineRule="exact"/>
        <w:ind w:leftChars="-1" w:hanging="2"/>
        <w:rPr>
          <w:rFonts w:ascii="宋体" w:hAnsi="宋体"/>
          <w:color w:val="auto"/>
          <w:sz w:val="24"/>
          <w:szCs w:val="24"/>
          <w:highlight w:val="none"/>
        </w:rPr>
      </w:pPr>
      <w:r>
        <w:rPr>
          <w:rFonts w:hint="eastAsia" w:ascii="宋体" w:hAnsi="宋体"/>
          <w:color w:val="auto"/>
          <w:sz w:val="24"/>
          <w:szCs w:val="24"/>
          <w:highlight w:val="none"/>
        </w:rPr>
        <w:t>法定代表人或受委托人                 法定代表人或受委托人</w:t>
      </w:r>
    </w:p>
    <w:p>
      <w:pPr>
        <w:snapToGrid w:val="0"/>
        <w:spacing w:before="120" w:after="120" w:line="400" w:lineRule="exact"/>
        <w:ind w:left="1" w:leftChars="-28" w:hanging="60"/>
        <w:rPr>
          <w:rFonts w:ascii="宋体" w:hAnsi="宋体"/>
          <w:color w:val="auto"/>
          <w:sz w:val="24"/>
          <w:szCs w:val="24"/>
          <w:highlight w:val="none"/>
        </w:rPr>
      </w:pPr>
      <w:r>
        <w:rPr>
          <w:rFonts w:hint="eastAsia" w:ascii="宋体" w:hAnsi="宋体"/>
          <w:color w:val="auto"/>
          <w:sz w:val="24"/>
          <w:szCs w:val="24"/>
          <w:highlight w:val="none"/>
        </w:rPr>
        <w:t>（签字）                             （签字）</w:t>
      </w:r>
    </w:p>
    <w:p>
      <w:pPr>
        <w:snapToGrid w:val="0"/>
        <w:spacing w:before="120" w:after="120" w:line="400" w:lineRule="exact"/>
        <w:ind w:leftChars="-1" w:hanging="2"/>
        <w:rPr>
          <w:rFonts w:ascii="宋体" w:hAnsi="宋体"/>
          <w:color w:val="auto"/>
          <w:sz w:val="24"/>
          <w:szCs w:val="24"/>
          <w:highlight w:val="none"/>
        </w:rPr>
      </w:pPr>
      <w:r>
        <w:rPr>
          <w:rFonts w:hint="eastAsia" w:ascii="宋体" w:hAnsi="宋体"/>
          <w:color w:val="auto"/>
          <w:sz w:val="24"/>
          <w:szCs w:val="24"/>
          <w:highlight w:val="none"/>
        </w:rPr>
        <w:t xml:space="preserve">地址：                               地址： </w:t>
      </w:r>
    </w:p>
    <w:p>
      <w:pPr>
        <w:snapToGrid w:val="0"/>
        <w:spacing w:before="120" w:after="120" w:line="400" w:lineRule="exact"/>
        <w:ind w:leftChars="-1" w:hanging="2"/>
        <w:rPr>
          <w:rFonts w:ascii="宋体" w:hAnsi="宋体"/>
          <w:color w:val="auto"/>
          <w:sz w:val="24"/>
          <w:szCs w:val="24"/>
          <w:highlight w:val="none"/>
        </w:rPr>
      </w:pPr>
      <w:r>
        <w:rPr>
          <w:rFonts w:hint="eastAsia" w:ascii="宋体" w:hAnsi="宋体"/>
          <w:color w:val="auto"/>
          <w:sz w:val="24"/>
          <w:szCs w:val="24"/>
          <w:highlight w:val="none"/>
        </w:rPr>
        <w:t>邮编：                               邮编：</w:t>
      </w:r>
    </w:p>
    <w:p>
      <w:pPr>
        <w:snapToGrid w:val="0"/>
        <w:spacing w:before="120" w:after="120" w:line="400" w:lineRule="exact"/>
        <w:ind w:leftChars="-1" w:hanging="2"/>
        <w:rPr>
          <w:rFonts w:ascii="宋体" w:hAnsi="宋体"/>
          <w:color w:val="auto"/>
          <w:sz w:val="24"/>
          <w:szCs w:val="24"/>
          <w:highlight w:val="none"/>
        </w:rPr>
      </w:pPr>
      <w:r>
        <w:rPr>
          <w:rFonts w:hint="eastAsia" w:ascii="宋体" w:hAnsi="宋体"/>
          <w:color w:val="auto"/>
          <w:sz w:val="24"/>
          <w:szCs w:val="24"/>
          <w:highlight w:val="none"/>
        </w:rPr>
        <w:t>电话：                               电话：</w:t>
      </w:r>
    </w:p>
    <w:p>
      <w:pPr>
        <w:snapToGrid w:val="0"/>
        <w:spacing w:before="120" w:after="120" w:line="400" w:lineRule="exact"/>
        <w:ind w:leftChars="-1" w:hanging="2"/>
        <w:rPr>
          <w:rFonts w:ascii="宋体" w:hAnsi="宋体"/>
          <w:color w:val="auto"/>
          <w:sz w:val="24"/>
          <w:szCs w:val="24"/>
          <w:highlight w:val="none"/>
        </w:rPr>
      </w:pPr>
      <w:r>
        <w:rPr>
          <w:rFonts w:hint="eastAsia" w:ascii="宋体" w:hAnsi="宋体"/>
          <w:color w:val="auto"/>
          <w:sz w:val="24"/>
          <w:szCs w:val="24"/>
          <w:highlight w:val="none"/>
        </w:rPr>
        <w:t>传真：                               传真：</w:t>
      </w:r>
    </w:p>
    <w:p>
      <w:pPr>
        <w:snapToGrid w:val="0"/>
        <w:spacing w:before="120" w:after="120" w:line="400" w:lineRule="exact"/>
        <w:ind w:leftChars="-1" w:hanging="2"/>
        <w:rPr>
          <w:rFonts w:ascii="宋体" w:hAnsi="宋体"/>
          <w:color w:val="auto"/>
          <w:sz w:val="24"/>
          <w:szCs w:val="24"/>
          <w:highlight w:val="none"/>
        </w:rPr>
      </w:pPr>
      <w:r>
        <w:rPr>
          <w:rFonts w:hint="eastAsia" w:ascii="宋体" w:hAnsi="宋体"/>
          <w:color w:val="auto"/>
          <w:sz w:val="24"/>
          <w:szCs w:val="24"/>
          <w:highlight w:val="none"/>
        </w:rPr>
        <w:t>开户银行：                           开户银行：</w:t>
      </w:r>
    </w:p>
    <w:p>
      <w:pPr>
        <w:snapToGrid w:val="0"/>
        <w:spacing w:before="120" w:after="120" w:line="400" w:lineRule="exact"/>
        <w:ind w:leftChars="-1" w:hanging="2"/>
        <w:rPr>
          <w:rFonts w:ascii="宋体" w:hAnsi="宋体"/>
          <w:color w:val="auto"/>
          <w:sz w:val="24"/>
          <w:szCs w:val="24"/>
          <w:highlight w:val="none"/>
        </w:rPr>
      </w:pPr>
      <w:r>
        <w:rPr>
          <w:rFonts w:hint="eastAsia" w:ascii="宋体" w:hAnsi="宋体"/>
          <w:color w:val="auto"/>
          <w:sz w:val="24"/>
          <w:szCs w:val="24"/>
          <w:highlight w:val="none"/>
        </w:rPr>
        <w:t>账号：                               账号：</w:t>
      </w:r>
    </w:p>
    <w:p>
      <w:pPr>
        <w:snapToGrid w:val="0"/>
        <w:spacing w:before="156" w:after="156" w:line="400" w:lineRule="exact"/>
        <w:rPr>
          <w:rFonts w:hint="eastAsia" w:ascii="宋体" w:hAnsi="宋体"/>
          <w:color w:val="auto"/>
          <w:sz w:val="24"/>
          <w:szCs w:val="24"/>
          <w:highlight w:val="none"/>
        </w:rPr>
      </w:pPr>
    </w:p>
    <w:p>
      <w:pPr>
        <w:snapToGrid w:val="0"/>
        <w:spacing w:before="156" w:after="156" w:line="400" w:lineRule="exact"/>
        <w:rPr>
          <w:rFonts w:ascii="宋体" w:hAnsi="宋体"/>
          <w:color w:val="auto"/>
          <w:sz w:val="24"/>
          <w:szCs w:val="24"/>
          <w:highlight w:val="none"/>
        </w:rPr>
      </w:pPr>
      <w:r>
        <w:rPr>
          <w:rFonts w:hint="eastAsia" w:ascii="宋体" w:hAnsi="宋体"/>
          <w:color w:val="auto"/>
          <w:sz w:val="24"/>
          <w:szCs w:val="24"/>
          <w:highlight w:val="none"/>
        </w:rPr>
        <w:t>鉴证方:</w:t>
      </w:r>
    </w:p>
    <w:p>
      <w:pPr>
        <w:snapToGrid w:val="0"/>
        <w:spacing w:before="156" w:after="156" w:line="400" w:lineRule="exact"/>
        <w:rPr>
          <w:rFonts w:ascii="宋体" w:hAnsi="宋体"/>
          <w:color w:val="auto"/>
          <w:sz w:val="24"/>
          <w:szCs w:val="24"/>
          <w:highlight w:val="none"/>
        </w:rPr>
      </w:pPr>
      <w:r>
        <w:rPr>
          <w:rFonts w:hint="eastAsia" w:ascii="宋体" w:hAnsi="宋体"/>
          <w:color w:val="auto"/>
          <w:sz w:val="24"/>
          <w:szCs w:val="24"/>
          <w:highlight w:val="none"/>
        </w:rPr>
        <w:t>法定代表人或主要负责人:</w:t>
      </w:r>
    </w:p>
    <w:p>
      <w:pPr>
        <w:spacing w:line="400" w:lineRule="exact"/>
        <w:rPr>
          <w:rFonts w:ascii="宋体" w:hAnsi="宋体"/>
          <w:b/>
          <w:color w:val="auto"/>
          <w:sz w:val="24"/>
          <w:szCs w:val="24"/>
          <w:highlight w:val="none"/>
        </w:rPr>
      </w:pPr>
      <w:r>
        <w:rPr>
          <w:rFonts w:hint="eastAsia" w:ascii="宋体" w:hAnsi="宋体"/>
          <w:color w:val="auto"/>
          <w:sz w:val="24"/>
          <w:szCs w:val="24"/>
          <w:highlight w:val="none"/>
        </w:rPr>
        <w:t>签约地点：                            签约时间：</w:t>
      </w:r>
    </w:p>
    <w:p>
      <w:pPr>
        <w:spacing w:line="400" w:lineRule="exact"/>
        <w:rPr>
          <w:rFonts w:hint="eastAsia"/>
          <w:color w:val="auto"/>
          <w:sz w:val="24"/>
          <w:szCs w:val="24"/>
          <w:highlight w:val="none"/>
        </w:rPr>
      </w:pPr>
    </w:p>
    <w:p>
      <w:pPr>
        <w:rPr>
          <w:rFonts w:hint="eastAsia" w:ascii="宋体" w:hAnsi="宋体" w:cs="宋体"/>
          <w:color w:val="auto"/>
          <w:sz w:val="24"/>
          <w:szCs w:val="24"/>
          <w:highlight w:val="none"/>
        </w:rPr>
      </w:pPr>
    </w:p>
    <w:p>
      <w:pPr>
        <w:pStyle w:val="32"/>
        <w:rPr>
          <w:rFonts w:hint="eastAsia" w:ascii="宋体" w:hAnsi="宋体" w:cs="宋体"/>
          <w:color w:val="auto"/>
          <w:sz w:val="24"/>
          <w:szCs w:val="24"/>
          <w:highlight w:val="none"/>
        </w:rPr>
      </w:pPr>
    </w:p>
    <w:p>
      <w:pPr>
        <w:spacing w:line="420" w:lineRule="exact"/>
        <w:jc w:val="center"/>
        <w:rPr>
          <w:rFonts w:hint="eastAsia" w:ascii="宋体" w:hAnsi="宋体"/>
          <w:color w:val="auto"/>
          <w:sz w:val="24"/>
          <w:highlight w:val="none"/>
        </w:rPr>
      </w:pPr>
      <w:r>
        <w:rPr>
          <w:rFonts w:hint="eastAsia" w:ascii="宋体" w:hAnsi="宋体" w:cs="宋体"/>
          <w:b/>
          <w:color w:val="auto"/>
          <w:sz w:val="24"/>
          <w:highlight w:val="none"/>
        </w:rPr>
        <w:t>注：签订合同时，可以使用项目相关国家标准合同文本。</w:t>
      </w:r>
    </w:p>
    <w:p>
      <w:pPr>
        <w:pageBreakBefore/>
        <w:spacing w:line="360" w:lineRule="auto"/>
        <w:jc w:val="center"/>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政府采购廉洁承诺书</w:t>
      </w:r>
    </w:p>
    <w:p>
      <w:pPr>
        <w:spacing w:line="360" w:lineRule="auto"/>
        <w:jc w:val="center"/>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（中标人须将此表附在合同后）</w:t>
      </w:r>
    </w:p>
    <w:p>
      <w:pPr>
        <w:spacing w:line="360" w:lineRule="auto"/>
        <w:jc w:val="center"/>
        <w:rPr>
          <w:rFonts w:hint="eastAsia" w:ascii="宋体" w:hAnsi="宋体" w:eastAsia="宋体" w:cs="宋体"/>
          <w:b/>
          <w:color w:val="auto"/>
          <w:sz w:val="24"/>
          <w:highlight w:val="none"/>
        </w:rPr>
      </w:pP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项目名称：                                     项目编号：</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中标人：</w:t>
      </w:r>
    </w:p>
    <w:p>
      <w:pPr>
        <w:spacing w:line="40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为加强政府采购活动中的廉政建设，防止发生商业贿赂等违法违纪行为，保护国家、集体和当事人的合法权益，根据《中华人民共和国政府采购法》和党风廉政建设及反腐败工作有关规定，我方自愿签订本承诺书，并严格执行。</w:t>
      </w:r>
    </w:p>
    <w:p>
      <w:pPr>
        <w:spacing w:line="40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第一条参与政府采购活动时，除具备采购文件规定的资格、资质要求外，我方还将严格遵守有关法律、法规、政策以及国家、地方关于廉政建设的各项规定。</w:t>
      </w:r>
    </w:p>
    <w:p>
      <w:pPr>
        <w:spacing w:line="40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第二条遵循公开、公平、公正、诚实信用原则，不发生损害上述原则及各方当事人合法权益得不正当竞争行为。</w:t>
      </w:r>
    </w:p>
    <w:p>
      <w:pPr>
        <w:spacing w:line="40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第三条与政府采购各方当事人保持正常的业务交往，不向采购人、采购代理机构、监督机构、评审专家、工作人员及其他参与采购活动的人员提供不正当利益。主要有：</w:t>
      </w:r>
    </w:p>
    <w:p>
      <w:pPr>
        <w:spacing w:line="40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（一）向上述人员赠送礼金、有价证券、贵重物品及回扣、好处费、感谢费等。</w:t>
      </w:r>
    </w:p>
    <w:p>
      <w:pPr>
        <w:spacing w:line="40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（二）为上述人员或单位报销应由对方支付的费用。</w:t>
      </w:r>
    </w:p>
    <w:p>
      <w:pPr>
        <w:spacing w:line="40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（三）暗示为上述人员装修住房、婚丧嫁娶、配偶子女的工作安排以及出国（境）、旅游等提供方便。</w:t>
      </w:r>
    </w:p>
    <w:p>
      <w:pPr>
        <w:spacing w:line="40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（四）为上述人员或单位提供可能影响采购活动开展的宴请、健身、娱乐等活动。</w:t>
      </w:r>
    </w:p>
    <w:p>
      <w:pPr>
        <w:spacing w:line="40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第四条严格执行采购合同，自觉按合同办事；在合同执行过程中，不发生本承诺书第三条中所列不良行为。    </w:t>
      </w:r>
    </w:p>
    <w:p>
      <w:pPr>
        <w:spacing w:line="40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第五条 发现采购活动各方当事人有违规、违纪、违法行为的，及时提醒对方，情节严重的，主动向其主管部门或纪检监察、司法等机关举报。</w:t>
      </w:r>
    </w:p>
    <w:p>
      <w:pPr>
        <w:spacing w:line="40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第六条 自觉接受政府采购管理部门的监管。在采购活动中出现违反本承诺书规定行为的，自觉接受政府采购管理部门的处罚，因违法违规行为给其他当事人造成经济损失的，按规定予以赔偿。</w:t>
      </w:r>
    </w:p>
    <w:p>
      <w:pPr>
        <w:spacing w:line="40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第七条 本承诺书自签署之日起生效。</w:t>
      </w:r>
    </w:p>
    <w:p>
      <w:pPr>
        <w:spacing w:line="360" w:lineRule="auto"/>
        <w:ind w:left="840" w:hanging="840" w:hangingChars="350"/>
        <w:jc w:val="center"/>
        <w:rPr>
          <w:rFonts w:hint="eastAsia" w:ascii="宋体" w:hAnsi="宋体" w:eastAsia="宋体" w:cs="宋体"/>
          <w:color w:val="auto"/>
          <w:sz w:val="24"/>
          <w:highlight w:val="none"/>
        </w:rPr>
      </w:pPr>
    </w:p>
    <w:p>
      <w:pPr>
        <w:spacing w:line="360" w:lineRule="auto"/>
        <w:ind w:left="840" w:hanging="840" w:hangingChars="350"/>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投标人（盖章）：</w:t>
      </w:r>
    </w:p>
    <w:p>
      <w:pPr>
        <w:spacing w:line="360" w:lineRule="auto"/>
        <w:ind w:left="840" w:hanging="840" w:hangingChars="350"/>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法定代表人：</w:t>
      </w:r>
    </w:p>
    <w:p>
      <w:pPr>
        <w:spacing w:line="360" w:lineRule="auto"/>
        <w:ind w:left="840" w:hanging="840" w:hangingChars="350"/>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年    月   日</w:t>
      </w:r>
    </w:p>
    <w:p>
      <w:pPr>
        <w:spacing w:line="360" w:lineRule="auto"/>
        <w:ind w:left="840" w:hanging="840" w:hangingChars="350"/>
        <w:rPr>
          <w:rFonts w:hint="eastAsia" w:ascii="宋体" w:hAnsi="宋体" w:eastAsia="宋体" w:cs="宋体"/>
          <w:color w:val="auto"/>
          <w:sz w:val="24"/>
          <w:highlight w:val="none"/>
        </w:rPr>
      </w:pPr>
    </w:p>
    <w:p>
      <w:pPr>
        <w:pStyle w:val="3"/>
        <w:jc w:val="center"/>
        <w:rPr>
          <w:rFonts w:hint="eastAsia" w:ascii="宋体" w:hAnsi="宋体" w:eastAsia="宋体" w:cs="宋体"/>
          <w:color w:val="auto"/>
          <w:sz w:val="24"/>
          <w:szCs w:val="24"/>
          <w:highlight w:val="none"/>
        </w:rPr>
      </w:pPr>
      <w:bookmarkStart w:id="64" w:name="_Toc11880"/>
      <w:r>
        <w:rPr>
          <w:rFonts w:hint="eastAsia" w:ascii="宋体" w:hAnsi="宋体" w:eastAsia="宋体" w:cs="宋体"/>
          <w:color w:val="auto"/>
          <w:sz w:val="24"/>
          <w:szCs w:val="24"/>
          <w:highlight w:val="none"/>
        </w:rPr>
        <w:t>第六章　投标文件组成内容及格式</w:t>
      </w:r>
      <w:bookmarkEnd w:id="64"/>
    </w:p>
    <w:bookmarkEnd w:id="58"/>
    <w:bookmarkEnd w:id="59"/>
    <w:p>
      <w:pPr>
        <w:pStyle w:val="12"/>
        <w:spacing w:before="120" w:after="120" w:line="360" w:lineRule="auto"/>
        <w:rPr>
          <w:rFonts w:hint="eastAsia" w:ascii="宋体" w:hAnsi="宋体" w:eastAsia="宋体" w:cs="宋体"/>
          <w:color w:val="auto"/>
          <w:szCs w:val="24"/>
          <w:highlight w:val="none"/>
          <w:u w:val="single"/>
        </w:rPr>
      </w:pPr>
    </w:p>
    <w:p>
      <w:pPr>
        <w:bidi w:val="0"/>
        <w:jc w:val="center"/>
        <w:rPr>
          <w:rFonts w:hint="eastAsia"/>
          <w:color w:val="auto"/>
          <w:sz w:val="24"/>
          <w:szCs w:val="24"/>
          <w:highlight w:val="none"/>
          <w:lang w:val="en-US" w:eastAsia="zh-CN"/>
        </w:rPr>
      </w:pPr>
      <w:bookmarkStart w:id="65" w:name="_Toc405368940"/>
      <w:r>
        <w:rPr>
          <w:rFonts w:hint="eastAsia"/>
          <w:color w:val="auto"/>
          <w:sz w:val="24"/>
          <w:szCs w:val="24"/>
          <w:highlight w:val="none"/>
          <w:lang w:val="en-US" w:eastAsia="zh-CN"/>
        </w:rPr>
        <w:t>一、投标文件封面格式</w:t>
      </w:r>
      <w:bookmarkEnd w:id="65"/>
    </w:p>
    <w:p>
      <w:pPr>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1.投标文件封面格式：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正本/或副本</w:t>
      </w: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spacing w:line="48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资格审查文件、商务技术文件、报价文件（相应选择一个投标文件封面外包装名称）</w:t>
      </w:r>
    </w:p>
    <w:p>
      <w:pPr>
        <w:spacing w:line="480" w:lineRule="auto"/>
        <w:rPr>
          <w:rFonts w:hint="eastAsia" w:ascii="宋体" w:hAnsi="宋体" w:cs="宋体"/>
          <w:color w:val="auto"/>
          <w:sz w:val="24"/>
          <w:highlight w:val="none"/>
          <w:lang w:eastAsia="zh-CN"/>
        </w:rPr>
      </w:pPr>
      <w:r>
        <w:rPr>
          <w:rFonts w:hint="eastAsia" w:ascii="宋体" w:hAnsi="宋体" w:eastAsia="宋体" w:cs="宋体"/>
          <w:color w:val="auto"/>
          <w:sz w:val="24"/>
          <w:highlight w:val="none"/>
        </w:rPr>
        <w:t>项目名称：</w:t>
      </w:r>
      <w:r>
        <w:rPr>
          <w:rFonts w:hint="eastAsia" w:ascii="宋体" w:hAnsi="宋体" w:cs="宋体"/>
          <w:color w:val="auto"/>
          <w:sz w:val="24"/>
          <w:highlight w:val="none"/>
          <w:lang w:eastAsia="zh-CN"/>
        </w:rPr>
        <w:t>东阳市横店医院公共卫生综合楼百级手术室、供应中心净化系统设备采购及安装项目</w:t>
      </w:r>
    </w:p>
    <w:p>
      <w:pPr>
        <w:spacing w:line="480" w:lineRule="auto"/>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项目编号：</w:t>
      </w:r>
      <w:r>
        <w:rPr>
          <w:rFonts w:hint="eastAsia" w:ascii="宋体" w:hAnsi="宋体" w:cs="宋体"/>
          <w:color w:val="auto"/>
          <w:sz w:val="24"/>
          <w:highlight w:val="none"/>
          <w:lang w:eastAsia="zh-CN"/>
        </w:rPr>
        <w:t>XSZFCGDZ2022-203</w:t>
      </w:r>
    </w:p>
    <w:p>
      <w:pPr>
        <w:spacing w:line="48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标项：</w:t>
      </w:r>
    </w:p>
    <w:p>
      <w:pPr>
        <w:spacing w:line="48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投标人名称：</w:t>
      </w:r>
    </w:p>
    <w:p>
      <w:pPr>
        <w:spacing w:line="48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投标人地址：</w:t>
      </w:r>
    </w:p>
    <w:p>
      <w:pPr>
        <w:spacing w:line="48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w:t>
      </w:r>
    </w:p>
    <w:p>
      <w:pPr>
        <w:spacing w:line="48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年   月   日</w:t>
      </w:r>
    </w:p>
    <w:p>
      <w:pPr>
        <w:spacing w:line="360" w:lineRule="auto"/>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p>
    <w:p>
      <w:pPr>
        <w:rPr>
          <w:rFonts w:hint="eastAsia"/>
          <w:color w:val="auto"/>
          <w:highlight w:val="none"/>
        </w:rPr>
      </w:pPr>
    </w:p>
    <w:p>
      <w:pPr>
        <w:spacing w:line="360" w:lineRule="auto"/>
        <w:rPr>
          <w:rFonts w:hint="eastAsia" w:ascii="宋体" w:hAnsi="宋体" w:eastAsia="宋体" w:cs="宋体"/>
          <w:b/>
          <w:color w:val="auto"/>
          <w:sz w:val="24"/>
          <w:highlight w:val="none"/>
        </w:rPr>
      </w:pPr>
    </w:p>
    <w:p>
      <w:pPr>
        <w:spacing w:line="360" w:lineRule="auto"/>
        <w:rPr>
          <w:rFonts w:hint="eastAsia" w:ascii="宋体" w:hAnsi="宋体" w:cs="宋体"/>
          <w:b/>
          <w:color w:val="auto"/>
          <w:sz w:val="24"/>
          <w:highlight w:val="none"/>
          <w:lang w:val="en-US" w:eastAsia="zh-CN"/>
        </w:rPr>
      </w:pPr>
    </w:p>
    <w:p>
      <w:pPr>
        <w:keepNext w:val="0"/>
        <w:keepLines w:val="0"/>
        <w:pageBreakBefore/>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color w:val="auto"/>
          <w:sz w:val="24"/>
          <w:highlight w:val="none"/>
        </w:rPr>
      </w:pPr>
      <w:r>
        <w:rPr>
          <w:rFonts w:hint="eastAsia" w:ascii="宋体" w:hAnsi="宋体" w:cs="宋体"/>
          <w:b/>
          <w:color w:val="auto"/>
          <w:sz w:val="24"/>
          <w:highlight w:val="none"/>
          <w:lang w:val="en-US" w:eastAsia="zh-CN"/>
        </w:rPr>
        <w:t>2</w:t>
      </w:r>
      <w:r>
        <w:rPr>
          <w:rFonts w:hint="eastAsia" w:ascii="宋体" w:hAnsi="宋体" w:eastAsia="宋体" w:cs="宋体"/>
          <w:b/>
          <w:color w:val="auto"/>
          <w:sz w:val="24"/>
          <w:highlight w:val="none"/>
        </w:rPr>
        <w:t>.资格审查文件：</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（1）具有独立承担民事责任的能力：投标人须在投标文件中出具符合以下情况的证明材料复印件（五选一）：</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①如投标人是企业（包括合伙企业），提供在工商部门注册的有效“企业法人营业执照”或“营业执照”；</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②如投标人是事业单位，提供有效的“事业单位法人证书”；</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③如投标人是非企业专业服务机构的，提供执业许可证等证明文件；</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④如投标人是个体工商户，提供有效的“个体工商户营业执照”；</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⑤如投标人是自然人，提供有效的自然人身份证明（居民身份证正反面或公安机关出具的临时居民身份证正反面或港澳台胞证或护照）。</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2</w:t>
      </w:r>
      <w:r>
        <w:rPr>
          <w:rFonts w:hint="eastAsia" w:ascii="宋体" w:hAnsi="宋体" w:eastAsia="宋体" w:cs="宋体"/>
          <w:color w:val="auto"/>
          <w:sz w:val="24"/>
          <w:highlight w:val="none"/>
        </w:rPr>
        <w:t>）法定代表人身份证复印件或法定代表人授权委托书(格式见附件)；</w:t>
      </w:r>
    </w:p>
    <w:p>
      <w:pPr>
        <w:spacing w:line="360" w:lineRule="auto"/>
        <w:rPr>
          <w:rFonts w:hint="eastAsia" w:ascii="宋体" w:hAnsi="宋体" w:cs="宋体"/>
          <w:color w:val="auto"/>
          <w:sz w:val="24"/>
          <w:highlight w:val="none"/>
          <w:lang w:val="en-US" w:eastAsia="zh-CN"/>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3</w:t>
      </w:r>
      <w:r>
        <w:rPr>
          <w:rFonts w:hint="eastAsia" w:ascii="宋体" w:hAnsi="宋体" w:cs="宋体"/>
          <w:color w:val="auto"/>
          <w:sz w:val="24"/>
          <w:highlight w:val="none"/>
        </w:rPr>
        <w:t>）</w:t>
      </w:r>
      <w:r>
        <w:rPr>
          <w:rFonts w:hint="eastAsia" w:ascii="宋体" w:hAnsi="宋体" w:cs="宋体"/>
          <w:color w:val="auto"/>
          <w:sz w:val="24"/>
          <w:highlight w:val="none"/>
          <w:lang w:eastAsia="zh-CN"/>
        </w:rPr>
        <w:t>符合参加政府采购活动应当具备的一般条件的承诺函（格式见附件）；</w:t>
      </w:r>
    </w:p>
    <w:p>
      <w:pPr>
        <w:pStyle w:val="8"/>
        <w:keepNext w:val="0"/>
        <w:keepLines w:val="0"/>
        <w:pageBreakBefore w:val="0"/>
        <w:numPr>
          <w:ilvl w:val="0"/>
          <w:numId w:val="0"/>
        </w:numPr>
        <w:kinsoku/>
        <w:wordWrap/>
        <w:overflowPunct/>
        <w:topLinePunct w:val="0"/>
        <w:autoSpaceDE/>
        <w:autoSpaceDN/>
        <w:bidi w:val="0"/>
        <w:adjustRightInd/>
        <w:spacing w:line="360" w:lineRule="auto"/>
        <w:textAlignment w:val="auto"/>
        <w:rPr>
          <w:rFonts w:hint="eastAsia" w:ascii="宋体" w:hAnsi="宋体" w:eastAsia="宋体" w:cs="宋体"/>
          <w:strike w:val="0"/>
          <w:dstrike w:val="0"/>
          <w:color w:val="auto"/>
          <w:sz w:val="24"/>
          <w:highlight w:val="none"/>
          <w:lang w:val="en-US" w:eastAsia="zh-CN"/>
        </w:rPr>
      </w:pPr>
      <w:r>
        <w:rPr>
          <w:rFonts w:hint="eastAsia" w:ascii="宋体" w:hAnsi="宋体" w:cs="宋体"/>
          <w:strike w:val="0"/>
          <w:dstrike w:val="0"/>
          <w:color w:val="auto"/>
          <w:sz w:val="24"/>
          <w:highlight w:val="none"/>
          <w:lang w:val="en-US" w:eastAsia="zh-CN"/>
        </w:rPr>
        <w:t>（4）</w:t>
      </w:r>
      <w:r>
        <w:rPr>
          <w:rFonts w:hint="eastAsia" w:ascii="宋体" w:hAnsi="宋体" w:eastAsia="宋体" w:cs="宋体"/>
          <w:strike w:val="0"/>
          <w:dstrike w:val="0"/>
          <w:color w:val="auto"/>
          <w:sz w:val="24"/>
          <w:highlight w:val="none"/>
          <w:lang w:val="en-US" w:eastAsia="zh-CN"/>
        </w:rPr>
        <w:t>具有医疗器械经营许可资格；</w:t>
      </w:r>
    </w:p>
    <w:p>
      <w:pPr>
        <w:pStyle w:val="8"/>
        <w:keepNext w:val="0"/>
        <w:keepLines w:val="0"/>
        <w:pageBreakBefore w:val="0"/>
        <w:numPr>
          <w:ilvl w:val="0"/>
          <w:numId w:val="0"/>
        </w:numPr>
        <w:kinsoku/>
        <w:wordWrap/>
        <w:overflowPunct/>
        <w:topLinePunct w:val="0"/>
        <w:autoSpaceDE/>
        <w:autoSpaceDN/>
        <w:bidi w:val="0"/>
        <w:adjustRightInd/>
        <w:spacing w:line="360" w:lineRule="auto"/>
        <w:textAlignment w:val="auto"/>
        <w:rPr>
          <w:rFonts w:hint="eastAsia"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（5）</w:t>
      </w:r>
      <w:r>
        <w:rPr>
          <w:rFonts w:hint="eastAsia" w:ascii="宋体" w:hAnsi="宋体" w:eastAsia="宋体" w:cs="宋体"/>
          <w:color w:val="auto"/>
          <w:sz w:val="24"/>
          <w:highlight w:val="none"/>
          <w:lang w:val="en-US" w:eastAsia="zh-CN"/>
        </w:rPr>
        <w:t>具有建筑机电安装工程专业承包</w:t>
      </w:r>
      <w:r>
        <w:rPr>
          <w:rFonts w:hint="eastAsia" w:ascii="宋体" w:hAnsi="宋体" w:cs="宋体"/>
          <w:color w:val="auto"/>
          <w:sz w:val="24"/>
          <w:highlight w:val="none"/>
          <w:lang w:val="en-US" w:eastAsia="zh-CN"/>
        </w:rPr>
        <w:t>三</w:t>
      </w:r>
      <w:r>
        <w:rPr>
          <w:rFonts w:hint="eastAsia" w:ascii="宋体" w:hAnsi="宋体" w:eastAsia="宋体" w:cs="宋体"/>
          <w:color w:val="auto"/>
          <w:sz w:val="24"/>
          <w:highlight w:val="none"/>
          <w:lang w:val="en-US" w:eastAsia="zh-CN"/>
        </w:rPr>
        <w:t>级及以上资质；</w:t>
      </w:r>
    </w:p>
    <w:p>
      <w:pPr>
        <w:spacing w:line="360" w:lineRule="auto"/>
        <w:rPr>
          <w:rFonts w:hint="eastAsia" w:ascii="宋体" w:hAnsi="宋体" w:eastAsia="宋体" w:cs="宋体"/>
          <w:color w:val="auto"/>
          <w:sz w:val="24"/>
          <w:highlight w:val="none"/>
        </w:rPr>
      </w:pPr>
      <w:r>
        <w:rPr>
          <w:rFonts w:hint="eastAsia" w:ascii="宋体" w:hAnsi="宋体" w:cs="宋体"/>
          <w:color w:val="auto"/>
          <w:sz w:val="24"/>
          <w:highlight w:val="none"/>
          <w:lang w:val="en-US" w:eastAsia="zh-CN"/>
        </w:rPr>
        <w:t>（6）</w:t>
      </w:r>
      <w:r>
        <w:rPr>
          <w:rFonts w:hint="eastAsia" w:ascii="宋体" w:hAnsi="宋体" w:eastAsia="宋体" w:cs="宋体"/>
          <w:color w:val="auto"/>
          <w:sz w:val="24"/>
          <w:highlight w:val="none"/>
        </w:rPr>
        <w:t>具有安全生产许可证</w:t>
      </w:r>
      <w:r>
        <w:rPr>
          <w:rFonts w:hint="eastAsia" w:ascii="宋体" w:hAnsi="宋体" w:eastAsia="宋体" w:cs="宋体"/>
          <w:color w:val="auto"/>
          <w:sz w:val="24"/>
          <w:highlight w:val="none"/>
          <w:lang w:val="en-US" w:eastAsia="zh-CN"/>
        </w:rPr>
        <w:t>；</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7</w:t>
      </w:r>
      <w:r>
        <w:rPr>
          <w:rFonts w:hint="eastAsia" w:ascii="宋体" w:hAnsi="宋体" w:eastAsia="宋体" w:cs="宋体"/>
          <w:color w:val="auto"/>
          <w:sz w:val="24"/>
          <w:highlight w:val="none"/>
        </w:rPr>
        <w:t>）联合体协议书/分包意向协议；（联合体投标/分包时提供，格式见附件）；</w:t>
      </w:r>
    </w:p>
    <w:p>
      <w:pPr>
        <w:pStyle w:val="4"/>
        <w:spacing w:line="360" w:lineRule="auto"/>
        <w:ind w:left="0" w:leftChars="0" w:firstLine="0" w:firstLineChars="0"/>
        <w:rPr>
          <w:rFonts w:hint="default" w:eastAsia="宋体"/>
          <w:color w:val="auto"/>
          <w:highlight w:val="none"/>
          <w:lang w:val="en-US" w:eastAsia="zh-CN"/>
        </w:rPr>
      </w:pPr>
      <w:r>
        <w:rPr>
          <w:rFonts w:hint="eastAsia" w:ascii="宋体" w:hAnsi="宋体" w:cs="宋体"/>
          <w:color w:val="auto"/>
          <w:sz w:val="24"/>
          <w:highlight w:val="none"/>
          <w:lang w:val="en-US" w:eastAsia="zh-CN"/>
        </w:rPr>
        <w:t>（8）中小企业声明函（格式见附件）；</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9</w:t>
      </w:r>
      <w:r>
        <w:rPr>
          <w:rFonts w:hint="eastAsia" w:ascii="宋体" w:hAnsi="宋体" w:eastAsia="宋体" w:cs="宋体"/>
          <w:color w:val="auto"/>
          <w:sz w:val="24"/>
          <w:highlight w:val="none"/>
        </w:rPr>
        <w:t>）信用记录网络查询页面截图（信用中国与中国政府采购网）；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10</w:t>
      </w:r>
      <w:r>
        <w:rPr>
          <w:rFonts w:hint="eastAsia" w:ascii="宋体" w:hAnsi="宋体" w:eastAsia="宋体" w:cs="宋体"/>
          <w:color w:val="auto"/>
          <w:sz w:val="24"/>
          <w:highlight w:val="none"/>
        </w:rPr>
        <w:t>）浙江政府采购网注册正式供应商的网络截图或承诺中标后30天内注册为浙江政府采购网正式供应商（须提供承诺书）；</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11</w:t>
      </w:r>
      <w:r>
        <w:rPr>
          <w:rFonts w:hint="eastAsia" w:ascii="宋体" w:hAnsi="宋体" w:eastAsia="宋体" w:cs="宋体"/>
          <w:color w:val="auto"/>
          <w:sz w:val="24"/>
          <w:highlight w:val="none"/>
        </w:rPr>
        <w:t>）东阳市政府采购代理机构社会评价表（格式见附件）</w:t>
      </w:r>
      <w:r>
        <w:rPr>
          <w:rFonts w:hint="eastAsia" w:ascii="宋体" w:hAnsi="宋体" w:cs="宋体"/>
          <w:color w:val="auto"/>
          <w:sz w:val="24"/>
          <w:highlight w:val="none"/>
          <w:lang w:eastAsia="zh-CN"/>
        </w:rPr>
        <w:t>；</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12</w:t>
      </w:r>
      <w:r>
        <w:rPr>
          <w:rFonts w:hint="eastAsia" w:ascii="宋体" w:hAnsi="宋体" w:eastAsia="宋体" w:cs="宋体"/>
          <w:color w:val="auto"/>
          <w:sz w:val="24"/>
          <w:highlight w:val="none"/>
        </w:rPr>
        <w:t>）投标声明书 (格式见附件)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rPr>
        <w:t>）政府采购活动现场确认声明书 (格式见附件)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r>
        <w:rPr>
          <w:rFonts w:hint="eastAsia" w:ascii="宋体" w:hAnsi="宋体" w:cs="宋体"/>
          <w:color w:val="auto"/>
          <w:sz w:val="24"/>
          <w:highlight w:val="none"/>
          <w:lang w:val="en-US" w:eastAsia="zh-CN"/>
        </w:rPr>
        <w:t>4</w:t>
      </w:r>
      <w:r>
        <w:rPr>
          <w:rFonts w:hint="eastAsia" w:ascii="宋体" w:hAnsi="宋体" w:eastAsia="宋体" w:cs="宋体"/>
          <w:color w:val="auto"/>
          <w:sz w:val="24"/>
          <w:highlight w:val="none"/>
        </w:rPr>
        <w:t>）投标人情况介绍；</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15</w:t>
      </w:r>
      <w:r>
        <w:rPr>
          <w:rFonts w:hint="eastAsia" w:ascii="宋体" w:hAnsi="宋体" w:eastAsia="宋体" w:cs="宋体"/>
          <w:color w:val="auto"/>
          <w:sz w:val="24"/>
          <w:highlight w:val="none"/>
        </w:rPr>
        <w:t>）投标人认为有必要提供的其它文件。</w:t>
      </w:r>
    </w:p>
    <w:p>
      <w:pPr>
        <w:spacing w:line="360" w:lineRule="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lang w:val="en-US" w:eastAsia="zh-CN"/>
        </w:rPr>
        <w:t>3</w:t>
      </w:r>
      <w:r>
        <w:rPr>
          <w:rFonts w:hint="eastAsia" w:ascii="宋体" w:hAnsi="宋体" w:eastAsia="宋体" w:cs="宋体"/>
          <w:b/>
          <w:bCs/>
          <w:color w:val="auto"/>
          <w:sz w:val="24"/>
          <w:highlight w:val="none"/>
        </w:rPr>
        <w:t>.商务技术文件</w:t>
      </w:r>
    </w:p>
    <w:p>
      <w:pPr>
        <w:spacing w:line="360" w:lineRule="auto"/>
        <w:rPr>
          <w:rFonts w:hint="eastAsia" w:ascii="宋体" w:hAnsi="宋体"/>
          <w:color w:val="auto"/>
          <w:sz w:val="24"/>
          <w:highlight w:val="none"/>
        </w:rPr>
      </w:pPr>
      <w:r>
        <w:rPr>
          <w:rFonts w:hint="eastAsia" w:ascii="宋体" w:hAnsi="宋体"/>
          <w:color w:val="auto"/>
          <w:sz w:val="24"/>
          <w:highlight w:val="none"/>
        </w:rPr>
        <w:t>（1）投标人资信商务、技术自评得分表（格式见附件）；</w:t>
      </w:r>
    </w:p>
    <w:p>
      <w:pPr>
        <w:spacing w:line="360" w:lineRule="auto"/>
        <w:rPr>
          <w:rFonts w:hint="eastAsia" w:ascii="宋体" w:hAnsi="宋体"/>
          <w:color w:val="auto"/>
          <w:sz w:val="24"/>
          <w:highlight w:val="none"/>
        </w:rPr>
      </w:pPr>
      <w:r>
        <w:rPr>
          <w:rFonts w:hint="eastAsia" w:ascii="宋体" w:hAnsi="宋体"/>
          <w:color w:val="auto"/>
          <w:sz w:val="24"/>
          <w:highlight w:val="none"/>
        </w:rPr>
        <w:t>（2）商务响应表（格式见附件）；</w:t>
      </w:r>
    </w:p>
    <w:p>
      <w:pPr>
        <w:spacing w:line="360" w:lineRule="auto"/>
        <w:rPr>
          <w:rFonts w:hint="eastAsia" w:ascii="宋体" w:hAnsi="宋体"/>
          <w:color w:val="auto"/>
          <w:sz w:val="24"/>
          <w:highlight w:val="none"/>
        </w:rPr>
      </w:pPr>
      <w:r>
        <w:rPr>
          <w:rFonts w:hint="eastAsia" w:ascii="宋体" w:hAnsi="宋体"/>
          <w:color w:val="auto"/>
          <w:sz w:val="24"/>
          <w:highlight w:val="none"/>
        </w:rPr>
        <w:t>（3）技术响应表（格式见附件）；</w:t>
      </w:r>
    </w:p>
    <w:p>
      <w:pPr>
        <w:spacing w:line="360" w:lineRule="auto"/>
        <w:rPr>
          <w:rFonts w:hint="eastAsia" w:ascii="宋体" w:hAnsi="宋体"/>
          <w:color w:val="auto"/>
          <w:sz w:val="24"/>
          <w:highlight w:val="none"/>
        </w:rPr>
      </w:pPr>
      <w:r>
        <w:rPr>
          <w:rFonts w:hint="eastAsia" w:ascii="宋体" w:hAnsi="宋体"/>
          <w:color w:val="auto"/>
          <w:sz w:val="24"/>
          <w:highlight w:val="none"/>
        </w:rPr>
        <w:t>（4）</w:t>
      </w:r>
      <w:r>
        <w:rPr>
          <w:rFonts w:hint="eastAsia" w:ascii="宋体" w:hAnsi="宋体"/>
          <w:color w:val="auto"/>
          <w:sz w:val="24"/>
          <w:highlight w:val="none"/>
          <w:lang w:eastAsia="zh-CN"/>
        </w:rPr>
        <w:t>投标产品质量和技术性能</w:t>
      </w:r>
      <w:r>
        <w:rPr>
          <w:rFonts w:hint="eastAsia" w:ascii="宋体" w:hAnsi="宋体"/>
          <w:color w:val="auto"/>
          <w:sz w:val="24"/>
          <w:highlight w:val="none"/>
        </w:rPr>
        <w:t>；</w:t>
      </w:r>
    </w:p>
    <w:p>
      <w:pPr>
        <w:spacing w:line="360" w:lineRule="auto"/>
        <w:rPr>
          <w:rFonts w:hint="eastAsia" w:ascii="宋体" w:hAnsi="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5</w:t>
      </w:r>
      <w:r>
        <w:rPr>
          <w:rFonts w:hint="eastAsia" w:ascii="宋体" w:hAnsi="宋体"/>
          <w:color w:val="auto"/>
          <w:sz w:val="24"/>
          <w:highlight w:val="none"/>
        </w:rPr>
        <w:t>）</w:t>
      </w:r>
      <w:r>
        <w:rPr>
          <w:rFonts w:hint="eastAsia" w:ascii="宋体" w:hAnsi="宋体"/>
          <w:color w:val="auto"/>
          <w:sz w:val="24"/>
          <w:highlight w:val="none"/>
          <w:lang w:eastAsia="zh-CN"/>
        </w:rPr>
        <w:t>技术参数响应情况</w:t>
      </w:r>
      <w:r>
        <w:rPr>
          <w:rFonts w:hint="eastAsia" w:ascii="宋体" w:hAnsi="宋体"/>
          <w:color w:val="auto"/>
          <w:sz w:val="24"/>
          <w:highlight w:val="none"/>
        </w:rPr>
        <w:t>；</w:t>
      </w:r>
    </w:p>
    <w:p>
      <w:pPr>
        <w:spacing w:line="360" w:lineRule="auto"/>
        <w:rPr>
          <w:rFonts w:hint="eastAsia" w:ascii="宋体" w:hAnsi="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6</w:t>
      </w:r>
      <w:r>
        <w:rPr>
          <w:rFonts w:hint="eastAsia" w:ascii="宋体" w:hAnsi="宋体"/>
          <w:color w:val="auto"/>
          <w:sz w:val="24"/>
          <w:highlight w:val="none"/>
        </w:rPr>
        <w:t>）</w:t>
      </w:r>
      <w:r>
        <w:rPr>
          <w:rFonts w:hint="eastAsia" w:ascii="宋体" w:hAnsi="宋体"/>
          <w:color w:val="auto"/>
          <w:sz w:val="24"/>
          <w:highlight w:val="none"/>
          <w:lang w:eastAsia="zh-CN"/>
        </w:rPr>
        <w:t>实施方案</w:t>
      </w:r>
      <w:r>
        <w:rPr>
          <w:rFonts w:hint="eastAsia" w:ascii="宋体" w:hAnsi="宋体"/>
          <w:color w:val="auto"/>
          <w:sz w:val="24"/>
          <w:highlight w:val="none"/>
        </w:rPr>
        <w:t>；</w:t>
      </w:r>
    </w:p>
    <w:p>
      <w:pPr>
        <w:spacing w:line="360" w:lineRule="auto"/>
        <w:rPr>
          <w:rFonts w:hint="eastAsia" w:ascii="宋体" w:hAnsi="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7</w:t>
      </w:r>
      <w:r>
        <w:rPr>
          <w:rFonts w:hint="eastAsia" w:ascii="宋体" w:hAnsi="宋体"/>
          <w:color w:val="auto"/>
          <w:sz w:val="24"/>
          <w:highlight w:val="none"/>
        </w:rPr>
        <w:t>）认证证书；</w:t>
      </w:r>
    </w:p>
    <w:p>
      <w:pPr>
        <w:spacing w:line="360" w:lineRule="auto"/>
        <w:rPr>
          <w:rFonts w:hint="eastAsia" w:ascii="宋体" w:hAnsi="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8</w:t>
      </w:r>
      <w:r>
        <w:rPr>
          <w:rFonts w:hint="eastAsia" w:ascii="宋体" w:hAnsi="宋体"/>
          <w:color w:val="auto"/>
          <w:sz w:val="24"/>
          <w:highlight w:val="none"/>
        </w:rPr>
        <w:t>）同类业绩；</w:t>
      </w:r>
    </w:p>
    <w:p>
      <w:pPr>
        <w:spacing w:line="360" w:lineRule="auto"/>
        <w:rPr>
          <w:rFonts w:hint="eastAsia" w:ascii="宋体" w:hAnsi="宋体"/>
          <w:color w:val="auto"/>
          <w:sz w:val="24"/>
          <w:highlight w:val="none"/>
          <w:lang w:eastAsia="zh-CN"/>
        </w:rPr>
      </w:pPr>
      <w:r>
        <w:rPr>
          <w:rFonts w:hint="eastAsia" w:ascii="宋体" w:hAnsi="宋体"/>
          <w:color w:val="auto"/>
          <w:sz w:val="24"/>
          <w:highlight w:val="none"/>
          <w:lang w:eastAsia="zh-CN"/>
        </w:rPr>
        <w:t>（</w:t>
      </w:r>
      <w:r>
        <w:rPr>
          <w:rFonts w:hint="eastAsia" w:ascii="宋体" w:hAnsi="宋体"/>
          <w:color w:val="auto"/>
          <w:sz w:val="24"/>
          <w:highlight w:val="none"/>
          <w:lang w:val="en-US" w:eastAsia="zh-CN"/>
        </w:rPr>
        <w:t>9</w:t>
      </w:r>
      <w:r>
        <w:rPr>
          <w:rFonts w:hint="eastAsia" w:ascii="宋体" w:hAnsi="宋体"/>
          <w:color w:val="auto"/>
          <w:sz w:val="24"/>
          <w:highlight w:val="none"/>
          <w:lang w:eastAsia="zh-CN"/>
        </w:rPr>
        <w:t>）企业荣誉；</w:t>
      </w:r>
    </w:p>
    <w:p>
      <w:pPr>
        <w:spacing w:line="360" w:lineRule="auto"/>
        <w:rPr>
          <w:rFonts w:hint="eastAsia" w:ascii="宋体" w:hAnsi="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10</w:t>
      </w:r>
      <w:r>
        <w:rPr>
          <w:rFonts w:hint="eastAsia" w:ascii="宋体" w:hAnsi="宋体"/>
          <w:color w:val="auto"/>
          <w:sz w:val="24"/>
          <w:highlight w:val="none"/>
        </w:rPr>
        <w:t>）</w:t>
      </w:r>
      <w:r>
        <w:rPr>
          <w:rFonts w:hint="eastAsia" w:ascii="宋体" w:hAnsi="宋体"/>
          <w:color w:val="auto"/>
          <w:sz w:val="24"/>
          <w:highlight w:val="none"/>
          <w:lang w:eastAsia="zh-CN"/>
        </w:rPr>
        <w:t>项目负责人</w:t>
      </w:r>
      <w:r>
        <w:rPr>
          <w:rFonts w:hint="eastAsia" w:ascii="宋体" w:hAnsi="宋体"/>
          <w:color w:val="auto"/>
          <w:sz w:val="24"/>
          <w:highlight w:val="none"/>
        </w:rPr>
        <w:t>；</w:t>
      </w:r>
    </w:p>
    <w:p>
      <w:pPr>
        <w:spacing w:line="360" w:lineRule="auto"/>
        <w:rPr>
          <w:rFonts w:hint="eastAsia" w:ascii="宋体" w:hAnsi="宋体"/>
          <w:color w:val="auto"/>
          <w:sz w:val="24"/>
          <w:highlight w:val="none"/>
          <w:lang w:eastAsia="zh-CN"/>
        </w:rPr>
      </w:pPr>
      <w:r>
        <w:rPr>
          <w:rFonts w:hint="eastAsia" w:ascii="宋体" w:hAnsi="宋体"/>
          <w:color w:val="auto"/>
          <w:sz w:val="24"/>
          <w:highlight w:val="none"/>
          <w:lang w:eastAsia="zh-CN"/>
        </w:rPr>
        <w:t>（</w:t>
      </w:r>
      <w:r>
        <w:rPr>
          <w:rFonts w:hint="eastAsia" w:ascii="宋体" w:hAnsi="宋体"/>
          <w:color w:val="auto"/>
          <w:sz w:val="24"/>
          <w:highlight w:val="none"/>
          <w:lang w:val="en-US" w:eastAsia="zh-CN"/>
        </w:rPr>
        <w:t>11</w:t>
      </w:r>
      <w:r>
        <w:rPr>
          <w:rFonts w:hint="eastAsia" w:ascii="宋体" w:hAnsi="宋体"/>
          <w:color w:val="auto"/>
          <w:sz w:val="24"/>
          <w:highlight w:val="none"/>
          <w:lang w:eastAsia="zh-CN"/>
        </w:rPr>
        <w:t>）售后服务保障；</w:t>
      </w:r>
    </w:p>
    <w:p>
      <w:pPr>
        <w:spacing w:line="360" w:lineRule="auto"/>
        <w:rPr>
          <w:rFonts w:hint="eastAsia" w:ascii="宋体" w:hAnsi="宋体" w:cs="Times New Roman"/>
          <w:color w:val="auto"/>
          <w:sz w:val="24"/>
          <w:highlight w:val="none"/>
          <w:lang w:eastAsia="zh-CN"/>
        </w:rPr>
      </w:pPr>
      <w:r>
        <w:rPr>
          <w:rFonts w:hint="eastAsia" w:ascii="宋体" w:hAnsi="宋体" w:cs="Times New Roman"/>
          <w:color w:val="auto"/>
          <w:sz w:val="24"/>
          <w:highlight w:val="none"/>
          <w:lang w:val="en-US" w:eastAsia="zh-CN"/>
        </w:rPr>
        <w:t>（12）环保、节能产品；</w:t>
      </w:r>
    </w:p>
    <w:p>
      <w:pPr>
        <w:spacing w:line="360" w:lineRule="auto"/>
        <w:rPr>
          <w:rFonts w:hint="eastAsia" w:ascii="宋体" w:hAnsi="宋体" w:cs="Times New Roman"/>
          <w:color w:val="auto"/>
          <w:sz w:val="24"/>
          <w:highlight w:val="none"/>
          <w:lang w:eastAsia="zh-CN"/>
        </w:rPr>
      </w:pPr>
      <w:r>
        <w:rPr>
          <w:rFonts w:hint="eastAsia" w:ascii="宋体" w:hAnsi="宋体" w:cs="Times New Roman"/>
          <w:color w:val="auto"/>
          <w:sz w:val="24"/>
          <w:highlight w:val="none"/>
          <w:lang w:eastAsia="zh-CN"/>
        </w:rPr>
        <w:t>（</w:t>
      </w:r>
      <w:r>
        <w:rPr>
          <w:rFonts w:hint="eastAsia" w:ascii="宋体" w:hAnsi="宋体" w:cs="Times New Roman"/>
          <w:color w:val="auto"/>
          <w:sz w:val="24"/>
          <w:highlight w:val="none"/>
          <w:lang w:val="en-US" w:eastAsia="zh-CN"/>
        </w:rPr>
        <w:t>13</w:t>
      </w:r>
      <w:r>
        <w:rPr>
          <w:rFonts w:hint="eastAsia" w:ascii="宋体" w:hAnsi="宋体" w:cs="Times New Roman"/>
          <w:color w:val="auto"/>
          <w:sz w:val="24"/>
          <w:highlight w:val="none"/>
          <w:lang w:eastAsia="zh-CN"/>
        </w:rPr>
        <w:t>）安全生产承诺函（格式见附件）；</w:t>
      </w:r>
    </w:p>
    <w:p>
      <w:pPr>
        <w:spacing w:line="360" w:lineRule="auto"/>
        <w:rPr>
          <w:rFonts w:hint="eastAsia" w:ascii="宋体" w:hAnsi="宋体" w:cs="Times New Roman"/>
          <w:color w:val="auto"/>
          <w:sz w:val="24"/>
          <w:highlight w:val="none"/>
        </w:rPr>
      </w:pPr>
      <w:r>
        <w:rPr>
          <w:rFonts w:hint="eastAsia" w:ascii="宋体" w:hAnsi="宋体" w:cs="Times New Roman"/>
          <w:color w:val="auto"/>
          <w:sz w:val="24"/>
          <w:highlight w:val="none"/>
        </w:rPr>
        <w:t>（</w:t>
      </w:r>
      <w:r>
        <w:rPr>
          <w:rFonts w:hint="eastAsia" w:ascii="宋体" w:hAnsi="宋体" w:cs="Times New Roman"/>
          <w:color w:val="auto"/>
          <w:sz w:val="24"/>
          <w:highlight w:val="none"/>
          <w:lang w:val="en-US" w:eastAsia="zh-CN"/>
        </w:rPr>
        <w:t>14</w:t>
      </w:r>
      <w:r>
        <w:rPr>
          <w:rFonts w:hint="eastAsia" w:ascii="宋体" w:hAnsi="宋体" w:cs="Times New Roman"/>
          <w:color w:val="auto"/>
          <w:sz w:val="24"/>
          <w:highlight w:val="none"/>
        </w:rPr>
        <w:t>）服务费承诺书（格式见附件）；</w:t>
      </w:r>
    </w:p>
    <w:p>
      <w:pPr>
        <w:spacing w:line="360" w:lineRule="auto"/>
        <w:rPr>
          <w:rFonts w:hint="eastAsia" w:ascii="宋体" w:hAnsi="宋体" w:cs="Times New Roman"/>
          <w:color w:val="auto"/>
          <w:sz w:val="24"/>
          <w:highlight w:val="none"/>
          <w:lang w:val="en-US" w:eastAsia="zh-CN"/>
        </w:rPr>
      </w:pPr>
      <w:r>
        <w:rPr>
          <w:rFonts w:hint="eastAsia" w:ascii="宋体" w:hAnsi="宋体" w:cs="Times New Roman"/>
          <w:color w:val="auto"/>
          <w:sz w:val="24"/>
          <w:highlight w:val="none"/>
        </w:rPr>
        <w:t>（</w:t>
      </w:r>
      <w:r>
        <w:rPr>
          <w:rFonts w:hint="eastAsia" w:ascii="宋体" w:hAnsi="宋体" w:cs="Times New Roman"/>
          <w:color w:val="auto"/>
          <w:sz w:val="24"/>
          <w:highlight w:val="none"/>
          <w:lang w:val="en-US" w:eastAsia="zh-CN"/>
        </w:rPr>
        <w:t>15</w:t>
      </w:r>
      <w:r>
        <w:rPr>
          <w:rFonts w:hint="eastAsia" w:ascii="宋体" w:hAnsi="宋体" w:cs="Times New Roman"/>
          <w:color w:val="auto"/>
          <w:sz w:val="24"/>
          <w:highlight w:val="none"/>
        </w:rPr>
        <w:t>）投标人需要说明的其他文件和说明。</w:t>
      </w:r>
    </w:p>
    <w:p>
      <w:pPr>
        <w:numPr>
          <w:ilvl w:val="0"/>
          <w:numId w:val="18"/>
        </w:numPr>
        <w:spacing w:line="360" w:lineRule="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报价文件</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（1）投标函（格式见附件）；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2</w:t>
      </w:r>
      <w:r>
        <w:rPr>
          <w:rFonts w:hint="eastAsia" w:ascii="宋体" w:hAnsi="宋体" w:eastAsia="宋体" w:cs="宋体"/>
          <w:color w:val="auto"/>
          <w:sz w:val="24"/>
          <w:highlight w:val="none"/>
        </w:rPr>
        <w:t xml:space="preserve">）开标一览表（格式见附件）； </w:t>
      </w:r>
    </w:p>
    <w:p>
      <w:pPr>
        <w:spacing w:line="360" w:lineRule="auto"/>
        <w:rPr>
          <w:rFonts w:hint="eastAsia" w:ascii="宋体" w:hAnsi="宋体" w:eastAsia="宋体" w:cs="宋体"/>
          <w:b/>
          <w:bCs/>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rPr>
        <w:t>）投标人针对报价需要说明的其他文件和说明（格式自拟）。</w:t>
      </w:r>
    </w:p>
    <w:p>
      <w:pPr>
        <w:pStyle w:val="2"/>
        <w:keepNext w:val="0"/>
        <w:keepLines w:val="0"/>
        <w:pageBreakBefore/>
        <w:spacing w:line="360" w:lineRule="auto"/>
        <w:rPr>
          <w:rFonts w:hint="eastAsia" w:ascii="宋体" w:hAnsi="宋体" w:eastAsia="宋体" w:cs="宋体"/>
          <w:b w:val="0"/>
          <w:color w:val="auto"/>
          <w:sz w:val="24"/>
          <w:szCs w:val="24"/>
          <w:highlight w:val="none"/>
        </w:rPr>
      </w:pPr>
      <w:bookmarkStart w:id="66" w:name="_Toc17757"/>
      <w:r>
        <w:rPr>
          <w:rFonts w:hint="eastAsia" w:ascii="宋体" w:hAnsi="宋体" w:eastAsia="宋体" w:cs="宋体"/>
          <w:b w:val="0"/>
          <w:color w:val="auto"/>
          <w:sz w:val="24"/>
          <w:szCs w:val="24"/>
          <w:highlight w:val="none"/>
          <w:lang w:val="en-US" w:eastAsia="zh-CN"/>
        </w:rPr>
        <w:t>附</w:t>
      </w:r>
      <w:r>
        <w:rPr>
          <w:rFonts w:hint="eastAsia" w:ascii="宋体" w:hAnsi="宋体" w:eastAsia="宋体" w:cs="宋体"/>
          <w:b w:val="0"/>
          <w:color w:val="auto"/>
          <w:sz w:val="24"/>
          <w:szCs w:val="24"/>
          <w:highlight w:val="none"/>
        </w:rPr>
        <w:t>件一：投标声明书</w:t>
      </w:r>
      <w:bookmarkEnd w:id="66"/>
    </w:p>
    <w:p>
      <w:pPr>
        <w:snapToGrid w:val="0"/>
        <w:spacing w:line="360" w:lineRule="auto"/>
        <w:jc w:val="center"/>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投标声明书</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致：</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（招标采购单位名称）：</w:t>
      </w:r>
    </w:p>
    <w:p>
      <w:pPr>
        <w:snapToGrid w:val="0"/>
        <w:spacing w:before="120" w:beforeLines="50" w:after="50" w:line="276" w:lineRule="auto"/>
        <w:ind w:firstLine="720" w:firstLineChars="300"/>
        <w:rPr>
          <w:rFonts w:hint="eastAsia" w:ascii="宋体" w:hAnsi="宋体" w:eastAsia="宋体" w:cs="宋体"/>
          <w:color w:val="auto"/>
          <w:sz w:val="24"/>
          <w:highlight w:val="none"/>
        </w:rPr>
      </w:pP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（投标人名称）系中华人民共和国合法企业，经营地址</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w:t>
      </w:r>
    </w:p>
    <w:p>
      <w:pPr>
        <w:snapToGrid w:val="0"/>
        <w:spacing w:before="120" w:beforeLines="50" w:after="50" w:line="276" w:lineRule="auto"/>
        <w:ind w:firstLine="645"/>
        <w:rPr>
          <w:rFonts w:hint="eastAsia" w:ascii="宋体" w:hAnsi="宋体" w:eastAsia="宋体" w:cs="宋体"/>
          <w:color w:val="auto"/>
          <w:sz w:val="24"/>
          <w:highlight w:val="none"/>
        </w:rPr>
      </w:pPr>
      <w:r>
        <w:rPr>
          <w:rFonts w:hint="eastAsia" w:ascii="宋体" w:hAnsi="宋体" w:eastAsia="宋体" w:cs="宋体"/>
          <w:color w:val="auto"/>
          <w:sz w:val="24"/>
          <w:highlight w:val="none"/>
        </w:rPr>
        <w:t>我</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（姓名）系</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（投标人名称）的法定代表人，我方愿意参加贵方组织的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 项目的投标，为便于贵方公正、择优地确定中标人及其投标服务，我方就本次投标有关事项郑重声明如下：</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1.我方向贵方提交的所有投标文件、资料都是准确的和真实的。若有违背，我公司愿为由此而产生的一切后果负责。</w:t>
      </w:r>
    </w:p>
    <w:p>
      <w:pPr>
        <w:snapToGrid w:val="0"/>
        <w:spacing w:before="120" w:beforeLines="50" w:line="276" w:lineRule="auto"/>
        <w:ind w:firstLine="480" w:firstLineChars="200"/>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2.我方不是采购人的附属机构；在获知本项目采购信息后，与采购人聘请的为此项目提供咨询服务的公司及其附属机构没有任何联系。</w:t>
      </w:r>
    </w:p>
    <w:p>
      <w:pPr>
        <w:snapToGrid w:val="0"/>
        <w:spacing w:before="120" w:beforeLines="50" w:line="276"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 我方诚意提请贵方关注：近期有</w:t>
      </w:r>
      <w:r>
        <w:rPr>
          <w:rFonts w:hint="eastAsia" w:ascii="宋体" w:hAnsi="宋体" w:eastAsia="宋体" w:cs="宋体"/>
          <w:color w:val="auto"/>
          <w:sz w:val="24"/>
          <w:highlight w:val="none"/>
          <w:u w:val="single"/>
        </w:rPr>
        <w:t xml:space="preserve">                   （采购内容）</w:t>
      </w:r>
      <w:r>
        <w:rPr>
          <w:rFonts w:hint="eastAsia" w:ascii="宋体" w:hAnsi="宋体" w:eastAsia="宋体" w:cs="宋体"/>
          <w:color w:val="auto"/>
          <w:sz w:val="24"/>
          <w:highlight w:val="none"/>
        </w:rPr>
        <w:t>等方面的重大决策和事项有：</w:t>
      </w:r>
    </w:p>
    <w:p>
      <w:pPr>
        <w:snapToGrid w:val="0"/>
        <w:spacing w:before="120" w:beforeLines="50" w:line="276" w:lineRule="auto"/>
        <w:ind w:firstLine="480" w:firstLineChars="200"/>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u w:val="single"/>
        </w:rPr>
        <w:t>　　　　　　　　　　　　　　　　　　　　　　　　　　　</w:t>
      </w:r>
    </w:p>
    <w:p>
      <w:pPr>
        <w:snapToGrid w:val="0"/>
        <w:spacing w:before="120" w:beforeLines="50" w:line="276"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u w:val="single"/>
        </w:rPr>
        <w:t>　　　　　　　　　　　　　　　　　　　　　　　　　　　</w:t>
      </w:r>
    </w:p>
    <w:p>
      <w:pPr>
        <w:pStyle w:val="5"/>
        <w:snapToGrid w:val="0"/>
        <w:spacing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4.我方及由本人担任法定代表人的其他机构最近三年内被通报或者被处罚的违法行为有：</w:t>
      </w:r>
    </w:p>
    <w:p>
      <w:pPr>
        <w:snapToGrid w:val="0"/>
        <w:spacing w:before="120" w:beforeLines="50" w:line="276" w:lineRule="auto"/>
        <w:ind w:firstLine="480" w:firstLineChars="200"/>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u w:val="single"/>
        </w:rPr>
        <w:t>　　　　　　　　　　　　　　　　　　　　　　　　　　　</w:t>
      </w:r>
    </w:p>
    <w:p>
      <w:pPr>
        <w:snapToGrid w:val="0"/>
        <w:spacing w:before="120" w:beforeLines="50" w:line="276" w:lineRule="auto"/>
        <w:ind w:firstLine="480" w:firstLineChars="200"/>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u w:val="single"/>
        </w:rPr>
        <w:t>　　　　　　　　　　　　　　　　　　　　　　　　　　　</w:t>
      </w:r>
    </w:p>
    <w:p>
      <w:pPr>
        <w:snapToGrid w:val="0"/>
        <w:spacing w:line="276"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5.以上事项如有虚假或隐瞒，我方愿意承担一切后果，并不再寻求任何旨在减轻或免除法律责任的辩解。</w:t>
      </w:r>
    </w:p>
    <w:p>
      <w:pPr>
        <w:pStyle w:val="11"/>
        <w:tabs>
          <w:tab w:val="left" w:pos="939"/>
        </w:tabs>
        <w:snapToGrid w:val="0"/>
        <w:spacing w:line="276" w:lineRule="auto"/>
        <w:ind w:left="773" w:leftChars="150" w:hanging="458" w:hangingChars="191"/>
        <w:rPr>
          <w:rFonts w:hint="eastAsia" w:ascii="宋体" w:hAnsi="宋体" w:eastAsia="宋体" w:cs="宋体"/>
          <w:color w:val="auto"/>
          <w:sz w:val="24"/>
          <w:highlight w:val="none"/>
        </w:rPr>
      </w:pPr>
    </w:p>
    <w:p>
      <w:pPr>
        <w:pStyle w:val="35"/>
        <w:snapToGrid w:val="0"/>
        <w:spacing w:before="120" w:beforeLines="50" w:line="276" w:lineRule="auto"/>
        <w:ind w:firstLine="200"/>
        <w:rPr>
          <w:rFonts w:hint="eastAsia" w:ascii="宋体" w:hAnsi="宋体" w:eastAsia="宋体" w:cs="宋体"/>
          <w:color w:val="auto"/>
          <w:szCs w:val="24"/>
          <w:highlight w:val="none"/>
        </w:rPr>
      </w:pPr>
    </w:p>
    <w:p>
      <w:pPr>
        <w:snapToGrid w:val="0"/>
        <w:spacing w:before="120" w:beforeLines="50" w:line="276" w:lineRule="auto"/>
        <w:ind w:firstLine="319" w:firstLineChars="133"/>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法定代表人或委托代理人签字：</w:t>
      </w:r>
      <w:r>
        <w:rPr>
          <w:rFonts w:hint="eastAsia" w:ascii="宋体" w:hAnsi="宋体" w:eastAsia="宋体" w:cs="宋体"/>
          <w:color w:val="auto"/>
          <w:sz w:val="24"/>
          <w:highlight w:val="none"/>
          <w:u w:val="single"/>
        </w:rPr>
        <w:t xml:space="preserve">             </w:t>
      </w:r>
    </w:p>
    <w:p>
      <w:pPr>
        <w:snapToGrid w:val="0"/>
        <w:spacing w:before="120" w:beforeLines="50" w:after="50" w:line="276" w:lineRule="auto"/>
        <w:ind w:firstLine="360" w:firstLineChars="150"/>
        <w:rPr>
          <w:rFonts w:hint="eastAsia" w:ascii="宋体" w:hAnsi="宋体" w:eastAsia="宋体" w:cs="宋体"/>
          <w:color w:val="auto"/>
          <w:sz w:val="24"/>
          <w:highlight w:val="none"/>
        </w:rPr>
      </w:pPr>
      <w:r>
        <w:rPr>
          <w:rFonts w:hint="eastAsia" w:ascii="宋体" w:hAnsi="宋体" w:eastAsia="宋体" w:cs="宋体"/>
          <w:color w:val="auto"/>
          <w:sz w:val="24"/>
          <w:highlight w:val="none"/>
        </w:rPr>
        <w:t>投标人公章：</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                      </w:t>
      </w:r>
    </w:p>
    <w:p>
      <w:pPr>
        <w:snapToGrid w:val="0"/>
        <w:spacing w:before="120" w:beforeLines="50" w:after="50" w:line="276" w:lineRule="auto"/>
        <w:ind w:firstLine="6240" w:firstLineChars="2600"/>
        <w:rPr>
          <w:rFonts w:hint="eastAsia" w:ascii="宋体" w:hAnsi="宋体" w:eastAsia="宋体" w:cs="宋体"/>
          <w:color w:val="auto"/>
          <w:sz w:val="24"/>
          <w:highlight w:val="none"/>
        </w:rPr>
      </w:pPr>
      <w:r>
        <w:rPr>
          <w:rFonts w:hint="eastAsia" w:ascii="宋体" w:hAnsi="宋体" w:eastAsia="宋体" w:cs="宋体"/>
          <w:color w:val="auto"/>
          <w:sz w:val="24"/>
          <w:highlight w:val="none"/>
        </w:rPr>
        <w:t>年    月    日</w:t>
      </w:r>
    </w:p>
    <w:p>
      <w:pPr>
        <w:snapToGrid w:val="0"/>
        <w:spacing w:before="120" w:beforeLines="50" w:after="50" w:line="276" w:lineRule="auto"/>
        <w:ind w:firstLine="6240" w:firstLineChars="2600"/>
        <w:rPr>
          <w:rFonts w:hint="eastAsia" w:ascii="宋体" w:hAnsi="宋体" w:eastAsia="宋体" w:cs="宋体"/>
          <w:color w:val="auto"/>
          <w:sz w:val="24"/>
          <w:highlight w:val="none"/>
        </w:rPr>
      </w:pPr>
    </w:p>
    <w:p>
      <w:pPr>
        <w:snapToGrid w:val="0"/>
        <w:spacing w:before="120" w:beforeLines="50" w:after="50" w:line="276" w:lineRule="auto"/>
        <w:ind w:firstLine="6240" w:firstLineChars="2600"/>
        <w:rPr>
          <w:rFonts w:hint="eastAsia" w:ascii="宋体" w:hAnsi="宋体" w:eastAsia="宋体" w:cs="宋体"/>
          <w:color w:val="auto"/>
          <w:sz w:val="24"/>
          <w:highlight w:val="none"/>
        </w:rPr>
      </w:pPr>
    </w:p>
    <w:p>
      <w:pPr>
        <w:snapToGrid w:val="0"/>
        <w:spacing w:before="120" w:beforeLines="50" w:after="50" w:line="276" w:lineRule="auto"/>
        <w:rPr>
          <w:rFonts w:hint="eastAsia" w:ascii="宋体" w:hAnsi="宋体" w:eastAsia="宋体" w:cs="宋体"/>
          <w:color w:val="auto"/>
          <w:sz w:val="24"/>
          <w:highlight w:val="none"/>
        </w:rPr>
      </w:pPr>
    </w:p>
    <w:p>
      <w:pPr>
        <w:pStyle w:val="2"/>
        <w:keepNext w:val="0"/>
        <w:keepLines w:val="0"/>
        <w:pageBreakBefore/>
        <w:spacing w:line="360" w:lineRule="auto"/>
        <w:rPr>
          <w:rFonts w:hint="eastAsia" w:ascii="宋体" w:hAnsi="宋体" w:eastAsia="宋体" w:cs="宋体"/>
          <w:b w:val="0"/>
          <w:bCs w:val="0"/>
          <w:color w:val="auto"/>
          <w:sz w:val="24"/>
          <w:szCs w:val="24"/>
          <w:highlight w:val="none"/>
          <w:lang w:eastAsia="zh-CN"/>
        </w:rPr>
      </w:pPr>
      <w:bookmarkStart w:id="67" w:name="_Toc24340"/>
      <w:bookmarkStart w:id="68" w:name="_Toc30843"/>
      <w:bookmarkStart w:id="69" w:name="_Toc16827"/>
      <w:bookmarkStart w:id="70" w:name="_Toc31581"/>
      <w:bookmarkStart w:id="71" w:name="_Toc23315"/>
      <w:bookmarkStart w:id="72" w:name="_Toc10320"/>
      <w:r>
        <w:rPr>
          <w:rFonts w:hint="eastAsia" w:ascii="宋体" w:hAnsi="宋体" w:eastAsia="宋体" w:cs="宋体"/>
          <w:b w:val="0"/>
          <w:bCs w:val="0"/>
          <w:color w:val="auto"/>
          <w:sz w:val="24"/>
          <w:szCs w:val="24"/>
          <w:highlight w:val="none"/>
        </w:rPr>
        <w:t>附件二：</w:t>
      </w:r>
      <w:bookmarkEnd w:id="67"/>
      <w:bookmarkEnd w:id="68"/>
      <w:r>
        <w:rPr>
          <w:rFonts w:hint="eastAsia" w:ascii="宋体" w:hAnsi="宋体" w:eastAsia="宋体" w:cs="宋体"/>
          <w:b w:val="0"/>
          <w:bCs w:val="0"/>
          <w:color w:val="auto"/>
          <w:sz w:val="24"/>
          <w:szCs w:val="24"/>
          <w:highlight w:val="none"/>
          <w:lang w:val="en-US" w:eastAsia="zh-CN"/>
        </w:rPr>
        <w:t>符合参加政府采购活动应当具备的一般条件的承诺函</w:t>
      </w:r>
      <w:bookmarkEnd w:id="69"/>
      <w:bookmarkEnd w:id="70"/>
      <w:bookmarkEnd w:id="71"/>
    </w:p>
    <w:p>
      <w:pPr>
        <w:pStyle w:val="19"/>
        <w:keepNext w:val="0"/>
        <w:keepLines w:val="0"/>
        <w:widowControl/>
        <w:suppressLineNumbers w:val="0"/>
        <w:spacing w:before="100" w:beforeAutospacing="0" w:after="100" w:afterAutospacing="0" w:line="360" w:lineRule="auto"/>
        <w:ind w:left="0" w:right="0"/>
        <w:jc w:val="center"/>
        <w:rPr>
          <w:rFonts w:hint="eastAsia" w:ascii="宋体" w:hAnsi="宋体" w:eastAsia="宋体" w:cs="宋体"/>
          <w:color w:val="auto"/>
          <w:highlight w:val="none"/>
        </w:rPr>
      </w:pPr>
      <w:r>
        <w:rPr>
          <w:rFonts w:hint="eastAsia" w:ascii="宋体" w:hAnsi="宋体" w:eastAsia="宋体" w:cs="宋体"/>
          <w:b/>
          <w:bCs/>
          <w:i w:val="0"/>
          <w:iCs w:val="0"/>
          <w:color w:val="auto"/>
          <w:spacing w:val="0"/>
          <w:w w:val="100"/>
          <w:sz w:val="27"/>
          <w:szCs w:val="27"/>
          <w:highlight w:val="none"/>
          <w:vertAlign w:val="baseline"/>
        </w:rPr>
        <w:t>符合参加政府采购活动应当具备的一般条件的承诺函</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致：</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（招标采购单位名称）：</w:t>
      </w:r>
    </w:p>
    <w:p>
      <w:pPr>
        <w:pStyle w:val="19"/>
        <w:keepNext w:val="0"/>
        <w:keepLines w:val="0"/>
        <w:widowControl/>
        <w:suppressLineNumbers w:val="0"/>
        <w:spacing w:before="0" w:beforeAutospacing="0" w:after="0" w:afterAutospacing="0" w:line="360" w:lineRule="auto"/>
        <w:ind w:left="480" w:right="0"/>
        <w:jc w:val="both"/>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我方参与</w:t>
      </w:r>
      <w:r>
        <w:rPr>
          <w:rFonts w:hint="eastAsia" w:ascii="宋体" w:hAnsi="宋体" w:eastAsia="宋体" w:cs="宋体"/>
          <w:color w:val="auto"/>
          <w:sz w:val="24"/>
          <w:highlight w:val="none"/>
          <w:u w:val="single"/>
        </w:rPr>
        <w:t xml:space="preserve">            </w:t>
      </w:r>
      <w:r>
        <w:rPr>
          <w:rFonts w:hint="eastAsia" w:cs="宋体"/>
          <w:color w:val="auto"/>
          <w:sz w:val="24"/>
          <w:highlight w:val="none"/>
          <w:u w:val="single"/>
          <w:lang w:val="en-US" w:eastAsia="zh-CN"/>
        </w:rPr>
        <w:t xml:space="preserve">  </w:t>
      </w:r>
      <w:r>
        <w:rPr>
          <w:rFonts w:hint="eastAsia" w:ascii="宋体" w:hAnsi="宋体" w:eastAsia="宋体" w:cs="宋体"/>
          <w:b w:val="0"/>
          <w:bCs w:val="0"/>
          <w:color w:val="auto"/>
          <w:kern w:val="2"/>
          <w:sz w:val="24"/>
          <w:szCs w:val="24"/>
          <w:highlight w:val="none"/>
          <w:lang w:val="en-US" w:eastAsia="zh-CN" w:bidi="ar-SA"/>
        </w:rPr>
        <w:t>项目【项目编号：</w:t>
      </w:r>
      <w:r>
        <w:rPr>
          <w:rFonts w:hint="eastAsia" w:ascii="宋体" w:hAnsi="宋体" w:eastAsia="宋体" w:cs="宋体"/>
          <w:color w:val="auto"/>
          <w:sz w:val="24"/>
          <w:highlight w:val="none"/>
          <w:u w:val="single"/>
        </w:rPr>
        <w:t xml:space="preserve">            </w:t>
      </w:r>
      <w:r>
        <w:rPr>
          <w:rFonts w:hint="eastAsia" w:cs="宋体"/>
          <w:color w:val="auto"/>
          <w:sz w:val="24"/>
          <w:highlight w:val="none"/>
          <w:u w:val="single"/>
          <w:lang w:val="en-US" w:eastAsia="zh-CN"/>
        </w:rPr>
        <w:t xml:space="preserve"> </w:t>
      </w:r>
      <w:r>
        <w:rPr>
          <w:rFonts w:hint="eastAsia" w:ascii="宋体" w:hAnsi="宋体" w:eastAsia="宋体" w:cs="宋体"/>
          <w:b w:val="0"/>
          <w:bCs w:val="0"/>
          <w:color w:val="auto"/>
          <w:kern w:val="2"/>
          <w:sz w:val="24"/>
          <w:szCs w:val="24"/>
          <w:highlight w:val="none"/>
          <w:lang w:val="en-US" w:eastAsia="zh-CN" w:bidi="ar-SA"/>
        </w:rPr>
        <w:t>】政府采购活动，郑重承诺：</w:t>
      </w:r>
    </w:p>
    <w:p>
      <w:pPr>
        <w:pStyle w:val="19"/>
        <w:keepNext w:val="0"/>
        <w:keepLines w:val="0"/>
        <w:widowControl/>
        <w:suppressLineNumbers w:val="0"/>
        <w:spacing w:before="0" w:beforeAutospacing="0" w:after="0" w:afterAutospacing="0" w:line="360" w:lineRule="auto"/>
        <w:ind w:left="480" w:right="0"/>
        <w:jc w:val="both"/>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（一）具备《中华人民共和国政府采购法》第二十二条第一款规定的条件：</w:t>
      </w:r>
    </w:p>
    <w:p>
      <w:pPr>
        <w:pStyle w:val="19"/>
        <w:keepNext w:val="0"/>
        <w:keepLines w:val="0"/>
        <w:widowControl/>
        <w:suppressLineNumbers w:val="0"/>
        <w:spacing w:before="0" w:beforeAutospacing="0" w:after="0" w:afterAutospacing="0" w:line="360" w:lineRule="auto"/>
        <w:ind w:left="480" w:right="0"/>
        <w:jc w:val="both"/>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1、具有独立承担民事责任的能力；</w:t>
      </w:r>
    </w:p>
    <w:p>
      <w:pPr>
        <w:pStyle w:val="19"/>
        <w:keepNext w:val="0"/>
        <w:keepLines w:val="0"/>
        <w:widowControl/>
        <w:suppressLineNumbers w:val="0"/>
        <w:spacing w:before="0" w:beforeAutospacing="0" w:after="0" w:afterAutospacing="0" w:line="360" w:lineRule="auto"/>
        <w:ind w:left="480" w:right="0"/>
        <w:jc w:val="both"/>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 xml:space="preserve">2、具有良好的商业信誉和健全的财务会计制度； </w:t>
      </w:r>
    </w:p>
    <w:p>
      <w:pPr>
        <w:pStyle w:val="19"/>
        <w:keepNext w:val="0"/>
        <w:keepLines w:val="0"/>
        <w:widowControl/>
        <w:suppressLineNumbers w:val="0"/>
        <w:spacing w:before="0" w:beforeAutospacing="0" w:after="0" w:afterAutospacing="0" w:line="360" w:lineRule="auto"/>
        <w:ind w:left="480" w:right="0"/>
        <w:jc w:val="both"/>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3、具有履行合同所必需的设备和专业技术能力；</w:t>
      </w:r>
    </w:p>
    <w:p>
      <w:pPr>
        <w:pStyle w:val="19"/>
        <w:keepNext w:val="0"/>
        <w:keepLines w:val="0"/>
        <w:widowControl/>
        <w:suppressLineNumbers w:val="0"/>
        <w:spacing w:before="0" w:beforeAutospacing="0" w:after="0" w:afterAutospacing="0" w:line="360" w:lineRule="auto"/>
        <w:ind w:left="480" w:right="0"/>
        <w:jc w:val="both"/>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4、有依法缴纳税收和社会保障资金的良好记录；</w:t>
      </w:r>
    </w:p>
    <w:p>
      <w:pPr>
        <w:pStyle w:val="19"/>
        <w:keepNext w:val="0"/>
        <w:keepLines w:val="0"/>
        <w:widowControl/>
        <w:suppressLineNumbers w:val="0"/>
        <w:spacing w:before="0" w:beforeAutospacing="0" w:after="0" w:afterAutospacing="0" w:line="360" w:lineRule="auto"/>
        <w:ind w:left="480" w:right="0"/>
        <w:jc w:val="both"/>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5、参加政府采购活动前三年内，在经营活动中没有重大违法记录；</w:t>
      </w:r>
    </w:p>
    <w:p>
      <w:pPr>
        <w:pStyle w:val="19"/>
        <w:keepNext w:val="0"/>
        <w:keepLines w:val="0"/>
        <w:widowControl/>
        <w:suppressLineNumbers w:val="0"/>
        <w:spacing w:before="0" w:beforeAutospacing="0" w:after="0" w:afterAutospacing="0" w:line="360" w:lineRule="auto"/>
        <w:ind w:left="480" w:right="0"/>
        <w:jc w:val="both"/>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6、具有法律、行政法规规定的其他条件。</w:t>
      </w:r>
    </w:p>
    <w:p>
      <w:pPr>
        <w:pStyle w:val="19"/>
        <w:keepNext w:val="0"/>
        <w:keepLines w:val="0"/>
        <w:widowControl/>
        <w:suppressLineNumbers w:val="0"/>
        <w:spacing w:before="0" w:beforeAutospacing="0" w:after="0" w:afterAutospacing="0" w:line="360" w:lineRule="auto"/>
        <w:ind w:left="480" w:right="0"/>
        <w:jc w:val="both"/>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（二）未被信用中国（www.creditchina.gov.cn)、中国政府采购网（www.ccgp.gov.cn）列入失信被执行人、重大税收违法案件当事人名单、政府采购严重违法失信行为记录名单。</w:t>
      </w:r>
    </w:p>
    <w:p>
      <w:pPr>
        <w:pStyle w:val="19"/>
        <w:keepNext w:val="0"/>
        <w:keepLines w:val="0"/>
        <w:widowControl/>
        <w:suppressLineNumbers w:val="0"/>
        <w:spacing w:before="0" w:beforeAutospacing="0" w:after="0" w:afterAutospacing="0" w:line="360" w:lineRule="auto"/>
        <w:ind w:left="480" w:right="0"/>
        <w:jc w:val="both"/>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（三）不存在以下情况：</w:t>
      </w:r>
    </w:p>
    <w:p>
      <w:pPr>
        <w:pStyle w:val="19"/>
        <w:keepNext w:val="0"/>
        <w:keepLines w:val="0"/>
        <w:widowControl/>
        <w:suppressLineNumbers w:val="0"/>
        <w:spacing w:before="0" w:beforeAutospacing="0" w:after="0" w:afterAutospacing="0" w:line="360" w:lineRule="auto"/>
        <w:ind w:left="480" w:right="0"/>
        <w:jc w:val="both"/>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1、单位负责人为同一人或者存在直接控股、管理关系的不同供应商参加同一合同项下的政府采购活动的；</w:t>
      </w:r>
    </w:p>
    <w:p>
      <w:pPr>
        <w:pStyle w:val="19"/>
        <w:keepNext w:val="0"/>
        <w:keepLines w:val="0"/>
        <w:widowControl/>
        <w:suppressLineNumbers w:val="0"/>
        <w:spacing w:before="0" w:beforeAutospacing="0" w:after="0" w:afterAutospacing="0" w:line="360" w:lineRule="auto"/>
        <w:ind w:left="480" w:right="0"/>
        <w:jc w:val="both"/>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2、为采购项目提供整体设计、规范编制或者项目管理、监理、检测等服务后再参加该采购项目的其他采购活动的。</w:t>
      </w:r>
    </w:p>
    <w:p>
      <w:pPr>
        <w:pStyle w:val="19"/>
        <w:keepNext w:val="0"/>
        <w:keepLines w:val="0"/>
        <w:widowControl/>
        <w:suppressLineNumbers w:val="0"/>
        <w:spacing w:before="0" w:beforeAutospacing="0" w:after="0" w:afterAutospacing="0" w:line="360" w:lineRule="auto"/>
        <w:ind w:left="480" w:right="0"/>
        <w:jc w:val="both"/>
        <w:rPr>
          <w:rFonts w:hint="eastAsia" w:ascii="宋体" w:hAnsi="宋体" w:eastAsia="宋体" w:cs="宋体"/>
          <w:b w:val="0"/>
          <w:bCs w:val="0"/>
          <w:color w:val="auto"/>
          <w:kern w:val="2"/>
          <w:sz w:val="24"/>
          <w:szCs w:val="24"/>
          <w:highlight w:val="none"/>
          <w:lang w:val="en-US" w:eastAsia="zh-CN" w:bidi="ar-SA"/>
        </w:rPr>
      </w:pPr>
    </w:p>
    <w:p>
      <w:pPr>
        <w:pStyle w:val="19"/>
        <w:keepNext w:val="0"/>
        <w:keepLines w:val="0"/>
        <w:widowControl/>
        <w:suppressLineNumbers w:val="0"/>
        <w:spacing w:before="0" w:beforeAutospacing="0" w:after="0" w:afterAutospacing="0" w:line="360" w:lineRule="auto"/>
        <w:ind w:left="480" w:right="0"/>
        <w:jc w:val="both"/>
        <w:rPr>
          <w:rFonts w:hint="eastAsia" w:ascii="宋体" w:hAnsi="宋体" w:eastAsia="宋体" w:cs="宋体"/>
          <w:b w:val="0"/>
          <w:bCs w:val="0"/>
          <w:color w:val="auto"/>
          <w:kern w:val="2"/>
          <w:sz w:val="24"/>
          <w:szCs w:val="24"/>
          <w:highlight w:val="none"/>
          <w:lang w:val="en-US" w:eastAsia="zh-CN" w:bidi="ar-SA"/>
        </w:rPr>
      </w:pPr>
    </w:p>
    <w:p>
      <w:pPr>
        <w:pStyle w:val="19"/>
        <w:keepNext w:val="0"/>
        <w:keepLines w:val="0"/>
        <w:widowControl/>
        <w:suppressLineNumbers w:val="0"/>
        <w:spacing w:before="0" w:beforeAutospacing="0" w:after="0" w:afterAutospacing="0" w:line="360" w:lineRule="auto"/>
        <w:ind w:left="480" w:right="0"/>
        <w:jc w:val="both"/>
        <w:rPr>
          <w:rFonts w:hint="eastAsia" w:ascii="宋体" w:hAnsi="宋体" w:eastAsia="宋体" w:cs="宋体"/>
          <w:b w:val="0"/>
          <w:bCs w:val="0"/>
          <w:color w:val="auto"/>
          <w:kern w:val="2"/>
          <w:sz w:val="24"/>
          <w:szCs w:val="24"/>
          <w:highlight w:val="none"/>
          <w:lang w:val="en-US" w:eastAsia="zh-CN" w:bidi="ar-SA"/>
        </w:rPr>
      </w:pPr>
    </w:p>
    <w:p>
      <w:pPr>
        <w:snapToGrid w:val="0"/>
        <w:spacing w:before="50" w:after="50"/>
        <w:rPr>
          <w:rFonts w:ascii="宋体" w:hAnsi="宋体" w:cs="宋体"/>
          <w:color w:val="auto"/>
          <w:spacing w:val="20"/>
          <w:sz w:val="24"/>
          <w:highlight w:val="none"/>
          <w:u w:val="single"/>
        </w:rPr>
      </w:pPr>
      <w:r>
        <w:rPr>
          <w:rFonts w:hint="eastAsia" w:ascii="宋体" w:hAnsi="宋体" w:cs="宋体"/>
          <w:color w:val="auto"/>
          <w:sz w:val="24"/>
          <w:highlight w:val="none"/>
        </w:rPr>
        <w:t>法定代表人或委托代理人签字</w:t>
      </w:r>
      <w:r>
        <w:rPr>
          <w:rFonts w:hint="eastAsia" w:ascii="宋体" w:hAnsi="宋体" w:cs="宋体"/>
          <w:color w:val="auto"/>
          <w:spacing w:val="20"/>
          <w:sz w:val="24"/>
          <w:highlight w:val="none"/>
        </w:rPr>
        <w:t>：</w:t>
      </w:r>
      <w:r>
        <w:rPr>
          <w:rFonts w:hint="eastAsia" w:ascii="宋体" w:hAnsi="宋体" w:cs="宋体"/>
          <w:color w:val="auto"/>
          <w:spacing w:val="20"/>
          <w:sz w:val="24"/>
          <w:highlight w:val="none"/>
          <w:u w:val="single"/>
        </w:rPr>
        <w:t xml:space="preserve">        </w:t>
      </w:r>
    </w:p>
    <w:p>
      <w:pPr>
        <w:snapToGrid w:val="0"/>
        <w:spacing w:before="120" w:beforeLines="50"/>
        <w:rPr>
          <w:rFonts w:ascii="宋体" w:hAnsi="宋体" w:cs="宋体"/>
          <w:color w:val="auto"/>
          <w:sz w:val="24"/>
          <w:highlight w:val="none"/>
        </w:rPr>
      </w:pPr>
      <w:r>
        <w:rPr>
          <w:rFonts w:hint="eastAsia" w:ascii="宋体" w:hAnsi="宋体" w:cs="宋体"/>
          <w:color w:val="auto"/>
          <w:spacing w:val="20"/>
          <w:sz w:val="24"/>
          <w:highlight w:val="none"/>
        </w:rPr>
        <w:t>投标人盖章：</w:t>
      </w:r>
      <w:r>
        <w:rPr>
          <w:rFonts w:hint="eastAsia" w:ascii="宋体" w:hAnsi="宋体" w:cs="宋体"/>
          <w:color w:val="auto"/>
          <w:spacing w:val="20"/>
          <w:sz w:val="24"/>
          <w:highlight w:val="none"/>
          <w:u w:val="single"/>
        </w:rPr>
        <w:t xml:space="preserve">            </w:t>
      </w:r>
      <w:r>
        <w:rPr>
          <w:rFonts w:hint="eastAsia" w:ascii="宋体" w:hAnsi="宋体" w:cs="宋体"/>
          <w:color w:val="auto"/>
          <w:spacing w:val="20"/>
          <w:sz w:val="24"/>
          <w:highlight w:val="none"/>
        </w:rPr>
        <w:t xml:space="preserve">              日 期：</w:t>
      </w:r>
      <w:r>
        <w:rPr>
          <w:rFonts w:hint="eastAsia" w:ascii="宋体" w:hAnsi="宋体" w:cs="宋体"/>
          <w:color w:val="auto"/>
          <w:spacing w:val="20"/>
          <w:sz w:val="24"/>
          <w:highlight w:val="none"/>
          <w:u w:val="single"/>
        </w:rPr>
        <w:t xml:space="preserve">            </w:t>
      </w:r>
    </w:p>
    <w:p>
      <w:pPr>
        <w:rPr>
          <w:rFonts w:ascii="宋体" w:hAnsi="宋体" w:cs="宋体"/>
          <w:color w:val="auto"/>
          <w:sz w:val="24"/>
          <w:highlight w:val="none"/>
        </w:rPr>
      </w:pPr>
    </w:p>
    <w:p>
      <w:pPr>
        <w:pStyle w:val="2"/>
        <w:keepNext w:val="0"/>
        <w:keepLines w:val="0"/>
        <w:pageBreakBefore/>
        <w:spacing w:line="360" w:lineRule="auto"/>
        <w:rPr>
          <w:rFonts w:hint="eastAsia" w:ascii="宋体" w:hAnsi="宋体" w:eastAsia="宋体" w:cs="宋体"/>
          <w:b w:val="0"/>
          <w:bCs w:val="0"/>
          <w:color w:val="auto"/>
          <w:sz w:val="24"/>
          <w:szCs w:val="24"/>
          <w:highlight w:val="none"/>
        </w:rPr>
      </w:pPr>
      <w:bookmarkStart w:id="73" w:name="_Toc6708"/>
      <w:r>
        <w:rPr>
          <w:rFonts w:hint="eastAsia" w:ascii="宋体" w:hAnsi="宋体" w:eastAsia="宋体" w:cs="宋体"/>
          <w:b w:val="0"/>
          <w:bCs w:val="0"/>
          <w:color w:val="auto"/>
          <w:sz w:val="24"/>
          <w:szCs w:val="24"/>
          <w:highlight w:val="none"/>
        </w:rPr>
        <w:t>附件</w:t>
      </w:r>
      <w:r>
        <w:rPr>
          <w:rFonts w:hint="eastAsia" w:ascii="宋体" w:hAnsi="宋体" w:eastAsia="宋体" w:cs="宋体"/>
          <w:b w:val="0"/>
          <w:bCs w:val="0"/>
          <w:color w:val="auto"/>
          <w:sz w:val="24"/>
          <w:szCs w:val="24"/>
          <w:highlight w:val="none"/>
          <w:lang w:val="en-US" w:eastAsia="zh-CN"/>
        </w:rPr>
        <w:t>三</w:t>
      </w:r>
      <w:r>
        <w:rPr>
          <w:rFonts w:hint="eastAsia" w:ascii="宋体" w:hAnsi="宋体" w:eastAsia="宋体" w:cs="宋体"/>
          <w:b w:val="0"/>
          <w:bCs w:val="0"/>
          <w:color w:val="auto"/>
          <w:sz w:val="24"/>
          <w:szCs w:val="24"/>
          <w:highlight w:val="none"/>
        </w:rPr>
        <w:t>：政府采购活动现场确认声明书</w:t>
      </w:r>
      <w:bookmarkEnd w:id="72"/>
      <w:bookmarkEnd w:id="73"/>
    </w:p>
    <w:p>
      <w:pPr>
        <w:snapToGrid w:val="0"/>
        <w:spacing w:line="360" w:lineRule="auto"/>
        <w:jc w:val="center"/>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政府采购活动现场确认声明书</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东阳市鑫盛工程咨询有限公司 :</w:t>
      </w:r>
    </w:p>
    <w:p>
      <w:pPr>
        <w:snapToGrid w:val="0"/>
        <w:spacing w:before="120" w:beforeLines="50" w:after="50" w:line="276" w:lineRule="auto"/>
        <w:ind w:firstLine="720" w:firstLineChars="300"/>
        <w:rPr>
          <w:rFonts w:hint="eastAsia" w:ascii="宋体" w:hAnsi="宋体" w:eastAsia="宋体" w:cs="宋体"/>
          <w:color w:val="auto"/>
          <w:sz w:val="24"/>
          <w:highlight w:val="none"/>
        </w:rPr>
      </w:pPr>
      <w:r>
        <w:rPr>
          <w:rFonts w:hint="eastAsia" w:ascii="宋体" w:hAnsi="宋体" w:eastAsia="宋体" w:cs="宋体"/>
          <w:color w:val="auto"/>
          <w:sz w:val="24"/>
          <w:highlight w:val="none"/>
        </w:rPr>
        <w:t>本人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rPr>
        <w:t>（授权代表姓名），经由</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（单位）</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（法定代表人姓名）合法授权参加</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项目（编号：</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）政府采购活动．经与本单位法人代表（负责人）联系确认，现就有关公平竞争事项郑重声明如下:</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一、本单位与采购人之间口不存在利害关系口存在下列利害关系:</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A．投资关系</w:t>
      </w:r>
      <w:r>
        <w:rPr>
          <w:rFonts w:hint="eastAsia" w:ascii="宋体" w:hAnsi="宋体" w:eastAsia="宋体" w:cs="宋体"/>
          <w:color w:val="auto"/>
          <w:sz w:val="24"/>
          <w:highlight w:val="none"/>
        </w:rPr>
        <w:tab/>
      </w:r>
      <w:r>
        <w:rPr>
          <w:rFonts w:hint="eastAsia" w:ascii="宋体" w:hAnsi="宋体" w:eastAsia="宋体" w:cs="宋体"/>
          <w:color w:val="auto"/>
          <w:sz w:val="24"/>
          <w:highlight w:val="none"/>
        </w:rPr>
        <w:t>B．行政隶属关系</w:t>
      </w:r>
      <w:r>
        <w:rPr>
          <w:rFonts w:hint="eastAsia" w:ascii="宋体" w:hAnsi="宋体" w:eastAsia="宋体" w:cs="宋体"/>
          <w:color w:val="auto"/>
          <w:sz w:val="24"/>
          <w:highlight w:val="none"/>
        </w:rPr>
        <w:tab/>
      </w:r>
      <w:r>
        <w:rPr>
          <w:rFonts w:hint="eastAsia" w:ascii="宋体" w:hAnsi="宋体" w:eastAsia="宋体" w:cs="宋体"/>
          <w:color w:val="auto"/>
          <w:sz w:val="24"/>
          <w:highlight w:val="none"/>
        </w:rPr>
        <w:t>C．业务指导关系  D．其他可能影响采购公正的利害关系（如有，请如实说明）。</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二、现己清楚知道参加本项目采购活动的其他所有供应商名称，本单位 口与其他所有供应商之间均不存在利害关系 口与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（供应商名称）之间存在下列利害关系:</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A．法定代表人或负责人或实际控制人是同一人B．法定代表人或负责人或实际控制人是夫妻关系</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C.法定代表人或负责人或实际控制人是直系血亲关系</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D.法定代表人或负责人或实际控制人存在三代以内旁系血亲关系</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E．法定代表人或负责人或实际控制人存在近姻亲关系</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F．法定代表人或负责人或实际控制人存在股份控制或实际控制关系</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G．存在共同直接或间接投资设立子公司、联营企业和合营企业情况</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H.存在分级代理或代销关系、同一生产制造商关系、管理关系、重要业务（占主昔业务收入 50 ％以上）或重要财务往来关系（如融资）等其他实质性控制关系</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I.其他利害关系情况</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rPr>
        <w:t>。</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三、现己清楚知道并严格遵守政府采购法律法规和现场纪律。</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四、我发现</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供应商之间存在或可能存在上述第二条第</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项利害关系。</w:t>
      </w:r>
    </w:p>
    <w:p>
      <w:pPr>
        <w:snapToGrid w:val="0"/>
        <w:spacing w:before="120" w:beforeLines="50" w:after="50" w:line="276" w:lineRule="auto"/>
        <w:rPr>
          <w:rFonts w:hint="eastAsia" w:ascii="宋体" w:hAnsi="宋体" w:eastAsia="宋体" w:cs="宋体"/>
          <w:color w:val="auto"/>
          <w:sz w:val="24"/>
          <w:highlight w:val="none"/>
        </w:rPr>
      </w:pPr>
    </w:p>
    <w:p>
      <w:pPr>
        <w:snapToGrid w:val="0"/>
        <w:spacing w:before="120" w:beforeLines="50" w:after="50" w:line="276"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（供应商代表签名）: </w:t>
      </w:r>
    </w:p>
    <w:p>
      <w:pPr>
        <w:snapToGrid w:val="0"/>
        <w:spacing w:before="120" w:beforeLines="50" w:after="50" w:line="276" w:lineRule="auto"/>
        <w:jc w:val="center"/>
        <w:rPr>
          <w:rFonts w:hint="eastAsia" w:ascii="宋体" w:hAnsi="宋体" w:eastAsia="宋体" w:cs="宋体"/>
          <w:b/>
          <w:color w:val="auto"/>
          <w:sz w:val="24"/>
          <w:highlight w:val="none"/>
        </w:rPr>
      </w:pPr>
      <w:r>
        <w:rPr>
          <w:rFonts w:hint="eastAsia" w:ascii="宋体" w:hAnsi="宋体" w:eastAsia="宋体" w:cs="宋体"/>
          <w:color w:val="auto"/>
          <w:sz w:val="24"/>
          <w:highlight w:val="none"/>
        </w:rPr>
        <w:t xml:space="preserve">                                                     年   月   日</w:t>
      </w:r>
    </w:p>
    <w:p>
      <w:pPr>
        <w:pStyle w:val="2"/>
        <w:keepNext w:val="0"/>
        <w:keepLines w:val="0"/>
        <w:pageBreakBefore/>
        <w:spacing w:line="276" w:lineRule="auto"/>
        <w:rPr>
          <w:rFonts w:hint="eastAsia" w:ascii="宋体" w:hAnsi="宋体" w:eastAsia="宋体" w:cs="宋体"/>
          <w:b w:val="0"/>
          <w:color w:val="auto"/>
          <w:sz w:val="24"/>
          <w:szCs w:val="24"/>
          <w:highlight w:val="none"/>
        </w:rPr>
      </w:pPr>
      <w:bookmarkStart w:id="74" w:name="_Toc9946"/>
      <w:r>
        <w:rPr>
          <w:rFonts w:hint="eastAsia" w:ascii="宋体" w:hAnsi="宋体" w:eastAsia="宋体" w:cs="宋体"/>
          <w:b w:val="0"/>
          <w:color w:val="auto"/>
          <w:sz w:val="24"/>
          <w:szCs w:val="24"/>
          <w:highlight w:val="none"/>
        </w:rPr>
        <w:t>附件</w:t>
      </w:r>
      <w:r>
        <w:rPr>
          <w:rFonts w:hint="eastAsia" w:ascii="宋体" w:hAnsi="宋体" w:eastAsia="宋体" w:cs="宋体"/>
          <w:b w:val="0"/>
          <w:color w:val="auto"/>
          <w:sz w:val="24"/>
          <w:szCs w:val="24"/>
          <w:highlight w:val="none"/>
          <w:lang w:val="en-US" w:eastAsia="zh-CN"/>
        </w:rPr>
        <w:t>四</w:t>
      </w:r>
      <w:r>
        <w:rPr>
          <w:rFonts w:hint="eastAsia" w:ascii="宋体" w:hAnsi="宋体" w:eastAsia="宋体" w:cs="宋体"/>
          <w:b w:val="0"/>
          <w:color w:val="auto"/>
          <w:sz w:val="24"/>
          <w:szCs w:val="24"/>
          <w:highlight w:val="none"/>
        </w:rPr>
        <w:t>：法定代表人授权委托书</w:t>
      </w:r>
      <w:bookmarkEnd w:id="74"/>
    </w:p>
    <w:p>
      <w:pPr>
        <w:snapToGrid w:val="0"/>
        <w:spacing w:line="360" w:lineRule="auto"/>
        <w:jc w:val="center"/>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法定代表人授权委托书</w:t>
      </w:r>
    </w:p>
    <w:p>
      <w:pPr>
        <w:snapToGrid w:val="0"/>
        <w:spacing w:before="120" w:beforeLines="50" w:after="50" w:line="276" w:lineRule="auto"/>
        <w:rPr>
          <w:rFonts w:hint="eastAsia" w:ascii="宋体" w:hAnsi="宋体" w:eastAsia="宋体" w:cs="宋体"/>
          <w:b/>
          <w:bCs/>
          <w:color w:val="auto"/>
          <w:sz w:val="24"/>
          <w:highlight w:val="none"/>
        </w:rPr>
      </w:pPr>
      <w:r>
        <w:rPr>
          <w:rFonts w:hint="eastAsia" w:ascii="宋体" w:hAnsi="宋体" w:eastAsia="宋体" w:cs="宋体"/>
          <w:bCs/>
          <w:color w:val="auto"/>
          <w:sz w:val="24"/>
          <w:highlight w:val="none"/>
        </w:rPr>
        <w:t>致：</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（招标采购单位名称）：</w:t>
      </w:r>
    </w:p>
    <w:p>
      <w:pPr>
        <w:snapToGrid w:val="0"/>
        <w:spacing w:before="120" w:beforeLines="50" w:after="50" w:line="276" w:lineRule="auto"/>
        <w:ind w:firstLine="720" w:firstLineChars="300"/>
        <w:rPr>
          <w:rFonts w:hint="eastAsia" w:ascii="宋体" w:hAnsi="宋体" w:eastAsia="宋体" w:cs="宋体"/>
          <w:color w:val="auto"/>
          <w:sz w:val="24"/>
          <w:highlight w:val="none"/>
        </w:rPr>
      </w:pPr>
      <w:r>
        <w:rPr>
          <w:rFonts w:hint="eastAsia" w:ascii="宋体" w:hAnsi="宋体" w:eastAsia="宋体" w:cs="宋体"/>
          <w:color w:val="auto"/>
          <w:sz w:val="24"/>
          <w:highlight w:val="none"/>
        </w:rPr>
        <w:t>我</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（姓名）系</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（投标人名称）的法定代表人，现授权委托本单位在职职工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（姓名）以我方的名义参加</w:t>
      </w:r>
      <w:r>
        <w:rPr>
          <w:rFonts w:hint="eastAsia" w:ascii="宋体" w:hAnsi="宋体" w:cs="宋体"/>
          <w:color w:val="auto"/>
          <w:sz w:val="24"/>
          <w:highlight w:val="none"/>
          <w:u w:val="single"/>
          <w:lang w:eastAsia="zh-CN"/>
        </w:rPr>
        <w:t>东阳市横店医院公共卫生综合楼百级手术室、供应中心净化系统设备采购及安装项目</w:t>
      </w:r>
      <w:r>
        <w:rPr>
          <w:rFonts w:hint="eastAsia" w:ascii="宋体" w:hAnsi="宋体" w:eastAsia="宋体" w:cs="宋体"/>
          <w:color w:val="auto"/>
          <w:sz w:val="24"/>
          <w:highlight w:val="none"/>
        </w:rPr>
        <w:t>的投标活动，并代表我方全权办理针对上述项目的投标、开标、评标、签约等具体事务和签署相关文件。</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我方对委托代理人的签名事项负全部责任。</w:t>
      </w:r>
    </w:p>
    <w:p>
      <w:pPr>
        <w:snapToGrid w:val="0"/>
        <w:spacing w:before="120" w:beforeLines="50" w:after="50" w:line="276" w:lineRule="auto"/>
        <w:ind w:firstLine="480"/>
        <w:rPr>
          <w:rFonts w:hint="eastAsia" w:ascii="宋体" w:hAnsi="宋体" w:eastAsia="宋体" w:cs="宋体"/>
          <w:color w:val="auto"/>
          <w:sz w:val="24"/>
          <w:highlight w:val="none"/>
        </w:rPr>
      </w:pPr>
      <w:r>
        <w:rPr>
          <w:rFonts w:hint="eastAsia" w:ascii="宋体" w:hAnsi="宋体" w:eastAsia="宋体" w:cs="宋体"/>
          <w:color w:val="auto"/>
          <w:sz w:val="24"/>
          <w:highlight w:val="none"/>
          <w:u w:val="single"/>
        </w:rPr>
        <w:t>在撤销授权的书面通知以前，本授权书一直有效。</w:t>
      </w:r>
      <w:r>
        <w:rPr>
          <w:rFonts w:hint="eastAsia" w:ascii="宋体" w:hAnsi="宋体" w:eastAsia="宋体" w:cs="宋体"/>
          <w:color w:val="auto"/>
          <w:sz w:val="24"/>
          <w:highlight w:val="none"/>
        </w:rPr>
        <w:t>委托代理人在授权书有效期内签署的所有文件不因授权的撤销而失效。</w:t>
      </w:r>
    </w:p>
    <w:p>
      <w:pPr>
        <w:snapToGrid w:val="0"/>
        <w:spacing w:before="120" w:beforeLines="50" w:after="50" w:line="276" w:lineRule="auto"/>
        <w:ind w:firstLine="480"/>
        <w:rPr>
          <w:rFonts w:hint="eastAsia" w:ascii="宋体" w:hAnsi="宋体" w:eastAsia="宋体" w:cs="宋体"/>
          <w:color w:val="auto"/>
          <w:sz w:val="24"/>
          <w:highlight w:val="none"/>
        </w:rPr>
      </w:pPr>
      <w:r>
        <w:rPr>
          <w:rFonts w:hint="eastAsia" w:ascii="宋体" w:hAnsi="宋体" w:eastAsia="宋体" w:cs="宋体"/>
          <w:color w:val="auto"/>
          <w:sz w:val="24"/>
          <w:highlight w:val="none"/>
        </w:rPr>
        <w:t>委托代理人无转委托权，特此委托。</w:t>
      </w:r>
    </w:p>
    <w:p>
      <w:pPr>
        <w:snapToGrid w:val="0"/>
        <w:spacing w:before="120" w:beforeLines="50" w:after="50" w:line="276" w:lineRule="auto"/>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委托代理人签名：</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                 法定代表人签名：</w:t>
      </w:r>
      <w:r>
        <w:rPr>
          <w:rFonts w:hint="eastAsia" w:ascii="宋体" w:hAnsi="宋体" w:eastAsia="宋体" w:cs="宋体"/>
          <w:color w:val="auto"/>
          <w:sz w:val="24"/>
          <w:highlight w:val="none"/>
          <w:u w:val="single"/>
        </w:rPr>
        <w:t xml:space="preserve">          </w:t>
      </w:r>
    </w:p>
    <w:p>
      <w:pPr>
        <w:snapToGrid w:val="0"/>
        <w:spacing w:before="120" w:beforeLines="50" w:after="50" w:line="276"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sz w:val="24"/>
          <w:highlight w:val="none"/>
        </w:rPr>
        <w:t>职务：</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                          职务：</w:t>
      </w:r>
      <w:r>
        <w:rPr>
          <w:rFonts w:hint="eastAsia" w:ascii="宋体" w:hAnsi="宋体" w:eastAsia="宋体" w:cs="宋体"/>
          <w:color w:val="auto"/>
          <w:sz w:val="24"/>
          <w:highlight w:val="none"/>
          <w:u w:val="single"/>
        </w:rPr>
        <w:t xml:space="preserve">          </w:t>
      </w: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委托代理人身份证复印件（正反双面）：</w:t>
      </w:r>
    </w:p>
    <w:tbl>
      <w:tblPr>
        <w:tblStyle w:val="22"/>
        <w:tblpPr w:leftFromText="180" w:rightFromText="180" w:vertAnchor="text" w:tblpX="109" w:tblpY="151"/>
        <w:tblW w:w="0" w:type="auto"/>
        <w:tblInd w:w="0" w:type="dxa"/>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5328"/>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6232" w:hRule="atLeast"/>
        </w:trPr>
        <w:tc>
          <w:tcPr>
            <w:tcW w:w="5328" w:type="dxa"/>
          </w:tcPr>
          <w:p>
            <w:pPr>
              <w:snapToGrid w:val="0"/>
              <w:spacing w:before="120" w:beforeLines="50" w:after="50" w:line="276" w:lineRule="auto"/>
              <w:rPr>
                <w:rFonts w:hint="eastAsia" w:ascii="宋体" w:hAnsi="宋体" w:eastAsia="宋体" w:cs="宋体"/>
                <w:color w:val="auto"/>
                <w:sz w:val="24"/>
                <w:highlight w:val="none"/>
              </w:rPr>
            </w:pPr>
          </w:p>
          <w:p>
            <w:pPr>
              <w:snapToGrid w:val="0"/>
              <w:spacing w:before="120" w:beforeLines="50" w:after="50" w:line="276" w:lineRule="auto"/>
              <w:rPr>
                <w:rFonts w:hint="eastAsia" w:ascii="宋体" w:hAnsi="宋体" w:eastAsia="宋体" w:cs="宋体"/>
                <w:color w:val="auto"/>
                <w:sz w:val="24"/>
                <w:highlight w:val="none"/>
              </w:rPr>
            </w:pPr>
          </w:p>
          <w:p>
            <w:pPr>
              <w:snapToGrid w:val="0"/>
              <w:spacing w:before="120" w:beforeLines="50" w:after="50" w:line="276" w:lineRule="auto"/>
              <w:rPr>
                <w:rFonts w:hint="eastAsia" w:ascii="宋体" w:hAnsi="宋体" w:eastAsia="宋体" w:cs="宋体"/>
                <w:color w:val="auto"/>
                <w:sz w:val="24"/>
                <w:highlight w:val="none"/>
              </w:rPr>
            </w:pPr>
          </w:p>
          <w:p>
            <w:pPr>
              <w:snapToGrid w:val="0"/>
              <w:spacing w:before="120" w:beforeLines="50" w:after="50" w:line="276"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粘</w:t>
            </w:r>
          </w:p>
          <w:p>
            <w:pPr>
              <w:snapToGrid w:val="0"/>
              <w:spacing w:before="120" w:beforeLines="50" w:after="50" w:line="276" w:lineRule="auto"/>
              <w:jc w:val="center"/>
              <w:rPr>
                <w:rFonts w:hint="eastAsia" w:ascii="宋体" w:hAnsi="宋体" w:eastAsia="宋体" w:cs="宋体"/>
                <w:color w:val="auto"/>
                <w:sz w:val="24"/>
                <w:highlight w:val="none"/>
              </w:rPr>
            </w:pPr>
          </w:p>
          <w:p>
            <w:pPr>
              <w:snapToGrid w:val="0"/>
              <w:spacing w:before="120" w:beforeLines="50" w:after="50" w:line="276"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贴</w:t>
            </w:r>
          </w:p>
          <w:p>
            <w:pPr>
              <w:snapToGrid w:val="0"/>
              <w:spacing w:before="120" w:beforeLines="50" w:after="50" w:line="276" w:lineRule="auto"/>
              <w:jc w:val="center"/>
              <w:rPr>
                <w:rFonts w:hint="eastAsia" w:ascii="宋体" w:hAnsi="宋体" w:eastAsia="宋体" w:cs="宋体"/>
                <w:color w:val="auto"/>
                <w:sz w:val="24"/>
                <w:highlight w:val="none"/>
              </w:rPr>
            </w:pPr>
          </w:p>
          <w:p>
            <w:pPr>
              <w:snapToGrid w:val="0"/>
              <w:spacing w:before="120" w:beforeLines="50" w:after="50" w:line="276"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处</w:t>
            </w:r>
          </w:p>
        </w:tc>
      </w:tr>
    </w:tbl>
    <w:p>
      <w:pPr>
        <w:snapToGrid w:val="0"/>
        <w:spacing w:before="120" w:beforeLines="50" w:after="50" w:line="276" w:lineRule="auto"/>
        <w:rPr>
          <w:rFonts w:hint="eastAsia" w:ascii="宋体" w:hAnsi="宋体" w:eastAsia="宋体" w:cs="宋体"/>
          <w:color w:val="auto"/>
          <w:sz w:val="24"/>
          <w:highlight w:val="none"/>
        </w:rPr>
      </w:pPr>
    </w:p>
    <w:p>
      <w:pPr>
        <w:snapToGrid w:val="0"/>
        <w:spacing w:before="120" w:beforeLines="50" w:after="50" w:line="276" w:lineRule="auto"/>
        <w:rPr>
          <w:rFonts w:hint="eastAsia" w:ascii="宋体" w:hAnsi="宋体" w:eastAsia="宋体" w:cs="宋体"/>
          <w:color w:val="auto"/>
          <w:sz w:val="24"/>
          <w:highlight w:val="none"/>
        </w:rPr>
      </w:pPr>
    </w:p>
    <w:p>
      <w:pPr>
        <w:snapToGrid w:val="0"/>
        <w:spacing w:before="120" w:beforeLines="50" w:after="50" w:line="276" w:lineRule="auto"/>
        <w:rPr>
          <w:rFonts w:hint="eastAsia" w:ascii="宋体" w:hAnsi="宋体" w:eastAsia="宋体" w:cs="宋体"/>
          <w:color w:val="auto"/>
          <w:sz w:val="24"/>
          <w:highlight w:val="none"/>
        </w:rPr>
      </w:pPr>
    </w:p>
    <w:p>
      <w:pPr>
        <w:snapToGrid w:val="0"/>
        <w:spacing w:before="120" w:beforeLines="50" w:after="50" w:line="276" w:lineRule="auto"/>
        <w:rPr>
          <w:rFonts w:hint="eastAsia" w:ascii="宋体" w:hAnsi="宋体" w:eastAsia="宋体" w:cs="宋体"/>
          <w:color w:val="auto"/>
          <w:sz w:val="24"/>
          <w:highlight w:val="none"/>
        </w:rPr>
      </w:pPr>
    </w:p>
    <w:p>
      <w:pPr>
        <w:snapToGrid w:val="0"/>
        <w:spacing w:before="120" w:beforeLines="50" w:after="50" w:line="276" w:lineRule="auto"/>
        <w:rPr>
          <w:rFonts w:hint="eastAsia" w:ascii="宋体" w:hAnsi="宋体" w:eastAsia="宋体" w:cs="宋体"/>
          <w:color w:val="auto"/>
          <w:sz w:val="24"/>
          <w:highlight w:val="none"/>
        </w:rPr>
      </w:pPr>
    </w:p>
    <w:p>
      <w:pPr>
        <w:snapToGrid w:val="0"/>
        <w:spacing w:before="120" w:beforeLines="50" w:after="50" w:line="276" w:lineRule="auto"/>
        <w:rPr>
          <w:rFonts w:hint="eastAsia" w:ascii="宋体" w:hAnsi="宋体" w:eastAsia="宋体" w:cs="宋体"/>
          <w:color w:val="auto"/>
          <w:sz w:val="24"/>
          <w:highlight w:val="none"/>
        </w:rPr>
      </w:pPr>
    </w:p>
    <w:p>
      <w:pPr>
        <w:snapToGrid w:val="0"/>
        <w:spacing w:before="120" w:beforeLines="50" w:after="50" w:line="276" w:lineRule="auto"/>
        <w:rPr>
          <w:rFonts w:hint="eastAsia" w:ascii="宋体" w:hAnsi="宋体" w:eastAsia="宋体" w:cs="宋体"/>
          <w:color w:val="auto"/>
          <w:sz w:val="24"/>
          <w:highlight w:val="none"/>
        </w:rPr>
      </w:pPr>
    </w:p>
    <w:p>
      <w:pPr>
        <w:snapToGrid w:val="0"/>
        <w:spacing w:before="120" w:beforeLines="50" w:after="50" w:line="276" w:lineRule="auto"/>
        <w:rPr>
          <w:rFonts w:hint="eastAsia" w:ascii="宋体" w:hAnsi="宋体" w:eastAsia="宋体" w:cs="宋体"/>
          <w:color w:val="auto"/>
          <w:sz w:val="24"/>
          <w:highlight w:val="none"/>
        </w:rPr>
      </w:pP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w:t>
      </w:r>
    </w:p>
    <w:p>
      <w:pPr>
        <w:snapToGrid w:val="0"/>
        <w:spacing w:before="120" w:beforeLines="50" w:after="50" w:line="276" w:lineRule="auto"/>
        <w:rPr>
          <w:rFonts w:hint="eastAsia" w:ascii="宋体" w:hAnsi="宋体" w:eastAsia="宋体" w:cs="宋体"/>
          <w:color w:val="auto"/>
          <w:sz w:val="24"/>
          <w:highlight w:val="none"/>
        </w:rPr>
      </w:pPr>
    </w:p>
    <w:p>
      <w:pPr>
        <w:snapToGrid w:val="0"/>
        <w:spacing w:before="120" w:beforeLines="50" w:after="50" w:line="276"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投标人公章：</w:t>
      </w:r>
    </w:p>
    <w:p>
      <w:pPr>
        <w:snapToGrid w:val="0"/>
        <w:spacing w:before="120" w:beforeLines="50" w:after="50" w:line="276"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年    月    日</w:t>
      </w:r>
    </w:p>
    <w:p>
      <w:pPr>
        <w:snapToGrid w:val="0"/>
        <w:spacing w:before="120" w:beforeLines="50" w:after="50" w:line="276" w:lineRule="auto"/>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rPr>
        <w:t>注；此表格格式不得修改。</w:t>
      </w:r>
      <w:r>
        <w:rPr>
          <w:rFonts w:hint="eastAsia" w:ascii="宋体" w:hAnsi="宋体" w:eastAsia="宋体" w:cs="宋体"/>
          <w:color w:val="auto"/>
          <w:sz w:val="24"/>
          <w:highlight w:val="none"/>
        </w:rPr>
        <w:br w:type="textWrapping"/>
      </w:r>
      <w:r>
        <w:rPr>
          <w:rFonts w:hint="eastAsia" w:ascii="宋体" w:hAnsi="宋体" w:eastAsia="宋体" w:cs="宋体"/>
          <w:color w:val="auto"/>
          <w:sz w:val="24"/>
          <w:highlight w:val="none"/>
        </w:rPr>
        <w:br w:type="page"/>
      </w:r>
    </w:p>
    <w:p>
      <w:pPr>
        <w:pStyle w:val="2"/>
        <w:keepNext w:val="0"/>
        <w:keepLines w:val="0"/>
        <w:pageBreakBefore/>
        <w:spacing w:line="276" w:lineRule="auto"/>
        <w:rPr>
          <w:rFonts w:hint="eastAsia" w:ascii="宋体" w:hAnsi="宋体" w:eastAsia="宋体" w:cs="宋体"/>
          <w:b/>
          <w:bCs/>
          <w:color w:val="auto"/>
          <w:kern w:val="2"/>
          <w:sz w:val="28"/>
          <w:szCs w:val="28"/>
          <w:highlight w:val="none"/>
          <w:lang w:val="en-US" w:eastAsia="zh-CN" w:bidi="ar-SA"/>
        </w:rPr>
      </w:pPr>
      <w:bookmarkStart w:id="75" w:name="_Toc2254"/>
      <w:bookmarkStart w:id="76" w:name="_Toc9995"/>
      <w:bookmarkStart w:id="77" w:name="_Toc601"/>
      <w:r>
        <w:rPr>
          <w:rFonts w:hint="eastAsia" w:ascii="宋体" w:hAnsi="宋体" w:eastAsia="宋体" w:cs="宋体"/>
          <w:b w:val="0"/>
          <w:color w:val="auto"/>
          <w:sz w:val="24"/>
          <w:szCs w:val="24"/>
          <w:highlight w:val="none"/>
          <w:lang w:eastAsia="zh-CN"/>
        </w:rPr>
        <w:t>附件</w:t>
      </w:r>
      <w:r>
        <w:rPr>
          <w:rFonts w:hint="eastAsia" w:ascii="宋体" w:hAnsi="宋体" w:eastAsia="宋体" w:cs="宋体"/>
          <w:b w:val="0"/>
          <w:color w:val="auto"/>
          <w:sz w:val="24"/>
          <w:szCs w:val="24"/>
          <w:highlight w:val="none"/>
          <w:lang w:val="en-US" w:eastAsia="zh-CN"/>
        </w:rPr>
        <w:t>五：</w:t>
      </w:r>
      <w:r>
        <w:rPr>
          <w:rFonts w:hint="eastAsia" w:ascii="宋体" w:hAnsi="宋体" w:eastAsia="宋体" w:cs="宋体"/>
          <w:b w:val="0"/>
          <w:bCs w:val="0"/>
          <w:color w:val="auto"/>
          <w:kern w:val="2"/>
          <w:sz w:val="24"/>
          <w:szCs w:val="24"/>
          <w:highlight w:val="none"/>
          <w:lang w:val="en-US" w:eastAsia="zh-CN" w:bidi="ar-SA"/>
        </w:rPr>
        <w:t>联合体协议书（联合体投标时提供）</w:t>
      </w:r>
      <w:bookmarkEnd w:id="75"/>
      <w:bookmarkEnd w:id="76"/>
      <w:bookmarkEnd w:id="77"/>
    </w:p>
    <w:p>
      <w:pPr>
        <w:widowControl/>
        <w:spacing w:line="360" w:lineRule="auto"/>
        <w:ind w:firstLine="643" w:firstLineChars="200"/>
        <w:jc w:val="center"/>
        <w:rPr>
          <w:rFonts w:hint="eastAsia" w:ascii="宋体" w:hAnsi="宋体" w:cs="宋体"/>
          <w:b/>
          <w:bCs/>
          <w:color w:val="auto"/>
          <w:kern w:val="2"/>
          <w:sz w:val="32"/>
          <w:szCs w:val="32"/>
          <w:highlight w:val="none"/>
          <w:lang w:val="en-US" w:eastAsia="zh-CN" w:bidi="ar-SA"/>
        </w:rPr>
      </w:pPr>
      <w:bookmarkStart w:id="78" w:name="_Toc7145"/>
      <w:r>
        <w:rPr>
          <w:rFonts w:hint="eastAsia" w:ascii="宋体" w:hAnsi="宋体" w:cs="宋体"/>
          <w:b/>
          <w:bCs/>
          <w:color w:val="auto"/>
          <w:kern w:val="2"/>
          <w:sz w:val="32"/>
          <w:szCs w:val="32"/>
          <w:highlight w:val="none"/>
          <w:lang w:val="en-US" w:eastAsia="zh-CN" w:bidi="ar-SA"/>
        </w:rPr>
        <w:t>联合体协议书</w:t>
      </w:r>
    </w:p>
    <w:p>
      <w:pPr>
        <w:widowControl/>
        <w:spacing w:line="360" w:lineRule="auto"/>
        <w:ind w:firstLine="482" w:firstLineChars="200"/>
        <w:jc w:val="lef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（以联合体形式投标的，提供联合协议；本项目不接受联合体投标或者投标人不以联合体形式投标的，则不需要提供）</w:t>
      </w:r>
    </w:p>
    <w:p>
      <w:pPr>
        <w:snapToGrid w:val="0"/>
        <w:spacing w:line="360" w:lineRule="auto"/>
        <w:ind w:firstLine="576"/>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u w:val="single"/>
        </w:rPr>
        <w:t>（联合体所有成员名称）</w:t>
      </w:r>
      <w:r>
        <w:rPr>
          <w:rFonts w:hint="eastAsia" w:ascii="宋体" w:hAnsi="宋体" w:eastAsia="宋体" w:cs="宋体"/>
          <w:color w:val="auto"/>
          <w:kern w:val="0"/>
          <w:sz w:val="24"/>
          <w:szCs w:val="24"/>
          <w:highlight w:val="none"/>
        </w:rPr>
        <w:t>自愿</w:t>
      </w:r>
      <w:r>
        <w:rPr>
          <w:rFonts w:hint="eastAsia" w:ascii="宋体" w:hAnsi="宋体" w:eastAsia="宋体" w:cs="宋体"/>
          <w:color w:val="auto"/>
          <w:kern w:val="0"/>
          <w:sz w:val="24"/>
          <w:szCs w:val="24"/>
          <w:highlight w:val="none"/>
          <w:lang w:val="zh-CN"/>
        </w:rPr>
        <w:t>组成一个联合体，以一个投标人的身份</w:t>
      </w:r>
      <w:r>
        <w:rPr>
          <w:rFonts w:hint="eastAsia" w:ascii="宋体" w:hAnsi="宋体" w:eastAsia="宋体" w:cs="宋体"/>
          <w:color w:val="auto"/>
          <w:kern w:val="0"/>
          <w:sz w:val="24"/>
          <w:szCs w:val="24"/>
          <w:highlight w:val="none"/>
        </w:rPr>
        <w:t>参加</w:t>
      </w:r>
      <w:r>
        <w:rPr>
          <w:rFonts w:hint="eastAsia" w:ascii="宋体" w:hAnsi="宋体" w:eastAsia="宋体" w:cs="宋体"/>
          <w:color w:val="auto"/>
          <w:sz w:val="24"/>
          <w:szCs w:val="24"/>
          <w:highlight w:val="none"/>
        </w:rPr>
        <w:t>（项目名称）【招标编号：（采购编号）】</w:t>
      </w:r>
      <w:r>
        <w:rPr>
          <w:rFonts w:hint="eastAsia" w:ascii="宋体" w:hAnsi="宋体" w:eastAsia="宋体" w:cs="宋体"/>
          <w:color w:val="auto"/>
          <w:kern w:val="0"/>
          <w:sz w:val="24"/>
          <w:szCs w:val="24"/>
          <w:highlight w:val="none"/>
          <w:lang w:val="zh-CN"/>
        </w:rPr>
        <w:t xml:space="preserve">投标。 </w:t>
      </w:r>
    </w:p>
    <w:p>
      <w:pPr>
        <w:snapToGrid w:val="0"/>
        <w:spacing w:line="360" w:lineRule="auto"/>
        <w:ind w:firstLine="576"/>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一、各方一致决定，</w:t>
      </w:r>
      <w:r>
        <w:rPr>
          <w:rFonts w:hint="eastAsia" w:ascii="宋体" w:hAnsi="宋体" w:eastAsia="宋体" w:cs="宋体"/>
          <w:color w:val="auto"/>
          <w:kern w:val="0"/>
          <w:sz w:val="24"/>
          <w:szCs w:val="24"/>
          <w:highlight w:val="none"/>
          <w:u w:val="single"/>
        </w:rPr>
        <w:t>（某联合体成员名称）</w:t>
      </w:r>
      <w:r>
        <w:rPr>
          <w:rFonts w:hint="eastAsia" w:ascii="宋体" w:hAnsi="宋体" w:eastAsia="宋体" w:cs="宋体"/>
          <w:color w:val="auto"/>
          <w:kern w:val="0"/>
          <w:sz w:val="24"/>
          <w:szCs w:val="24"/>
          <w:highlight w:val="none"/>
        </w:rPr>
        <w:t>为联合体</w:t>
      </w:r>
      <w:r>
        <w:rPr>
          <w:rFonts w:hint="eastAsia" w:ascii="宋体" w:hAnsi="宋体" w:eastAsia="宋体" w:cs="宋体"/>
          <w:color w:val="auto"/>
          <w:kern w:val="0"/>
          <w:sz w:val="24"/>
          <w:szCs w:val="24"/>
          <w:highlight w:val="none"/>
          <w:lang w:val="zh-CN"/>
        </w:rPr>
        <w:t>牵头人</w:t>
      </w:r>
      <w:r>
        <w:rPr>
          <w:rFonts w:hint="eastAsia" w:ascii="宋体" w:hAnsi="宋体" w:eastAsia="宋体" w:cs="宋体"/>
          <w:color w:val="auto"/>
          <w:sz w:val="24"/>
          <w:szCs w:val="24"/>
          <w:highlight w:val="none"/>
        </w:rPr>
        <w:t>，代表所有联合体成员负责投标和合同实施阶段的主办、协调工作</w:t>
      </w:r>
      <w:r>
        <w:rPr>
          <w:rFonts w:hint="eastAsia" w:ascii="宋体" w:hAnsi="宋体" w:eastAsia="宋体" w:cs="宋体"/>
          <w:color w:val="auto"/>
          <w:kern w:val="0"/>
          <w:sz w:val="24"/>
          <w:szCs w:val="24"/>
          <w:highlight w:val="none"/>
          <w:lang w:val="zh-CN"/>
        </w:rPr>
        <w:t>。</w:t>
      </w:r>
    </w:p>
    <w:p>
      <w:pPr>
        <w:snapToGrid w:val="0"/>
        <w:spacing w:line="360" w:lineRule="auto"/>
        <w:ind w:firstLine="576"/>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二、</w:t>
      </w:r>
      <w:r>
        <w:rPr>
          <w:rFonts w:hint="eastAsia" w:ascii="宋体" w:hAnsi="宋体" w:eastAsia="宋体" w:cs="宋体"/>
          <w:color w:val="auto"/>
          <w:sz w:val="24"/>
          <w:szCs w:val="24"/>
          <w:highlight w:val="none"/>
        </w:rPr>
        <w:t>所有联合体成员各方签署授权书，授权书载明的</w:t>
      </w:r>
      <w:r>
        <w:rPr>
          <w:rFonts w:hint="eastAsia" w:ascii="宋体" w:hAnsi="宋体" w:eastAsia="宋体" w:cs="宋体"/>
          <w:color w:val="auto"/>
          <w:kern w:val="0"/>
          <w:sz w:val="24"/>
          <w:szCs w:val="24"/>
          <w:highlight w:val="none"/>
          <w:lang w:val="zh-CN"/>
        </w:rPr>
        <w:t>授权代表根据招标文件规定及投标内容而对采购人、采购机构所作的任何合法承诺，包括书面澄清及相应等均对联合投标各方产生约束力。</w:t>
      </w:r>
    </w:p>
    <w:p>
      <w:pPr>
        <w:snapToGrid w:val="0"/>
        <w:spacing w:line="360" w:lineRule="auto"/>
        <w:ind w:firstLine="576"/>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三、本次联合投标中，分工如下：</w:t>
      </w:r>
      <w:r>
        <w:rPr>
          <w:rFonts w:hint="eastAsia" w:ascii="宋体" w:hAnsi="宋体" w:eastAsia="宋体" w:cs="宋体"/>
          <w:color w:val="auto"/>
          <w:kern w:val="0"/>
          <w:sz w:val="24"/>
          <w:szCs w:val="24"/>
          <w:highlight w:val="none"/>
          <w:u w:val="single"/>
        </w:rPr>
        <w:t>（联合体其中一方成员名称）</w:t>
      </w:r>
      <w:r>
        <w:rPr>
          <w:rFonts w:hint="eastAsia" w:ascii="宋体" w:hAnsi="宋体" w:eastAsia="宋体" w:cs="宋体"/>
          <w:color w:val="auto"/>
          <w:kern w:val="0"/>
          <w:sz w:val="24"/>
          <w:szCs w:val="24"/>
          <w:highlight w:val="none"/>
          <w:lang w:val="zh-CN"/>
        </w:rPr>
        <w:t>承担的工作和义务为：</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kern w:val="0"/>
          <w:sz w:val="24"/>
          <w:szCs w:val="24"/>
          <w:highlight w:val="none"/>
          <w:lang w:val="zh-CN"/>
        </w:rPr>
        <w:t>；（联合体其中一方成员名称）承担的工作和义务为：</w:t>
      </w:r>
      <w:r>
        <w:rPr>
          <w:rFonts w:hint="eastAsia" w:ascii="宋体" w:hAnsi="宋体" w:eastAsia="宋体" w:cs="宋体"/>
          <w:color w:val="auto"/>
          <w:kern w:val="0"/>
          <w:sz w:val="24"/>
          <w:szCs w:val="24"/>
          <w:highlight w:val="none"/>
          <w:u w:val="single"/>
          <w:lang w:val="zh-CN"/>
        </w:rPr>
        <w:t xml:space="preserve">         </w:t>
      </w:r>
      <w:r>
        <w:rPr>
          <w:rFonts w:hint="eastAsia" w:ascii="宋体" w:hAnsi="宋体" w:eastAsia="宋体" w:cs="宋体"/>
          <w:color w:val="auto"/>
          <w:kern w:val="0"/>
          <w:sz w:val="24"/>
          <w:szCs w:val="24"/>
          <w:highlight w:val="none"/>
          <w:lang w:val="zh-CN"/>
        </w:rPr>
        <w:t>；……。</w:t>
      </w:r>
    </w:p>
    <w:p>
      <w:pPr>
        <w:snapToGrid w:val="0"/>
        <w:spacing w:line="360" w:lineRule="auto"/>
        <w:ind w:firstLine="576"/>
        <w:rPr>
          <w:rFonts w:hint="eastAsia" w:ascii="宋体" w:hAnsi="宋体" w:eastAsia="宋体" w:cs="宋体"/>
          <w:b/>
          <w:bCs/>
          <w:color w:val="auto"/>
          <w:kern w:val="0"/>
          <w:sz w:val="24"/>
          <w:szCs w:val="24"/>
          <w:highlight w:val="none"/>
          <w:u w:val="none"/>
          <w:lang w:val="zh-CN"/>
        </w:rPr>
      </w:pPr>
      <w:r>
        <w:rPr>
          <w:rFonts w:hint="eastAsia" w:ascii="宋体" w:hAnsi="宋体" w:eastAsia="宋体" w:cs="宋体"/>
          <w:b/>
          <w:bCs/>
          <w:color w:val="auto"/>
          <w:kern w:val="0"/>
          <w:sz w:val="24"/>
          <w:szCs w:val="24"/>
          <w:highlight w:val="none"/>
          <w:lang w:val="zh-CN"/>
        </w:rPr>
        <w:t>四、</w:t>
      </w:r>
      <w:r>
        <w:rPr>
          <w:rFonts w:hint="eastAsia" w:ascii="宋体" w:hAnsi="宋体" w:eastAsia="宋体" w:cs="宋体"/>
          <w:b/>
          <w:bCs/>
          <w:color w:val="auto"/>
          <w:kern w:val="0"/>
          <w:sz w:val="24"/>
          <w:szCs w:val="24"/>
          <w:highlight w:val="none"/>
          <w:u w:val="none"/>
        </w:rPr>
        <w:t>中小企业合同金额达到</w:t>
      </w:r>
      <w:r>
        <w:rPr>
          <w:rFonts w:hint="eastAsia" w:ascii="宋体" w:hAnsi="宋体" w:eastAsia="宋体" w:cs="宋体"/>
          <w:b/>
          <w:bCs/>
          <w:color w:val="auto"/>
          <w:kern w:val="0"/>
          <w:sz w:val="24"/>
          <w:szCs w:val="24"/>
          <w:highlight w:val="none"/>
          <w:u w:val="single"/>
        </w:rPr>
        <w:t xml:space="preserve"> </w:t>
      </w:r>
      <w:r>
        <w:rPr>
          <w:rFonts w:hint="eastAsia" w:ascii="宋体" w:hAnsi="宋体" w:cs="宋体"/>
          <w:b/>
          <w:bCs/>
          <w:color w:val="auto"/>
          <w:kern w:val="0"/>
          <w:sz w:val="24"/>
          <w:szCs w:val="24"/>
          <w:highlight w:val="none"/>
          <w:u w:val="single"/>
          <w:lang w:val="en-US" w:eastAsia="zh-CN"/>
        </w:rPr>
        <w:t xml:space="preserve">   </w:t>
      </w:r>
      <w:r>
        <w:rPr>
          <w:rFonts w:hint="eastAsia" w:ascii="宋体" w:hAnsi="宋体" w:eastAsia="宋体" w:cs="宋体"/>
          <w:b/>
          <w:bCs/>
          <w:color w:val="auto"/>
          <w:kern w:val="0"/>
          <w:sz w:val="24"/>
          <w:szCs w:val="24"/>
          <w:highlight w:val="none"/>
          <w:u w:val="single"/>
        </w:rPr>
        <w:t xml:space="preserve"> </w:t>
      </w:r>
      <w:r>
        <w:rPr>
          <w:rFonts w:hint="eastAsia" w:ascii="宋体" w:hAnsi="宋体" w:eastAsia="宋体" w:cs="宋体"/>
          <w:b/>
          <w:bCs/>
          <w:color w:val="auto"/>
          <w:kern w:val="0"/>
          <w:sz w:val="24"/>
          <w:szCs w:val="24"/>
          <w:highlight w:val="none"/>
          <w:u w:val="none"/>
        </w:rPr>
        <w:t>%</w:t>
      </w:r>
      <w:r>
        <w:rPr>
          <w:rFonts w:hint="eastAsia" w:ascii="宋体" w:hAnsi="宋体" w:eastAsia="宋体" w:cs="宋体"/>
          <w:b/>
          <w:bCs/>
          <w:color w:val="auto"/>
          <w:kern w:val="0"/>
          <w:sz w:val="24"/>
          <w:szCs w:val="24"/>
          <w:highlight w:val="none"/>
          <w:u w:val="none"/>
          <w:lang w:val="zh-CN"/>
        </w:rPr>
        <w:t>。</w:t>
      </w:r>
    </w:p>
    <w:p>
      <w:pPr>
        <w:snapToGrid w:val="0"/>
        <w:spacing w:line="360" w:lineRule="auto"/>
        <w:ind w:firstLine="576"/>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五、如果中标，</w:t>
      </w:r>
      <w:r>
        <w:rPr>
          <w:rFonts w:hint="eastAsia" w:ascii="宋体" w:hAnsi="宋体" w:eastAsia="宋体" w:cs="宋体"/>
          <w:color w:val="auto"/>
          <w:sz w:val="24"/>
          <w:szCs w:val="24"/>
          <w:highlight w:val="none"/>
        </w:rPr>
        <w:t>联合体各成员方共同与采购人签订合同，并就采购合同约定的事项对采购人承担连带责任。</w:t>
      </w:r>
    </w:p>
    <w:p>
      <w:pPr>
        <w:snapToGrid w:val="0"/>
        <w:spacing w:line="360" w:lineRule="auto"/>
        <w:ind w:firstLine="576"/>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六、有关本次联合投标的其他事宜：</w:t>
      </w:r>
    </w:p>
    <w:p>
      <w:pPr>
        <w:snapToGrid w:val="0"/>
        <w:spacing w:line="360" w:lineRule="auto"/>
        <w:ind w:firstLine="576"/>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1、联合体各方不再单独参加或者与其他供应商另外组成联合体参加同一合同项下的政府采购活动。</w:t>
      </w:r>
    </w:p>
    <w:p>
      <w:pPr>
        <w:snapToGrid w:val="0"/>
        <w:spacing w:line="360" w:lineRule="auto"/>
        <w:ind w:firstLine="576"/>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2、联合体中有同类资质的各方按照联合体分工承担相同工作的，按照资质等级较低的供应商确定资质等级。</w:t>
      </w:r>
    </w:p>
    <w:p>
      <w:pPr>
        <w:snapToGrid w:val="0"/>
        <w:spacing w:line="360" w:lineRule="auto"/>
        <w:ind w:firstLine="576"/>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3、本协议提交采购人、采购机构后，联合体各方不得以任何形式对上述内容进行修改或撤销。</w:t>
      </w:r>
    </w:p>
    <w:p>
      <w:pPr>
        <w:snapToGrid w:val="0"/>
        <w:spacing w:line="360" w:lineRule="auto"/>
        <w:ind w:firstLine="5040" w:firstLineChars="2100"/>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联合体成员名称(电子签名/公章)：</w:t>
      </w:r>
    </w:p>
    <w:p>
      <w:pPr>
        <w:snapToGrid w:val="0"/>
        <w:spacing w:line="360" w:lineRule="auto"/>
        <w:ind w:firstLine="5760" w:firstLineChars="2400"/>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val="zh-CN"/>
        </w:rPr>
        <w:t>……</w:t>
      </w:r>
    </w:p>
    <w:p>
      <w:pPr>
        <w:snapToGrid w:val="0"/>
        <w:spacing w:before="120" w:beforeLines="50" w:after="50" w:line="276" w:lineRule="auto"/>
        <w:ind w:firstLine="720" w:firstLineChars="300"/>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val="zh-CN"/>
        </w:rPr>
        <w:t xml:space="preserve">                                               日期：  年  月   日</w:t>
      </w:r>
    </w:p>
    <w:p>
      <w:pPr>
        <w:pStyle w:val="2"/>
        <w:keepNext w:val="0"/>
        <w:keepLines w:val="0"/>
        <w:pageBreakBefore/>
        <w:spacing w:line="276" w:lineRule="auto"/>
        <w:rPr>
          <w:rFonts w:hint="eastAsia" w:ascii="宋体" w:hAnsi="宋体" w:eastAsia="宋体" w:cs="宋体"/>
          <w:b w:val="0"/>
          <w:color w:val="auto"/>
          <w:sz w:val="24"/>
          <w:szCs w:val="24"/>
          <w:highlight w:val="none"/>
          <w:lang w:eastAsia="zh-CN"/>
        </w:rPr>
      </w:pPr>
      <w:bookmarkStart w:id="79" w:name="_Toc29881"/>
      <w:r>
        <w:rPr>
          <w:rFonts w:hint="eastAsia" w:ascii="宋体" w:hAnsi="宋体" w:eastAsia="宋体" w:cs="宋体"/>
          <w:b w:val="0"/>
          <w:color w:val="auto"/>
          <w:sz w:val="24"/>
          <w:szCs w:val="24"/>
          <w:highlight w:val="none"/>
        </w:rPr>
        <w:t>附件</w:t>
      </w:r>
      <w:r>
        <w:rPr>
          <w:rFonts w:hint="eastAsia" w:ascii="宋体" w:hAnsi="宋体" w:eastAsia="宋体" w:cs="宋体"/>
          <w:b w:val="0"/>
          <w:color w:val="auto"/>
          <w:sz w:val="24"/>
          <w:szCs w:val="24"/>
          <w:highlight w:val="none"/>
          <w:lang w:eastAsia="zh-CN"/>
        </w:rPr>
        <w:t>六</w:t>
      </w:r>
      <w:r>
        <w:rPr>
          <w:rFonts w:hint="eastAsia" w:ascii="宋体" w:hAnsi="宋体" w:eastAsia="宋体" w:cs="宋体"/>
          <w:b w:val="0"/>
          <w:color w:val="auto"/>
          <w:sz w:val="24"/>
          <w:szCs w:val="24"/>
          <w:highlight w:val="none"/>
        </w:rPr>
        <w:t>：</w:t>
      </w:r>
      <w:r>
        <w:rPr>
          <w:rFonts w:hint="eastAsia" w:ascii="宋体" w:hAnsi="宋体" w:eastAsia="宋体" w:cs="宋体"/>
          <w:b w:val="0"/>
          <w:color w:val="auto"/>
          <w:sz w:val="24"/>
          <w:szCs w:val="24"/>
          <w:highlight w:val="none"/>
          <w:lang w:eastAsia="zh-CN"/>
        </w:rPr>
        <w:t>分包意向协议</w:t>
      </w:r>
      <w:bookmarkEnd w:id="78"/>
      <w:bookmarkEnd w:id="79"/>
    </w:p>
    <w:p>
      <w:pPr>
        <w:snapToGrid w:val="0"/>
        <w:spacing w:line="360" w:lineRule="auto"/>
        <w:ind w:firstLine="3855" w:firstLineChars="120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分包意向协议</w:t>
      </w:r>
    </w:p>
    <w:p>
      <w:pPr>
        <w:widowControl/>
        <w:spacing w:line="360" w:lineRule="auto"/>
        <w:ind w:firstLine="120" w:firstLineChars="5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eastAsia="宋体" w:cs="宋体"/>
          <w:b/>
          <w:color w:val="auto"/>
          <w:sz w:val="24"/>
          <w:highlight w:val="none"/>
        </w:rPr>
        <w:t>中标后以分包方式履行合同的，提供分包意向协议；投标人中标后不以分包方式履行合同的，则不需要提供。</w:t>
      </w:r>
      <w:r>
        <w:rPr>
          <w:rFonts w:hint="eastAsia" w:ascii="宋体" w:hAnsi="宋体" w:eastAsia="宋体" w:cs="宋体"/>
          <w:color w:val="auto"/>
          <w:sz w:val="24"/>
          <w:highlight w:val="none"/>
        </w:rPr>
        <w:t>）</w:t>
      </w:r>
    </w:p>
    <w:p>
      <w:pPr>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u w:val="single"/>
        </w:rPr>
        <w:t>（投标人名称）</w:t>
      </w:r>
      <w:r>
        <w:rPr>
          <w:rFonts w:hint="eastAsia" w:ascii="宋体" w:hAnsi="宋体" w:eastAsia="宋体" w:cs="宋体"/>
          <w:color w:val="auto"/>
          <w:kern w:val="0"/>
          <w:sz w:val="24"/>
          <w:highlight w:val="none"/>
          <w:lang w:val="zh-CN"/>
        </w:rPr>
        <w:t>若成为</w:t>
      </w:r>
      <w:r>
        <w:rPr>
          <w:rFonts w:hint="eastAsia" w:ascii="宋体" w:hAnsi="宋体" w:eastAsia="宋体" w:cs="宋体"/>
          <w:color w:val="auto"/>
          <w:sz w:val="24"/>
          <w:highlight w:val="none"/>
        </w:rPr>
        <w:t>（项目名称）【招标编号：（采购编号）】</w:t>
      </w:r>
      <w:r>
        <w:rPr>
          <w:rFonts w:hint="eastAsia" w:ascii="宋体" w:hAnsi="宋体" w:eastAsia="宋体" w:cs="宋体"/>
          <w:color w:val="auto"/>
          <w:kern w:val="0"/>
          <w:sz w:val="24"/>
          <w:highlight w:val="none"/>
          <w:lang w:val="zh-CN"/>
        </w:rPr>
        <w:t>的中标供应商，将依法采取分包方式履行合同。</w:t>
      </w:r>
      <w:r>
        <w:rPr>
          <w:rFonts w:hint="eastAsia" w:ascii="宋体" w:hAnsi="宋体" w:eastAsia="宋体" w:cs="宋体"/>
          <w:color w:val="auto"/>
          <w:kern w:val="0"/>
          <w:sz w:val="24"/>
          <w:highlight w:val="none"/>
          <w:u w:val="single"/>
        </w:rPr>
        <w:t>（投标人名称）</w:t>
      </w:r>
      <w:r>
        <w:rPr>
          <w:rFonts w:hint="eastAsia" w:ascii="宋体" w:hAnsi="宋体" w:eastAsia="宋体" w:cs="宋体"/>
          <w:color w:val="auto"/>
          <w:kern w:val="0"/>
          <w:sz w:val="24"/>
          <w:highlight w:val="none"/>
        </w:rPr>
        <w:t>与</w:t>
      </w:r>
      <w:r>
        <w:rPr>
          <w:rFonts w:hint="eastAsia" w:ascii="宋体" w:hAnsi="宋体" w:eastAsia="宋体" w:cs="宋体"/>
          <w:color w:val="auto"/>
          <w:kern w:val="0"/>
          <w:sz w:val="24"/>
          <w:highlight w:val="none"/>
          <w:u w:val="single"/>
        </w:rPr>
        <w:t>（所有分包供应商名称）</w:t>
      </w:r>
      <w:r>
        <w:rPr>
          <w:rFonts w:hint="eastAsia" w:ascii="宋体" w:hAnsi="宋体" w:eastAsia="宋体" w:cs="宋体"/>
          <w:color w:val="auto"/>
          <w:kern w:val="0"/>
          <w:sz w:val="24"/>
          <w:highlight w:val="none"/>
        </w:rPr>
        <w:t>达成分包意向协议</w:t>
      </w:r>
      <w:r>
        <w:rPr>
          <w:rFonts w:hint="eastAsia" w:ascii="宋体" w:hAnsi="宋体" w:eastAsia="宋体" w:cs="宋体"/>
          <w:color w:val="auto"/>
          <w:kern w:val="0"/>
          <w:sz w:val="24"/>
          <w:highlight w:val="none"/>
          <w:lang w:val="zh-CN"/>
        </w:rPr>
        <w:t xml:space="preserve">。 </w:t>
      </w:r>
    </w:p>
    <w:p>
      <w:pPr>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一、分包标的及数量</w:t>
      </w:r>
    </w:p>
    <w:p>
      <w:pPr>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u w:val="single"/>
        </w:rPr>
        <w:t>（投标人名称）</w:t>
      </w:r>
      <w:r>
        <w:rPr>
          <w:rFonts w:hint="eastAsia" w:ascii="宋体" w:hAnsi="宋体" w:eastAsia="宋体" w:cs="宋体"/>
          <w:color w:val="auto"/>
          <w:kern w:val="0"/>
          <w:sz w:val="24"/>
          <w:highlight w:val="none"/>
          <w:lang w:val="zh-CN"/>
        </w:rPr>
        <w:t>将</w:t>
      </w:r>
      <w:r>
        <w:rPr>
          <w:rFonts w:hint="eastAsia" w:ascii="宋体" w:hAnsi="宋体" w:eastAsia="宋体" w:cs="宋体"/>
          <w:color w:val="auto"/>
          <w:highlight w:val="none"/>
          <w:u w:val="single"/>
        </w:rPr>
        <w:t xml:space="preserve">   XX工作内容   </w:t>
      </w:r>
      <w:r>
        <w:rPr>
          <w:rFonts w:hint="eastAsia" w:ascii="宋体" w:hAnsi="宋体" w:eastAsia="宋体" w:cs="宋体"/>
          <w:color w:val="auto"/>
          <w:sz w:val="24"/>
          <w:highlight w:val="none"/>
        </w:rPr>
        <w:t>分包给</w:t>
      </w:r>
      <w:r>
        <w:rPr>
          <w:rFonts w:hint="eastAsia" w:ascii="宋体" w:hAnsi="宋体" w:eastAsia="宋体" w:cs="宋体"/>
          <w:color w:val="auto"/>
          <w:kern w:val="0"/>
          <w:sz w:val="24"/>
          <w:highlight w:val="none"/>
          <w:u w:val="single"/>
        </w:rPr>
        <w:t>（某分包供应商名称）</w:t>
      </w:r>
      <w:r>
        <w:rPr>
          <w:rFonts w:hint="eastAsia" w:ascii="宋体" w:hAnsi="宋体" w:eastAsia="宋体" w:cs="宋体"/>
          <w:color w:val="auto"/>
          <w:kern w:val="0"/>
          <w:sz w:val="24"/>
          <w:highlight w:val="none"/>
          <w:lang w:val="zh-CN"/>
        </w:rPr>
        <w:t>，</w:t>
      </w:r>
      <w:r>
        <w:rPr>
          <w:rFonts w:hint="eastAsia" w:ascii="宋体" w:hAnsi="宋体" w:eastAsia="宋体" w:cs="宋体"/>
          <w:color w:val="auto"/>
          <w:kern w:val="0"/>
          <w:sz w:val="24"/>
          <w:highlight w:val="none"/>
          <w:u w:val="single"/>
        </w:rPr>
        <w:t>（某分包供应商名称），</w:t>
      </w:r>
      <w:r>
        <w:rPr>
          <w:rFonts w:hint="eastAsia" w:ascii="宋体" w:hAnsi="宋体" w:eastAsia="宋体" w:cs="宋体"/>
          <w:color w:val="auto"/>
          <w:kern w:val="0"/>
          <w:sz w:val="24"/>
          <w:highlight w:val="none"/>
          <w:lang w:val="zh-CN"/>
        </w:rPr>
        <w:t>具备承</w:t>
      </w:r>
      <w:r>
        <w:rPr>
          <w:rFonts w:hint="eastAsia" w:ascii="宋体" w:hAnsi="宋体" w:eastAsia="宋体" w:cs="宋体"/>
          <w:color w:val="auto"/>
          <w:kern w:val="0"/>
          <w:sz w:val="24"/>
          <w:highlight w:val="none"/>
        </w:rPr>
        <w:t>担</w:t>
      </w:r>
      <w:r>
        <w:rPr>
          <w:rFonts w:hint="eastAsia" w:ascii="宋体" w:hAnsi="宋体" w:eastAsia="宋体" w:cs="宋体"/>
          <w:color w:val="auto"/>
          <w:kern w:val="0"/>
          <w:sz w:val="24"/>
          <w:highlight w:val="none"/>
          <w:u w:val="single"/>
          <w:lang w:val="zh-CN"/>
        </w:rPr>
        <w:t>XX工作内容</w:t>
      </w:r>
      <w:r>
        <w:rPr>
          <w:rFonts w:hint="eastAsia" w:ascii="宋体" w:hAnsi="宋体" w:eastAsia="宋体" w:cs="宋体"/>
          <w:color w:val="auto"/>
          <w:kern w:val="0"/>
          <w:sz w:val="24"/>
          <w:highlight w:val="none"/>
          <w:lang w:val="zh-CN"/>
        </w:rPr>
        <w:t>相应资质条件且不得再次分包；</w:t>
      </w:r>
    </w:p>
    <w:p>
      <w:pPr>
        <w:snapToGrid w:val="0"/>
        <w:spacing w:line="360" w:lineRule="auto"/>
        <w:ind w:firstLine="576"/>
        <w:rPr>
          <w:rFonts w:hint="eastAsia" w:ascii="宋体" w:hAnsi="宋体" w:eastAsia="宋体" w:cs="宋体"/>
          <w:color w:val="auto"/>
          <w:highlight w:val="none"/>
        </w:rPr>
      </w:pPr>
      <w:r>
        <w:rPr>
          <w:rFonts w:hint="eastAsia" w:ascii="宋体" w:hAnsi="宋体" w:eastAsia="宋体" w:cs="宋体"/>
          <w:color w:val="auto"/>
          <w:kern w:val="0"/>
          <w:sz w:val="24"/>
          <w:szCs w:val="24"/>
          <w:highlight w:val="none"/>
        </w:rPr>
        <w:t>……</w:t>
      </w:r>
    </w:p>
    <w:p>
      <w:pPr>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二、分包工作履行期限、地点、方式</w:t>
      </w:r>
    </w:p>
    <w:p>
      <w:pPr>
        <w:snapToGrid w:val="0"/>
        <w:spacing w:line="360" w:lineRule="auto"/>
        <w:rPr>
          <w:rFonts w:hint="eastAsia" w:ascii="宋体" w:hAnsi="宋体" w:eastAsia="宋体" w:cs="宋体"/>
          <w:color w:val="auto"/>
          <w:highlight w:val="none"/>
          <w:u w:val="single"/>
        </w:rPr>
      </w:pPr>
      <w:r>
        <w:rPr>
          <w:rFonts w:hint="eastAsia" w:ascii="宋体" w:hAnsi="宋体" w:eastAsia="宋体" w:cs="宋体"/>
          <w:color w:val="auto"/>
          <w:highlight w:val="none"/>
          <w:u w:val="single"/>
        </w:rPr>
        <w:t xml:space="preserve">                                                                             </w:t>
      </w:r>
    </w:p>
    <w:p>
      <w:pPr>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三、质量</w:t>
      </w:r>
    </w:p>
    <w:p>
      <w:pPr>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highlight w:val="none"/>
          <w:u w:val="single"/>
        </w:rPr>
        <w:t xml:space="preserve">                                                                                       </w:t>
      </w:r>
    </w:p>
    <w:p>
      <w:pPr>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四、价款或者报酬</w:t>
      </w:r>
    </w:p>
    <w:p>
      <w:pPr>
        <w:snapToGrid w:val="0"/>
        <w:spacing w:line="360" w:lineRule="auto"/>
        <w:ind w:left="573" w:leftChars="273"/>
        <w:rPr>
          <w:rFonts w:hint="eastAsia" w:ascii="宋体" w:hAnsi="宋体" w:eastAsia="宋体" w:cs="宋体"/>
          <w:color w:val="auto"/>
          <w:kern w:val="0"/>
          <w:sz w:val="24"/>
          <w:highlight w:val="none"/>
          <w:lang w:val="zh-CN"/>
        </w:rPr>
      </w:pPr>
      <w:r>
        <w:rPr>
          <w:rFonts w:hint="eastAsia" w:ascii="宋体" w:hAnsi="宋体" w:eastAsia="宋体" w:cs="宋体"/>
          <w:color w:val="auto"/>
          <w:highlight w:val="none"/>
          <w:u w:val="single"/>
        </w:rPr>
        <w:t xml:space="preserve">                                                                                    </w:t>
      </w:r>
    </w:p>
    <w:p>
      <w:pPr>
        <w:snapToGrid w:val="0"/>
        <w:spacing w:line="360" w:lineRule="auto"/>
        <w:ind w:left="573" w:leftChars="273"/>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五、违约责任</w:t>
      </w:r>
      <w:r>
        <w:rPr>
          <w:rFonts w:hint="eastAsia" w:ascii="宋体" w:hAnsi="宋体" w:eastAsia="宋体" w:cs="宋体"/>
          <w:color w:val="auto"/>
          <w:highlight w:val="none"/>
          <w:u w:val="single"/>
        </w:rPr>
        <w:t xml:space="preserve">                                                                            </w:t>
      </w:r>
    </w:p>
    <w:p>
      <w:pPr>
        <w:snapToGrid w:val="0"/>
        <w:spacing w:line="360" w:lineRule="auto"/>
        <w:ind w:firstLine="576"/>
        <w:rPr>
          <w:rFonts w:hint="eastAsia" w:ascii="宋体" w:hAnsi="宋体" w:eastAsia="宋体" w:cs="宋体"/>
          <w:color w:val="auto"/>
          <w:kern w:val="0"/>
          <w:sz w:val="24"/>
          <w:highlight w:val="none"/>
          <w:lang w:val="zh-CN"/>
        </w:rPr>
      </w:pPr>
    </w:p>
    <w:p>
      <w:pPr>
        <w:snapToGrid w:val="0"/>
        <w:spacing w:line="360" w:lineRule="auto"/>
        <w:ind w:firstLine="576"/>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六、争议解决的办法</w:t>
      </w:r>
      <w:r>
        <w:rPr>
          <w:rFonts w:hint="eastAsia" w:ascii="宋体" w:hAnsi="宋体" w:eastAsia="宋体" w:cs="宋体"/>
          <w:color w:val="auto"/>
          <w:highlight w:val="none"/>
          <w:u w:val="single"/>
        </w:rPr>
        <w:t xml:space="preserve">                                                                              </w:t>
      </w:r>
    </w:p>
    <w:p>
      <w:pPr>
        <w:snapToGrid w:val="0"/>
        <w:spacing w:line="360" w:lineRule="auto"/>
        <w:rPr>
          <w:rFonts w:hint="eastAsia" w:ascii="宋体" w:hAnsi="宋体" w:eastAsia="宋体" w:cs="宋体"/>
          <w:color w:val="auto"/>
          <w:kern w:val="0"/>
          <w:sz w:val="24"/>
          <w:highlight w:val="none"/>
          <w:lang w:val="zh-CN"/>
        </w:rPr>
      </w:pPr>
    </w:p>
    <w:p>
      <w:pPr>
        <w:snapToGrid w:val="0"/>
        <w:spacing w:line="360" w:lineRule="auto"/>
        <w:ind w:firstLine="480" w:firstLineChars="2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七、其他</w:t>
      </w:r>
    </w:p>
    <w:p>
      <w:pPr>
        <w:snapToGrid w:val="0"/>
        <w:spacing w:line="360" w:lineRule="auto"/>
        <w:ind w:firstLine="576"/>
        <w:rPr>
          <w:rFonts w:hint="eastAsia" w:ascii="宋体" w:hAnsi="宋体" w:eastAsia="宋体" w:cs="宋体"/>
          <w:b/>
          <w:color w:val="auto"/>
          <w:kern w:val="0"/>
          <w:sz w:val="24"/>
          <w:highlight w:val="none"/>
          <w:lang w:val="zh-CN"/>
        </w:rPr>
      </w:pPr>
      <w:r>
        <w:rPr>
          <w:rFonts w:hint="eastAsia" w:ascii="宋体" w:hAnsi="宋体" w:eastAsia="宋体" w:cs="宋体"/>
          <w:b w:val="0"/>
          <w:bCs/>
          <w:color w:val="auto"/>
          <w:kern w:val="0"/>
          <w:sz w:val="24"/>
          <w:highlight w:val="none"/>
          <w:lang w:val="zh-CN"/>
        </w:rPr>
        <w:t>中小企业合同金额达到</w:t>
      </w:r>
      <w:r>
        <w:rPr>
          <w:rFonts w:hint="eastAsia" w:ascii="宋体" w:hAnsi="宋体" w:cs="宋体"/>
          <w:b w:val="0"/>
          <w:bCs/>
          <w:color w:val="auto"/>
          <w:kern w:val="0"/>
          <w:sz w:val="24"/>
          <w:highlight w:val="none"/>
          <w:u w:val="single"/>
          <w:lang w:val="en-US" w:eastAsia="zh-CN"/>
        </w:rPr>
        <w:t xml:space="preserve">     </w:t>
      </w:r>
      <w:r>
        <w:rPr>
          <w:rFonts w:hint="eastAsia" w:ascii="宋体" w:hAnsi="宋体" w:eastAsia="宋体" w:cs="宋体"/>
          <w:b w:val="0"/>
          <w:bCs/>
          <w:color w:val="auto"/>
          <w:kern w:val="0"/>
          <w:sz w:val="24"/>
          <w:highlight w:val="none"/>
          <w:lang w:val="zh-CN"/>
        </w:rPr>
        <w:t>%</w:t>
      </w:r>
    </w:p>
    <w:p>
      <w:pPr>
        <w:snapToGrid w:val="0"/>
        <w:spacing w:line="360" w:lineRule="auto"/>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xml:space="preserve">  </w:t>
      </w:r>
    </w:p>
    <w:p>
      <w:pPr>
        <w:snapToGrid w:val="0"/>
        <w:spacing w:line="360" w:lineRule="auto"/>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xml:space="preserve">                                             </w:t>
      </w:r>
      <w:r>
        <w:rPr>
          <w:rFonts w:hint="eastAsia" w:ascii="宋体" w:hAnsi="宋体" w:cs="宋体"/>
          <w:color w:val="auto"/>
          <w:kern w:val="0"/>
          <w:sz w:val="24"/>
          <w:highlight w:val="none"/>
          <w:lang w:val="en-US" w:eastAsia="zh-CN"/>
        </w:rPr>
        <w:t xml:space="preserve">  </w:t>
      </w:r>
      <w:r>
        <w:rPr>
          <w:rFonts w:hint="eastAsia" w:ascii="宋体" w:hAnsi="宋体" w:eastAsia="宋体" w:cs="宋体"/>
          <w:color w:val="auto"/>
          <w:kern w:val="0"/>
          <w:sz w:val="24"/>
          <w:highlight w:val="none"/>
          <w:lang w:val="zh-CN"/>
        </w:rPr>
        <w:t>投标人名称(签名)：</w:t>
      </w:r>
    </w:p>
    <w:p>
      <w:pPr>
        <w:snapToGrid w:val="0"/>
        <w:spacing w:line="360" w:lineRule="auto"/>
        <w:ind w:firstLine="5640" w:firstLineChars="2350"/>
        <w:rPr>
          <w:color w:val="auto"/>
          <w:highlight w:val="none"/>
        </w:rPr>
      </w:pPr>
      <w:r>
        <w:rPr>
          <w:rFonts w:hint="eastAsia" w:ascii="宋体" w:hAnsi="宋体" w:eastAsia="宋体" w:cs="宋体"/>
          <w:color w:val="auto"/>
          <w:kern w:val="0"/>
          <w:sz w:val="24"/>
          <w:highlight w:val="none"/>
          <w:lang w:val="zh-CN"/>
        </w:rPr>
        <w:t>分包供应商名称：</w:t>
      </w:r>
    </w:p>
    <w:p>
      <w:pPr>
        <w:snapToGrid w:val="0"/>
        <w:spacing w:line="360" w:lineRule="auto"/>
        <w:rPr>
          <w:rFonts w:hint="eastAsia" w:ascii="宋体" w:hAnsi="宋体" w:eastAsia="宋体" w:cs="宋体"/>
          <w:color w:val="auto"/>
          <w:kern w:val="0"/>
          <w:sz w:val="24"/>
          <w:highlight w:val="none"/>
          <w:lang w:val="zh-CN"/>
        </w:rPr>
      </w:pPr>
      <w:r>
        <w:rPr>
          <w:rFonts w:ascii="仿宋_GB2312" w:hAnsi="仿宋" w:eastAsia="仿宋_GB2312" w:cs="仿宋_GB2312"/>
          <w:color w:val="auto"/>
          <w:kern w:val="0"/>
          <w:sz w:val="24"/>
          <w:highlight w:val="none"/>
          <w:lang w:val="zh-CN"/>
        </w:rPr>
        <w:t xml:space="preserve">                                              </w:t>
      </w:r>
      <w:r>
        <w:rPr>
          <w:rFonts w:hint="eastAsia" w:ascii="宋体" w:hAnsi="宋体" w:eastAsia="宋体" w:cs="宋体"/>
          <w:color w:val="auto"/>
          <w:kern w:val="0"/>
          <w:sz w:val="24"/>
          <w:highlight w:val="none"/>
          <w:lang w:val="zh-CN"/>
        </w:rPr>
        <w:t xml:space="preserve"> 日期：  年  月   日</w:t>
      </w:r>
    </w:p>
    <w:p>
      <w:pPr>
        <w:pStyle w:val="2"/>
        <w:keepNext/>
        <w:keepLines/>
        <w:pageBreakBefore/>
        <w:widowControl w:val="0"/>
        <w:kinsoku/>
        <w:wordWrap/>
        <w:overflowPunct/>
        <w:topLinePunct w:val="0"/>
        <w:autoSpaceDE/>
        <w:autoSpaceDN/>
        <w:bidi w:val="0"/>
        <w:adjustRightInd/>
        <w:snapToGrid/>
        <w:spacing w:line="416" w:lineRule="auto"/>
        <w:textAlignment w:val="auto"/>
        <w:rPr>
          <w:rFonts w:hint="eastAsia" w:ascii="宋体" w:hAnsi="宋体" w:eastAsia="宋体" w:cs="宋体"/>
          <w:b w:val="0"/>
          <w:color w:val="auto"/>
          <w:sz w:val="24"/>
          <w:szCs w:val="24"/>
          <w:highlight w:val="none"/>
        </w:rPr>
      </w:pPr>
      <w:bookmarkStart w:id="80" w:name="_Toc13167"/>
      <w:r>
        <w:rPr>
          <w:rFonts w:hint="eastAsia" w:ascii="宋体" w:hAnsi="宋体" w:eastAsia="宋体" w:cs="宋体"/>
          <w:b w:val="0"/>
          <w:color w:val="auto"/>
          <w:sz w:val="24"/>
          <w:szCs w:val="24"/>
          <w:highlight w:val="none"/>
        </w:rPr>
        <w:t>附件</w:t>
      </w:r>
      <w:r>
        <w:rPr>
          <w:rFonts w:hint="eastAsia" w:ascii="宋体" w:hAnsi="宋体" w:eastAsia="宋体" w:cs="宋体"/>
          <w:b w:val="0"/>
          <w:color w:val="auto"/>
          <w:sz w:val="24"/>
          <w:szCs w:val="24"/>
          <w:highlight w:val="none"/>
          <w:lang w:val="en-US" w:eastAsia="zh-CN"/>
        </w:rPr>
        <w:t>七</w:t>
      </w:r>
      <w:r>
        <w:rPr>
          <w:rFonts w:hint="eastAsia" w:ascii="宋体" w:hAnsi="宋体" w:eastAsia="宋体" w:cs="宋体"/>
          <w:b w:val="0"/>
          <w:color w:val="auto"/>
          <w:sz w:val="24"/>
          <w:szCs w:val="24"/>
          <w:highlight w:val="none"/>
        </w:rPr>
        <w:t>：投标人资信商务、技术自评得分表</w:t>
      </w:r>
      <w:bookmarkEnd w:id="80"/>
    </w:p>
    <w:p>
      <w:pPr>
        <w:snapToGrid w:val="0"/>
        <w:spacing w:line="360" w:lineRule="auto"/>
        <w:jc w:val="center"/>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投标人资信商务、技术自评得分表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4"/>
        <w:gridCol w:w="3550"/>
        <w:gridCol w:w="3200"/>
        <w:gridCol w:w="916"/>
        <w:gridCol w:w="12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5" w:hRule="atLeast"/>
        </w:trPr>
        <w:tc>
          <w:tcPr>
            <w:tcW w:w="834"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序号</w:t>
            </w:r>
          </w:p>
        </w:tc>
        <w:tc>
          <w:tcPr>
            <w:tcW w:w="3550"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评分标准</w:t>
            </w:r>
          </w:p>
        </w:tc>
        <w:tc>
          <w:tcPr>
            <w:tcW w:w="3200"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得分内容</w:t>
            </w:r>
          </w:p>
        </w:tc>
        <w:tc>
          <w:tcPr>
            <w:tcW w:w="916"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自评</w:t>
            </w:r>
          </w:p>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得分</w:t>
            </w:r>
          </w:p>
        </w:tc>
        <w:tc>
          <w:tcPr>
            <w:tcW w:w="1219"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834"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p>
        </w:tc>
        <w:tc>
          <w:tcPr>
            <w:tcW w:w="3550" w:type="dxa"/>
            <w:vAlign w:val="center"/>
          </w:tcPr>
          <w:p>
            <w:pPr>
              <w:jc w:val="center"/>
              <w:rPr>
                <w:rFonts w:hint="eastAsia" w:ascii="宋体" w:hAnsi="宋体" w:eastAsia="宋体" w:cs="宋体"/>
                <w:color w:val="auto"/>
                <w:sz w:val="24"/>
                <w:highlight w:val="none"/>
              </w:rPr>
            </w:pPr>
          </w:p>
        </w:tc>
        <w:tc>
          <w:tcPr>
            <w:tcW w:w="3200" w:type="dxa"/>
            <w:vAlign w:val="center"/>
          </w:tcPr>
          <w:p>
            <w:pPr>
              <w:jc w:val="center"/>
              <w:rPr>
                <w:rFonts w:hint="eastAsia" w:ascii="宋体" w:hAnsi="宋体" w:eastAsia="宋体" w:cs="宋体"/>
                <w:color w:val="auto"/>
                <w:sz w:val="24"/>
                <w:highlight w:val="none"/>
              </w:rPr>
            </w:pPr>
          </w:p>
        </w:tc>
        <w:tc>
          <w:tcPr>
            <w:tcW w:w="916" w:type="dxa"/>
            <w:vAlign w:val="center"/>
          </w:tcPr>
          <w:p>
            <w:pPr>
              <w:jc w:val="center"/>
              <w:rPr>
                <w:rFonts w:hint="eastAsia" w:ascii="宋体" w:hAnsi="宋体" w:eastAsia="宋体" w:cs="宋体"/>
                <w:color w:val="auto"/>
                <w:sz w:val="24"/>
                <w:highlight w:val="none"/>
              </w:rPr>
            </w:pPr>
          </w:p>
        </w:tc>
        <w:tc>
          <w:tcPr>
            <w:tcW w:w="1219" w:type="dxa"/>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834"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p>
        </w:tc>
        <w:tc>
          <w:tcPr>
            <w:tcW w:w="3550" w:type="dxa"/>
            <w:vAlign w:val="center"/>
          </w:tcPr>
          <w:p>
            <w:pPr>
              <w:jc w:val="center"/>
              <w:rPr>
                <w:rFonts w:hint="eastAsia" w:ascii="宋体" w:hAnsi="宋体" w:eastAsia="宋体" w:cs="宋体"/>
                <w:color w:val="auto"/>
                <w:sz w:val="24"/>
                <w:highlight w:val="none"/>
              </w:rPr>
            </w:pPr>
          </w:p>
        </w:tc>
        <w:tc>
          <w:tcPr>
            <w:tcW w:w="3200" w:type="dxa"/>
            <w:vAlign w:val="center"/>
          </w:tcPr>
          <w:p>
            <w:pPr>
              <w:jc w:val="center"/>
              <w:rPr>
                <w:rFonts w:hint="eastAsia" w:ascii="宋体" w:hAnsi="宋体" w:eastAsia="宋体" w:cs="宋体"/>
                <w:color w:val="auto"/>
                <w:sz w:val="24"/>
                <w:highlight w:val="none"/>
              </w:rPr>
            </w:pPr>
          </w:p>
        </w:tc>
        <w:tc>
          <w:tcPr>
            <w:tcW w:w="916" w:type="dxa"/>
            <w:vAlign w:val="center"/>
          </w:tcPr>
          <w:p>
            <w:pPr>
              <w:jc w:val="center"/>
              <w:rPr>
                <w:rFonts w:hint="eastAsia" w:ascii="宋体" w:hAnsi="宋体" w:eastAsia="宋体" w:cs="宋体"/>
                <w:color w:val="auto"/>
                <w:sz w:val="24"/>
                <w:highlight w:val="none"/>
              </w:rPr>
            </w:pPr>
          </w:p>
        </w:tc>
        <w:tc>
          <w:tcPr>
            <w:tcW w:w="1219" w:type="dxa"/>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834"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3</w:t>
            </w:r>
          </w:p>
        </w:tc>
        <w:tc>
          <w:tcPr>
            <w:tcW w:w="3550" w:type="dxa"/>
            <w:vAlign w:val="center"/>
          </w:tcPr>
          <w:p>
            <w:pPr>
              <w:jc w:val="center"/>
              <w:rPr>
                <w:rFonts w:hint="eastAsia" w:ascii="宋体" w:hAnsi="宋体" w:eastAsia="宋体" w:cs="宋体"/>
                <w:color w:val="auto"/>
                <w:sz w:val="24"/>
                <w:highlight w:val="none"/>
              </w:rPr>
            </w:pPr>
          </w:p>
        </w:tc>
        <w:tc>
          <w:tcPr>
            <w:tcW w:w="3200" w:type="dxa"/>
            <w:vAlign w:val="center"/>
          </w:tcPr>
          <w:p>
            <w:pPr>
              <w:jc w:val="center"/>
              <w:rPr>
                <w:rFonts w:hint="eastAsia" w:ascii="宋体" w:hAnsi="宋体" w:eastAsia="宋体" w:cs="宋体"/>
                <w:color w:val="auto"/>
                <w:sz w:val="24"/>
                <w:highlight w:val="none"/>
              </w:rPr>
            </w:pPr>
          </w:p>
        </w:tc>
        <w:tc>
          <w:tcPr>
            <w:tcW w:w="916" w:type="dxa"/>
            <w:vAlign w:val="center"/>
          </w:tcPr>
          <w:p>
            <w:pPr>
              <w:jc w:val="center"/>
              <w:rPr>
                <w:rFonts w:hint="eastAsia" w:ascii="宋体" w:hAnsi="宋体" w:eastAsia="宋体" w:cs="宋体"/>
                <w:color w:val="auto"/>
                <w:sz w:val="24"/>
                <w:highlight w:val="none"/>
              </w:rPr>
            </w:pPr>
          </w:p>
        </w:tc>
        <w:tc>
          <w:tcPr>
            <w:tcW w:w="1219" w:type="dxa"/>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834"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4</w:t>
            </w:r>
          </w:p>
        </w:tc>
        <w:tc>
          <w:tcPr>
            <w:tcW w:w="3550" w:type="dxa"/>
            <w:vAlign w:val="center"/>
          </w:tcPr>
          <w:p>
            <w:pPr>
              <w:jc w:val="center"/>
              <w:rPr>
                <w:rFonts w:hint="eastAsia" w:ascii="宋体" w:hAnsi="宋体" w:eastAsia="宋体" w:cs="宋体"/>
                <w:color w:val="auto"/>
                <w:sz w:val="24"/>
                <w:highlight w:val="none"/>
              </w:rPr>
            </w:pPr>
          </w:p>
        </w:tc>
        <w:tc>
          <w:tcPr>
            <w:tcW w:w="3200" w:type="dxa"/>
            <w:vAlign w:val="center"/>
          </w:tcPr>
          <w:p>
            <w:pPr>
              <w:jc w:val="center"/>
              <w:rPr>
                <w:rFonts w:hint="eastAsia" w:ascii="宋体" w:hAnsi="宋体" w:eastAsia="宋体" w:cs="宋体"/>
                <w:color w:val="auto"/>
                <w:sz w:val="24"/>
                <w:highlight w:val="none"/>
              </w:rPr>
            </w:pPr>
          </w:p>
        </w:tc>
        <w:tc>
          <w:tcPr>
            <w:tcW w:w="916" w:type="dxa"/>
            <w:vAlign w:val="center"/>
          </w:tcPr>
          <w:p>
            <w:pPr>
              <w:jc w:val="center"/>
              <w:rPr>
                <w:rFonts w:hint="eastAsia" w:ascii="宋体" w:hAnsi="宋体" w:eastAsia="宋体" w:cs="宋体"/>
                <w:color w:val="auto"/>
                <w:sz w:val="24"/>
                <w:highlight w:val="none"/>
              </w:rPr>
            </w:pPr>
          </w:p>
        </w:tc>
        <w:tc>
          <w:tcPr>
            <w:tcW w:w="1219" w:type="dxa"/>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834"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5</w:t>
            </w:r>
          </w:p>
        </w:tc>
        <w:tc>
          <w:tcPr>
            <w:tcW w:w="3550" w:type="dxa"/>
            <w:vAlign w:val="center"/>
          </w:tcPr>
          <w:p>
            <w:pPr>
              <w:jc w:val="center"/>
              <w:rPr>
                <w:rFonts w:hint="eastAsia" w:ascii="宋体" w:hAnsi="宋体" w:eastAsia="宋体" w:cs="宋体"/>
                <w:color w:val="auto"/>
                <w:sz w:val="24"/>
                <w:highlight w:val="none"/>
              </w:rPr>
            </w:pPr>
          </w:p>
        </w:tc>
        <w:tc>
          <w:tcPr>
            <w:tcW w:w="3200" w:type="dxa"/>
            <w:vAlign w:val="center"/>
          </w:tcPr>
          <w:p>
            <w:pPr>
              <w:jc w:val="center"/>
              <w:rPr>
                <w:rFonts w:hint="eastAsia" w:ascii="宋体" w:hAnsi="宋体" w:eastAsia="宋体" w:cs="宋体"/>
                <w:color w:val="auto"/>
                <w:sz w:val="24"/>
                <w:highlight w:val="none"/>
              </w:rPr>
            </w:pPr>
          </w:p>
        </w:tc>
        <w:tc>
          <w:tcPr>
            <w:tcW w:w="916" w:type="dxa"/>
            <w:vAlign w:val="center"/>
          </w:tcPr>
          <w:p>
            <w:pPr>
              <w:jc w:val="center"/>
              <w:rPr>
                <w:rFonts w:hint="eastAsia" w:ascii="宋体" w:hAnsi="宋体" w:eastAsia="宋体" w:cs="宋体"/>
                <w:color w:val="auto"/>
                <w:sz w:val="24"/>
                <w:highlight w:val="none"/>
              </w:rPr>
            </w:pPr>
          </w:p>
        </w:tc>
        <w:tc>
          <w:tcPr>
            <w:tcW w:w="1219" w:type="dxa"/>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834"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6</w:t>
            </w:r>
          </w:p>
        </w:tc>
        <w:tc>
          <w:tcPr>
            <w:tcW w:w="3550" w:type="dxa"/>
            <w:vAlign w:val="center"/>
          </w:tcPr>
          <w:p>
            <w:pPr>
              <w:jc w:val="center"/>
              <w:rPr>
                <w:rFonts w:hint="eastAsia" w:ascii="宋体" w:hAnsi="宋体" w:eastAsia="宋体" w:cs="宋体"/>
                <w:color w:val="auto"/>
                <w:sz w:val="24"/>
                <w:highlight w:val="none"/>
              </w:rPr>
            </w:pPr>
          </w:p>
        </w:tc>
        <w:tc>
          <w:tcPr>
            <w:tcW w:w="3200" w:type="dxa"/>
            <w:vAlign w:val="center"/>
          </w:tcPr>
          <w:p>
            <w:pPr>
              <w:jc w:val="center"/>
              <w:rPr>
                <w:rFonts w:hint="eastAsia" w:ascii="宋体" w:hAnsi="宋体" w:eastAsia="宋体" w:cs="宋体"/>
                <w:color w:val="auto"/>
                <w:sz w:val="24"/>
                <w:highlight w:val="none"/>
              </w:rPr>
            </w:pPr>
          </w:p>
        </w:tc>
        <w:tc>
          <w:tcPr>
            <w:tcW w:w="916" w:type="dxa"/>
            <w:vAlign w:val="center"/>
          </w:tcPr>
          <w:p>
            <w:pPr>
              <w:jc w:val="center"/>
              <w:rPr>
                <w:rFonts w:hint="eastAsia" w:ascii="宋体" w:hAnsi="宋体" w:eastAsia="宋体" w:cs="宋体"/>
                <w:color w:val="auto"/>
                <w:sz w:val="24"/>
                <w:highlight w:val="none"/>
              </w:rPr>
            </w:pPr>
          </w:p>
        </w:tc>
        <w:tc>
          <w:tcPr>
            <w:tcW w:w="1219" w:type="dxa"/>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834"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7</w:t>
            </w:r>
          </w:p>
        </w:tc>
        <w:tc>
          <w:tcPr>
            <w:tcW w:w="3550" w:type="dxa"/>
            <w:vAlign w:val="center"/>
          </w:tcPr>
          <w:p>
            <w:pPr>
              <w:jc w:val="center"/>
              <w:rPr>
                <w:rFonts w:hint="eastAsia" w:ascii="宋体" w:hAnsi="宋体" w:eastAsia="宋体" w:cs="宋体"/>
                <w:color w:val="auto"/>
                <w:sz w:val="24"/>
                <w:highlight w:val="none"/>
              </w:rPr>
            </w:pPr>
          </w:p>
        </w:tc>
        <w:tc>
          <w:tcPr>
            <w:tcW w:w="3200" w:type="dxa"/>
            <w:vAlign w:val="center"/>
          </w:tcPr>
          <w:p>
            <w:pPr>
              <w:jc w:val="center"/>
              <w:rPr>
                <w:rFonts w:hint="eastAsia" w:ascii="宋体" w:hAnsi="宋体" w:eastAsia="宋体" w:cs="宋体"/>
                <w:color w:val="auto"/>
                <w:sz w:val="24"/>
                <w:highlight w:val="none"/>
              </w:rPr>
            </w:pPr>
          </w:p>
        </w:tc>
        <w:tc>
          <w:tcPr>
            <w:tcW w:w="916" w:type="dxa"/>
            <w:vAlign w:val="center"/>
          </w:tcPr>
          <w:p>
            <w:pPr>
              <w:jc w:val="center"/>
              <w:rPr>
                <w:rFonts w:hint="eastAsia" w:ascii="宋体" w:hAnsi="宋体" w:eastAsia="宋体" w:cs="宋体"/>
                <w:color w:val="auto"/>
                <w:sz w:val="24"/>
                <w:highlight w:val="none"/>
              </w:rPr>
            </w:pPr>
          </w:p>
        </w:tc>
        <w:tc>
          <w:tcPr>
            <w:tcW w:w="1219" w:type="dxa"/>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834"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8</w:t>
            </w:r>
          </w:p>
        </w:tc>
        <w:tc>
          <w:tcPr>
            <w:tcW w:w="3550" w:type="dxa"/>
            <w:vAlign w:val="center"/>
          </w:tcPr>
          <w:p>
            <w:pPr>
              <w:jc w:val="center"/>
              <w:rPr>
                <w:rFonts w:hint="eastAsia" w:ascii="宋体" w:hAnsi="宋体" w:eastAsia="宋体" w:cs="宋体"/>
                <w:color w:val="auto"/>
                <w:sz w:val="24"/>
                <w:highlight w:val="none"/>
              </w:rPr>
            </w:pPr>
          </w:p>
        </w:tc>
        <w:tc>
          <w:tcPr>
            <w:tcW w:w="3200" w:type="dxa"/>
            <w:vAlign w:val="center"/>
          </w:tcPr>
          <w:p>
            <w:pPr>
              <w:jc w:val="center"/>
              <w:rPr>
                <w:rFonts w:hint="eastAsia" w:ascii="宋体" w:hAnsi="宋体" w:eastAsia="宋体" w:cs="宋体"/>
                <w:color w:val="auto"/>
                <w:sz w:val="24"/>
                <w:highlight w:val="none"/>
              </w:rPr>
            </w:pPr>
          </w:p>
        </w:tc>
        <w:tc>
          <w:tcPr>
            <w:tcW w:w="916" w:type="dxa"/>
            <w:vAlign w:val="center"/>
          </w:tcPr>
          <w:p>
            <w:pPr>
              <w:jc w:val="center"/>
              <w:rPr>
                <w:rFonts w:hint="eastAsia" w:ascii="宋体" w:hAnsi="宋体" w:eastAsia="宋体" w:cs="宋体"/>
                <w:color w:val="auto"/>
                <w:sz w:val="24"/>
                <w:highlight w:val="none"/>
              </w:rPr>
            </w:pPr>
          </w:p>
        </w:tc>
        <w:tc>
          <w:tcPr>
            <w:tcW w:w="1219" w:type="dxa"/>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834"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9</w:t>
            </w:r>
          </w:p>
        </w:tc>
        <w:tc>
          <w:tcPr>
            <w:tcW w:w="3550" w:type="dxa"/>
            <w:vAlign w:val="center"/>
          </w:tcPr>
          <w:p>
            <w:pPr>
              <w:jc w:val="center"/>
              <w:rPr>
                <w:rFonts w:hint="eastAsia" w:ascii="宋体" w:hAnsi="宋体" w:eastAsia="宋体" w:cs="宋体"/>
                <w:color w:val="auto"/>
                <w:sz w:val="24"/>
                <w:highlight w:val="none"/>
              </w:rPr>
            </w:pPr>
          </w:p>
        </w:tc>
        <w:tc>
          <w:tcPr>
            <w:tcW w:w="3200" w:type="dxa"/>
            <w:vAlign w:val="center"/>
          </w:tcPr>
          <w:p>
            <w:pPr>
              <w:jc w:val="center"/>
              <w:rPr>
                <w:rFonts w:hint="eastAsia" w:ascii="宋体" w:hAnsi="宋体" w:eastAsia="宋体" w:cs="宋体"/>
                <w:color w:val="auto"/>
                <w:sz w:val="24"/>
                <w:highlight w:val="none"/>
              </w:rPr>
            </w:pPr>
          </w:p>
        </w:tc>
        <w:tc>
          <w:tcPr>
            <w:tcW w:w="916" w:type="dxa"/>
            <w:vAlign w:val="center"/>
          </w:tcPr>
          <w:p>
            <w:pPr>
              <w:jc w:val="center"/>
              <w:rPr>
                <w:rFonts w:hint="eastAsia" w:ascii="宋体" w:hAnsi="宋体" w:eastAsia="宋体" w:cs="宋体"/>
                <w:color w:val="auto"/>
                <w:sz w:val="24"/>
                <w:highlight w:val="none"/>
              </w:rPr>
            </w:pPr>
          </w:p>
        </w:tc>
        <w:tc>
          <w:tcPr>
            <w:tcW w:w="1219" w:type="dxa"/>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834"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10</w:t>
            </w:r>
          </w:p>
        </w:tc>
        <w:tc>
          <w:tcPr>
            <w:tcW w:w="3550" w:type="dxa"/>
            <w:vAlign w:val="center"/>
          </w:tcPr>
          <w:p>
            <w:pPr>
              <w:jc w:val="center"/>
              <w:rPr>
                <w:rFonts w:hint="eastAsia" w:ascii="宋体" w:hAnsi="宋体" w:eastAsia="宋体" w:cs="宋体"/>
                <w:color w:val="auto"/>
                <w:sz w:val="24"/>
                <w:highlight w:val="none"/>
              </w:rPr>
            </w:pPr>
          </w:p>
        </w:tc>
        <w:tc>
          <w:tcPr>
            <w:tcW w:w="3200" w:type="dxa"/>
            <w:vAlign w:val="center"/>
          </w:tcPr>
          <w:p>
            <w:pPr>
              <w:jc w:val="center"/>
              <w:rPr>
                <w:rFonts w:hint="eastAsia" w:ascii="宋体" w:hAnsi="宋体" w:eastAsia="宋体" w:cs="宋体"/>
                <w:color w:val="auto"/>
                <w:sz w:val="24"/>
                <w:highlight w:val="none"/>
              </w:rPr>
            </w:pPr>
          </w:p>
        </w:tc>
        <w:tc>
          <w:tcPr>
            <w:tcW w:w="916" w:type="dxa"/>
            <w:vAlign w:val="center"/>
          </w:tcPr>
          <w:p>
            <w:pPr>
              <w:jc w:val="center"/>
              <w:rPr>
                <w:rFonts w:hint="eastAsia" w:ascii="宋体" w:hAnsi="宋体" w:eastAsia="宋体" w:cs="宋体"/>
                <w:color w:val="auto"/>
                <w:sz w:val="24"/>
                <w:highlight w:val="none"/>
              </w:rPr>
            </w:pPr>
          </w:p>
        </w:tc>
        <w:tc>
          <w:tcPr>
            <w:tcW w:w="1219" w:type="dxa"/>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834"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11</w:t>
            </w:r>
          </w:p>
        </w:tc>
        <w:tc>
          <w:tcPr>
            <w:tcW w:w="3550" w:type="dxa"/>
            <w:vAlign w:val="center"/>
          </w:tcPr>
          <w:p>
            <w:pPr>
              <w:jc w:val="center"/>
              <w:rPr>
                <w:rFonts w:hint="eastAsia" w:ascii="宋体" w:hAnsi="宋体" w:eastAsia="宋体" w:cs="宋体"/>
                <w:color w:val="auto"/>
                <w:sz w:val="24"/>
                <w:highlight w:val="none"/>
              </w:rPr>
            </w:pPr>
          </w:p>
        </w:tc>
        <w:tc>
          <w:tcPr>
            <w:tcW w:w="3200" w:type="dxa"/>
            <w:vAlign w:val="center"/>
          </w:tcPr>
          <w:p>
            <w:pPr>
              <w:jc w:val="center"/>
              <w:rPr>
                <w:rFonts w:hint="eastAsia" w:ascii="宋体" w:hAnsi="宋体" w:eastAsia="宋体" w:cs="宋体"/>
                <w:color w:val="auto"/>
                <w:sz w:val="24"/>
                <w:highlight w:val="none"/>
              </w:rPr>
            </w:pPr>
          </w:p>
        </w:tc>
        <w:tc>
          <w:tcPr>
            <w:tcW w:w="916" w:type="dxa"/>
            <w:vAlign w:val="center"/>
          </w:tcPr>
          <w:p>
            <w:pPr>
              <w:jc w:val="center"/>
              <w:rPr>
                <w:rFonts w:hint="eastAsia" w:ascii="宋体" w:hAnsi="宋体" w:eastAsia="宋体" w:cs="宋体"/>
                <w:color w:val="auto"/>
                <w:sz w:val="24"/>
                <w:highlight w:val="none"/>
              </w:rPr>
            </w:pPr>
          </w:p>
        </w:tc>
        <w:tc>
          <w:tcPr>
            <w:tcW w:w="1219" w:type="dxa"/>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834"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12</w:t>
            </w:r>
          </w:p>
        </w:tc>
        <w:tc>
          <w:tcPr>
            <w:tcW w:w="3550" w:type="dxa"/>
            <w:vAlign w:val="center"/>
          </w:tcPr>
          <w:p>
            <w:pPr>
              <w:jc w:val="center"/>
              <w:rPr>
                <w:rFonts w:hint="eastAsia" w:ascii="宋体" w:hAnsi="宋体" w:eastAsia="宋体" w:cs="宋体"/>
                <w:color w:val="auto"/>
                <w:sz w:val="24"/>
                <w:highlight w:val="none"/>
              </w:rPr>
            </w:pPr>
          </w:p>
        </w:tc>
        <w:tc>
          <w:tcPr>
            <w:tcW w:w="3200" w:type="dxa"/>
            <w:vAlign w:val="center"/>
          </w:tcPr>
          <w:p>
            <w:pPr>
              <w:jc w:val="center"/>
              <w:rPr>
                <w:rFonts w:hint="eastAsia" w:ascii="宋体" w:hAnsi="宋体" w:eastAsia="宋体" w:cs="宋体"/>
                <w:color w:val="auto"/>
                <w:sz w:val="24"/>
                <w:highlight w:val="none"/>
              </w:rPr>
            </w:pPr>
          </w:p>
        </w:tc>
        <w:tc>
          <w:tcPr>
            <w:tcW w:w="916" w:type="dxa"/>
            <w:vAlign w:val="center"/>
          </w:tcPr>
          <w:p>
            <w:pPr>
              <w:jc w:val="center"/>
              <w:rPr>
                <w:rFonts w:hint="eastAsia" w:ascii="宋体" w:hAnsi="宋体" w:eastAsia="宋体" w:cs="宋体"/>
                <w:color w:val="auto"/>
                <w:sz w:val="24"/>
                <w:highlight w:val="none"/>
              </w:rPr>
            </w:pPr>
          </w:p>
        </w:tc>
        <w:tc>
          <w:tcPr>
            <w:tcW w:w="1219" w:type="dxa"/>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834"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13</w:t>
            </w:r>
          </w:p>
        </w:tc>
        <w:tc>
          <w:tcPr>
            <w:tcW w:w="3550" w:type="dxa"/>
            <w:vAlign w:val="center"/>
          </w:tcPr>
          <w:p>
            <w:pPr>
              <w:jc w:val="center"/>
              <w:rPr>
                <w:rFonts w:hint="eastAsia" w:ascii="宋体" w:hAnsi="宋体" w:eastAsia="宋体" w:cs="宋体"/>
                <w:color w:val="auto"/>
                <w:sz w:val="24"/>
                <w:highlight w:val="none"/>
              </w:rPr>
            </w:pPr>
          </w:p>
        </w:tc>
        <w:tc>
          <w:tcPr>
            <w:tcW w:w="3200" w:type="dxa"/>
            <w:vAlign w:val="center"/>
          </w:tcPr>
          <w:p>
            <w:pPr>
              <w:jc w:val="center"/>
              <w:rPr>
                <w:rFonts w:hint="eastAsia" w:ascii="宋体" w:hAnsi="宋体" w:eastAsia="宋体" w:cs="宋体"/>
                <w:color w:val="auto"/>
                <w:sz w:val="24"/>
                <w:highlight w:val="none"/>
              </w:rPr>
            </w:pPr>
          </w:p>
        </w:tc>
        <w:tc>
          <w:tcPr>
            <w:tcW w:w="916" w:type="dxa"/>
            <w:vAlign w:val="center"/>
          </w:tcPr>
          <w:p>
            <w:pPr>
              <w:jc w:val="center"/>
              <w:rPr>
                <w:rFonts w:hint="eastAsia" w:ascii="宋体" w:hAnsi="宋体" w:eastAsia="宋体" w:cs="宋体"/>
                <w:color w:val="auto"/>
                <w:sz w:val="24"/>
                <w:highlight w:val="none"/>
              </w:rPr>
            </w:pPr>
          </w:p>
        </w:tc>
        <w:tc>
          <w:tcPr>
            <w:tcW w:w="1219" w:type="dxa"/>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834" w:type="dxa"/>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p>
        </w:tc>
        <w:tc>
          <w:tcPr>
            <w:tcW w:w="3550" w:type="dxa"/>
            <w:vAlign w:val="center"/>
          </w:tcPr>
          <w:p>
            <w:pPr>
              <w:jc w:val="center"/>
              <w:rPr>
                <w:rFonts w:hint="eastAsia" w:ascii="宋体" w:hAnsi="宋体" w:eastAsia="宋体" w:cs="宋体"/>
                <w:color w:val="auto"/>
                <w:sz w:val="24"/>
                <w:highlight w:val="none"/>
              </w:rPr>
            </w:pPr>
          </w:p>
        </w:tc>
        <w:tc>
          <w:tcPr>
            <w:tcW w:w="3200" w:type="dxa"/>
            <w:vAlign w:val="center"/>
          </w:tcPr>
          <w:p>
            <w:pPr>
              <w:jc w:val="center"/>
              <w:rPr>
                <w:rFonts w:hint="eastAsia" w:ascii="宋体" w:hAnsi="宋体" w:eastAsia="宋体" w:cs="宋体"/>
                <w:color w:val="auto"/>
                <w:sz w:val="24"/>
                <w:highlight w:val="none"/>
              </w:rPr>
            </w:pPr>
          </w:p>
        </w:tc>
        <w:tc>
          <w:tcPr>
            <w:tcW w:w="916" w:type="dxa"/>
            <w:vAlign w:val="center"/>
          </w:tcPr>
          <w:p>
            <w:pPr>
              <w:jc w:val="center"/>
              <w:rPr>
                <w:rFonts w:hint="eastAsia" w:ascii="宋体" w:hAnsi="宋体" w:eastAsia="宋体" w:cs="宋体"/>
                <w:color w:val="auto"/>
                <w:sz w:val="24"/>
                <w:highlight w:val="none"/>
              </w:rPr>
            </w:pPr>
          </w:p>
        </w:tc>
        <w:tc>
          <w:tcPr>
            <w:tcW w:w="1219" w:type="dxa"/>
            <w:vAlign w:val="center"/>
          </w:tcPr>
          <w:p>
            <w:pPr>
              <w:jc w:val="center"/>
              <w:rPr>
                <w:rFonts w:hint="eastAsia" w:ascii="宋体" w:hAnsi="宋体" w:eastAsia="宋体" w:cs="宋体"/>
                <w:color w:val="auto"/>
                <w:sz w:val="24"/>
                <w:highlight w:val="none"/>
              </w:rPr>
            </w:pPr>
          </w:p>
        </w:tc>
      </w:tr>
    </w:tbl>
    <w:p>
      <w:pPr>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r>
        <w:rPr>
          <w:rFonts w:hint="eastAsia" w:ascii="宋体" w:hAnsi="宋体" w:eastAsia="宋体" w:cs="宋体"/>
          <w:color w:val="auto"/>
          <w:sz w:val="24"/>
          <w:highlight w:val="none"/>
        </w:rPr>
        <w:t>投标人名称（盖章）：                         年   月    日</w:t>
      </w:r>
    </w:p>
    <w:p>
      <w:pPr>
        <w:pStyle w:val="2"/>
        <w:keepNext w:val="0"/>
        <w:keepLines w:val="0"/>
        <w:pageBreakBefore/>
        <w:rPr>
          <w:rFonts w:hint="eastAsia" w:ascii="宋体" w:hAnsi="宋体" w:eastAsia="宋体" w:cs="宋体"/>
          <w:b w:val="0"/>
          <w:color w:val="auto"/>
          <w:sz w:val="24"/>
          <w:szCs w:val="24"/>
          <w:highlight w:val="none"/>
        </w:rPr>
      </w:pPr>
      <w:bookmarkStart w:id="81" w:name="_Toc2175"/>
      <w:r>
        <w:rPr>
          <w:rFonts w:hint="eastAsia" w:ascii="宋体" w:hAnsi="宋体" w:eastAsia="宋体" w:cs="宋体"/>
          <w:b w:val="0"/>
          <w:color w:val="auto"/>
          <w:sz w:val="24"/>
          <w:szCs w:val="24"/>
          <w:highlight w:val="none"/>
        </w:rPr>
        <w:t>附件</w:t>
      </w:r>
      <w:r>
        <w:rPr>
          <w:rFonts w:hint="eastAsia" w:ascii="宋体" w:hAnsi="宋体" w:eastAsia="宋体" w:cs="宋体"/>
          <w:b w:val="0"/>
          <w:color w:val="auto"/>
          <w:sz w:val="24"/>
          <w:szCs w:val="24"/>
          <w:highlight w:val="none"/>
          <w:lang w:val="en-US" w:eastAsia="zh-CN"/>
        </w:rPr>
        <w:t>八</w:t>
      </w:r>
      <w:r>
        <w:rPr>
          <w:rFonts w:hint="eastAsia" w:ascii="宋体" w:hAnsi="宋体" w:eastAsia="宋体" w:cs="宋体"/>
          <w:b w:val="0"/>
          <w:color w:val="auto"/>
          <w:sz w:val="24"/>
          <w:szCs w:val="24"/>
          <w:highlight w:val="none"/>
        </w:rPr>
        <w:t>：商务响应表</w:t>
      </w:r>
      <w:bookmarkEnd w:id="81"/>
    </w:p>
    <w:p>
      <w:pPr>
        <w:snapToGrid w:val="0"/>
        <w:spacing w:line="360" w:lineRule="auto"/>
        <w:jc w:val="center"/>
        <w:rPr>
          <w:rFonts w:hint="eastAsia" w:ascii="宋体" w:hAnsi="宋体" w:eastAsia="宋体" w:cs="宋体"/>
          <w:b/>
          <w:color w:val="auto"/>
          <w:kern w:val="0"/>
          <w:sz w:val="32"/>
          <w:szCs w:val="32"/>
          <w:highlight w:val="none"/>
        </w:rPr>
      </w:pPr>
      <w:bookmarkStart w:id="82" w:name="_Toc496598991"/>
      <w:r>
        <w:rPr>
          <w:rFonts w:hint="eastAsia" w:ascii="宋体" w:hAnsi="宋体" w:eastAsia="宋体" w:cs="宋体"/>
          <w:b/>
          <w:color w:val="auto"/>
          <w:kern w:val="0"/>
          <w:sz w:val="32"/>
          <w:szCs w:val="32"/>
          <w:highlight w:val="none"/>
        </w:rPr>
        <w:t>商务响应表</w:t>
      </w:r>
    </w:p>
    <w:p>
      <w:pPr>
        <w:snapToGrid w:val="0"/>
        <w:spacing w:before="50" w:after="120" w:afterLines="50"/>
        <w:jc w:val="left"/>
        <w:rPr>
          <w:rFonts w:hint="eastAsia" w:ascii="宋体" w:hAnsi="宋体" w:eastAsia="宋体" w:cs="宋体"/>
          <w:color w:val="auto"/>
          <w:sz w:val="24"/>
          <w:highlight w:val="none"/>
          <w:u w:val="single"/>
        </w:rPr>
      </w:pPr>
    </w:p>
    <w:tbl>
      <w:tblPr>
        <w:tblStyle w:val="22"/>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703"/>
        <w:gridCol w:w="2969"/>
        <w:gridCol w:w="1386"/>
        <w:gridCol w:w="3321"/>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项目</w:t>
            </w:r>
          </w:p>
        </w:tc>
        <w:tc>
          <w:tcPr>
            <w:tcW w:w="296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招标文件要求</w:t>
            </w:r>
          </w:p>
        </w:tc>
        <w:tc>
          <w:tcPr>
            <w:tcW w:w="1386"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响应及偏离情况</w:t>
            </w:r>
          </w:p>
        </w:tc>
        <w:tc>
          <w:tcPr>
            <w:tcW w:w="3321"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投标人的承诺或说明</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1"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hint="eastAsia" w:ascii="宋体" w:hAnsi="宋体" w:eastAsia="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bl>
    <w:p>
      <w:pPr>
        <w:snapToGrid w:val="0"/>
        <w:spacing w:before="120" w:beforeLines="50"/>
        <w:rPr>
          <w:rFonts w:hint="eastAsia" w:ascii="宋体" w:hAnsi="宋体" w:eastAsia="宋体" w:cs="宋体"/>
          <w:color w:val="auto"/>
          <w:sz w:val="24"/>
          <w:highlight w:val="none"/>
        </w:rPr>
      </w:pPr>
    </w:p>
    <w:p>
      <w:pPr>
        <w:snapToGrid w:val="0"/>
        <w:spacing w:before="50" w:after="50"/>
        <w:rPr>
          <w:rFonts w:hint="eastAsia" w:ascii="宋体" w:hAnsi="宋体" w:eastAsia="宋体" w:cs="宋体"/>
          <w:color w:val="auto"/>
          <w:spacing w:val="20"/>
          <w:sz w:val="24"/>
          <w:highlight w:val="none"/>
          <w:u w:val="single"/>
        </w:rPr>
      </w:pPr>
      <w:r>
        <w:rPr>
          <w:rFonts w:hint="eastAsia" w:ascii="宋体" w:hAnsi="宋体" w:eastAsia="宋体" w:cs="宋体"/>
          <w:color w:val="auto"/>
          <w:sz w:val="24"/>
          <w:highlight w:val="none"/>
        </w:rPr>
        <w:t>法定代表人或委托代理人签字</w:t>
      </w:r>
      <w:r>
        <w:rPr>
          <w:rFonts w:hint="eastAsia" w:ascii="宋体" w:hAnsi="宋体" w:eastAsia="宋体" w:cs="宋体"/>
          <w:color w:val="auto"/>
          <w:spacing w:val="20"/>
          <w:sz w:val="24"/>
          <w:highlight w:val="none"/>
        </w:rPr>
        <w:t>：</w:t>
      </w:r>
      <w:r>
        <w:rPr>
          <w:rFonts w:hint="eastAsia" w:ascii="宋体" w:hAnsi="宋体" w:eastAsia="宋体" w:cs="宋体"/>
          <w:color w:val="auto"/>
          <w:spacing w:val="20"/>
          <w:sz w:val="24"/>
          <w:highlight w:val="none"/>
          <w:u w:val="single"/>
        </w:rPr>
        <w:t xml:space="preserve">        </w:t>
      </w:r>
    </w:p>
    <w:p>
      <w:pPr>
        <w:snapToGrid w:val="0"/>
        <w:spacing w:before="120" w:beforeLines="50"/>
        <w:rPr>
          <w:rFonts w:hint="eastAsia" w:ascii="宋体" w:hAnsi="宋体" w:eastAsia="宋体" w:cs="宋体"/>
          <w:color w:val="auto"/>
          <w:sz w:val="24"/>
          <w:highlight w:val="none"/>
        </w:rPr>
      </w:pPr>
      <w:r>
        <w:rPr>
          <w:rFonts w:hint="eastAsia" w:ascii="宋体" w:hAnsi="宋体" w:eastAsia="宋体" w:cs="宋体"/>
          <w:color w:val="auto"/>
          <w:spacing w:val="20"/>
          <w:sz w:val="24"/>
          <w:highlight w:val="none"/>
        </w:rPr>
        <w:t>投标人盖章：</w:t>
      </w:r>
      <w:r>
        <w:rPr>
          <w:rFonts w:hint="eastAsia" w:ascii="宋体" w:hAnsi="宋体" w:eastAsia="宋体" w:cs="宋体"/>
          <w:color w:val="auto"/>
          <w:spacing w:val="20"/>
          <w:sz w:val="24"/>
          <w:highlight w:val="none"/>
          <w:u w:val="single"/>
        </w:rPr>
        <w:t xml:space="preserve">            </w:t>
      </w:r>
      <w:r>
        <w:rPr>
          <w:rFonts w:hint="eastAsia" w:ascii="宋体" w:hAnsi="宋体" w:eastAsia="宋体" w:cs="宋体"/>
          <w:color w:val="auto"/>
          <w:spacing w:val="20"/>
          <w:sz w:val="24"/>
          <w:highlight w:val="none"/>
        </w:rPr>
        <w:t xml:space="preserve">              日 期：</w:t>
      </w:r>
      <w:r>
        <w:rPr>
          <w:rFonts w:hint="eastAsia" w:ascii="宋体" w:hAnsi="宋体" w:eastAsia="宋体" w:cs="宋体"/>
          <w:color w:val="auto"/>
          <w:spacing w:val="20"/>
          <w:sz w:val="24"/>
          <w:highlight w:val="none"/>
          <w:u w:val="single"/>
        </w:rPr>
        <w:t xml:space="preserve">            </w:t>
      </w:r>
    </w:p>
    <w:p>
      <w:pPr>
        <w:rPr>
          <w:rFonts w:hint="eastAsia" w:ascii="宋体" w:hAnsi="宋体" w:eastAsia="宋体" w:cs="宋体"/>
          <w:color w:val="auto"/>
          <w:sz w:val="24"/>
          <w:highlight w:val="none"/>
        </w:rPr>
      </w:pPr>
    </w:p>
    <w:p>
      <w:pPr>
        <w:pStyle w:val="2"/>
        <w:keepNext w:val="0"/>
        <w:keepLines w:val="0"/>
        <w:pageBreakBefore/>
        <w:spacing w:line="415" w:lineRule="auto"/>
        <w:rPr>
          <w:rFonts w:hint="eastAsia" w:ascii="宋体" w:hAnsi="宋体" w:eastAsia="宋体" w:cs="宋体"/>
          <w:b w:val="0"/>
          <w:bCs w:val="0"/>
          <w:color w:val="auto"/>
          <w:sz w:val="24"/>
          <w:szCs w:val="24"/>
          <w:highlight w:val="none"/>
        </w:rPr>
      </w:pPr>
      <w:bookmarkStart w:id="83" w:name="_Toc7595"/>
      <w:r>
        <w:rPr>
          <w:rFonts w:hint="eastAsia" w:ascii="宋体" w:hAnsi="宋体" w:eastAsia="宋体" w:cs="宋体"/>
          <w:b w:val="0"/>
          <w:bCs w:val="0"/>
          <w:color w:val="auto"/>
          <w:sz w:val="24"/>
          <w:szCs w:val="24"/>
          <w:highlight w:val="none"/>
        </w:rPr>
        <w:t>附件</w:t>
      </w:r>
      <w:r>
        <w:rPr>
          <w:rFonts w:hint="eastAsia" w:ascii="宋体" w:hAnsi="宋体" w:eastAsia="宋体" w:cs="宋体"/>
          <w:b w:val="0"/>
          <w:bCs w:val="0"/>
          <w:color w:val="auto"/>
          <w:sz w:val="24"/>
          <w:szCs w:val="24"/>
          <w:highlight w:val="none"/>
          <w:lang w:val="en-US" w:eastAsia="zh-CN"/>
        </w:rPr>
        <w:t>九</w:t>
      </w:r>
      <w:r>
        <w:rPr>
          <w:rFonts w:hint="eastAsia" w:ascii="宋体" w:hAnsi="宋体" w:eastAsia="宋体" w:cs="宋体"/>
          <w:b w:val="0"/>
          <w:bCs w:val="0"/>
          <w:color w:val="auto"/>
          <w:sz w:val="24"/>
          <w:szCs w:val="24"/>
          <w:highlight w:val="none"/>
        </w:rPr>
        <w:t>：</w:t>
      </w:r>
      <w:bookmarkEnd w:id="82"/>
      <w:r>
        <w:rPr>
          <w:rFonts w:hint="eastAsia" w:ascii="宋体" w:hAnsi="宋体" w:eastAsia="宋体" w:cs="宋体"/>
          <w:b w:val="0"/>
          <w:bCs w:val="0"/>
          <w:color w:val="auto"/>
          <w:sz w:val="24"/>
          <w:szCs w:val="24"/>
          <w:highlight w:val="none"/>
        </w:rPr>
        <w:t>技术响应表</w:t>
      </w:r>
      <w:bookmarkEnd w:id="83"/>
    </w:p>
    <w:p>
      <w:pPr>
        <w:snapToGrid w:val="0"/>
        <w:spacing w:line="360" w:lineRule="auto"/>
        <w:jc w:val="center"/>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技术响应表</w:t>
      </w:r>
    </w:p>
    <w:p>
      <w:pPr>
        <w:snapToGrid w:val="0"/>
        <w:spacing w:before="50" w:after="120" w:afterLines="5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招标编号：</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9"/>
        <w:gridCol w:w="2004"/>
        <w:gridCol w:w="2113"/>
        <w:gridCol w:w="1750"/>
        <w:gridCol w:w="25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69" w:hRule="atLeast"/>
          <w:jc w:val="center"/>
        </w:trPr>
        <w:tc>
          <w:tcPr>
            <w:tcW w:w="94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序号</w:t>
            </w:r>
          </w:p>
        </w:tc>
        <w:tc>
          <w:tcPr>
            <w:tcW w:w="2004"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内  容</w:t>
            </w:r>
          </w:p>
        </w:tc>
        <w:tc>
          <w:tcPr>
            <w:tcW w:w="2113"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招标文件</w:t>
            </w:r>
          </w:p>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规范要求</w:t>
            </w:r>
          </w:p>
        </w:tc>
        <w:tc>
          <w:tcPr>
            <w:tcW w:w="175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投标文件</w:t>
            </w:r>
          </w:p>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对应规范</w:t>
            </w:r>
          </w:p>
        </w:tc>
        <w:tc>
          <w:tcPr>
            <w:tcW w:w="2514"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偏离情况</w:t>
            </w:r>
          </w:p>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（注明正偏离、负偏离或无偏离）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jc w:val="center"/>
              <w:rPr>
                <w:rFonts w:hint="eastAsia" w:ascii="宋体" w:hAnsi="宋体" w:eastAsia="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8"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hint="eastAsia" w:ascii="宋体" w:hAnsi="宋体" w:eastAsia="宋体" w:cs="宋体"/>
                <w:color w:val="auto"/>
                <w:sz w:val="24"/>
                <w:highlight w:val="none"/>
              </w:rPr>
            </w:pPr>
          </w:p>
        </w:tc>
      </w:tr>
    </w:tbl>
    <w:p>
      <w:pPr>
        <w:snapToGrid w:val="0"/>
        <w:spacing w:before="50" w:after="50"/>
        <w:rPr>
          <w:rFonts w:hint="eastAsia" w:ascii="宋体" w:hAnsi="宋体" w:eastAsia="宋体" w:cs="宋体"/>
          <w:b/>
          <w:bCs/>
          <w:color w:val="auto"/>
          <w:sz w:val="24"/>
          <w:highlight w:val="none"/>
        </w:rPr>
      </w:pPr>
    </w:p>
    <w:p>
      <w:pPr>
        <w:snapToGrid w:val="0"/>
        <w:spacing w:before="50" w:after="50"/>
        <w:rPr>
          <w:rFonts w:hint="eastAsia" w:ascii="宋体" w:hAnsi="宋体" w:eastAsia="宋体" w:cs="宋体"/>
          <w:b/>
          <w:bCs/>
          <w:color w:val="auto"/>
          <w:spacing w:val="20"/>
          <w:sz w:val="24"/>
          <w:highlight w:val="none"/>
        </w:rPr>
      </w:pPr>
      <w:r>
        <w:rPr>
          <w:rFonts w:hint="eastAsia" w:ascii="宋体" w:hAnsi="宋体" w:eastAsia="宋体" w:cs="宋体"/>
          <w:b/>
          <w:bCs/>
          <w:color w:val="auto"/>
          <w:sz w:val="24"/>
          <w:highlight w:val="none"/>
        </w:rPr>
        <w:t>注：投标人应根据投标货物的性能指标、对照招标文件要求在“偏离情况”栏注明“正偏离”、“负偏离”或“无偏离”。</w:t>
      </w:r>
    </w:p>
    <w:p>
      <w:pPr>
        <w:snapToGrid w:val="0"/>
        <w:spacing w:before="50" w:after="50"/>
        <w:rPr>
          <w:rFonts w:hint="eastAsia" w:ascii="宋体" w:hAnsi="宋体" w:eastAsia="宋体" w:cs="宋体"/>
          <w:color w:val="auto"/>
          <w:spacing w:val="20"/>
          <w:sz w:val="24"/>
          <w:highlight w:val="none"/>
        </w:rPr>
      </w:pPr>
    </w:p>
    <w:p>
      <w:pPr>
        <w:snapToGrid w:val="0"/>
        <w:spacing w:before="50" w:after="50"/>
        <w:rPr>
          <w:rFonts w:hint="eastAsia" w:ascii="宋体" w:hAnsi="宋体" w:eastAsia="宋体" w:cs="宋体"/>
          <w:color w:val="auto"/>
          <w:spacing w:val="20"/>
          <w:sz w:val="24"/>
          <w:highlight w:val="none"/>
          <w:u w:val="single"/>
        </w:rPr>
      </w:pPr>
      <w:r>
        <w:rPr>
          <w:rFonts w:hint="eastAsia" w:ascii="宋体" w:hAnsi="宋体" w:eastAsia="宋体" w:cs="宋体"/>
          <w:color w:val="auto"/>
          <w:sz w:val="24"/>
          <w:highlight w:val="none"/>
        </w:rPr>
        <w:t>法定代表人或委托代理人签字</w:t>
      </w:r>
      <w:r>
        <w:rPr>
          <w:rFonts w:hint="eastAsia" w:ascii="宋体" w:hAnsi="宋体" w:eastAsia="宋体" w:cs="宋体"/>
          <w:color w:val="auto"/>
          <w:spacing w:val="20"/>
          <w:sz w:val="24"/>
          <w:highlight w:val="none"/>
        </w:rPr>
        <w:t>：</w:t>
      </w:r>
      <w:r>
        <w:rPr>
          <w:rFonts w:hint="eastAsia" w:ascii="宋体" w:hAnsi="宋体" w:eastAsia="宋体" w:cs="宋体"/>
          <w:color w:val="auto"/>
          <w:spacing w:val="20"/>
          <w:sz w:val="24"/>
          <w:highlight w:val="none"/>
          <w:u w:val="single"/>
        </w:rPr>
        <w:t xml:space="preserve">        </w:t>
      </w:r>
    </w:p>
    <w:p>
      <w:pPr>
        <w:snapToGrid w:val="0"/>
        <w:spacing w:before="50" w:after="50"/>
        <w:rPr>
          <w:rFonts w:hint="eastAsia" w:ascii="宋体" w:hAnsi="宋体" w:eastAsia="宋体" w:cs="宋体"/>
          <w:color w:val="auto"/>
          <w:sz w:val="24"/>
          <w:highlight w:val="none"/>
        </w:rPr>
      </w:pPr>
      <w:r>
        <w:rPr>
          <w:rFonts w:hint="eastAsia" w:ascii="宋体" w:hAnsi="宋体" w:eastAsia="宋体" w:cs="宋体"/>
          <w:color w:val="auto"/>
          <w:spacing w:val="20"/>
          <w:sz w:val="24"/>
          <w:highlight w:val="none"/>
        </w:rPr>
        <w:t>投标人盖章：</w:t>
      </w:r>
      <w:r>
        <w:rPr>
          <w:rFonts w:hint="eastAsia" w:ascii="宋体" w:hAnsi="宋体" w:eastAsia="宋体" w:cs="宋体"/>
          <w:color w:val="auto"/>
          <w:spacing w:val="20"/>
          <w:sz w:val="24"/>
          <w:highlight w:val="none"/>
          <w:u w:val="single"/>
        </w:rPr>
        <w:t xml:space="preserve">            </w:t>
      </w:r>
      <w:r>
        <w:rPr>
          <w:rFonts w:hint="eastAsia" w:ascii="宋体" w:hAnsi="宋体" w:eastAsia="宋体" w:cs="宋体"/>
          <w:color w:val="auto"/>
          <w:spacing w:val="20"/>
          <w:sz w:val="24"/>
          <w:highlight w:val="none"/>
        </w:rPr>
        <w:t xml:space="preserve">              日 期：</w:t>
      </w:r>
      <w:r>
        <w:rPr>
          <w:rFonts w:hint="eastAsia" w:ascii="宋体" w:hAnsi="宋体" w:eastAsia="宋体" w:cs="宋体"/>
          <w:color w:val="auto"/>
          <w:spacing w:val="20"/>
          <w:sz w:val="24"/>
          <w:highlight w:val="none"/>
          <w:u w:val="single"/>
        </w:rPr>
        <w:t xml:space="preserve">            </w:t>
      </w:r>
    </w:p>
    <w:p>
      <w:pPr>
        <w:snapToGrid w:val="0"/>
        <w:spacing w:before="50" w:after="120" w:afterLines="50"/>
        <w:jc w:val="left"/>
        <w:rPr>
          <w:rFonts w:hint="eastAsia" w:ascii="宋体" w:hAnsi="宋体" w:eastAsia="宋体" w:cs="宋体"/>
          <w:color w:val="auto"/>
          <w:sz w:val="24"/>
          <w:highlight w:val="none"/>
        </w:rPr>
      </w:pPr>
    </w:p>
    <w:p>
      <w:pPr>
        <w:spacing w:before="260" w:after="260" w:line="415" w:lineRule="auto"/>
        <w:rPr>
          <w:rFonts w:hint="eastAsia" w:ascii="宋体" w:hAnsi="宋体" w:eastAsia="宋体" w:cs="宋体"/>
          <w:bCs/>
          <w:color w:val="auto"/>
          <w:sz w:val="24"/>
          <w:highlight w:val="none"/>
        </w:rPr>
      </w:pPr>
    </w:p>
    <w:p>
      <w:pPr>
        <w:spacing w:before="260" w:after="260" w:line="415" w:lineRule="auto"/>
        <w:rPr>
          <w:rFonts w:hint="eastAsia" w:ascii="宋体" w:hAnsi="宋体" w:eastAsia="宋体" w:cs="宋体"/>
          <w:bCs/>
          <w:color w:val="auto"/>
          <w:sz w:val="24"/>
          <w:highlight w:val="none"/>
        </w:rPr>
      </w:pPr>
    </w:p>
    <w:p>
      <w:pPr>
        <w:spacing w:before="260" w:after="260" w:line="415" w:lineRule="auto"/>
        <w:rPr>
          <w:rFonts w:hint="eastAsia" w:ascii="宋体" w:hAnsi="宋体" w:eastAsia="宋体" w:cs="宋体"/>
          <w:bCs/>
          <w:color w:val="auto"/>
          <w:sz w:val="24"/>
          <w:highlight w:val="none"/>
        </w:rPr>
      </w:pPr>
    </w:p>
    <w:p>
      <w:pPr>
        <w:pStyle w:val="2"/>
        <w:rPr>
          <w:rFonts w:hint="eastAsia" w:ascii="宋体" w:hAnsi="宋体" w:eastAsia="宋体"/>
          <w:b w:val="0"/>
          <w:bCs w:val="0"/>
          <w:color w:val="auto"/>
          <w:sz w:val="28"/>
          <w:szCs w:val="28"/>
          <w:highlight w:val="none"/>
        </w:rPr>
      </w:pPr>
      <w:bookmarkStart w:id="84" w:name="_Toc15716"/>
      <w:bookmarkStart w:id="85" w:name="_Toc14942615"/>
      <w:bookmarkStart w:id="86" w:name="_Toc13037828"/>
      <w:bookmarkStart w:id="87" w:name="_Toc14644"/>
      <w:bookmarkStart w:id="88" w:name="_Toc14790"/>
      <w:bookmarkStart w:id="89" w:name="_Toc2369"/>
      <w:bookmarkStart w:id="90" w:name="_Toc29497"/>
      <w:r>
        <w:rPr>
          <w:rFonts w:hint="eastAsia" w:ascii="宋体" w:hAnsi="宋体" w:eastAsia="宋体" w:cs="宋体"/>
          <w:b w:val="0"/>
          <w:bCs w:val="0"/>
          <w:color w:val="auto"/>
          <w:kern w:val="0"/>
          <w:sz w:val="24"/>
          <w:highlight w:val="none"/>
        </w:rPr>
        <w:t>附件</w:t>
      </w:r>
      <w:r>
        <w:rPr>
          <w:rFonts w:hint="eastAsia" w:ascii="宋体" w:hAnsi="宋体" w:eastAsia="宋体" w:cs="宋体"/>
          <w:b w:val="0"/>
          <w:bCs w:val="0"/>
          <w:color w:val="auto"/>
          <w:kern w:val="0"/>
          <w:sz w:val="24"/>
          <w:highlight w:val="none"/>
          <w:lang w:val="en-US" w:eastAsia="zh-CN"/>
        </w:rPr>
        <w:t>十</w:t>
      </w:r>
      <w:r>
        <w:rPr>
          <w:rFonts w:hint="eastAsia" w:ascii="宋体" w:hAnsi="宋体" w:eastAsia="宋体" w:cs="宋体"/>
          <w:b w:val="0"/>
          <w:bCs w:val="0"/>
          <w:color w:val="auto"/>
          <w:kern w:val="0"/>
          <w:sz w:val="24"/>
          <w:highlight w:val="none"/>
        </w:rPr>
        <w:t>：</w:t>
      </w:r>
      <w:bookmarkEnd w:id="84"/>
      <w:bookmarkEnd w:id="85"/>
      <w:bookmarkEnd w:id="86"/>
      <w:bookmarkEnd w:id="87"/>
      <w:r>
        <w:rPr>
          <w:rFonts w:hint="eastAsia" w:ascii="宋体" w:hAnsi="宋体" w:eastAsia="宋体"/>
          <w:b w:val="0"/>
          <w:bCs w:val="0"/>
          <w:color w:val="auto"/>
          <w:sz w:val="24"/>
          <w:highlight w:val="none"/>
        </w:rPr>
        <w:t>服务项目组成员及简介</w:t>
      </w:r>
      <w:bookmarkEnd w:id="88"/>
      <w:bookmarkEnd w:id="89"/>
    </w:p>
    <w:p>
      <w:pPr>
        <w:jc w:val="center"/>
        <w:rPr>
          <w:rFonts w:hint="eastAsia" w:ascii="宋体" w:hAnsi="宋体"/>
          <w:b/>
          <w:color w:val="auto"/>
          <w:sz w:val="28"/>
          <w:highlight w:val="none"/>
        </w:rPr>
      </w:pPr>
      <w:r>
        <w:rPr>
          <w:rFonts w:hint="eastAsia" w:ascii="宋体" w:hAnsi="宋体"/>
          <w:b/>
          <w:color w:val="auto"/>
          <w:sz w:val="28"/>
          <w:highlight w:val="none"/>
        </w:rPr>
        <w:t>服务项目组成员及简介</w:t>
      </w:r>
    </w:p>
    <w:p>
      <w:pPr>
        <w:rPr>
          <w:rFonts w:hint="eastAsia" w:ascii="宋体" w:hAnsi="宋体"/>
          <w:b/>
          <w:color w:val="auto"/>
          <w:sz w:val="24"/>
          <w:highlight w:val="none"/>
        </w:rPr>
      </w:pPr>
      <w:r>
        <w:rPr>
          <w:rFonts w:hint="eastAsia" w:ascii="宋体" w:hAnsi="宋体"/>
          <w:b/>
          <w:color w:val="auto"/>
          <w:sz w:val="24"/>
          <w:highlight w:val="none"/>
        </w:rPr>
        <w:t>项目名称：</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1"/>
        <w:gridCol w:w="1735"/>
        <w:gridCol w:w="608"/>
        <w:gridCol w:w="577"/>
        <w:gridCol w:w="965"/>
        <w:gridCol w:w="772"/>
        <w:gridCol w:w="1158"/>
        <w:gridCol w:w="1158"/>
        <w:gridCol w:w="1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1081" w:type="dxa"/>
            <w:tcBorders>
              <w:top w:val="single" w:color="auto" w:sz="12" w:space="0"/>
              <w:left w:val="single" w:color="auto" w:sz="12" w:space="0"/>
              <w:bottom w:val="single" w:color="auto" w:sz="12" w:space="0"/>
            </w:tcBorders>
            <w:noWrap w:val="0"/>
            <w:vAlign w:val="center"/>
          </w:tcPr>
          <w:p>
            <w:pPr>
              <w:rPr>
                <w:rFonts w:hint="eastAsia" w:ascii="宋体" w:hAnsi="宋体"/>
                <w:color w:val="auto"/>
                <w:sz w:val="24"/>
                <w:highlight w:val="none"/>
              </w:rPr>
            </w:pPr>
            <w:r>
              <w:rPr>
                <w:rFonts w:hint="eastAsia" w:ascii="宋体" w:hAnsi="宋体"/>
                <w:color w:val="auto"/>
                <w:sz w:val="24"/>
                <w:highlight w:val="none"/>
              </w:rPr>
              <w:t>姓  名</w:t>
            </w:r>
          </w:p>
        </w:tc>
        <w:tc>
          <w:tcPr>
            <w:tcW w:w="1735" w:type="dxa"/>
            <w:tcBorders>
              <w:top w:val="single" w:color="auto" w:sz="12" w:space="0"/>
              <w:bottom w:val="single" w:color="auto" w:sz="12" w:space="0"/>
            </w:tcBorders>
            <w:noWrap w:val="0"/>
            <w:vAlign w:val="center"/>
          </w:tcPr>
          <w:p>
            <w:pPr>
              <w:rPr>
                <w:rFonts w:hint="eastAsia" w:ascii="宋体" w:hAnsi="宋体"/>
                <w:color w:val="auto"/>
                <w:sz w:val="24"/>
                <w:highlight w:val="none"/>
              </w:rPr>
            </w:pPr>
            <w:r>
              <w:rPr>
                <w:rFonts w:hint="eastAsia" w:ascii="宋体" w:hAnsi="宋体"/>
                <w:color w:val="auto"/>
                <w:sz w:val="24"/>
                <w:highlight w:val="none"/>
              </w:rPr>
              <w:t>本项目拟</w:t>
            </w:r>
          </w:p>
          <w:p>
            <w:pPr>
              <w:rPr>
                <w:rFonts w:hint="eastAsia" w:ascii="宋体" w:hAnsi="宋体"/>
                <w:color w:val="auto"/>
                <w:sz w:val="24"/>
                <w:highlight w:val="none"/>
              </w:rPr>
            </w:pPr>
            <w:r>
              <w:rPr>
                <w:rFonts w:hint="eastAsia" w:ascii="宋体" w:hAnsi="宋体"/>
                <w:color w:val="auto"/>
                <w:sz w:val="24"/>
                <w:highlight w:val="none"/>
              </w:rPr>
              <w:t>任岗位</w:t>
            </w:r>
          </w:p>
        </w:tc>
        <w:tc>
          <w:tcPr>
            <w:tcW w:w="608" w:type="dxa"/>
            <w:tcBorders>
              <w:top w:val="single" w:color="auto" w:sz="12" w:space="0"/>
              <w:bottom w:val="single" w:color="auto" w:sz="12" w:space="0"/>
            </w:tcBorders>
            <w:noWrap w:val="0"/>
            <w:vAlign w:val="center"/>
          </w:tcPr>
          <w:p>
            <w:pPr>
              <w:rPr>
                <w:rFonts w:hint="eastAsia" w:ascii="宋体" w:hAnsi="宋体"/>
                <w:color w:val="auto"/>
                <w:sz w:val="24"/>
                <w:highlight w:val="none"/>
              </w:rPr>
            </w:pPr>
            <w:r>
              <w:rPr>
                <w:rFonts w:hint="eastAsia" w:ascii="宋体" w:hAnsi="宋体"/>
                <w:color w:val="auto"/>
                <w:sz w:val="24"/>
                <w:highlight w:val="none"/>
              </w:rPr>
              <w:t>年龄</w:t>
            </w:r>
          </w:p>
        </w:tc>
        <w:tc>
          <w:tcPr>
            <w:tcW w:w="577" w:type="dxa"/>
            <w:tcBorders>
              <w:top w:val="single" w:color="auto" w:sz="12" w:space="0"/>
              <w:bottom w:val="single" w:color="auto" w:sz="12" w:space="0"/>
            </w:tcBorders>
            <w:noWrap w:val="0"/>
            <w:vAlign w:val="center"/>
          </w:tcPr>
          <w:p>
            <w:pPr>
              <w:rPr>
                <w:rFonts w:hint="eastAsia" w:ascii="宋体" w:hAnsi="宋体"/>
                <w:color w:val="auto"/>
                <w:sz w:val="24"/>
                <w:highlight w:val="none"/>
              </w:rPr>
            </w:pPr>
            <w:r>
              <w:rPr>
                <w:rFonts w:hint="eastAsia" w:ascii="宋体" w:hAnsi="宋体"/>
                <w:color w:val="auto"/>
                <w:sz w:val="24"/>
                <w:highlight w:val="none"/>
              </w:rPr>
              <w:t>性别</w:t>
            </w:r>
          </w:p>
        </w:tc>
        <w:tc>
          <w:tcPr>
            <w:tcW w:w="965" w:type="dxa"/>
            <w:tcBorders>
              <w:top w:val="single" w:color="auto" w:sz="12" w:space="0"/>
              <w:bottom w:val="single" w:color="auto" w:sz="12" w:space="0"/>
            </w:tcBorders>
            <w:noWrap w:val="0"/>
            <w:vAlign w:val="center"/>
          </w:tcPr>
          <w:p>
            <w:pPr>
              <w:rPr>
                <w:rFonts w:hint="eastAsia" w:ascii="宋体" w:hAnsi="宋体"/>
                <w:color w:val="auto"/>
                <w:sz w:val="24"/>
                <w:highlight w:val="none"/>
              </w:rPr>
            </w:pPr>
            <w:r>
              <w:rPr>
                <w:rFonts w:hint="eastAsia" w:ascii="宋体" w:hAnsi="宋体"/>
                <w:color w:val="auto"/>
                <w:sz w:val="24"/>
                <w:highlight w:val="none"/>
              </w:rPr>
              <w:t>专 业</w:t>
            </w:r>
          </w:p>
        </w:tc>
        <w:tc>
          <w:tcPr>
            <w:tcW w:w="772" w:type="dxa"/>
            <w:tcBorders>
              <w:top w:val="single" w:color="auto" w:sz="12" w:space="0"/>
              <w:bottom w:val="single" w:color="auto" w:sz="12" w:space="0"/>
            </w:tcBorders>
            <w:noWrap w:val="0"/>
            <w:vAlign w:val="center"/>
          </w:tcPr>
          <w:p>
            <w:pPr>
              <w:rPr>
                <w:rFonts w:hint="eastAsia" w:ascii="宋体" w:hAnsi="宋体"/>
                <w:color w:val="auto"/>
                <w:sz w:val="24"/>
                <w:highlight w:val="none"/>
              </w:rPr>
            </w:pPr>
            <w:r>
              <w:rPr>
                <w:rFonts w:hint="eastAsia" w:ascii="宋体" w:hAnsi="宋体"/>
                <w:color w:val="auto"/>
                <w:sz w:val="24"/>
                <w:highlight w:val="none"/>
              </w:rPr>
              <w:t>专业年限</w:t>
            </w:r>
          </w:p>
        </w:tc>
        <w:tc>
          <w:tcPr>
            <w:tcW w:w="1158" w:type="dxa"/>
            <w:tcBorders>
              <w:top w:val="single" w:color="auto" w:sz="12" w:space="0"/>
              <w:bottom w:val="single" w:color="auto" w:sz="12" w:space="0"/>
            </w:tcBorders>
            <w:noWrap w:val="0"/>
            <w:vAlign w:val="center"/>
          </w:tcPr>
          <w:p>
            <w:pPr>
              <w:rPr>
                <w:rFonts w:hint="eastAsia" w:ascii="宋体" w:hAnsi="宋体"/>
                <w:color w:val="auto"/>
                <w:sz w:val="24"/>
                <w:highlight w:val="none"/>
              </w:rPr>
            </w:pPr>
            <w:r>
              <w:rPr>
                <w:rFonts w:hint="eastAsia" w:ascii="宋体" w:hAnsi="宋体"/>
                <w:color w:val="auto"/>
                <w:sz w:val="24"/>
                <w:highlight w:val="none"/>
              </w:rPr>
              <w:t>职称</w:t>
            </w:r>
          </w:p>
        </w:tc>
        <w:tc>
          <w:tcPr>
            <w:tcW w:w="1158" w:type="dxa"/>
            <w:tcBorders>
              <w:top w:val="single" w:color="auto" w:sz="12" w:space="0"/>
              <w:bottom w:val="single" w:color="auto" w:sz="12" w:space="0"/>
              <w:right w:val="single" w:color="auto" w:sz="4" w:space="0"/>
            </w:tcBorders>
            <w:noWrap w:val="0"/>
            <w:vAlign w:val="center"/>
          </w:tcPr>
          <w:p>
            <w:pPr>
              <w:rPr>
                <w:rFonts w:hint="eastAsia" w:ascii="宋体" w:hAnsi="宋体"/>
                <w:color w:val="auto"/>
                <w:sz w:val="24"/>
                <w:highlight w:val="none"/>
              </w:rPr>
            </w:pPr>
            <w:r>
              <w:rPr>
                <w:rFonts w:hint="eastAsia" w:ascii="宋体" w:hAnsi="宋体"/>
                <w:color w:val="auto"/>
                <w:sz w:val="24"/>
                <w:highlight w:val="none"/>
              </w:rPr>
              <w:t>安排上岗起止时间</w:t>
            </w:r>
          </w:p>
        </w:tc>
        <w:tc>
          <w:tcPr>
            <w:tcW w:w="1410" w:type="dxa"/>
            <w:tcBorders>
              <w:top w:val="single" w:color="auto" w:sz="12" w:space="0"/>
              <w:left w:val="single" w:color="auto" w:sz="4" w:space="0"/>
              <w:bottom w:val="single" w:color="auto" w:sz="12" w:space="0"/>
              <w:right w:val="single" w:color="auto" w:sz="12" w:space="0"/>
            </w:tcBorders>
            <w:noWrap w:val="0"/>
            <w:vAlign w:val="center"/>
          </w:tcPr>
          <w:p>
            <w:pPr>
              <w:rPr>
                <w:rFonts w:hint="eastAsia" w:ascii="宋体" w:hAnsi="宋体"/>
                <w:color w:val="auto"/>
                <w:sz w:val="24"/>
                <w:highlight w:val="none"/>
              </w:rPr>
            </w:pPr>
            <w:r>
              <w:rPr>
                <w:rFonts w:hint="eastAsia" w:ascii="宋体" w:hAnsi="宋体"/>
                <w:color w:val="auto"/>
                <w:sz w:val="24"/>
                <w:highlight w:val="none"/>
              </w:rPr>
              <w:t>承诺到位率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1081" w:type="dxa"/>
            <w:tcBorders>
              <w:top w:val="single" w:color="auto" w:sz="12" w:space="0"/>
              <w:left w:val="single" w:color="auto" w:sz="12" w:space="0"/>
            </w:tcBorders>
            <w:noWrap w:val="0"/>
            <w:vAlign w:val="center"/>
          </w:tcPr>
          <w:p>
            <w:pPr>
              <w:rPr>
                <w:rFonts w:hint="eastAsia" w:ascii="宋体" w:hAnsi="宋体"/>
                <w:color w:val="auto"/>
                <w:sz w:val="24"/>
                <w:highlight w:val="none"/>
              </w:rPr>
            </w:pPr>
          </w:p>
        </w:tc>
        <w:tc>
          <w:tcPr>
            <w:tcW w:w="1735" w:type="dxa"/>
            <w:tcBorders>
              <w:top w:val="single" w:color="auto" w:sz="12" w:space="0"/>
            </w:tcBorders>
            <w:noWrap w:val="0"/>
            <w:vAlign w:val="center"/>
          </w:tcPr>
          <w:p>
            <w:pPr>
              <w:rPr>
                <w:rFonts w:hint="eastAsia" w:ascii="宋体" w:hAnsi="宋体"/>
                <w:color w:val="auto"/>
                <w:sz w:val="24"/>
                <w:highlight w:val="none"/>
              </w:rPr>
            </w:pPr>
          </w:p>
        </w:tc>
        <w:tc>
          <w:tcPr>
            <w:tcW w:w="608" w:type="dxa"/>
            <w:tcBorders>
              <w:top w:val="single" w:color="auto" w:sz="12" w:space="0"/>
            </w:tcBorders>
            <w:noWrap w:val="0"/>
            <w:vAlign w:val="center"/>
          </w:tcPr>
          <w:p>
            <w:pPr>
              <w:rPr>
                <w:rFonts w:hint="eastAsia" w:ascii="宋体" w:hAnsi="宋体"/>
                <w:color w:val="auto"/>
                <w:sz w:val="24"/>
                <w:highlight w:val="none"/>
              </w:rPr>
            </w:pPr>
          </w:p>
        </w:tc>
        <w:tc>
          <w:tcPr>
            <w:tcW w:w="577" w:type="dxa"/>
            <w:tcBorders>
              <w:top w:val="single" w:color="auto" w:sz="12" w:space="0"/>
            </w:tcBorders>
            <w:noWrap w:val="0"/>
            <w:vAlign w:val="center"/>
          </w:tcPr>
          <w:p>
            <w:pPr>
              <w:rPr>
                <w:rFonts w:hint="eastAsia" w:ascii="宋体" w:hAnsi="宋体"/>
                <w:color w:val="auto"/>
                <w:sz w:val="24"/>
                <w:highlight w:val="none"/>
              </w:rPr>
            </w:pPr>
          </w:p>
        </w:tc>
        <w:tc>
          <w:tcPr>
            <w:tcW w:w="965" w:type="dxa"/>
            <w:tcBorders>
              <w:top w:val="single" w:color="auto" w:sz="12" w:space="0"/>
            </w:tcBorders>
            <w:noWrap w:val="0"/>
            <w:vAlign w:val="center"/>
          </w:tcPr>
          <w:p>
            <w:pPr>
              <w:rPr>
                <w:rFonts w:hint="eastAsia" w:ascii="宋体" w:hAnsi="宋体"/>
                <w:color w:val="auto"/>
                <w:sz w:val="24"/>
                <w:highlight w:val="none"/>
              </w:rPr>
            </w:pPr>
          </w:p>
        </w:tc>
        <w:tc>
          <w:tcPr>
            <w:tcW w:w="772" w:type="dxa"/>
            <w:tcBorders>
              <w:top w:val="single" w:color="auto" w:sz="12" w:space="0"/>
            </w:tcBorders>
            <w:noWrap w:val="0"/>
            <w:vAlign w:val="center"/>
          </w:tcPr>
          <w:p>
            <w:pPr>
              <w:rPr>
                <w:rFonts w:hint="eastAsia" w:ascii="宋体" w:hAnsi="宋体"/>
                <w:color w:val="auto"/>
                <w:sz w:val="24"/>
                <w:highlight w:val="none"/>
              </w:rPr>
            </w:pPr>
          </w:p>
        </w:tc>
        <w:tc>
          <w:tcPr>
            <w:tcW w:w="1158" w:type="dxa"/>
            <w:tcBorders>
              <w:top w:val="single" w:color="auto" w:sz="12" w:space="0"/>
            </w:tcBorders>
            <w:noWrap w:val="0"/>
            <w:vAlign w:val="center"/>
          </w:tcPr>
          <w:p>
            <w:pPr>
              <w:rPr>
                <w:rFonts w:hint="eastAsia" w:ascii="宋体" w:hAnsi="宋体"/>
                <w:color w:val="auto"/>
                <w:sz w:val="24"/>
                <w:highlight w:val="none"/>
              </w:rPr>
            </w:pPr>
          </w:p>
        </w:tc>
        <w:tc>
          <w:tcPr>
            <w:tcW w:w="1158" w:type="dxa"/>
            <w:tcBorders>
              <w:top w:val="single" w:color="auto" w:sz="12" w:space="0"/>
              <w:right w:val="single" w:color="auto" w:sz="4" w:space="0"/>
            </w:tcBorders>
            <w:noWrap w:val="0"/>
            <w:vAlign w:val="center"/>
          </w:tcPr>
          <w:p>
            <w:pPr>
              <w:rPr>
                <w:rFonts w:hint="eastAsia" w:ascii="宋体" w:hAnsi="宋体"/>
                <w:color w:val="auto"/>
                <w:sz w:val="24"/>
                <w:highlight w:val="none"/>
              </w:rPr>
            </w:pPr>
          </w:p>
        </w:tc>
        <w:tc>
          <w:tcPr>
            <w:tcW w:w="1410" w:type="dxa"/>
            <w:tcBorders>
              <w:top w:val="single" w:color="auto" w:sz="12" w:space="0"/>
              <w:left w:val="single" w:color="auto" w:sz="4" w:space="0"/>
              <w:right w:val="single" w:color="auto" w:sz="12" w:space="0"/>
            </w:tcBorders>
            <w:noWrap w:val="0"/>
            <w:vAlign w:val="center"/>
          </w:tcPr>
          <w:p>
            <w:pPr>
              <w:rPr>
                <w:rFonts w:hint="eastAsia" w:ascii="宋体" w:hAnsi="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1081" w:type="dxa"/>
            <w:tcBorders>
              <w:left w:val="single" w:color="auto" w:sz="12" w:space="0"/>
            </w:tcBorders>
            <w:noWrap w:val="0"/>
            <w:vAlign w:val="center"/>
          </w:tcPr>
          <w:p>
            <w:pPr>
              <w:rPr>
                <w:rFonts w:hint="eastAsia" w:ascii="宋体" w:hAnsi="宋体"/>
                <w:color w:val="auto"/>
                <w:sz w:val="24"/>
                <w:highlight w:val="none"/>
              </w:rPr>
            </w:pPr>
          </w:p>
        </w:tc>
        <w:tc>
          <w:tcPr>
            <w:tcW w:w="1735" w:type="dxa"/>
            <w:noWrap w:val="0"/>
            <w:vAlign w:val="center"/>
          </w:tcPr>
          <w:p>
            <w:pPr>
              <w:rPr>
                <w:rFonts w:hint="eastAsia" w:ascii="宋体" w:hAnsi="宋体"/>
                <w:color w:val="auto"/>
                <w:sz w:val="24"/>
                <w:highlight w:val="none"/>
              </w:rPr>
            </w:pPr>
          </w:p>
        </w:tc>
        <w:tc>
          <w:tcPr>
            <w:tcW w:w="608" w:type="dxa"/>
            <w:noWrap w:val="0"/>
            <w:vAlign w:val="center"/>
          </w:tcPr>
          <w:p>
            <w:pPr>
              <w:rPr>
                <w:rFonts w:hint="eastAsia" w:ascii="宋体" w:hAnsi="宋体"/>
                <w:color w:val="auto"/>
                <w:sz w:val="24"/>
                <w:highlight w:val="none"/>
              </w:rPr>
            </w:pPr>
          </w:p>
        </w:tc>
        <w:tc>
          <w:tcPr>
            <w:tcW w:w="577" w:type="dxa"/>
            <w:noWrap w:val="0"/>
            <w:vAlign w:val="center"/>
          </w:tcPr>
          <w:p>
            <w:pPr>
              <w:rPr>
                <w:rFonts w:hint="eastAsia" w:ascii="宋体" w:hAnsi="宋体"/>
                <w:color w:val="auto"/>
                <w:sz w:val="24"/>
                <w:highlight w:val="none"/>
              </w:rPr>
            </w:pPr>
          </w:p>
        </w:tc>
        <w:tc>
          <w:tcPr>
            <w:tcW w:w="965" w:type="dxa"/>
            <w:noWrap w:val="0"/>
            <w:vAlign w:val="center"/>
          </w:tcPr>
          <w:p>
            <w:pPr>
              <w:rPr>
                <w:rFonts w:hint="eastAsia" w:ascii="宋体" w:hAnsi="宋体"/>
                <w:color w:val="auto"/>
                <w:sz w:val="24"/>
                <w:highlight w:val="none"/>
              </w:rPr>
            </w:pPr>
          </w:p>
        </w:tc>
        <w:tc>
          <w:tcPr>
            <w:tcW w:w="772" w:type="dxa"/>
            <w:noWrap w:val="0"/>
            <w:vAlign w:val="center"/>
          </w:tcPr>
          <w:p>
            <w:pPr>
              <w:rPr>
                <w:rFonts w:hint="eastAsia" w:ascii="宋体" w:hAnsi="宋体"/>
                <w:color w:val="auto"/>
                <w:sz w:val="24"/>
                <w:highlight w:val="none"/>
              </w:rPr>
            </w:pPr>
          </w:p>
        </w:tc>
        <w:tc>
          <w:tcPr>
            <w:tcW w:w="1158" w:type="dxa"/>
            <w:noWrap w:val="0"/>
            <w:vAlign w:val="center"/>
          </w:tcPr>
          <w:p>
            <w:pPr>
              <w:rPr>
                <w:rFonts w:hint="eastAsia" w:ascii="宋体" w:hAnsi="宋体"/>
                <w:color w:val="auto"/>
                <w:sz w:val="24"/>
                <w:highlight w:val="none"/>
              </w:rPr>
            </w:pPr>
          </w:p>
        </w:tc>
        <w:tc>
          <w:tcPr>
            <w:tcW w:w="1158" w:type="dxa"/>
            <w:tcBorders>
              <w:right w:val="single" w:color="auto" w:sz="4" w:space="0"/>
            </w:tcBorders>
            <w:noWrap w:val="0"/>
            <w:vAlign w:val="center"/>
          </w:tcPr>
          <w:p>
            <w:pPr>
              <w:rPr>
                <w:rFonts w:hint="eastAsia" w:ascii="宋体" w:hAnsi="宋体"/>
                <w:color w:val="auto"/>
                <w:sz w:val="24"/>
                <w:highlight w:val="none"/>
              </w:rPr>
            </w:pPr>
          </w:p>
        </w:tc>
        <w:tc>
          <w:tcPr>
            <w:tcW w:w="1410" w:type="dxa"/>
            <w:tcBorders>
              <w:left w:val="single" w:color="auto" w:sz="4" w:space="0"/>
              <w:right w:val="single" w:color="auto" w:sz="12" w:space="0"/>
            </w:tcBorders>
            <w:noWrap w:val="0"/>
            <w:vAlign w:val="center"/>
          </w:tcPr>
          <w:p>
            <w:pPr>
              <w:rPr>
                <w:rFonts w:hint="eastAsia" w:ascii="宋体" w:hAnsi="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1081" w:type="dxa"/>
            <w:tcBorders>
              <w:left w:val="single" w:color="auto" w:sz="12" w:space="0"/>
            </w:tcBorders>
            <w:noWrap w:val="0"/>
            <w:vAlign w:val="center"/>
          </w:tcPr>
          <w:p>
            <w:pPr>
              <w:rPr>
                <w:rFonts w:hint="eastAsia" w:ascii="宋体" w:hAnsi="宋体"/>
                <w:color w:val="auto"/>
                <w:sz w:val="24"/>
                <w:highlight w:val="none"/>
              </w:rPr>
            </w:pPr>
          </w:p>
        </w:tc>
        <w:tc>
          <w:tcPr>
            <w:tcW w:w="1735" w:type="dxa"/>
            <w:noWrap w:val="0"/>
            <w:vAlign w:val="center"/>
          </w:tcPr>
          <w:p>
            <w:pPr>
              <w:rPr>
                <w:rFonts w:hint="eastAsia" w:ascii="宋体" w:hAnsi="宋体"/>
                <w:color w:val="auto"/>
                <w:sz w:val="24"/>
                <w:highlight w:val="none"/>
              </w:rPr>
            </w:pPr>
          </w:p>
        </w:tc>
        <w:tc>
          <w:tcPr>
            <w:tcW w:w="608" w:type="dxa"/>
            <w:noWrap w:val="0"/>
            <w:vAlign w:val="center"/>
          </w:tcPr>
          <w:p>
            <w:pPr>
              <w:rPr>
                <w:rFonts w:hint="eastAsia" w:ascii="宋体" w:hAnsi="宋体"/>
                <w:color w:val="auto"/>
                <w:sz w:val="24"/>
                <w:highlight w:val="none"/>
              </w:rPr>
            </w:pPr>
          </w:p>
        </w:tc>
        <w:tc>
          <w:tcPr>
            <w:tcW w:w="577" w:type="dxa"/>
            <w:noWrap w:val="0"/>
            <w:vAlign w:val="center"/>
          </w:tcPr>
          <w:p>
            <w:pPr>
              <w:rPr>
                <w:rFonts w:hint="eastAsia" w:ascii="宋体" w:hAnsi="宋体"/>
                <w:color w:val="auto"/>
                <w:sz w:val="24"/>
                <w:highlight w:val="none"/>
              </w:rPr>
            </w:pPr>
          </w:p>
        </w:tc>
        <w:tc>
          <w:tcPr>
            <w:tcW w:w="965" w:type="dxa"/>
            <w:noWrap w:val="0"/>
            <w:vAlign w:val="center"/>
          </w:tcPr>
          <w:p>
            <w:pPr>
              <w:rPr>
                <w:rFonts w:hint="eastAsia" w:ascii="宋体" w:hAnsi="宋体"/>
                <w:color w:val="auto"/>
                <w:sz w:val="24"/>
                <w:highlight w:val="none"/>
              </w:rPr>
            </w:pPr>
          </w:p>
        </w:tc>
        <w:tc>
          <w:tcPr>
            <w:tcW w:w="772" w:type="dxa"/>
            <w:noWrap w:val="0"/>
            <w:vAlign w:val="center"/>
          </w:tcPr>
          <w:p>
            <w:pPr>
              <w:rPr>
                <w:rFonts w:hint="eastAsia" w:ascii="宋体" w:hAnsi="宋体"/>
                <w:color w:val="auto"/>
                <w:sz w:val="24"/>
                <w:highlight w:val="none"/>
              </w:rPr>
            </w:pPr>
          </w:p>
        </w:tc>
        <w:tc>
          <w:tcPr>
            <w:tcW w:w="1158" w:type="dxa"/>
            <w:noWrap w:val="0"/>
            <w:vAlign w:val="center"/>
          </w:tcPr>
          <w:p>
            <w:pPr>
              <w:rPr>
                <w:rFonts w:hint="eastAsia" w:ascii="宋体" w:hAnsi="宋体"/>
                <w:color w:val="auto"/>
                <w:sz w:val="24"/>
                <w:highlight w:val="none"/>
              </w:rPr>
            </w:pPr>
          </w:p>
        </w:tc>
        <w:tc>
          <w:tcPr>
            <w:tcW w:w="1158" w:type="dxa"/>
            <w:tcBorders>
              <w:right w:val="single" w:color="auto" w:sz="4" w:space="0"/>
            </w:tcBorders>
            <w:noWrap w:val="0"/>
            <w:vAlign w:val="center"/>
          </w:tcPr>
          <w:p>
            <w:pPr>
              <w:rPr>
                <w:rFonts w:hint="eastAsia" w:ascii="宋体" w:hAnsi="宋体"/>
                <w:color w:val="auto"/>
                <w:sz w:val="24"/>
                <w:highlight w:val="none"/>
              </w:rPr>
            </w:pPr>
          </w:p>
        </w:tc>
        <w:tc>
          <w:tcPr>
            <w:tcW w:w="1410" w:type="dxa"/>
            <w:tcBorders>
              <w:left w:val="single" w:color="auto" w:sz="4" w:space="0"/>
              <w:right w:val="single" w:color="auto" w:sz="12" w:space="0"/>
            </w:tcBorders>
            <w:noWrap w:val="0"/>
            <w:vAlign w:val="center"/>
          </w:tcPr>
          <w:p>
            <w:pPr>
              <w:rPr>
                <w:rFonts w:hint="eastAsia" w:ascii="宋体" w:hAnsi="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1081" w:type="dxa"/>
            <w:tcBorders>
              <w:left w:val="single" w:color="auto" w:sz="12" w:space="0"/>
            </w:tcBorders>
            <w:noWrap w:val="0"/>
            <w:vAlign w:val="center"/>
          </w:tcPr>
          <w:p>
            <w:pPr>
              <w:rPr>
                <w:rFonts w:hint="eastAsia" w:ascii="宋体" w:hAnsi="宋体"/>
                <w:color w:val="auto"/>
                <w:sz w:val="24"/>
                <w:highlight w:val="none"/>
              </w:rPr>
            </w:pPr>
          </w:p>
        </w:tc>
        <w:tc>
          <w:tcPr>
            <w:tcW w:w="1735" w:type="dxa"/>
            <w:noWrap w:val="0"/>
            <w:vAlign w:val="center"/>
          </w:tcPr>
          <w:p>
            <w:pPr>
              <w:rPr>
                <w:rFonts w:hint="eastAsia" w:ascii="宋体" w:hAnsi="宋体"/>
                <w:color w:val="auto"/>
                <w:sz w:val="24"/>
                <w:highlight w:val="none"/>
              </w:rPr>
            </w:pPr>
          </w:p>
        </w:tc>
        <w:tc>
          <w:tcPr>
            <w:tcW w:w="608" w:type="dxa"/>
            <w:noWrap w:val="0"/>
            <w:vAlign w:val="center"/>
          </w:tcPr>
          <w:p>
            <w:pPr>
              <w:rPr>
                <w:rFonts w:hint="eastAsia" w:ascii="宋体" w:hAnsi="宋体"/>
                <w:color w:val="auto"/>
                <w:sz w:val="24"/>
                <w:highlight w:val="none"/>
              </w:rPr>
            </w:pPr>
          </w:p>
        </w:tc>
        <w:tc>
          <w:tcPr>
            <w:tcW w:w="577" w:type="dxa"/>
            <w:noWrap w:val="0"/>
            <w:vAlign w:val="center"/>
          </w:tcPr>
          <w:p>
            <w:pPr>
              <w:rPr>
                <w:rFonts w:hint="eastAsia" w:ascii="宋体" w:hAnsi="宋体"/>
                <w:color w:val="auto"/>
                <w:sz w:val="24"/>
                <w:highlight w:val="none"/>
              </w:rPr>
            </w:pPr>
          </w:p>
        </w:tc>
        <w:tc>
          <w:tcPr>
            <w:tcW w:w="965" w:type="dxa"/>
            <w:noWrap w:val="0"/>
            <w:vAlign w:val="center"/>
          </w:tcPr>
          <w:p>
            <w:pPr>
              <w:rPr>
                <w:rFonts w:hint="eastAsia" w:ascii="宋体" w:hAnsi="宋体"/>
                <w:color w:val="auto"/>
                <w:sz w:val="24"/>
                <w:highlight w:val="none"/>
              </w:rPr>
            </w:pPr>
          </w:p>
        </w:tc>
        <w:tc>
          <w:tcPr>
            <w:tcW w:w="772" w:type="dxa"/>
            <w:noWrap w:val="0"/>
            <w:vAlign w:val="center"/>
          </w:tcPr>
          <w:p>
            <w:pPr>
              <w:rPr>
                <w:rFonts w:hint="eastAsia" w:ascii="宋体" w:hAnsi="宋体"/>
                <w:color w:val="auto"/>
                <w:sz w:val="24"/>
                <w:highlight w:val="none"/>
              </w:rPr>
            </w:pPr>
          </w:p>
        </w:tc>
        <w:tc>
          <w:tcPr>
            <w:tcW w:w="1158" w:type="dxa"/>
            <w:noWrap w:val="0"/>
            <w:vAlign w:val="center"/>
          </w:tcPr>
          <w:p>
            <w:pPr>
              <w:rPr>
                <w:rFonts w:hint="eastAsia" w:ascii="宋体" w:hAnsi="宋体"/>
                <w:color w:val="auto"/>
                <w:sz w:val="24"/>
                <w:highlight w:val="none"/>
              </w:rPr>
            </w:pPr>
          </w:p>
        </w:tc>
        <w:tc>
          <w:tcPr>
            <w:tcW w:w="1158" w:type="dxa"/>
            <w:tcBorders>
              <w:right w:val="single" w:color="auto" w:sz="4" w:space="0"/>
            </w:tcBorders>
            <w:noWrap w:val="0"/>
            <w:vAlign w:val="center"/>
          </w:tcPr>
          <w:p>
            <w:pPr>
              <w:rPr>
                <w:rFonts w:hint="eastAsia" w:ascii="宋体" w:hAnsi="宋体"/>
                <w:color w:val="auto"/>
                <w:sz w:val="24"/>
                <w:highlight w:val="none"/>
              </w:rPr>
            </w:pPr>
          </w:p>
        </w:tc>
        <w:tc>
          <w:tcPr>
            <w:tcW w:w="1410" w:type="dxa"/>
            <w:tcBorders>
              <w:left w:val="single" w:color="auto" w:sz="4" w:space="0"/>
              <w:right w:val="single" w:color="auto" w:sz="12" w:space="0"/>
            </w:tcBorders>
            <w:noWrap w:val="0"/>
            <w:vAlign w:val="center"/>
          </w:tcPr>
          <w:p>
            <w:pPr>
              <w:rPr>
                <w:rFonts w:hint="eastAsia" w:ascii="宋体" w:hAnsi="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1081" w:type="dxa"/>
            <w:tcBorders>
              <w:left w:val="single" w:color="auto" w:sz="12" w:space="0"/>
            </w:tcBorders>
            <w:noWrap w:val="0"/>
            <w:vAlign w:val="center"/>
          </w:tcPr>
          <w:p>
            <w:pPr>
              <w:rPr>
                <w:rFonts w:hint="eastAsia" w:ascii="宋体" w:hAnsi="宋体"/>
                <w:color w:val="auto"/>
                <w:sz w:val="24"/>
                <w:highlight w:val="none"/>
              </w:rPr>
            </w:pPr>
          </w:p>
        </w:tc>
        <w:tc>
          <w:tcPr>
            <w:tcW w:w="1735" w:type="dxa"/>
            <w:noWrap w:val="0"/>
            <w:vAlign w:val="center"/>
          </w:tcPr>
          <w:p>
            <w:pPr>
              <w:rPr>
                <w:rFonts w:hint="eastAsia" w:ascii="宋体" w:hAnsi="宋体"/>
                <w:color w:val="auto"/>
                <w:sz w:val="24"/>
                <w:highlight w:val="none"/>
              </w:rPr>
            </w:pPr>
          </w:p>
        </w:tc>
        <w:tc>
          <w:tcPr>
            <w:tcW w:w="608" w:type="dxa"/>
            <w:noWrap w:val="0"/>
            <w:vAlign w:val="center"/>
          </w:tcPr>
          <w:p>
            <w:pPr>
              <w:rPr>
                <w:rFonts w:hint="eastAsia" w:ascii="宋体" w:hAnsi="宋体"/>
                <w:color w:val="auto"/>
                <w:sz w:val="24"/>
                <w:highlight w:val="none"/>
              </w:rPr>
            </w:pPr>
          </w:p>
        </w:tc>
        <w:tc>
          <w:tcPr>
            <w:tcW w:w="577" w:type="dxa"/>
            <w:noWrap w:val="0"/>
            <w:vAlign w:val="center"/>
          </w:tcPr>
          <w:p>
            <w:pPr>
              <w:rPr>
                <w:rFonts w:hint="eastAsia" w:ascii="宋体" w:hAnsi="宋体"/>
                <w:color w:val="auto"/>
                <w:sz w:val="24"/>
                <w:highlight w:val="none"/>
              </w:rPr>
            </w:pPr>
          </w:p>
        </w:tc>
        <w:tc>
          <w:tcPr>
            <w:tcW w:w="965" w:type="dxa"/>
            <w:noWrap w:val="0"/>
            <w:vAlign w:val="center"/>
          </w:tcPr>
          <w:p>
            <w:pPr>
              <w:rPr>
                <w:rFonts w:hint="eastAsia" w:ascii="宋体" w:hAnsi="宋体"/>
                <w:color w:val="auto"/>
                <w:sz w:val="24"/>
                <w:highlight w:val="none"/>
              </w:rPr>
            </w:pPr>
          </w:p>
        </w:tc>
        <w:tc>
          <w:tcPr>
            <w:tcW w:w="772" w:type="dxa"/>
            <w:noWrap w:val="0"/>
            <w:vAlign w:val="center"/>
          </w:tcPr>
          <w:p>
            <w:pPr>
              <w:rPr>
                <w:rFonts w:hint="eastAsia" w:ascii="宋体" w:hAnsi="宋体"/>
                <w:color w:val="auto"/>
                <w:sz w:val="24"/>
                <w:highlight w:val="none"/>
              </w:rPr>
            </w:pPr>
          </w:p>
        </w:tc>
        <w:tc>
          <w:tcPr>
            <w:tcW w:w="1158" w:type="dxa"/>
            <w:noWrap w:val="0"/>
            <w:vAlign w:val="center"/>
          </w:tcPr>
          <w:p>
            <w:pPr>
              <w:rPr>
                <w:rFonts w:hint="eastAsia" w:ascii="宋体" w:hAnsi="宋体"/>
                <w:color w:val="auto"/>
                <w:sz w:val="24"/>
                <w:highlight w:val="none"/>
              </w:rPr>
            </w:pPr>
          </w:p>
        </w:tc>
        <w:tc>
          <w:tcPr>
            <w:tcW w:w="1158" w:type="dxa"/>
            <w:tcBorders>
              <w:right w:val="single" w:color="auto" w:sz="4" w:space="0"/>
            </w:tcBorders>
            <w:noWrap w:val="0"/>
            <w:vAlign w:val="center"/>
          </w:tcPr>
          <w:p>
            <w:pPr>
              <w:rPr>
                <w:rFonts w:hint="eastAsia" w:ascii="宋体" w:hAnsi="宋体"/>
                <w:color w:val="auto"/>
                <w:sz w:val="24"/>
                <w:highlight w:val="none"/>
              </w:rPr>
            </w:pPr>
          </w:p>
        </w:tc>
        <w:tc>
          <w:tcPr>
            <w:tcW w:w="1410" w:type="dxa"/>
            <w:tcBorders>
              <w:left w:val="single" w:color="auto" w:sz="4" w:space="0"/>
              <w:right w:val="single" w:color="auto" w:sz="12" w:space="0"/>
            </w:tcBorders>
            <w:noWrap w:val="0"/>
            <w:vAlign w:val="center"/>
          </w:tcPr>
          <w:p>
            <w:pPr>
              <w:rPr>
                <w:rFonts w:hint="eastAsia" w:ascii="宋体" w:hAnsi="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1081" w:type="dxa"/>
            <w:tcBorders>
              <w:left w:val="single" w:color="auto" w:sz="12" w:space="0"/>
            </w:tcBorders>
            <w:noWrap w:val="0"/>
            <w:vAlign w:val="center"/>
          </w:tcPr>
          <w:p>
            <w:pPr>
              <w:rPr>
                <w:rFonts w:hint="eastAsia" w:ascii="宋体" w:hAnsi="宋体"/>
                <w:color w:val="auto"/>
                <w:sz w:val="24"/>
                <w:highlight w:val="none"/>
              </w:rPr>
            </w:pPr>
          </w:p>
        </w:tc>
        <w:tc>
          <w:tcPr>
            <w:tcW w:w="1735" w:type="dxa"/>
            <w:noWrap w:val="0"/>
            <w:vAlign w:val="center"/>
          </w:tcPr>
          <w:p>
            <w:pPr>
              <w:rPr>
                <w:rFonts w:hint="eastAsia" w:ascii="宋体" w:hAnsi="宋体"/>
                <w:color w:val="auto"/>
                <w:sz w:val="24"/>
                <w:highlight w:val="none"/>
              </w:rPr>
            </w:pPr>
          </w:p>
        </w:tc>
        <w:tc>
          <w:tcPr>
            <w:tcW w:w="608" w:type="dxa"/>
            <w:noWrap w:val="0"/>
            <w:vAlign w:val="center"/>
          </w:tcPr>
          <w:p>
            <w:pPr>
              <w:rPr>
                <w:rFonts w:hint="eastAsia" w:ascii="宋体" w:hAnsi="宋体"/>
                <w:color w:val="auto"/>
                <w:sz w:val="24"/>
                <w:highlight w:val="none"/>
              </w:rPr>
            </w:pPr>
          </w:p>
        </w:tc>
        <w:tc>
          <w:tcPr>
            <w:tcW w:w="577" w:type="dxa"/>
            <w:noWrap w:val="0"/>
            <w:vAlign w:val="center"/>
          </w:tcPr>
          <w:p>
            <w:pPr>
              <w:rPr>
                <w:rFonts w:hint="eastAsia" w:ascii="宋体" w:hAnsi="宋体"/>
                <w:color w:val="auto"/>
                <w:sz w:val="24"/>
                <w:highlight w:val="none"/>
              </w:rPr>
            </w:pPr>
          </w:p>
        </w:tc>
        <w:tc>
          <w:tcPr>
            <w:tcW w:w="965" w:type="dxa"/>
            <w:noWrap w:val="0"/>
            <w:vAlign w:val="center"/>
          </w:tcPr>
          <w:p>
            <w:pPr>
              <w:rPr>
                <w:rFonts w:hint="eastAsia" w:ascii="宋体" w:hAnsi="宋体"/>
                <w:color w:val="auto"/>
                <w:sz w:val="24"/>
                <w:highlight w:val="none"/>
              </w:rPr>
            </w:pPr>
          </w:p>
        </w:tc>
        <w:tc>
          <w:tcPr>
            <w:tcW w:w="772" w:type="dxa"/>
            <w:noWrap w:val="0"/>
            <w:vAlign w:val="center"/>
          </w:tcPr>
          <w:p>
            <w:pPr>
              <w:rPr>
                <w:rFonts w:hint="eastAsia" w:ascii="宋体" w:hAnsi="宋体"/>
                <w:color w:val="auto"/>
                <w:sz w:val="24"/>
                <w:highlight w:val="none"/>
              </w:rPr>
            </w:pPr>
          </w:p>
        </w:tc>
        <w:tc>
          <w:tcPr>
            <w:tcW w:w="1158" w:type="dxa"/>
            <w:noWrap w:val="0"/>
            <w:vAlign w:val="center"/>
          </w:tcPr>
          <w:p>
            <w:pPr>
              <w:rPr>
                <w:rFonts w:hint="eastAsia" w:ascii="宋体" w:hAnsi="宋体"/>
                <w:color w:val="auto"/>
                <w:sz w:val="24"/>
                <w:highlight w:val="none"/>
              </w:rPr>
            </w:pPr>
          </w:p>
        </w:tc>
        <w:tc>
          <w:tcPr>
            <w:tcW w:w="1158" w:type="dxa"/>
            <w:tcBorders>
              <w:right w:val="single" w:color="auto" w:sz="4" w:space="0"/>
            </w:tcBorders>
            <w:noWrap w:val="0"/>
            <w:vAlign w:val="center"/>
          </w:tcPr>
          <w:p>
            <w:pPr>
              <w:rPr>
                <w:rFonts w:hint="eastAsia" w:ascii="宋体" w:hAnsi="宋体"/>
                <w:color w:val="auto"/>
                <w:sz w:val="24"/>
                <w:highlight w:val="none"/>
              </w:rPr>
            </w:pPr>
          </w:p>
        </w:tc>
        <w:tc>
          <w:tcPr>
            <w:tcW w:w="1410" w:type="dxa"/>
            <w:tcBorders>
              <w:left w:val="single" w:color="auto" w:sz="4" w:space="0"/>
              <w:right w:val="single" w:color="auto" w:sz="12" w:space="0"/>
            </w:tcBorders>
            <w:noWrap w:val="0"/>
            <w:vAlign w:val="center"/>
          </w:tcPr>
          <w:p>
            <w:pPr>
              <w:rPr>
                <w:rFonts w:hint="eastAsia" w:ascii="宋体" w:hAnsi="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1081" w:type="dxa"/>
            <w:tcBorders>
              <w:left w:val="single" w:color="auto" w:sz="12" w:space="0"/>
            </w:tcBorders>
            <w:noWrap w:val="0"/>
            <w:vAlign w:val="center"/>
          </w:tcPr>
          <w:p>
            <w:pPr>
              <w:rPr>
                <w:rFonts w:hint="eastAsia" w:ascii="宋体" w:hAnsi="宋体"/>
                <w:color w:val="auto"/>
                <w:sz w:val="24"/>
                <w:highlight w:val="none"/>
              </w:rPr>
            </w:pPr>
          </w:p>
        </w:tc>
        <w:tc>
          <w:tcPr>
            <w:tcW w:w="1735" w:type="dxa"/>
            <w:noWrap w:val="0"/>
            <w:vAlign w:val="center"/>
          </w:tcPr>
          <w:p>
            <w:pPr>
              <w:rPr>
                <w:rFonts w:hint="eastAsia" w:ascii="宋体" w:hAnsi="宋体"/>
                <w:color w:val="auto"/>
                <w:sz w:val="24"/>
                <w:highlight w:val="none"/>
              </w:rPr>
            </w:pPr>
          </w:p>
        </w:tc>
        <w:tc>
          <w:tcPr>
            <w:tcW w:w="608" w:type="dxa"/>
            <w:noWrap w:val="0"/>
            <w:vAlign w:val="center"/>
          </w:tcPr>
          <w:p>
            <w:pPr>
              <w:rPr>
                <w:rFonts w:hint="eastAsia" w:ascii="宋体" w:hAnsi="宋体"/>
                <w:color w:val="auto"/>
                <w:sz w:val="24"/>
                <w:highlight w:val="none"/>
              </w:rPr>
            </w:pPr>
          </w:p>
        </w:tc>
        <w:tc>
          <w:tcPr>
            <w:tcW w:w="577" w:type="dxa"/>
            <w:noWrap w:val="0"/>
            <w:vAlign w:val="center"/>
          </w:tcPr>
          <w:p>
            <w:pPr>
              <w:rPr>
                <w:rFonts w:hint="eastAsia" w:ascii="宋体" w:hAnsi="宋体"/>
                <w:color w:val="auto"/>
                <w:sz w:val="24"/>
                <w:highlight w:val="none"/>
              </w:rPr>
            </w:pPr>
          </w:p>
        </w:tc>
        <w:tc>
          <w:tcPr>
            <w:tcW w:w="965" w:type="dxa"/>
            <w:noWrap w:val="0"/>
            <w:vAlign w:val="center"/>
          </w:tcPr>
          <w:p>
            <w:pPr>
              <w:rPr>
                <w:rFonts w:hint="eastAsia" w:ascii="宋体" w:hAnsi="宋体"/>
                <w:color w:val="auto"/>
                <w:sz w:val="24"/>
                <w:highlight w:val="none"/>
              </w:rPr>
            </w:pPr>
          </w:p>
        </w:tc>
        <w:tc>
          <w:tcPr>
            <w:tcW w:w="772" w:type="dxa"/>
            <w:noWrap w:val="0"/>
            <w:vAlign w:val="center"/>
          </w:tcPr>
          <w:p>
            <w:pPr>
              <w:rPr>
                <w:rFonts w:hint="eastAsia" w:ascii="宋体" w:hAnsi="宋体"/>
                <w:color w:val="auto"/>
                <w:sz w:val="24"/>
                <w:highlight w:val="none"/>
              </w:rPr>
            </w:pPr>
          </w:p>
        </w:tc>
        <w:tc>
          <w:tcPr>
            <w:tcW w:w="1158" w:type="dxa"/>
            <w:noWrap w:val="0"/>
            <w:vAlign w:val="center"/>
          </w:tcPr>
          <w:p>
            <w:pPr>
              <w:rPr>
                <w:rFonts w:hint="eastAsia" w:ascii="宋体" w:hAnsi="宋体"/>
                <w:color w:val="auto"/>
                <w:sz w:val="24"/>
                <w:highlight w:val="none"/>
              </w:rPr>
            </w:pPr>
          </w:p>
        </w:tc>
        <w:tc>
          <w:tcPr>
            <w:tcW w:w="1158" w:type="dxa"/>
            <w:tcBorders>
              <w:right w:val="single" w:color="auto" w:sz="4" w:space="0"/>
            </w:tcBorders>
            <w:noWrap w:val="0"/>
            <w:vAlign w:val="center"/>
          </w:tcPr>
          <w:p>
            <w:pPr>
              <w:rPr>
                <w:rFonts w:hint="eastAsia" w:ascii="宋体" w:hAnsi="宋体"/>
                <w:color w:val="auto"/>
                <w:sz w:val="24"/>
                <w:highlight w:val="none"/>
              </w:rPr>
            </w:pPr>
          </w:p>
        </w:tc>
        <w:tc>
          <w:tcPr>
            <w:tcW w:w="1410" w:type="dxa"/>
            <w:tcBorders>
              <w:left w:val="single" w:color="auto" w:sz="4" w:space="0"/>
              <w:right w:val="single" w:color="auto" w:sz="12" w:space="0"/>
            </w:tcBorders>
            <w:noWrap w:val="0"/>
            <w:vAlign w:val="center"/>
          </w:tcPr>
          <w:p>
            <w:pPr>
              <w:rPr>
                <w:rFonts w:hint="eastAsia" w:ascii="宋体" w:hAnsi="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1081" w:type="dxa"/>
            <w:tcBorders>
              <w:left w:val="single" w:color="auto" w:sz="12" w:space="0"/>
            </w:tcBorders>
            <w:noWrap w:val="0"/>
            <w:vAlign w:val="center"/>
          </w:tcPr>
          <w:p>
            <w:pPr>
              <w:rPr>
                <w:rFonts w:hint="eastAsia" w:ascii="宋体" w:hAnsi="宋体"/>
                <w:color w:val="auto"/>
                <w:sz w:val="24"/>
                <w:highlight w:val="none"/>
              </w:rPr>
            </w:pPr>
          </w:p>
        </w:tc>
        <w:tc>
          <w:tcPr>
            <w:tcW w:w="1735" w:type="dxa"/>
            <w:noWrap w:val="0"/>
            <w:vAlign w:val="center"/>
          </w:tcPr>
          <w:p>
            <w:pPr>
              <w:rPr>
                <w:rFonts w:hint="eastAsia" w:ascii="宋体" w:hAnsi="宋体"/>
                <w:color w:val="auto"/>
                <w:sz w:val="24"/>
                <w:highlight w:val="none"/>
              </w:rPr>
            </w:pPr>
          </w:p>
        </w:tc>
        <w:tc>
          <w:tcPr>
            <w:tcW w:w="608" w:type="dxa"/>
            <w:noWrap w:val="0"/>
            <w:vAlign w:val="center"/>
          </w:tcPr>
          <w:p>
            <w:pPr>
              <w:rPr>
                <w:rFonts w:hint="eastAsia" w:ascii="宋体" w:hAnsi="宋体"/>
                <w:color w:val="auto"/>
                <w:sz w:val="24"/>
                <w:highlight w:val="none"/>
              </w:rPr>
            </w:pPr>
          </w:p>
        </w:tc>
        <w:tc>
          <w:tcPr>
            <w:tcW w:w="577" w:type="dxa"/>
            <w:noWrap w:val="0"/>
            <w:vAlign w:val="center"/>
          </w:tcPr>
          <w:p>
            <w:pPr>
              <w:rPr>
                <w:rFonts w:hint="eastAsia" w:ascii="宋体" w:hAnsi="宋体"/>
                <w:color w:val="auto"/>
                <w:sz w:val="24"/>
                <w:highlight w:val="none"/>
              </w:rPr>
            </w:pPr>
          </w:p>
        </w:tc>
        <w:tc>
          <w:tcPr>
            <w:tcW w:w="965" w:type="dxa"/>
            <w:noWrap w:val="0"/>
            <w:vAlign w:val="center"/>
          </w:tcPr>
          <w:p>
            <w:pPr>
              <w:rPr>
                <w:rFonts w:hint="eastAsia" w:ascii="宋体" w:hAnsi="宋体"/>
                <w:color w:val="auto"/>
                <w:sz w:val="24"/>
                <w:highlight w:val="none"/>
              </w:rPr>
            </w:pPr>
          </w:p>
        </w:tc>
        <w:tc>
          <w:tcPr>
            <w:tcW w:w="772" w:type="dxa"/>
            <w:noWrap w:val="0"/>
            <w:vAlign w:val="center"/>
          </w:tcPr>
          <w:p>
            <w:pPr>
              <w:rPr>
                <w:rFonts w:hint="eastAsia" w:ascii="宋体" w:hAnsi="宋体"/>
                <w:color w:val="auto"/>
                <w:sz w:val="24"/>
                <w:highlight w:val="none"/>
              </w:rPr>
            </w:pPr>
          </w:p>
        </w:tc>
        <w:tc>
          <w:tcPr>
            <w:tcW w:w="1158" w:type="dxa"/>
            <w:noWrap w:val="0"/>
            <w:vAlign w:val="center"/>
          </w:tcPr>
          <w:p>
            <w:pPr>
              <w:rPr>
                <w:rFonts w:hint="eastAsia" w:ascii="宋体" w:hAnsi="宋体"/>
                <w:color w:val="auto"/>
                <w:sz w:val="24"/>
                <w:highlight w:val="none"/>
              </w:rPr>
            </w:pPr>
          </w:p>
        </w:tc>
        <w:tc>
          <w:tcPr>
            <w:tcW w:w="1158" w:type="dxa"/>
            <w:tcBorders>
              <w:right w:val="single" w:color="auto" w:sz="4" w:space="0"/>
            </w:tcBorders>
            <w:noWrap w:val="0"/>
            <w:vAlign w:val="center"/>
          </w:tcPr>
          <w:p>
            <w:pPr>
              <w:rPr>
                <w:rFonts w:hint="eastAsia" w:ascii="宋体" w:hAnsi="宋体"/>
                <w:color w:val="auto"/>
                <w:sz w:val="24"/>
                <w:highlight w:val="none"/>
              </w:rPr>
            </w:pPr>
          </w:p>
        </w:tc>
        <w:tc>
          <w:tcPr>
            <w:tcW w:w="1410" w:type="dxa"/>
            <w:tcBorders>
              <w:left w:val="single" w:color="auto" w:sz="4" w:space="0"/>
              <w:right w:val="single" w:color="auto" w:sz="12" w:space="0"/>
            </w:tcBorders>
            <w:noWrap w:val="0"/>
            <w:vAlign w:val="center"/>
          </w:tcPr>
          <w:p>
            <w:pPr>
              <w:rPr>
                <w:rFonts w:hint="eastAsia" w:ascii="宋体" w:hAnsi="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1081" w:type="dxa"/>
            <w:tcBorders>
              <w:left w:val="single" w:color="auto" w:sz="12" w:space="0"/>
            </w:tcBorders>
            <w:noWrap w:val="0"/>
            <w:vAlign w:val="center"/>
          </w:tcPr>
          <w:p>
            <w:pPr>
              <w:rPr>
                <w:rFonts w:hint="eastAsia" w:ascii="宋体" w:hAnsi="宋体"/>
                <w:color w:val="auto"/>
                <w:sz w:val="24"/>
                <w:highlight w:val="none"/>
              </w:rPr>
            </w:pPr>
          </w:p>
        </w:tc>
        <w:tc>
          <w:tcPr>
            <w:tcW w:w="1735" w:type="dxa"/>
            <w:noWrap w:val="0"/>
            <w:vAlign w:val="center"/>
          </w:tcPr>
          <w:p>
            <w:pPr>
              <w:rPr>
                <w:rFonts w:hint="eastAsia" w:ascii="宋体" w:hAnsi="宋体"/>
                <w:color w:val="auto"/>
                <w:sz w:val="24"/>
                <w:highlight w:val="none"/>
              </w:rPr>
            </w:pPr>
          </w:p>
        </w:tc>
        <w:tc>
          <w:tcPr>
            <w:tcW w:w="608" w:type="dxa"/>
            <w:noWrap w:val="0"/>
            <w:vAlign w:val="center"/>
          </w:tcPr>
          <w:p>
            <w:pPr>
              <w:rPr>
                <w:rFonts w:hint="eastAsia" w:ascii="宋体" w:hAnsi="宋体"/>
                <w:color w:val="auto"/>
                <w:sz w:val="24"/>
                <w:highlight w:val="none"/>
              </w:rPr>
            </w:pPr>
          </w:p>
        </w:tc>
        <w:tc>
          <w:tcPr>
            <w:tcW w:w="577" w:type="dxa"/>
            <w:noWrap w:val="0"/>
            <w:vAlign w:val="center"/>
          </w:tcPr>
          <w:p>
            <w:pPr>
              <w:rPr>
                <w:rFonts w:hint="eastAsia" w:ascii="宋体" w:hAnsi="宋体"/>
                <w:color w:val="auto"/>
                <w:sz w:val="24"/>
                <w:highlight w:val="none"/>
              </w:rPr>
            </w:pPr>
          </w:p>
        </w:tc>
        <w:tc>
          <w:tcPr>
            <w:tcW w:w="965" w:type="dxa"/>
            <w:noWrap w:val="0"/>
            <w:vAlign w:val="center"/>
          </w:tcPr>
          <w:p>
            <w:pPr>
              <w:rPr>
                <w:rFonts w:hint="eastAsia" w:ascii="宋体" w:hAnsi="宋体"/>
                <w:color w:val="auto"/>
                <w:sz w:val="24"/>
                <w:highlight w:val="none"/>
              </w:rPr>
            </w:pPr>
          </w:p>
        </w:tc>
        <w:tc>
          <w:tcPr>
            <w:tcW w:w="772" w:type="dxa"/>
            <w:noWrap w:val="0"/>
            <w:vAlign w:val="center"/>
          </w:tcPr>
          <w:p>
            <w:pPr>
              <w:rPr>
                <w:rFonts w:hint="eastAsia" w:ascii="宋体" w:hAnsi="宋体"/>
                <w:color w:val="auto"/>
                <w:sz w:val="24"/>
                <w:highlight w:val="none"/>
              </w:rPr>
            </w:pPr>
          </w:p>
        </w:tc>
        <w:tc>
          <w:tcPr>
            <w:tcW w:w="1158" w:type="dxa"/>
            <w:noWrap w:val="0"/>
            <w:vAlign w:val="center"/>
          </w:tcPr>
          <w:p>
            <w:pPr>
              <w:rPr>
                <w:rFonts w:hint="eastAsia" w:ascii="宋体" w:hAnsi="宋体"/>
                <w:color w:val="auto"/>
                <w:sz w:val="24"/>
                <w:highlight w:val="none"/>
              </w:rPr>
            </w:pPr>
          </w:p>
        </w:tc>
        <w:tc>
          <w:tcPr>
            <w:tcW w:w="1158" w:type="dxa"/>
            <w:tcBorders>
              <w:right w:val="single" w:color="auto" w:sz="4" w:space="0"/>
            </w:tcBorders>
            <w:noWrap w:val="0"/>
            <w:vAlign w:val="center"/>
          </w:tcPr>
          <w:p>
            <w:pPr>
              <w:rPr>
                <w:rFonts w:hint="eastAsia" w:ascii="宋体" w:hAnsi="宋体"/>
                <w:color w:val="auto"/>
                <w:sz w:val="24"/>
                <w:highlight w:val="none"/>
              </w:rPr>
            </w:pPr>
          </w:p>
        </w:tc>
        <w:tc>
          <w:tcPr>
            <w:tcW w:w="1410" w:type="dxa"/>
            <w:tcBorders>
              <w:left w:val="single" w:color="auto" w:sz="4" w:space="0"/>
              <w:right w:val="single" w:color="auto" w:sz="12" w:space="0"/>
            </w:tcBorders>
            <w:noWrap w:val="0"/>
            <w:vAlign w:val="center"/>
          </w:tcPr>
          <w:p>
            <w:pPr>
              <w:rPr>
                <w:rFonts w:hint="eastAsia" w:ascii="宋体" w:hAnsi="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1081" w:type="dxa"/>
            <w:tcBorders>
              <w:left w:val="single" w:color="auto" w:sz="12" w:space="0"/>
            </w:tcBorders>
            <w:noWrap w:val="0"/>
            <w:vAlign w:val="center"/>
          </w:tcPr>
          <w:p>
            <w:pPr>
              <w:rPr>
                <w:rFonts w:hint="eastAsia" w:ascii="宋体" w:hAnsi="宋体"/>
                <w:color w:val="auto"/>
                <w:sz w:val="24"/>
                <w:highlight w:val="none"/>
              </w:rPr>
            </w:pPr>
          </w:p>
        </w:tc>
        <w:tc>
          <w:tcPr>
            <w:tcW w:w="1735" w:type="dxa"/>
            <w:noWrap w:val="0"/>
            <w:vAlign w:val="center"/>
          </w:tcPr>
          <w:p>
            <w:pPr>
              <w:rPr>
                <w:rFonts w:hint="eastAsia" w:ascii="宋体" w:hAnsi="宋体"/>
                <w:color w:val="auto"/>
                <w:sz w:val="24"/>
                <w:highlight w:val="none"/>
              </w:rPr>
            </w:pPr>
          </w:p>
        </w:tc>
        <w:tc>
          <w:tcPr>
            <w:tcW w:w="608" w:type="dxa"/>
            <w:noWrap w:val="0"/>
            <w:vAlign w:val="center"/>
          </w:tcPr>
          <w:p>
            <w:pPr>
              <w:rPr>
                <w:rFonts w:hint="eastAsia" w:ascii="宋体" w:hAnsi="宋体"/>
                <w:color w:val="auto"/>
                <w:sz w:val="24"/>
                <w:highlight w:val="none"/>
              </w:rPr>
            </w:pPr>
          </w:p>
        </w:tc>
        <w:tc>
          <w:tcPr>
            <w:tcW w:w="577" w:type="dxa"/>
            <w:noWrap w:val="0"/>
            <w:vAlign w:val="center"/>
          </w:tcPr>
          <w:p>
            <w:pPr>
              <w:rPr>
                <w:rFonts w:hint="eastAsia" w:ascii="宋体" w:hAnsi="宋体"/>
                <w:color w:val="auto"/>
                <w:sz w:val="24"/>
                <w:highlight w:val="none"/>
              </w:rPr>
            </w:pPr>
          </w:p>
        </w:tc>
        <w:tc>
          <w:tcPr>
            <w:tcW w:w="965" w:type="dxa"/>
            <w:noWrap w:val="0"/>
            <w:vAlign w:val="center"/>
          </w:tcPr>
          <w:p>
            <w:pPr>
              <w:rPr>
                <w:rFonts w:hint="eastAsia" w:ascii="宋体" w:hAnsi="宋体"/>
                <w:color w:val="auto"/>
                <w:sz w:val="24"/>
                <w:highlight w:val="none"/>
              </w:rPr>
            </w:pPr>
          </w:p>
        </w:tc>
        <w:tc>
          <w:tcPr>
            <w:tcW w:w="772" w:type="dxa"/>
            <w:noWrap w:val="0"/>
            <w:vAlign w:val="center"/>
          </w:tcPr>
          <w:p>
            <w:pPr>
              <w:rPr>
                <w:rFonts w:hint="eastAsia" w:ascii="宋体" w:hAnsi="宋体"/>
                <w:color w:val="auto"/>
                <w:sz w:val="24"/>
                <w:highlight w:val="none"/>
              </w:rPr>
            </w:pPr>
          </w:p>
        </w:tc>
        <w:tc>
          <w:tcPr>
            <w:tcW w:w="1158" w:type="dxa"/>
            <w:noWrap w:val="0"/>
            <w:vAlign w:val="center"/>
          </w:tcPr>
          <w:p>
            <w:pPr>
              <w:rPr>
                <w:rFonts w:hint="eastAsia" w:ascii="宋体" w:hAnsi="宋体"/>
                <w:color w:val="auto"/>
                <w:sz w:val="24"/>
                <w:highlight w:val="none"/>
              </w:rPr>
            </w:pPr>
          </w:p>
        </w:tc>
        <w:tc>
          <w:tcPr>
            <w:tcW w:w="1158" w:type="dxa"/>
            <w:tcBorders>
              <w:right w:val="single" w:color="auto" w:sz="4" w:space="0"/>
            </w:tcBorders>
            <w:noWrap w:val="0"/>
            <w:vAlign w:val="center"/>
          </w:tcPr>
          <w:p>
            <w:pPr>
              <w:rPr>
                <w:rFonts w:hint="eastAsia" w:ascii="宋体" w:hAnsi="宋体"/>
                <w:color w:val="auto"/>
                <w:sz w:val="24"/>
                <w:highlight w:val="none"/>
              </w:rPr>
            </w:pPr>
          </w:p>
        </w:tc>
        <w:tc>
          <w:tcPr>
            <w:tcW w:w="1410" w:type="dxa"/>
            <w:tcBorders>
              <w:left w:val="single" w:color="auto" w:sz="4" w:space="0"/>
              <w:right w:val="single" w:color="auto" w:sz="12" w:space="0"/>
            </w:tcBorders>
            <w:noWrap w:val="0"/>
            <w:vAlign w:val="center"/>
          </w:tcPr>
          <w:p>
            <w:pPr>
              <w:rPr>
                <w:rFonts w:hint="eastAsia" w:ascii="宋体" w:hAnsi="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1081" w:type="dxa"/>
            <w:tcBorders>
              <w:left w:val="single" w:color="auto" w:sz="12" w:space="0"/>
            </w:tcBorders>
            <w:noWrap w:val="0"/>
            <w:vAlign w:val="center"/>
          </w:tcPr>
          <w:p>
            <w:pPr>
              <w:rPr>
                <w:rFonts w:hint="eastAsia" w:ascii="宋体" w:hAnsi="宋体"/>
                <w:color w:val="auto"/>
                <w:sz w:val="24"/>
                <w:highlight w:val="none"/>
              </w:rPr>
            </w:pPr>
          </w:p>
        </w:tc>
        <w:tc>
          <w:tcPr>
            <w:tcW w:w="1735" w:type="dxa"/>
            <w:noWrap w:val="0"/>
            <w:vAlign w:val="center"/>
          </w:tcPr>
          <w:p>
            <w:pPr>
              <w:rPr>
                <w:rFonts w:hint="eastAsia" w:ascii="宋体" w:hAnsi="宋体"/>
                <w:color w:val="auto"/>
                <w:sz w:val="24"/>
                <w:highlight w:val="none"/>
              </w:rPr>
            </w:pPr>
          </w:p>
        </w:tc>
        <w:tc>
          <w:tcPr>
            <w:tcW w:w="608" w:type="dxa"/>
            <w:noWrap w:val="0"/>
            <w:vAlign w:val="center"/>
          </w:tcPr>
          <w:p>
            <w:pPr>
              <w:rPr>
                <w:rFonts w:hint="eastAsia" w:ascii="宋体" w:hAnsi="宋体"/>
                <w:color w:val="auto"/>
                <w:sz w:val="24"/>
                <w:highlight w:val="none"/>
              </w:rPr>
            </w:pPr>
          </w:p>
        </w:tc>
        <w:tc>
          <w:tcPr>
            <w:tcW w:w="577" w:type="dxa"/>
            <w:noWrap w:val="0"/>
            <w:vAlign w:val="center"/>
          </w:tcPr>
          <w:p>
            <w:pPr>
              <w:rPr>
                <w:rFonts w:hint="eastAsia" w:ascii="宋体" w:hAnsi="宋体"/>
                <w:color w:val="auto"/>
                <w:sz w:val="24"/>
                <w:highlight w:val="none"/>
              </w:rPr>
            </w:pPr>
          </w:p>
        </w:tc>
        <w:tc>
          <w:tcPr>
            <w:tcW w:w="965" w:type="dxa"/>
            <w:noWrap w:val="0"/>
            <w:vAlign w:val="center"/>
          </w:tcPr>
          <w:p>
            <w:pPr>
              <w:rPr>
                <w:rFonts w:hint="eastAsia" w:ascii="宋体" w:hAnsi="宋体"/>
                <w:color w:val="auto"/>
                <w:sz w:val="24"/>
                <w:highlight w:val="none"/>
              </w:rPr>
            </w:pPr>
          </w:p>
        </w:tc>
        <w:tc>
          <w:tcPr>
            <w:tcW w:w="772" w:type="dxa"/>
            <w:noWrap w:val="0"/>
            <w:vAlign w:val="center"/>
          </w:tcPr>
          <w:p>
            <w:pPr>
              <w:rPr>
                <w:rFonts w:hint="eastAsia" w:ascii="宋体" w:hAnsi="宋体"/>
                <w:color w:val="auto"/>
                <w:sz w:val="24"/>
                <w:highlight w:val="none"/>
              </w:rPr>
            </w:pPr>
          </w:p>
        </w:tc>
        <w:tc>
          <w:tcPr>
            <w:tcW w:w="1158" w:type="dxa"/>
            <w:noWrap w:val="0"/>
            <w:vAlign w:val="center"/>
          </w:tcPr>
          <w:p>
            <w:pPr>
              <w:rPr>
                <w:rFonts w:hint="eastAsia" w:ascii="宋体" w:hAnsi="宋体"/>
                <w:color w:val="auto"/>
                <w:sz w:val="24"/>
                <w:highlight w:val="none"/>
              </w:rPr>
            </w:pPr>
          </w:p>
        </w:tc>
        <w:tc>
          <w:tcPr>
            <w:tcW w:w="1158" w:type="dxa"/>
            <w:tcBorders>
              <w:right w:val="single" w:color="auto" w:sz="4" w:space="0"/>
            </w:tcBorders>
            <w:noWrap w:val="0"/>
            <w:vAlign w:val="center"/>
          </w:tcPr>
          <w:p>
            <w:pPr>
              <w:rPr>
                <w:rFonts w:hint="eastAsia" w:ascii="宋体" w:hAnsi="宋体"/>
                <w:color w:val="auto"/>
                <w:sz w:val="24"/>
                <w:highlight w:val="none"/>
              </w:rPr>
            </w:pPr>
          </w:p>
        </w:tc>
        <w:tc>
          <w:tcPr>
            <w:tcW w:w="1410" w:type="dxa"/>
            <w:tcBorders>
              <w:left w:val="single" w:color="auto" w:sz="4" w:space="0"/>
              <w:right w:val="single" w:color="auto" w:sz="12" w:space="0"/>
            </w:tcBorders>
            <w:noWrap w:val="0"/>
            <w:vAlign w:val="center"/>
          </w:tcPr>
          <w:p>
            <w:pPr>
              <w:rPr>
                <w:rFonts w:hint="eastAsia" w:ascii="宋体" w:hAnsi="宋体"/>
                <w:color w:val="auto"/>
                <w:sz w:val="24"/>
                <w:highlight w:val="none"/>
              </w:rPr>
            </w:pPr>
          </w:p>
        </w:tc>
      </w:tr>
    </w:tbl>
    <w:p>
      <w:pPr>
        <w:spacing w:line="360" w:lineRule="auto"/>
        <w:rPr>
          <w:rFonts w:hint="eastAsia" w:ascii="宋体" w:hAnsi="宋体"/>
          <w:color w:val="auto"/>
          <w:sz w:val="24"/>
          <w:highlight w:val="none"/>
        </w:rPr>
      </w:pPr>
      <w:r>
        <w:rPr>
          <w:rFonts w:hint="eastAsia" w:ascii="宋体" w:hAnsi="宋体"/>
          <w:color w:val="auto"/>
          <w:sz w:val="24"/>
          <w:highlight w:val="none"/>
        </w:rPr>
        <w:t>注：1、列入本表人员如要更换，需经采购人同意。擅自更换或不到位属违约行为。</w:t>
      </w:r>
    </w:p>
    <w:p>
      <w:pPr>
        <w:spacing w:line="360" w:lineRule="auto"/>
        <w:rPr>
          <w:rFonts w:hint="eastAsia" w:ascii="宋体" w:hAnsi="宋体"/>
          <w:color w:val="auto"/>
          <w:sz w:val="24"/>
          <w:highlight w:val="none"/>
        </w:rPr>
      </w:pPr>
    </w:p>
    <w:p>
      <w:pPr>
        <w:spacing w:line="360" w:lineRule="auto"/>
        <w:rPr>
          <w:rFonts w:hint="eastAsia" w:ascii="宋体" w:hAnsi="宋体"/>
          <w:color w:val="auto"/>
          <w:sz w:val="24"/>
          <w:highlight w:val="none"/>
        </w:rPr>
      </w:pPr>
    </w:p>
    <w:p>
      <w:pPr>
        <w:spacing w:line="360" w:lineRule="auto"/>
        <w:rPr>
          <w:rFonts w:hint="eastAsia" w:ascii="宋体" w:hAnsi="宋体"/>
          <w:color w:val="auto"/>
          <w:sz w:val="24"/>
          <w:highlight w:val="none"/>
        </w:rPr>
      </w:pPr>
      <w:r>
        <w:rPr>
          <w:rFonts w:hint="eastAsia" w:ascii="宋体" w:hAnsi="宋体"/>
          <w:color w:val="auto"/>
          <w:sz w:val="24"/>
          <w:highlight w:val="none"/>
        </w:rPr>
        <w:t xml:space="preserve">投标单位：（盖章）     </w:t>
      </w:r>
      <w:r>
        <w:rPr>
          <w:rFonts w:hint="eastAsia" w:ascii="宋体" w:hAnsi="宋体"/>
          <w:color w:val="auto"/>
          <w:sz w:val="24"/>
          <w:highlight w:val="none"/>
          <w:lang w:val="en-US" w:eastAsia="zh-CN"/>
        </w:rPr>
        <w:t xml:space="preserve"> </w:t>
      </w:r>
      <w:r>
        <w:rPr>
          <w:rFonts w:hint="eastAsia" w:ascii="宋体" w:hAnsi="宋体"/>
          <w:color w:val="auto"/>
          <w:sz w:val="24"/>
          <w:highlight w:val="none"/>
        </w:rPr>
        <w:t xml:space="preserve">    </w:t>
      </w:r>
      <w:r>
        <w:rPr>
          <w:rFonts w:hint="eastAsia" w:ascii="宋体" w:hAnsi="宋体"/>
          <w:bCs/>
          <w:color w:val="auto"/>
          <w:sz w:val="24"/>
          <w:highlight w:val="none"/>
        </w:rPr>
        <w:t>法定代表人或委托代理人</w:t>
      </w:r>
      <w:r>
        <w:rPr>
          <w:rFonts w:hint="eastAsia" w:ascii="宋体" w:hAnsi="宋体"/>
          <w:color w:val="auto"/>
          <w:sz w:val="24"/>
          <w:highlight w:val="none"/>
        </w:rPr>
        <w:t>：（</w:t>
      </w:r>
      <w:r>
        <w:rPr>
          <w:rFonts w:hint="eastAsia" w:ascii="宋体" w:hAnsi="宋体"/>
          <w:b/>
          <w:color w:val="auto"/>
          <w:sz w:val="24"/>
          <w:highlight w:val="none"/>
          <w:u w:val="single"/>
          <w:em w:val="dot"/>
        </w:rPr>
        <w:t>签字或盖章</w:t>
      </w:r>
      <w:r>
        <w:rPr>
          <w:rFonts w:hint="eastAsia" w:ascii="宋体" w:hAnsi="宋体"/>
          <w:color w:val="auto"/>
          <w:sz w:val="24"/>
          <w:highlight w:val="none"/>
        </w:rPr>
        <w:t>）</w:t>
      </w:r>
    </w:p>
    <w:p>
      <w:pPr>
        <w:pStyle w:val="4"/>
        <w:rPr>
          <w:rFonts w:hint="eastAsia" w:ascii="宋体" w:hAnsi="宋体"/>
          <w:color w:val="auto"/>
          <w:sz w:val="24"/>
          <w:highlight w:val="none"/>
        </w:rPr>
      </w:pPr>
    </w:p>
    <w:p>
      <w:pPr>
        <w:pStyle w:val="5"/>
        <w:rPr>
          <w:rFonts w:hint="eastAsia" w:ascii="宋体" w:hAnsi="宋体"/>
          <w:color w:val="auto"/>
          <w:sz w:val="24"/>
          <w:highlight w:val="none"/>
        </w:rPr>
      </w:pPr>
    </w:p>
    <w:p>
      <w:pPr>
        <w:pStyle w:val="4"/>
        <w:rPr>
          <w:rFonts w:hint="eastAsia" w:ascii="宋体" w:hAnsi="宋体"/>
          <w:color w:val="auto"/>
          <w:sz w:val="24"/>
          <w:highlight w:val="none"/>
        </w:rPr>
      </w:pPr>
    </w:p>
    <w:p>
      <w:pPr>
        <w:pStyle w:val="5"/>
        <w:rPr>
          <w:rFonts w:hint="eastAsia" w:ascii="宋体" w:hAnsi="宋体"/>
          <w:color w:val="auto"/>
          <w:sz w:val="24"/>
          <w:highlight w:val="none"/>
        </w:rPr>
      </w:pPr>
    </w:p>
    <w:p>
      <w:pPr>
        <w:pStyle w:val="4"/>
        <w:rPr>
          <w:rFonts w:hint="eastAsia" w:ascii="宋体" w:hAnsi="宋体"/>
          <w:color w:val="auto"/>
          <w:sz w:val="24"/>
          <w:highlight w:val="none"/>
        </w:rPr>
      </w:pPr>
    </w:p>
    <w:p>
      <w:pPr>
        <w:pStyle w:val="5"/>
        <w:rPr>
          <w:rFonts w:hint="eastAsia" w:ascii="宋体" w:hAnsi="宋体"/>
          <w:color w:val="auto"/>
          <w:sz w:val="24"/>
          <w:highlight w:val="none"/>
        </w:rPr>
      </w:pPr>
    </w:p>
    <w:p>
      <w:pPr>
        <w:pStyle w:val="4"/>
        <w:rPr>
          <w:rFonts w:hint="eastAsia" w:ascii="宋体" w:hAnsi="宋体"/>
          <w:color w:val="auto"/>
          <w:sz w:val="24"/>
          <w:highlight w:val="none"/>
        </w:rPr>
      </w:pPr>
    </w:p>
    <w:p>
      <w:pPr>
        <w:pStyle w:val="5"/>
        <w:rPr>
          <w:rFonts w:hint="eastAsia" w:ascii="宋体" w:hAnsi="宋体"/>
          <w:color w:val="auto"/>
          <w:sz w:val="24"/>
          <w:highlight w:val="none"/>
        </w:rPr>
      </w:pPr>
    </w:p>
    <w:p>
      <w:pPr>
        <w:pStyle w:val="4"/>
        <w:rPr>
          <w:rFonts w:hint="eastAsia" w:ascii="宋体" w:hAnsi="宋体"/>
          <w:color w:val="auto"/>
          <w:sz w:val="24"/>
          <w:highlight w:val="none"/>
        </w:rPr>
      </w:pPr>
    </w:p>
    <w:p>
      <w:pPr>
        <w:pStyle w:val="5"/>
        <w:rPr>
          <w:rFonts w:hint="eastAsia" w:ascii="宋体" w:hAnsi="宋体"/>
          <w:color w:val="auto"/>
          <w:sz w:val="24"/>
          <w:highlight w:val="none"/>
        </w:rPr>
      </w:pPr>
    </w:p>
    <w:p>
      <w:pPr>
        <w:pStyle w:val="4"/>
        <w:rPr>
          <w:rFonts w:hint="eastAsia" w:ascii="宋体" w:hAnsi="宋体"/>
          <w:color w:val="auto"/>
          <w:sz w:val="24"/>
          <w:highlight w:val="none"/>
        </w:rPr>
      </w:pPr>
    </w:p>
    <w:p>
      <w:pPr>
        <w:pageBreakBefore/>
        <w:spacing w:before="260" w:after="260" w:line="415" w:lineRule="auto"/>
        <w:outlineLvl w:val="1"/>
        <w:rPr>
          <w:rFonts w:hint="eastAsia" w:ascii="宋体" w:hAnsi="宋体" w:cs="宋体"/>
          <w:bCs/>
          <w:color w:val="auto"/>
          <w:sz w:val="24"/>
          <w:szCs w:val="32"/>
          <w:highlight w:val="none"/>
        </w:rPr>
      </w:pPr>
      <w:bookmarkStart w:id="91" w:name="_Toc19614"/>
      <w:r>
        <w:rPr>
          <w:rFonts w:hint="eastAsia" w:ascii="宋体" w:hAnsi="宋体"/>
          <w:color w:val="auto"/>
          <w:sz w:val="24"/>
          <w:highlight w:val="none"/>
          <w:lang w:eastAsia="zh-CN"/>
        </w:rPr>
        <w:t>附件</w:t>
      </w:r>
      <w:r>
        <w:rPr>
          <w:rFonts w:hint="eastAsia" w:ascii="宋体" w:hAnsi="宋体"/>
          <w:color w:val="auto"/>
          <w:sz w:val="24"/>
          <w:highlight w:val="none"/>
          <w:lang w:val="en-US" w:eastAsia="zh-CN"/>
        </w:rPr>
        <w:t>十一</w:t>
      </w:r>
      <w:r>
        <w:rPr>
          <w:rFonts w:hint="eastAsia" w:ascii="宋体" w:hAnsi="宋体"/>
          <w:color w:val="auto"/>
          <w:sz w:val="24"/>
          <w:highlight w:val="none"/>
          <w:lang w:eastAsia="zh-CN"/>
        </w:rPr>
        <w:t>：</w:t>
      </w:r>
      <w:r>
        <w:rPr>
          <w:rFonts w:hint="eastAsia" w:ascii="宋体" w:hAnsi="宋体" w:cs="宋体"/>
          <w:bCs/>
          <w:color w:val="auto"/>
          <w:sz w:val="24"/>
          <w:szCs w:val="32"/>
          <w:highlight w:val="none"/>
          <w:lang w:val="en-US" w:eastAsia="zh-CN"/>
        </w:rPr>
        <w:t>安全生产</w:t>
      </w:r>
      <w:r>
        <w:rPr>
          <w:rFonts w:hint="eastAsia" w:ascii="宋体" w:hAnsi="宋体" w:cs="宋体"/>
          <w:bCs/>
          <w:color w:val="auto"/>
          <w:sz w:val="24"/>
          <w:szCs w:val="32"/>
          <w:highlight w:val="none"/>
        </w:rPr>
        <w:t>承诺函</w:t>
      </w:r>
      <w:bookmarkEnd w:id="91"/>
    </w:p>
    <w:p>
      <w:pPr>
        <w:snapToGrid w:val="0"/>
        <w:spacing w:before="120" w:beforeLines="50" w:after="50"/>
        <w:jc w:val="center"/>
        <w:rPr>
          <w:rFonts w:hint="eastAsia" w:ascii="宋体" w:hAnsi="宋体"/>
          <w:b/>
          <w:color w:val="auto"/>
          <w:sz w:val="24"/>
          <w:szCs w:val="20"/>
          <w:highlight w:val="none"/>
        </w:rPr>
      </w:pPr>
      <w:r>
        <w:rPr>
          <w:rFonts w:hint="eastAsia" w:ascii="宋体" w:hAnsi="宋体"/>
          <w:b/>
          <w:color w:val="auto"/>
          <w:sz w:val="30"/>
          <w:szCs w:val="30"/>
          <w:highlight w:val="none"/>
          <w:lang w:val="en-US" w:eastAsia="zh-CN"/>
        </w:rPr>
        <w:t>安全生产</w:t>
      </w:r>
      <w:r>
        <w:rPr>
          <w:rFonts w:hint="eastAsia" w:ascii="宋体" w:hAnsi="宋体"/>
          <w:b/>
          <w:color w:val="auto"/>
          <w:sz w:val="30"/>
          <w:szCs w:val="30"/>
          <w:highlight w:val="none"/>
        </w:rPr>
        <w:t>承诺函</w:t>
      </w:r>
    </w:p>
    <w:p>
      <w:pPr>
        <w:snapToGrid w:val="0"/>
        <w:spacing w:line="360" w:lineRule="auto"/>
        <w:rPr>
          <w:rFonts w:hint="eastAsia" w:ascii="宋体" w:hAnsi="宋体"/>
          <w:color w:val="auto"/>
          <w:sz w:val="24"/>
          <w:szCs w:val="20"/>
          <w:highlight w:val="none"/>
        </w:rPr>
      </w:pPr>
      <w:r>
        <w:rPr>
          <w:rFonts w:hint="eastAsia" w:ascii="宋体" w:hAnsi="宋体"/>
          <w:color w:val="auto"/>
          <w:sz w:val="24"/>
          <w:highlight w:val="none"/>
        </w:rPr>
        <w:t>致：</w:t>
      </w:r>
      <w:r>
        <w:rPr>
          <w:rFonts w:hint="eastAsia" w:ascii="宋体" w:hAnsi="宋体"/>
          <w:color w:val="auto"/>
          <w:sz w:val="24"/>
          <w:highlight w:val="none"/>
          <w:u w:val="single"/>
        </w:rPr>
        <w:t xml:space="preserve">               </w:t>
      </w:r>
      <w:r>
        <w:rPr>
          <w:rFonts w:hint="eastAsia" w:ascii="宋体" w:hAnsi="宋体"/>
          <w:color w:val="auto"/>
          <w:sz w:val="24"/>
          <w:highlight w:val="none"/>
        </w:rPr>
        <w:t>（招标采购单位名称）：</w:t>
      </w:r>
    </w:p>
    <w:p>
      <w:pPr>
        <w:snapToGrid w:val="0"/>
        <w:spacing w:line="360" w:lineRule="auto"/>
        <w:ind w:firstLine="480"/>
        <w:rPr>
          <w:rFonts w:hint="eastAsia" w:ascii="宋体" w:hAnsi="宋体"/>
          <w:color w:val="auto"/>
          <w:sz w:val="24"/>
          <w:szCs w:val="20"/>
          <w:highlight w:val="none"/>
        </w:rPr>
      </w:pPr>
      <w:r>
        <w:rPr>
          <w:rFonts w:hint="eastAsia" w:ascii="宋体" w:hAnsi="宋体"/>
          <w:color w:val="auto"/>
          <w:sz w:val="24"/>
          <w:highlight w:val="none"/>
        </w:rPr>
        <w:t xml:space="preserve"> 根据贵方为</w:t>
      </w:r>
      <w:r>
        <w:rPr>
          <w:rFonts w:hint="eastAsia" w:ascii="宋体" w:hAnsi="宋体"/>
          <w:color w:val="auto"/>
          <w:sz w:val="24"/>
          <w:highlight w:val="none"/>
          <w:u w:val="single"/>
        </w:rPr>
        <w:t xml:space="preserve">                              </w:t>
      </w:r>
      <w:r>
        <w:rPr>
          <w:rFonts w:hint="eastAsia" w:ascii="宋体" w:hAnsi="宋体"/>
          <w:color w:val="auto"/>
          <w:sz w:val="24"/>
          <w:highlight w:val="none"/>
        </w:rPr>
        <w:t>项目的招标公告（项目编号：</w:t>
      </w:r>
      <w:r>
        <w:rPr>
          <w:rFonts w:hint="eastAsia" w:ascii="宋体" w:hAnsi="宋体"/>
          <w:color w:val="auto"/>
          <w:sz w:val="24"/>
          <w:highlight w:val="none"/>
          <w:u w:val="single"/>
        </w:rPr>
        <w:t xml:space="preserve">            </w:t>
      </w:r>
      <w:r>
        <w:rPr>
          <w:rFonts w:hint="eastAsia" w:ascii="宋体" w:hAnsi="宋体"/>
          <w:color w:val="auto"/>
          <w:sz w:val="24"/>
          <w:highlight w:val="none"/>
        </w:rPr>
        <w:t>），签字代表</w:t>
      </w:r>
      <w:r>
        <w:rPr>
          <w:rFonts w:hint="eastAsia" w:ascii="宋体" w:hAnsi="宋体"/>
          <w:color w:val="auto"/>
          <w:sz w:val="24"/>
          <w:highlight w:val="none"/>
          <w:u w:val="single"/>
        </w:rPr>
        <w:t xml:space="preserve">             </w:t>
      </w:r>
      <w:r>
        <w:rPr>
          <w:rFonts w:hint="eastAsia" w:ascii="宋体" w:hAnsi="宋体"/>
          <w:color w:val="auto"/>
          <w:sz w:val="24"/>
          <w:highlight w:val="none"/>
        </w:rPr>
        <w:t>（全名）经正式授权并代表投标人_____</w:t>
      </w:r>
      <w:r>
        <w:rPr>
          <w:rFonts w:hint="eastAsia" w:ascii="宋体" w:hAnsi="宋体"/>
          <w:color w:val="auto"/>
          <w:sz w:val="24"/>
          <w:highlight w:val="none"/>
          <w:u w:val="single"/>
        </w:rPr>
        <w:t>__                    __</w:t>
      </w:r>
      <w:r>
        <w:rPr>
          <w:rFonts w:hint="eastAsia" w:ascii="宋体" w:hAnsi="宋体"/>
          <w:color w:val="auto"/>
          <w:sz w:val="24"/>
          <w:highlight w:val="none"/>
        </w:rPr>
        <w:t>（投标人名称）作出如下承诺：</w:t>
      </w:r>
    </w:p>
    <w:p>
      <w:pPr>
        <w:numPr>
          <w:ilvl w:val="0"/>
          <w:numId w:val="0"/>
        </w:numPr>
        <w:snapToGrid w:val="0"/>
        <w:spacing w:line="360" w:lineRule="auto"/>
        <w:ind w:firstLine="480" w:firstLineChars="200"/>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1、安全承诺：本项目服务期间发生的工作人员一切意外、安全及其他事故全部由我公司承担，采购人不承担任何责任及损失。</w:t>
      </w:r>
    </w:p>
    <w:p>
      <w:pPr>
        <w:snapToGrid w:val="0"/>
        <w:spacing w:line="360" w:lineRule="auto"/>
        <w:ind w:firstLine="480" w:firstLineChars="200"/>
        <w:rPr>
          <w:rFonts w:ascii="宋体" w:hAnsi="宋体"/>
          <w:color w:val="auto"/>
          <w:sz w:val="24"/>
          <w:highlight w:val="none"/>
        </w:rPr>
      </w:pPr>
    </w:p>
    <w:p>
      <w:pPr>
        <w:snapToGrid w:val="0"/>
        <w:spacing w:line="360" w:lineRule="auto"/>
        <w:rPr>
          <w:rFonts w:hint="eastAsia" w:ascii="宋体" w:hAnsi="宋体"/>
          <w:color w:val="auto"/>
          <w:sz w:val="24"/>
          <w:highlight w:val="none"/>
        </w:rPr>
      </w:pPr>
    </w:p>
    <w:p>
      <w:pPr>
        <w:snapToGrid w:val="0"/>
        <w:spacing w:line="360" w:lineRule="auto"/>
        <w:rPr>
          <w:rFonts w:hint="eastAsia" w:ascii="宋体" w:hAnsi="宋体"/>
          <w:color w:val="auto"/>
          <w:sz w:val="24"/>
          <w:highlight w:val="none"/>
        </w:rPr>
      </w:pPr>
    </w:p>
    <w:p>
      <w:pPr>
        <w:snapToGrid w:val="0"/>
        <w:spacing w:line="480" w:lineRule="auto"/>
        <w:ind w:firstLine="4440" w:firstLineChars="1850"/>
        <w:rPr>
          <w:rFonts w:hint="eastAsia" w:ascii="宋体" w:hAnsi="宋体"/>
          <w:color w:val="auto"/>
          <w:sz w:val="24"/>
          <w:szCs w:val="20"/>
          <w:highlight w:val="none"/>
          <w:u w:val="single"/>
        </w:rPr>
      </w:pPr>
      <w:r>
        <w:rPr>
          <w:rFonts w:hint="eastAsia" w:ascii="宋体" w:hAnsi="宋体"/>
          <w:color w:val="auto"/>
          <w:sz w:val="24"/>
          <w:highlight w:val="none"/>
        </w:rPr>
        <w:t>投标人名称(公章):</w:t>
      </w:r>
      <w:r>
        <w:rPr>
          <w:rFonts w:hint="eastAsia" w:ascii="宋体" w:hAnsi="宋体"/>
          <w:color w:val="auto"/>
          <w:sz w:val="24"/>
          <w:highlight w:val="none"/>
          <w:u w:val="single"/>
        </w:rPr>
        <w:t xml:space="preserve">                   </w:t>
      </w:r>
    </w:p>
    <w:p>
      <w:pPr>
        <w:spacing w:line="480" w:lineRule="auto"/>
        <w:ind w:firstLine="4440" w:firstLineChars="1850"/>
        <w:rPr>
          <w:rFonts w:hint="eastAsia" w:ascii="宋体" w:hAnsi="宋体"/>
          <w:color w:val="auto"/>
          <w:sz w:val="24"/>
          <w:highlight w:val="none"/>
        </w:rPr>
      </w:pPr>
      <w:r>
        <w:rPr>
          <w:rFonts w:hint="eastAsia" w:ascii="宋体" w:hAnsi="宋体"/>
          <w:color w:val="auto"/>
          <w:sz w:val="24"/>
          <w:highlight w:val="none"/>
        </w:rPr>
        <w:t>委托代理人签字:</w:t>
      </w:r>
      <w:r>
        <w:rPr>
          <w:rFonts w:hint="eastAsia" w:ascii="宋体" w:hAnsi="宋体"/>
          <w:color w:val="auto"/>
          <w:sz w:val="24"/>
          <w:highlight w:val="none"/>
          <w:u w:val="single"/>
        </w:rPr>
        <w:t xml:space="preserve">            </w:t>
      </w:r>
      <w:r>
        <w:rPr>
          <w:rFonts w:hint="eastAsia" w:ascii="宋体" w:hAnsi="宋体"/>
          <w:color w:val="auto"/>
          <w:sz w:val="24"/>
          <w:highlight w:val="none"/>
        </w:rPr>
        <w:t xml:space="preserve"> </w:t>
      </w:r>
    </w:p>
    <w:p>
      <w:pPr>
        <w:spacing w:line="480" w:lineRule="auto"/>
        <w:ind w:firstLine="4440" w:firstLineChars="1850"/>
        <w:rPr>
          <w:rFonts w:hint="eastAsia" w:ascii="宋体" w:hAnsi="宋体"/>
          <w:color w:val="auto"/>
          <w:sz w:val="30"/>
          <w:szCs w:val="20"/>
          <w:highlight w:val="none"/>
        </w:rPr>
      </w:pPr>
      <w:r>
        <w:rPr>
          <w:rFonts w:hint="eastAsia" w:ascii="宋体" w:hAnsi="宋体"/>
          <w:color w:val="auto"/>
          <w:sz w:val="24"/>
          <w:highlight w:val="none"/>
        </w:rPr>
        <w:t>日期:</w:t>
      </w:r>
      <w:r>
        <w:rPr>
          <w:rFonts w:hint="eastAsia" w:ascii="宋体" w:hAnsi="宋体"/>
          <w:color w:val="auto"/>
          <w:sz w:val="24"/>
          <w:highlight w:val="none"/>
          <w:u w:val="single"/>
        </w:rPr>
        <w:t xml:space="preserve">    </w:t>
      </w:r>
      <w:r>
        <w:rPr>
          <w:rFonts w:hint="eastAsia" w:ascii="宋体" w:hAnsi="宋体"/>
          <w:color w:val="auto"/>
          <w:sz w:val="24"/>
          <w:highlight w:val="none"/>
        </w:rPr>
        <w:t>年___月___日</w:t>
      </w:r>
    </w:p>
    <w:p>
      <w:pPr>
        <w:pStyle w:val="5"/>
        <w:ind w:left="0" w:leftChars="0" w:firstLine="0" w:firstLineChars="0"/>
        <w:rPr>
          <w:rFonts w:hint="eastAsia" w:eastAsia="宋体"/>
          <w:color w:val="auto"/>
          <w:highlight w:val="none"/>
          <w:lang w:eastAsia="zh-CN"/>
        </w:rPr>
      </w:pPr>
    </w:p>
    <w:p>
      <w:pPr>
        <w:pStyle w:val="2"/>
        <w:keepNext w:val="0"/>
        <w:keepLines w:val="0"/>
        <w:pageBreakBefore/>
        <w:rPr>
          <w:rFonts w:hint="eastAsia" w:ascii="宋体" w:hAnsi="宋体" w:eastAsia="宋体" w:cs="宋体"/>
          <w:b w:val="0"/>
          <w:color w:val="auto"/>
          <w:kern w:val="0"/>
          <w:sz w:val="24"/>
          <w:szCs w:val="24"/>
          <w:highlight w:val="none"/>
        </w:rPr>
      </w:pPr>
      <w:bookmarkStart w:id="92" w:name="_Toc6618"/>
      <w:r>
        <w:rPr>
          <w:rFonts w:hint="eastAsia" w:ascii="宋体" w:hAnsi="宋体" w:eastAsia="宋体" w:cs="宋体"/>
          <w:b w:val="0"/>
          <w:color w:val="auto"/>
          <w:kern w:val="0"/>
          <w:sz w:val="24"/>
          <w:szCs w:val="24"/>
          <w:highlight w:val="none"/>
        </w:rPr>
        <w:t>附件</w:t>
      </w:r>
      <w:r>
        <w:rPr>
          <w:rFonts w:hint="eastAsia" w:ascii="宋体" w:hAnsi="宋体" w:eastAsia="宋体" w:cs="宋体"/>
          <w:b w:val="0"/>
          <w:color w:val="auto"/>
          <w:kern w:val="0"/>
          <w:sz w:val="24"/>
          <w:szCs w:val="24"/>
          <w:highlight w:val="none"/>
          <w:lang w:eastAsia="zh-CN"/>
        </w:rPr>
        <w:t>十</w:t>
      </w:r>
      <w:r>
        <w:rPr>
          <w:rFonts w:hint="eastAsia" w:ascii="宋体" w:hAnsi="宋体" w:eastAsia="宋体" w:cs="宋体"/>
          <w:b w:val="0"/>
          <w:color w:val="auto"/>
          <w:kern w:val="0"/>
          <w:sz w:val="24"/>
          <w:szCs w:val="24"/>
          <w:highlight w:val="none"/>
          <w:lang w:val="en-US" w:eastAsia="zh-CN"/>
        </w:rPr>
        <w:t>二</w:t>
      </w:r>
      <w:r>
        <w:rPr>
          <w:rFonts w:hint="eastAsia" w:ascii="宋体" w:hAnsi="宋体" w:eastAsia="宋体" w:cs="宋体"/>
          <w:b w:val="0"/>
          <w:color w:val="auto"/>
          <w:kern w:val="0"/>
          <w:sz w:val="24"/>
          <w:szCs w:val="24"/>
          <w:highlight w:val="none"/>
        </w:rPr>
        <w:t>：同类项目业绩一览表</w:t>
      </w:r>
      <w:bookmarkEnd w:id="90"/>
      <w:bookmarkEnd w:id="92"/>
    </w:p>
    <w:p>
      <w:pPr>
        <w:widowControl/>
        <w:jc w:val="left"/>
        <w:rPr>
          <w:rFonts w:hint="eastAsia" w:ascii="宋体" w:hAnsi="宋体" w:eastAsia="宋体" w:cs="宋体"/>
          <w:color w:val="auto"/>
          <w:kern w:val="0"/>
          <w:sz w:val="24"/>
          <w:highlight w:val="none"/>
        </w:rPr>
      </w:pPr>
    </w:p>
    <w:p>
      <w:pPr>
        <w:snapToGrid w:val="0"/>
        <w:spacing w:line="360" w:lineRule="auto"/>
        <w:jc w:val="center"/>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同类项目业绩一览表</w:t>
      </w:r>
    </w:p>
    <w:p>
      <w:pPr>
        <w:widowControl/>
        <w:jc w:val="left"/>
        <w:rPr>
          <w:rFonts w:hint="eastAsia" w:ascii="宋体" w:hAnsi="宋体" w:eastAsia="宋体" w:cs="宋体"/>
          <w:color w:val="auto"/>
          <w:kern w:val="0"/>
          <w:sz w:val="24"/>
          <w:highlight w:val="none"/>
        </w:rPr>
      </w:pP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2"/>
        <w:gridCol w:w="1312"/>
        <w:gridCol w:w="1312"/>
        <w:gridCol w:w="1312"/>
        <w:gridCol w:w="1312"/>
        <w:gridCol w:w="1312"/>
        <w:gridCol w:w="13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6" w:hRule="atLeast"/>
          <w:jc w:val="center"/>
        </w:trPr>
        <w:tc>
          <w:tcPr>
            <w:tcW w:w="1312" w:type="dxa"/>
            <w:vAlign w:val="center"/>
          </w:tcPr>
          <w:p>
            <w:pPr>
              <w:jc w:val="center"/>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项目名称</w:t>
            </w:r>
          </w:p>
        </w:tc>
        <w:tc>
          <w:tcPr>
            <w:tcW w:w="1312" w:type="dxa"/>
            <w:vAlign w:val="center"/>
          </w:tcPr>
          <w:p>
            <w:pPr>
              <w:jc w:val="center"/>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项目</w:t>
            </w:r>
          </w:p>
          <w:p>
            <w:pPr>
              <w:jc w:val="center"/>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类型</w:t>
            </w:r>
          </w:p>
        </w:tc>
        <w:tc>
          <w:tcPr>
            <w:tcW w:w="1312" w:type="dxa"/>
            <w:vAlign w:val="center"/>
          </w:tcPr>
          <w:p>
            <w:pPr>
              <w:jc w:val="center"/>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简要描述</w:t>
            </w:r>
          </w:p>
        </w:tc>
        <w:tc>
          <w:tcPr>
            <w:tcW w:w="1312" w:type="dxa"/>
            <w:vAlign w:val="center"/>
          </w:tcPr>
          <w:p>
            <w:pPr>
              <w:jc w:val="center"/>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项目</w:t>
            </w:r>
          </w:p>
          <w:p>
            <w:pPr>
              <w:jc w:val="center"/>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金额</w:t>
            </w:r>
          </w:p>
          <w:p>
            <w:pPr>
              <w:jc w:val="center"/>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（万元）</w:t>
            </w:r>
          </w:p>
        </w:tc>
        <w:tc>
          <w:tcPr>
            <w:tcW w:w="1312" w:type="dxa"/>
            <w:vAlign w:val="center"/>
          </w:tcPr>
          <w:p>
            <w:pPr>
              <w:jc w:val="center"/>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实施时间</w:t>
            </w:r>
          </w:p>
        </w:tc>
        <w:tc>
          <w:tcPr>
            <w:tcW w:w="1312" w:type="dxa"/>
            <w:vAlign w:val="center"/>
          </w:tcPr>
          <w:p>
            <w:pPr>
              <w:jc w:val="center"/>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项目单位、联系人及电话</w:t>
            </w:r>
          </w:p>
        </w:tc>
        <w:tc>
          <w:tcPr>
            <w:tcW w:w="1313" w:type="dxa"/>
            <w:vAlign w:val="center"/>
          </w:tcPr>
          <w:p>
            <w:pPr>
              <w:jc w:val="center"/>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项目完成情况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jc w:val="center"/>
        </w:trPr>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3"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0" w:hRule="atLeast"/>
          <w:jc w:val="center"/>
        </w:trPr>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3"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4" w:hRule="atLeast"/>
          <w:jc w:val="center"/>
        </w:trPr>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3"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3"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jc w:val="center"/>
        </w:trPr>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3"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6" w:hRule="atLeast"/>
          <w:jc w:val="center"/>
        </w:trPr>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c>
          <w:tcPr>
            <w:tcW w:w="1313" w:type="dxa"/>
            <w:vAlign w:val="center"/>
          </w:tcPr>
          <w:p>
            <w:pPr>
              <w:autoSpaceDE w:val="0"/>
              <w:autoSpaceDN w:val="0"/>
              <w:adjustRightInd w:val="0"/>
              <w:spacing w:line="360" w:lineRule="auto"/>
              <w:jc w:val="center"/>
              <w:rPr>
                <w:rFonts w:hint="eastAsia" w:ascii="宋体" w:hAnsi="宋体" w:eastAsia="宋体" w:cs="宋体"/>
                <w:color w:val="auto"/>
                <w:sz w:val="24"/>
                <w:highlight w:val="none"/>
                <w:lang w:val="zh-CN"/>
              </w:rPr>
            </w:pPr>
          </w:p>
        </w:tc>
      </w:tr>
    </w:tbl>
    <w:p>
      <w:pPr>
        <w:snapToGrid w:val="0"/>
        <w:spacing w:line="360" w:lineRule="auto"/>
        <w:rPr>
          <w:rFonts w:hint="eastAsia" w:ascii="宋体" w:hAnsi="宋体" w:eastAsia="宋体" w:cs="宋体"/>
          <w:b/>
          <w:color w:val="auto"/>
          <w:sz w:val="24"/>
          <w:highlight w:val="none"/>
        </w:rPr>
      </w:pPr>
    </w:p>
    <w:p>
      <w:pPr>
        <w:snapToGrid w:val="0"/>
        <w:spacing w:line="360" w:lineRule="auto"/>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注：1、各投标人可以根据各自业绩量准备充分的表格，此页后须附证明材料。</w:t>
      </w:r>
    </w:p>
    <w:p>
      <w:pPr>
        <w:snapToGrid w:val="0"/>
        <w:spacing w:line="360" w:lineRule="auto"/>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2、投标人须真实仔细地填写本表格。</w:t>
      </w:r>
    </w:p>
    <w:p>
      <w:pPr>
        <w:widowControl/>
        <w:jc w:val="left"/>
        <w:rPr>
          <w:rFonts w:hint="eastAsia" w:ascii="宋体" w:hAnsi="宋体" w:eastAsia="宋体" w:cs="宋体"/>
          <w:color w:val="auto"/>
          <w:kern w:val="0"/>
          <w:sz w:val="24"/>
          <w:highlight w:val="none"/>
        </w:rPr>
      </w:pPr>
    </w:p>
    <w:p>
      <w:pPr>
        <w:widowControl/>
        <w:jc w:val="left"/>
        <w:rPr>
          <w:rFonts w:hint="eastAsia" w:ascii="宋体" w:hAnsi="宋体" w:eastAsia="宋体" w:cs="宋体"/>
          <w:color w:val="auto"/>
          <w:kern w:val="0"/>
          <w:sz w:val="24"/>
          <w:highlight w:val="none"/>
        </w:rPr>
      </w:pPr>
    </w:p>
    <w:p>
      <w:pPr>
        <w:widowControl/>
        <w:jc w:val="left"/>
        <w:rPr>
          <w:rFonts w:hint="eastAsia" w:ascii="宋体" w:hAnsi="宋体" w:eastAsia="宋体" w:cs="宋体"/>
          <w:color w:val="auto"/>
          <w:kern w:val="0"/>
          <w:sz w:val="24"/>
          <w:highlight w:val="none"/>
        </w:rPr>
      </w:pPr>
    </w:p>
    <w:p>
      <w:pPr>
        <w:pStyle w:val="4"/>
        <w:overflowPunct w:val="0"/>
        <w:spacing w:line="360" w:lineRule="auto"/>
        <w:ind w:right="420" w:firstLine="3300" w:firstLineChars="1375"/>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投标人（单位盖章）：</w:t>
      </w:r>
    </w:p>
    <w:p>
      <w:pPr>
        <w:pStyle w:val="4"/>
        <w:overflowPunct w:val="0"/>
        <w:spacing w:line="360" w:lineRule="auto"/>
        <w:ind w:right="420" w:firstLine="3360" w:firstLineChars="14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法定代表人或委托代理人（签字或盖章）：                         </w:t>
      </w:r>
    </w:p>
    <w:p>
      <w:pPr>
        <w:spacing w:before="120" w:beforeLines="50" w:line="360" w:lineRule="auto"/>
        <w:ind w:right="-21" w:rightChars="-10" w:firstLine="470" w:firstLineChars="196"/>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rPr>
        <w:t>年  月  日</w:t>
      </w:r>
    </w:p>
    <w:p>
      <w:pPr>
        <w:rPr>
          <w:rFonts w:hint="eastAsia" w:ascii="宋体" w:hAnsi="宋体" w:eastAsia="宋体" w:cs="宋体"/>
          <w:bCs/>
          <w:color w:val="auto"/>
          <w:sz w:val="24"/>
          <w:highlight w:val="none"/>
        </w:rPr>
      </w:pPr>
    </w:p>
    <w:p>
      <w:pPr>
        <w:rPr>
          <w:rFonts w:hint="eastAsia" w:ascii="宋体" w:hAnsi="宋体" w:eastAsia="宋体" w:cs="宋体"/>
          <w:bCs/>
          <w:color w:val="auto"/>
          <w:sz w:val="24"/>
          <w:highlight w:val="none"/>
        </w:rPr>
      </w:pPr>
    </w:p>
    <w:p>
      <w:pPr>
        <w:rPr>
          <w:rFonts w:hint="eastAsia" w:ascii="宋体" w:hAnsi="宋体" w:eastAsia="宋体" w:cs="宋体"/>
          <w:color w:val="auto"/>
          <w:sz w:val="24"/>
          <w:highlight w:val="none"/>
        </w:rPr>
      </w:pPr>
    </w:p>
    <w:p>
      <w:pPr>
        <w:pageBreakBefore/>
        <w:spacing w:before="260" w:after="260" w:line="415" w:lineRule="auto"/>
        <w:outlineLvl w:val="1"/>
        <w:rPr>
          <w:rFonts w:hint="eastAsia" w:ascii="宋体" w:hAnsi="宋体" w:eastAsia="宋体" w:cs="宋体"/>
          <w:bCs/>
          <w:color w:val="auto"/>
          <w:sz w:val="24"/>
          <w:highlight w:val="none"/>
        </w:rPr>
      </w:pPr>
      <w:bookmarkStart w:id="93" w:name="_Toc12059"/>
      <w:r>
        <w:rPr>
          <w:rFonts w:hint="eastAsia" w:ascii="宋体" w:hAnsi="宋体" w:eastAsia="宋体" w:cs="宋体"/>
          <w:bCs/>
          <w:color w:val="auto"/>
          <w:sz w:val="24"/>
          <w:highlight w:val="none"/>
        </w:rPr>
        <w:t>附件</w:t>
      </w:r>
      <w:r>
        <w:rPr>
          <w:rFonts w:hint="eastAsia" w:ascii="宋体" w:hAnsi="宋体" w:cs="宋体"/>
          <w:bCs/>
          <w:color w:val="auto"/>
          <w:sz w:val="24"/>
          <w:highlight w:val="none"/>
          <w:lang w:val="en-US" w:eastAsia="zh-CN"/>
        </w:rPr>
        <w:t>十三</w:t>
      </w:r>
      <w:r>
        <w:rPr>
          <w:rFonts w:hint="eastAsia" w:ascii="宋体" w:hAnsi="宋体" w:eastAsia="宋体" w:cs="宋体"/>
          <w:bCs/>
          <w:color w:val="auto"/>
          <w:sz w:val="24"/>
          <w:highlight w:val="none"/>
        </w:rPr>
        <w:t>：服务费承诺书</w:t>
      </w:r>
      <w:bookmarkEnd w:id="93"/>
    </w:p>
    <w:p>
      <w:pPr>
        <w:snapToGrid w:val="0"/>
        <w:spacing w:line="360" w:lineRule="auto"/>
        <w:jc w:val="center"/>
        <w:rPr>
          <w:rFonts w:hint="eastAsia" w:ascii="宋体" w:hAnsi="宋体" w:eastAsia="宋体" w:cs="宋体"/>
          <w:b/>
          <w:color w:val="auto"/>
          <w:kern w:val="0"/>
          <w:sz w:val="32"/>
          <w:szCs w:val="32"/>
          <w:highlight w:val="none"/>
          <w:lang w:val="en-US" w:eastAsia="zh-CN"/>
        </w:rPr>
      </w:pPr>
      <w:r>
        <w:rPr>
          <w:rFonts w:hint="eastAsia" w:ascii="宋体" w:hAnsi="宋体" w:eastAsia="宋体" w:cs="宋体"/>
          <w:b/>
          <w:color w:val="auto"/>
          <w:kern w:val="0"/>
          <w:sz w:val="32"/>
          <w:szCs w:val="32"/>
          <w:highlight w:val="none"/>
          <w:lang w:val="en-US" w:eastAsia="zh-CN"/>
        </w:rPr>
        <w:t>承 诺 书</w:t>
      </w:r>
    </w:p>
    <w:p>
      <w:pPr>
        <w:snapToGrid w:val="0"/>
        <w:spacing w:before="50" w:after="120" w:afterLines="50"/>
        <w:jc w:val="left"/>
        <w:rPr>
          <w:rFonts w:hint="eastAsia" w:ascii="宋体" w:hAnsi="宋体" w:eastAsia="宋体" w:cs="宋体"/>
          <w:b/>
          <w:color w:val="auto"/>
          <w:sz w:val="24"/>
          <w:highlight w:val="none"/>
        </w:rPr>
      </w:pPr>
    </w:p>
    <w:p>
      <w:pPr>
        <w:snapToGrid w:val="0"/>
        <w:spacing w:before="50" w:after="120" w:afterLines="50" w:line="360" w:lineRule="auto"/>
        <w:jc w:val="left"/>
        <w:rPr>
          <w:rFonts w:hint="eastAsia" w:ascii="宋体" w:hAnsi="宋体" w:eastAsia="宋体" w:cs="宋体"/>
          <w:b/>
          <w:bCs/>
          <w:color w:val="auto"/>
          <w:sz w:val="24"/>
          <w:highlight w:val="none"/>
        </w:rPr>
      </w:pPr>
      <w:r>
        <w:rPr>
          <w:rFonts w:hint="eastAsia" w:ascii="宋体" w:hAnsi="宋体" w:eastAsia="宋体" w:cs="宋体"/>
          <w:b/>
          <w:color w:val="auto"/>
          <w:sz w:val="24"/>
          <w:highlight w:val="none"/>
        </w:rPr>
        <w:t>东阳市鑫盛工程咨询有限公司</w:t>
      </w:r>
      <w:r>
        <w:rPr>
          <w:rFonts w:hint="eastAsia" w:ascii="宋体" w:hAnsi="宋体" w:eastAsia="宋体" w:cs="宋体"/>
          <w:b/>
          <w:bCs/>
          <w:color w:val="auto"/>
          <w:sz w:val="24"/>
          <w:highlight w:val="none"/>
        </w:rPr>
        <w:t>：</w:t>
      </w:r>
    </w:p>
    <w:p>
      <w:pPr>
        <w:snapToGrid w:val="0"/>
        <w:spacing w:before="50" w:after="120" w:afterLines="50" w:line="360" w:lineRule="auto"/>
        <w:ind w:firstLine="472" w:firstLineChars="196"/>
        <w:jc w:val="left"/>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若我公司中标时，在中标结果公示结束之日起3天内，愿按本招标文件总则第（五）条规定向东阳市鑫盛工程咨询有限公司支付中标服务费。    </w:t>
      </w:r>
    </w:p>
    <w:p>
      <w:pPr>
        <w:snapToGrid w:val="0"/>
        <w:spacing w:before="50" w:after="120" w:afterLines="50" w:line="360" w:lineRule="auto"/>
        <w:ind w:firstLine="472" w:firstLineChars="196"/>
        <w:jc w:val="left"/>
        <w:rPr>
          <w:rFonts w:hint="eastAsia" w:ascii="宋体" w:hAnsi="宋体" w:eastAsia="宋体" w:cs="宋体"/>
          <w:b/>
          <w:bCs/>
          <w:color w:val="auto"/>
          <w:sz w:val="24"/>
          <w:highlight w:val="none"/>
        </w:rPr>
      </w:pPr>
      <w:r>
        <w:rPr>
          <w:rFonts w:hint="eastAsia" w:ascii="宋体" w:hAnsi="宋体" w:eastAsia="宋体" w:cs="宋体"/>
          <w:b/>
          <w:color w:val="auto"/>
          <w:sz w:val="24"/>
          <w:highlight w:val="none"/>
        </w:rPr>
        <w:t>我方如未在规定时间内交纳时，承诺凭贵方开出的违约通知，按上述承诺金额标准的200%交纳，由采购人在本次招标项目的货款/服务款中直接扣缴，并同意贵方以失信单位上报东阳市财政局采监科。</w:t>
      </w:r>
    </w:p>
    <w:p>
      <w:pPr>
        <w:snapToGrid w:val="0"/>
        <w:spacing w:before="50" w:after="120" w:afterLines="50" w:line="360" w:lineRule="auto"/>
        <w:jc w:val="left"/>
        <w:rPr>
          <w:rFonts w:hint="eastAsia" w:ascii="宋体" w:hAnsi="宋体" w:eastAsia="宋体" w:cs="宋体"/>
          <w:b/>
          <w:color w:val="auto"/>
          <w:sz w:val="24"/>
          <w:highlight w:val="none"/>
        </w:rPr>
      </w:pPr>
      <w:r>
        <w:rPr>
          <w:rFonts w:hint="eastAsia" w:ascii="宋体" w:hAnsi="宋体" w:eastAsia="宋体" w:cs="宋体"/>
          <w:b/>
          <w:color w:val="auto"/>
          <w:sz w:val="24"/>
          <w:highlight w:val="none"/>
        </w:rPr>
        <w:t>特此承诺！</w:t>
      </w:r>
    </w:p>
    <w:p>
      <w:pPr>
        <w:snapToGrid w:val="0"/>
        <w:spacing w:before="50" w:after="120" w:afterLines="50" w:line="360" w:lineRule="auto"/>
        <w:jc w:val="left"/>
        <w:rPr>
          <w:rFonts w:hint="eastAsia" w:ascii="宋体" w:hAnsi="宋体" w:eastAsia="宋体" w:cs="宋体"/>
          <w:b/>
          <w:color w:val="auto"/>
          <w:sz w:val="24"/>
          <w:highlight w:val="none"/>
        </w:rPr>
      </w:pPr>
    </w:p>
    <w:p>
      <w:pPr>
        <w:snapToGrid w:val="0"/>
        <w:spacing w:before="50" w:after="120" w:afterLines="50"/>
        <w:jc w:val="left"/>
        <w:rPr>
          <w:rFonts w:hint="eastAsia" w:ascii="宋体" w:hAnsi="宋体" w:eastAsia="宋体" w:cs="宋体"/>
          <w:b/>
          <w:color w:val="auto"/>
          <w:sz w:val="24"/>
          <w:highlight w:val="none"/>
        </w:rPr>
      </w:pPr>
    </w:p>
    <w:p>
      <w:pPr>
        <w:snapToGrid w:val="0"/>
        <w:spacing w:before="50" w:after="120" w:afterLines="50"/>
        <w:jc w:val="left"/>
        <w:rPr>
          <w:rFonts w:hint="eastAsia" w:ascii="宋体" w:hAnsi="宋体" w:eastAsia="宋体" w:cs="宋体"/>
          <w:b/>
          <w:color w:val="auto"/>
          <w:sz w:val="24"/>
          <w:highlight w:val="none"/>
        </w:rPr>
      </w:pPr>
    </w:p>
    <w:p>
      <w:pPr>
        <w:snapToGrid w:val="0"/>
        <w:spacing w:before="50" w:after="120" w:afterLines="50"/>
        <w:jc w:val="left"/>
        <w:rPr>
          <w:rFonts w:hint="eastAsia" w:ascii="宋体" w:hAnsi="宋体" w:eastAsia="宋体" w:cs="宋体"/>
          <w:b/>
          <w:color w:val="auto"/>
          <w:sz w:val="24"/>
          <w:highlight w:val="none"/>
        </w:rPr>
      </w:pPr>
    </w:p>
    <w:p>
      <w:pPr>
        <w:snapToGrid w:val="0"/>
        <w:spacing w:before="50" w:after="120" w:afterLines="50"/>
        <w:jc w:val="left"/>
        <w:rPr>
          <w:rFonts w:hint="eastAsia" w:ascii="宋体" w:hAnsi="宋体" w:eastAsia="宋体" w:cs="宋体"/>
          <w:b/>
          <w:color w:val="auto"/>
          <w:sz w:val="24"/>
          <w:highlight w:val="none"/>
        </w:rPr>
      </w:pPr>
    </w:p>
    <w:p>
      <w:pPr>
        <w:snapToGrid w:val="0"/>
        <w:spacing w:before="50" w:after="120" w:afterLines="50"/>
        <w:jc w:val="left"/>
        <w:rPr>
          <w:rFonts w:hint="eastAsia" w:ascii="宋体" w:hAnsi="宋体" w:eastAsia="宋体" w:cs="宋体"/>
          <w:b/>
          <w:color w:val="auto"/>
          <w:sz w:val="24"/>
          <w:highlight w:val="none"/>
        </w:rPr>
      </w:pPr>
    </w:p>
    <w:p>
      <w:pPr>
        <w:snapToGrid w:val="0"/>
        <w:spacing w:before="50" w:after="120" w:afterLines="50"/>
        <w:ind w:firstLine="236" w:firstLineChars="98"/>
        <w:jc w:val="left"/>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承诺单位(盖章)：</w:t>
      </w:r>
    </w:p>
    <w:p>
      <w:pPr>
        <w:snapToGrid w:val="0"/>
        <w:spacing w:before="50" w:after="120" w:afterLines="50"/>
        <w:jc w:val="left"/>
        <w:rPr>
          <w:rFonts w:hint="eastAsia" w:ascii="宋体" w:hAnsi="宋体" w:eastAsia="宋体" w:cs="宋体"/>
          <w:b/>
          <w:color w:val="auto"/>
          <w:sz w:val="24"/>
          <w:highlight w:val="none"/>
        </w:rPr>
      </w:pPr>
    </w:p>
    <w:p>
      <w:pPr>
        <w:snapToGrid w:val="0"/>
        <w:spacing w:before="50" w:after="120" w:afterLines="50"/>
        <w:jc w:val="left"/>
        <w:rPr>
          <w:rFonts w:hint="eastAsia" w:ascii="宋体" w:hAnsi="宋体" w:eastAsia="宋体" w:cs="宋体"/>
          <w:b/>
          <w:color w:val="auto"/>
          <w:sz w:val="24"/>
          <w:highlight w:val="none"/>
        </w:rPr>
      </w:pPr>
    </w:p>
    <w:p>
      <w:pPr>
        <w:snapToGrid w:val="0"/>
        <w:spacing w:before="50" w:after="120" w:afterLines="50"/>
        <w:ind w:firstLine="236" w:firstLineChars="98"/>
        <w:jc w:val="left"/>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法定代表人或委托代理人(签字)：</w:t>
      </w:r>
    </w:p>
    <w:p>
      <w:pPr>
        <w:snapToGrid w:val="0"/>
        <w:spacing w:before="50" w:after="120" w:afterLines="50"/>
        <w:jc w:val="left"/>
        <w:rPr>
          <w:rFonts w:hint="eastAsia" w:ascii="宋体" w:hAnsi="宋体" w:eastAsia="宋体" w:cs="宋体"/>
          <w:b/>
          <w:bCs/>
          <w:color w:val="auto"/>
          <w:sz w:val="24"/>
          <w:highlight w:val="none"/>
        </w:rPr>
      </w:pPr>
    </w:p>
    <w:p>
      <w:pPr>
        <w:snapToGrid w:val="0"/>
        <w:spacing w:before="50" w:after="120" w:afterLines="50"/>
        <w:jc w:val="left"/>
        <w:rPr>
          <w:rFonts w:hint="eastAsia" w:ascii="宋体" w:hAnsi="宋体" w:eastAsia="宋体" w:cs="宋体"/>
          <w:b/>
          <w:bCs/>
          <w:color w:val="auto"/>
          <w:sz w:val="24"/>
          <w:highlight w:val="none"/>
        </w:rPr>
      </w:pPr>
    </w:p>
    <w:p>
      <w:pPr>
        <w:snapToGrid w:val="0"/>
        <w:spacing w:before="50" w:after="120" w:afterLines="50"/>
        <w:ind w:firstLine="5980" w:firstLineChars="2482"/>
        <w:jc w:val="left"/>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年     月    日</w:t>
      </w:r>
    </w:p>
    <w:p>
      <w:pPr>
        <w:snapToGrid w:val="0"/>
        <w:spacing w:before="50" w:after="120" w:afterLines="50"/>
        <w:jc w:val="left"/>
        <w:rPr>
          <w:rFonts w:hint="eastAsia" w:ascii="宋体" w:hAnsi="宋体" w:eastAsia="宋体" w:cs="宋体"/>
          <w:b/>
          <w:color w:val="auto"/>
          <w:sz w:val="24"/>
          <w:highlight w:val="none"/>
        </w:rPr>
      </w:pPr>
    </w:p>
    <w:p>
      <w:pPr>
        <w:snapToGrid w:val="0"/>
        <w:spacing w:before="120" w:beforeLines="50" w:after="50" w:line="276" w:lineRule="auto"/>
        <w:jc w:val="left"/>
        <w:rPr>
          <w:rFonts w:hint="eastAsia" w:ascii="宋体" w:hAnsi="宋体" w:eastAsia="宋体" w:cs="宋体"/>
          <w:color w:val="auto"/>
          <w:sz w:val="24"/>
          <w:highlight w:val="none"/>
        </w:rPr>
      </w:pPr>
    </w:p>
    <w:p>
      <w:pPr>
        <w:snapToGrid w:val="0"/>
        <w:spacing w:before="120" w:beforeLines="50" w:after="50" w:line="276" w:lineRule="auto"/>
        <w:jc w:val="left"/>
        <w:rPr>
          <w:rFonts w:hint="eastAsia" w:ascii="宋体" w:hAnsi="宋体" w:eastAsia="宋体" w:cs="宋体"/>
          <w:color w:val="auto"/>
          <w:sz w:val="24"/>
          <w:highlight w:val="none"/>
        </w:rPr>
      </w:pPr>
    </w:p>
    <w:p>
      <w:pPr>
        <w:snapToGrid w:val="0"/>
        <w:spacing w:before="120" w:beforeLines="50" w:after="50" w:line="276" w:lineRule="auto"/>
        <w:jc w:val="left"/>
        <w:rPr>
          <w:rFonts w:hint="eastAsia" w:ascii="宋体" w:hAnsi="宋体" w:eastAsia="宋体" w:cs="宋体"/>
          <w:color w:val="auto"/>
          <w:sz w:val="24"/>
          <w:highlight w:val="none"/>
        </w:rPr>
      </w:pPr>
    </w:p>
    <w:p>
      <w:pPr>
        <w:rPr>
          <w:rFonts w:hint="eastAsia" w:ascii="宋体" w:hAnsi="宋体" w:eastAsia="宋体" w:cs="宋体"/>
          <w:bCs/>
          <w:color w:val="auto"/>
          <w:sz w:val="24"/>
          <w:highlight w:val="none"/>
        </w:rPr>
      </w:pPr>
      <w:bookmarkStart w:id="94" w:name="_Toc514425251"/>
      <w:bookmarkStart w:id="95" w:name="_Toc7166659"/>
    </w:p>
    <w:bookmarkEnd w:id="94"/>
    <w:bookmarkEnd w:id="95"/>
    <w:p>
      <w:pPr>
        <w:rPr>
          <w:rFonts w:hint="eastAsia" w:ascii="宋体" w:hAnsi="宋体" w:eastAsia="宋体" w:cs="宋体"/>
          <w:b/>
          <w:color w:val="auto"/>
          <w:sz w:val="24"/>
          <w:highlight w:val="none"/>
        </w:rPr>
      </w:pPr>
    </w:p>
    <w:p>
      <w:pPr>
        <w:pageBreakBefore/>
        <w:spacing w:before="260" w:after="260" w:line="415" w:lineRule="auto"/>
        <w:outlineLvl w:val="1"/>
        <w:rPr>
          <w:rFonts w:hint="eastAsia" w:ascii="宋体" w:hAnsi="宋体" w:eastAsia="宋体" w:cs="宋体"/>
          <w:bCs/>
          <w:color w:val="auto"/>
          <w:sz w:val="24"/>
          <w:highlight w:val="none"/>
        </w:rPr>
      </w:pPr>
      <w:bookmarkStart w:id="96" w:name="_Toc496598995"/>
      <w:bookmarkStart w:id="97" w:name="_Toc28588"/>
      <w:r>
        <w:rPr>
          <w:rFonts w:hint="eastAsia" w:ascii="宋体" w:hAnsi="宋体" w:eastAsia="宋体" w:cs="宋体"/>
          <w:bCs/>
          <w:color w:val="auto"/>
          <w:sz w:val="24"/>
          <w:highlight w:val="none"/>
        </w:rPr>
        <w:t>附件</w:t>
      </w:r>
      <w:r>
        <w:rPr>
          <w:rFonts w:hint="eastAsia" w:ascii="宋体" w:hAnsi="宋体" w:cs="宋体"/>
          <w:bCs/>
          <w:color w:val="auto"/>
          <w:sz w:val="24"/>
          <w:highlight w:val="none"/>
          <w:lang w:val="en-US" w:eastAsia="zh-CN"/>
        </w:rPr>
        <w:t>十四</w:t>
      </w:r>
      <w:r>
        <w:rPr>
          <w:rFonts w:hint="eastAsia" w:ascii="宋体" w:hAnsi="宋体" w:eastAsia="宋体" w:cs="宋体"/>
          <w:bCs/>
          <w:color w:val="auto"/>
          <w:sz w:val="24"/>
          <w:highlight w:val="none"/>
        </w:rPr>
        <w:t>:</w:t>
      </w:r>
      <w:bookmarkEnd w:id="96"/>
      <w:r>
        <w:rPr>
          <w:rFonts w:hint="eastAsia" w:ascii="宋体" w:hAnsi="宋体" w:cs="宋体"/>
          <w:bCs/>
          <w:color w:val="auto"/>
          <w:sz w:val="24"/>
          <w:highlight w:val="none"/>
          <w:lang w:val="en-US" w:eastAsia="zh-CN"/>
        </w:rPr>
        <w:t xml:space="preserve"> </w:t>
      </w:r>
      <w:r>
        <w:rPr>
          <w:rFonts w:hint="eastAsia" w:ascii="宋体" w:hAnsi="宋体" w:eastAsia="宋体" w:cs="宋体"/>
          <w:bCs/>
          <w:color w:val="auto"/>
          <w:sz w:val="24"/>
          <w:highlight w:val="none"/>
        </w:rPr>
        <w:t>投标函</w:t>
      </w:r>
      <w:bookmarkEnd w:id="97"/>
    </w:p>
    <w:p>
      <w:pPr>
        <w:snapToGrid w:val="0"/>
        <w:spacing w:line="360" w:lineRule="auto"/>
        <w:jc w:val="center"/>
        <w:rPr>
          <w:rFonts w:hint="eastAsia" w:ascii="宋体" w:hAnsi="宋体" w:eastAsia="宋体" w:cs="宋体"/>
          <w:b/>
          <w:color w:val="auto"/>
          <w:kern w:val="0"/>
          <w:sz w:val="32"/>
          <w:szCs w:val="32"/>
          <w:highlight w:val="none"/>
          <w:lang w:val="en-US" w:eastAsia="zh-CN"/>
        </w:rPr>
      </w:pPr>
      <w:r>
        <w:rPr>
          <w:rFonts w:hint="eastAsia" w:ascii="宋体" w:hAnsi="宋体" w:eastAsia="宋体" w:cs="宋体"/>
          <w:b/>
          <w:color w:val="auto"/>
          <w:kern w:val="0"/>
          <w:sz w:val="32"/>
          <w:szCs w:val="32"/>
          <w:highlight w:val="none"/>
          <w:lang w:val="en-US" w:eastAsia="zh-CN"/>
        </w:rPr>
        <w:t>投 标 函</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致：</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（招标采购单位名称）：</w:t>
      </w:r>
    </w:p>
    <w:p>
      <w:pPr>
        <w:snapToGrid w:val="0"/>
        <w:spacing w:line="360" w:lineRule="auto"/>
        <w:ind w:firstLine="480"/>
        <w:rPr>
          <w:rFonts w:hint="eastAsia" w:ascii="宋体" w:hAnsi="宋体" w:eastAsia="宋体" w:cs="宋体"/>
          <w:color w:val="auto"/>
          <w:sz w:val="24"/>
          <w:highlight w:val="none"/>
        </w:rPr>
      </w:pPr>
      <w:r>
        <w:rPr>
          <w:rFonts w:hint="eastAsia" w:ascii="宋体" w:hAnsi="宋体" w:eastAsia="宋体" w:cs="宋体"/>
          <w:color w:val="auto"/>
          <w:sz w:val="24"/>
          <w:highlight w:val="none"/>
        </w:rPr>
        <w:t>根据贵方为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项目的招标公告/投标邀请书</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（项目编号：</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），签字代表</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（全名）经正式授权并代表投标人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（投标人名称）提交电子投标文件。</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据此函，签字代表宣布同意如下：</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1.投标人已详细审查全部“招标文件”，包括修改文件（如有的话）以及全部参考资料和有关附件，已经了解我方对于招标文件、采购过程、采购结果有依法进行询问、质疑、投诉的权利及相关渠道和要求。</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2.投标人在投标之前已经与贵方进行了充分的沟通，完全理解并接受招标文件的各项规定和要求，对招标文件的合理性、合法性不再有异议。</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3.本投标有效期自开标日起 ______天。</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4.如中标，本投标文件至本项目合同履行完毕止均保持有效，本投标人将按“招标文件”及政府采购法律、法规的规定履行合同责任和义务。</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5.投标人同意按照贵方要求提供与投标有关的一切数据或资料。</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6.与本投标有关的一切正式往来信函请寄：</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地址：__________</w:t>
      </w:r>
      <w:r>
        <w:rPr>
          <w:rFonts w:hint="eastAsia" w:ascii="宋体" w:hAnsi="宋体" w:eastAsia="宋体" w:cs="宋体"/>
          <w:color w:val="auto"/>
          <w:sz w:val="24"/>
          <w:highlight w:val="none"/>
          <w:u w:val="single"/>
        </w:rPr>
        <w:t xml:space="preserve">        _</w:t>
      </w:r>
      <w:r>
        <w:rPr>
          <w:rFonts w:hint="eastAsia" w:ascii="宋体" w:hAnsi="宋体" w:eastAsia="宋体" w:cs="宋体"/>
          <w:color w:val="auto"/>
          <w:sz w:val="24"/>
          <w:highlight w:val="none"/>
        </w:rPr>
        <w:t>____邮编：__________   电话：______________</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传真：______________投标人代表姓名 ___________  职务：______</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_______</w:t>
      </w:r>
    </w:p>
    <w:p>
      <w:pPr>
        <w:snapToGrid w:val="0"/>
        <w:spacing w:line="360" w:lineRule="auto"/>
        <w:rPr>
          <w:rFonts w:hint="eastAsia" w:ascii="宋体" w:hAnsi="宋体" w:eastAsia="宋体" w:cs="宋体"/>
          <w:color w:val="auto"/>
          <w:sz w:val="24"/>
          <w:highlight w:val="none"/>
        </w:rPr>
      </w:pPr>
    </w:p>
    <w:p>
      <w:pPr>
        <w:snapToGrid w:val="0"/>
        <w:spacing w:line="360" w:lineRule="auto"/>
        <w:rPr>
          <w:rFonts w:hint="eastAsia" w:ascii="宋体" w:hAnsi="宋体" w:eastAsia="宋体" w:cs="宋体"/>
          <w:color w:val="auto"/>
          <w:sz w:val="24"/>
          <w:highlight w:val="none"/>
        </w:rPr>
      </w:pP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投标人名称(公章):___________________</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委托代理人签字:___________ </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日期:_____年___月___日</w:t>
      </w:r>
    </w:p>
    <w:p>
      <w:pPr>
        <w:snapToGrid w:val="0"/>
        <w:spacing w:before="156" w:after="156" w:line="360" w:lineRule="auto"/>
        <w:rPr>
          <w:rFonts w:hint="eastAsia" w:ascii="宋体" w:hAnsi="宋体" w:eastAsia="宋体" w:cs="宋体"/>
          <w:color w:val="auto"/>
          <w:sz w:val="24"/>
          <w:highlight w:val="none"/>
        </w:rPr>
      </w:pPr>
    </w:p>
    <w:p>
      <w:pPr>
        <w:snapToGrid w:val="0"/>
        <w:spacing w:before="50" w:after="120" w:afterLines="50"/>
        <w:jc w:val="left"/>
        <w:rPr>
          <w:rFonts w:hint="eastAsia" w:ascii="宋体" w:hAnsi="宋体" w:eastAsia="宋体" w:cs="宋体"/>
          <w:b/>
          <w:color w:val="auto"/>
          <w:sz w:val="24"/>
          <w:highlight w:val="none"/>
        </w:rPr>
      </w:pPr>
    </w:p>
    <w:p>
      <w:pPr>
        <w:snapToGrid w:val="0"/>
        <w:spacing w:before="50" w:after="120" w:afterLines="50"/>
        <w:jc w:val="left"/>
        <w:rPr>
          <w:rFonts w:hint="eastAsia" w:ascii="宋体" w:hAnsi="宋体" w:eastAsia="宋体" w:cs="宋体"/>
          <w:b/>
          <w:color w:val="auto"/>
          <w:sz w:val="24"/>
          <w:highlight w:val="none"/>
        </w:rPr>
      </w:pPr>
    </w:p>
    <w:p>
      <w:pPr>
        <w:snapToGrid w:val="0"/>
        <w:spacing w:before="50" w:after="120" w:afterLines="50"/>
        <w:jc w:val="left"/>
        <w:rPr>
          <w:rFonts w:hint="eastAsia" w:ascii="宋体" w:hAnsi="宋体" w:eastAsia="宋体" w:cs="宋体"/>
          <w:b/>
          <w:color w:val="auto"/>
          <w:sz w:val="24"/>
          <w:highlight w:val="none"/>
        </w:rPr>
      </w:pPr>
    </w:p>
    <w:p>
      <w:pPr>
        <w:rPr>
          <w:rFonts w:hint="eastAsia" w:ascii="宋体" w:hAnsi="宋体" w:eastAsia="宋体" w:cs="宋体"/>
          <w:color w:val="auto"/>
          <w:sz w:val="24"/>
          <w:highlight w:val="none"/>
        </w:rPr>
      </w:pPr>
      <w:bookmarkStart w:id="98" w:name="_Toc496598998"/>
    </w:p>
    <w:p>
      <w:pPr>
        <w:keepNext/>
        <w:keepLines/>
        <w:spacing w:before="260" w:after="260" w:line="360" w:lineRule="auto"/>
        <w:outlineLvl w:val="1"/>
        <w:rPr>
          <w:rFonts w:hint="eastAsia" w:ascii="宋体" w:hAnsi="宋体" w:eastAsia="宋体" w:cs="宋体"/>
          <w:bCs/>
          <w:color w:val="auto"/>
          <w:sz w:val="24"/>
          <w:highlight w:val="none"/>
          <w:lang w:val="en-US" w:eastAsia="zh-CN"/>
        </w:rPr>
      </w:pPr>
      <w:bookmarkStart w:id="99" w:name="_Toc1901"/>
      <w:r>
        <w:rPr>
          <w:rFonts w:hint="eastAsia" w:ascii="宋体" w:hAnsi="宋体" w:eastAsia="宋体" w:cs="宋体"/>
          <w:bCs/>
          <w:color w:val="auto"/>
          <w:sz w:val="24"/>
          <w:highlight w:val="none"/>
        </w:rPr>
        <w:t>附件十</w:t>
      </w:r>
      <w:r>
        <w:rPr>
          <w:rFonts w:hint="eastAsia" w:ascii="宋体" w:hAnsi="宋体" w:cs="宋体"/>
          <w:bCs/>
          <w:color w:val="auto"/>
          <w:sz w:val="24"/>
          <w:highlight w:val="none"/>
          <w:lang w:val="en-US" w:eastAsia="zh-CN"/>
        </w:rPr>
        <w:t>五</w:t>
      </w:r>
      <w:r>
        <w:rPr>
          <w:rFonts w:hint="eastAsia" w:ascii="宋体" w:hAnsi="宋体" w:eastAsia="宋体" w:cs="宋体"/>
          <w:bCs/>
          <w:color w:val="auto"/>
          <w:sz w:val="24"/>
          <w:highlight w:val="none"/>
        </w:rPr>
        <w:t>：开标一览表</w:t>
      </w:r>
      <w:bookmarkEnd w:id="99"/>
    </w:p>
    <w:p>
      <w:pPr>
        <w:snapToGrid w:val="0"/>
        <w:spacing w:line="360" w:lineRule="auto"/>
        <w:jc w:val="center"/>
        <w:rPr>
          <w:rFonts w:hint="eastAsia" w:ascii="宋体" w:hAnsi="宋体" w:eastAsia="宋体" w:cs="宋体"/>
          <w:b/>
          <w:color w:val="auto"/>
          <w:kern w:val="0"/>
          <w:sz w:val="32"/>
          <w:szCs w:val="32"/>
          <w:highlight w:val="none"/>
          <w:lang w:val="en-US" w:eastAsia="zh-CN"/>
        </w:rPr>
      </w:pPr>
      <w:r>
        <w:rPr>
          <w:rFonts w:hint="eastAsia" w:ascii="宋体" w:hAnsi="宋体" w:eastAsia="宋体" w:cs="宋体"/>
          <w:b/>
          <w:color w:val="auto"/>
          <w:kern w:val="0"/>
          <w:sz w:val="32"/>
          <w:szCs w:val="32"/>
          <w:highlight w:val="none"/>
          <w:lang w:val="en-US" w:eastAsia="zh-CN"/>
        </w:rPr>
        <w:t>开标一览表</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招标编号：                             </w:t>
      </w:r>
    </w:p>
    <w:p>
      <w:pPr>
        <w:spacing w:line="360" w:lineRule="auto"/>
        <w:rPr>
          <w:rFonts w:hint="eastAsia" w:ascii="宋体" w:hAnsi="宋体" w:eastAsia="宋体" w:cs="宋体"/>
          <w:b/>
          <w:color w:val="auto"/>
          <w:sz w:val="24"/>
          <w:highlight w:val="none"/>
          <w:lang w:eastAsia="zh-CN"/>
        </w:rPr>
      </w:pPr>
      <w:r>
        <w:rPr>
          <w:rFonts w:hint="eastAsia" w:ascii="宋体" w:hAnsi="宋体" w:eastAsia="宋体" w:cs="宋体"/>
          <w:b/>
          <w:color w:val="auto"/>
          <w:sz w:val="24"/>
          <w:highlight w:val="none"/>
        </w:rPr>
        <w:t xml:space="preserve">投标人名称：                                          </w:t>
      </w:r>
      <w:r>
        <w:rPr>
          <w:rFonts w:hint="eastAsia" w:ascii="宋体" w:hAnsi="宋体" w:eastAsia="宋体" w:cs="宋体"/>
          <w:b/>
          <w:color w:val="auto"/>
          <w:sz w:val="24"/>
          <w:highlight w:val="none"/>
          <w:lang w:val="en-US" w:eastAsia="zh-CN"/>
        </w:rPr>
        <w:t xml:space="preserve">   </w:t>
      </w:r>
    </w:p>
    <w:tbl>
      <w:tblPr>
        <w:tblStyle w:val="22"/>
        <w:tblW w:w="9979"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5603"/>
        <w:gridCol w:w="4376"/>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554" w:hRule="atLeast"/>
        </w:trPr>
        <w:tc>
          <w:tcPr>
            <w:tcW w:w="5603"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ascii="宋体" w:hAnsi="宋体"/>
                <w:b/>
                <w:color w:val="auto"/>
                <w:sz w:val="24"/>
                <w:highlight w:val="none"/>
              </w:rPr>
            </w:pPr>
            <w:r>
              <w:rPr>
                <w:rFonts w:hint="eastAsia" w:ascii="宋体" w:hAnsi="宋体"/>
                <w:b/>
                <w:color w:val="auto"/>
                <w:sz w:val="24"/>
                <w:highlight w:val="none"/>
              </w:rPr>
              <w:t>采购内容</w:t>
            </w:r>
          </w:p>
        </w:tc>
        <w:tc>
          <w:tcPr>
            <w:tcW w:w="4376"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hint="eastAsia" w:ascii="宋体" w:hAnsi="宋体" w:eastAsia="宋体"/>
                <w:b/>
                <w:color w:val="auto"/>
                <w:sz w:val="24"/>
                <w:highlight w:val="none"/>
                <w:lang w:eastAsia="zh-CN"/>
              </w:rPr>
            </w:pPr>
            <w:r>
              <w:rPr>
                <w:rFonts w:hint="eastAsia" w:ascii="宋体" w:hAnsi="宋体"/>
                <w:b/>
                <w:color w:val="auto"/>
                <w:sz w:val="24"/>
                <w:highlight w:val="none"/>
              </w:rPr>
              <w:t>投标报价</w:t>
            </w:r>
            <w:r>
              <w:rPr>
                <w:rFonts w:hint="eastAsia" w:ascii="宋体" w:hAnsi="宋体"/>
                <w:b/>
                <w:color w:val="auto"/>
                <w:sz w:val="24"/>
                <w:highlight w:val="none"/>
                <w:lang w:eastAsia="zh-CN"/>
              </w:rPr>
              <w:t>（</w:t>
            </w:r>
            <w:r>
              <w:rPr>
                <w:rFonts w:hint="eastAsia" w:ascii="宋体" w:hAnsi="宋体"/>
                <w:b/>
                <w:color w:val="auto"/>
                <w:sz w:val="24"/>
                <w:highlight w:val="none"/>
                <w:lang w:val="en-US" w:eastAsia="zh-CN"/>
              </w:rPr>
              <w:t>元</w:t>
            </w:r>
            <w:r>
              <w:rPr>
                <w:rFonts w:hint="eastAsia" w:ascii="宋体" w:hAnsi="宋体"/>
                <w:b/>
                <w:color w:val="auto"/>
                <w:sz w:val="24"/>
                <w:highlight w:val="none"/>
                <w:lang w:eastAsia="zh-CN"/>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99" w:hRule="atLeast"/>
        </w:trPr>
        <w:tc>
          <w:tcPr>
            <w:tcW w:w="5603"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hint="eastAsia" w:ascii="宋体" w:hAnsi="宋体" w:eastAsia="宋体"/>
                <w:color w:val="auto"/>
                <w:sz w:val="24"/>
                <w:highlight w:val="none"/>
                <w:lang w:eastAsia="zh-CN"/>
              </w:rPr>
            </w:pPr>
          </w:p>
        </w:tc>
        <w:tc>
          <w:tcPr>
            <w:tcW w:w="4376"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ascii="宋体" w:hAnsi="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93" w:hRule="atLeast"/>
        </w:trPr>
        <w:tc>
          <w:tcPr>
            <w:tcW w:w="9979" w:type="dxa"/>
            <w:gridSpan w:val="2"/>
            <w:tcBorders>
              <w:top w:val="single" w:color="auto" w:sz="4" w:space="0"/>
              <w:left w:val="single" w:color="auto" w:sz="4" w:space="0"/>
              <w:bottom w:val="single" w:color="auto" w:sz="4" w:space="0"/>
              <w:right w:val="single" w:color="auto" w:sz="4" w:space="0"/>
            </w:tcBorders>
            <w:vAlign w:val="center"/>
          </w:tcPr>
          <w:p>
            <w:pPr>
              <w:snapToGrid w:val="0"/>
              <w:spacing w:before="50" w:after="50"/>
              <w:jc w:val="both"/>
              <w:rPr>
                <w:rFonts w:ascii="宋体" w:hAnsi="宋体"/>
                <w:color w:val="auto"/>
                <w:sz w:val="24"/>
                <w:highlight w:val="none"/>
              </w:rPr>
            </w:pPr>
            <w:r>
              <w:rPr>
                <w:rFonts w:hint="eastAsia" w:ascii="宋体" w:hAnsi="宋体"/>
                <w:color w:val="auto"/>
                <w:sz w:val="24"/>
                <w:highlight w:val="none"/>
              </w:rPr>
              <w:t>投标报价大写（人民币）：</w:t>
            </w:r>
            <w:r>
              <w:rPr>
                <w:rFonts w:hint="eastAsia" w:ascii="宋体" w:hAnsi="宋体"/>
                <w:color w:val="auto"/>
                <w:sz w:val="24"/>
                <w:highlight w:val="none"/>
                <w:u w:val="single"/>
              </w:rPr>
              <w:t xml:space="preserve">                           </w:t>
            </w:r>
            <w:r>
              <w:rPr>
                <w:rFonts w:hint="eastAsia" w:ascii="宋体" w:hAnsi="宋体"/>
                <w:color w:val="auto"/>
                <w:sz w:val="24"/>
                <w:highlight w:val="none"/>
              </w:rPr>
              <w:t xml:space="preserve"> 小写：</w:t>
            </w:r>
            <w:r>
              <w:rPr>
                <w:rFonts w:hint="eastAsia" w:ascii="宋体" w:hAnsi="宋体"/>
                <w:color w:val="auto"/>
                <w:sz w:val="24"/>
                <w:highlight w:val="none"/>
                <w:u w:val="single"/>
              </w:rPr>
              <w:t xml:space="preserve">                    </w:t>
            </w:r>
          </w:p>
        </w:tc>
      </w:tr>
    </w:tbl>
    <w:p>
      <w:pPr>
        <w:spacing w:line="360" w:lineRule="auto"/>
        <w:jc w:val="left"/>
        <w:rPr>
          <w:rFonts w:hint="eastAsia" w:ascii="宋体" w:hAnsi="宋体" w:eastAsia="宋体" w:cs="宋体"/>
          <w:color w:val="auto"/>
          <w:sz w:val="24"/>
          <w:highlight w:val="none"/>
        </w:rPr>
      </w:pPr>
    </w:p>
    <w:p>
      <w:pPr>
        <w:spacing w:line="360" w:lineRule="auto"/>
        <w:jc w:val="left"/>
        <w:rPr>
          <w:rFonts w:hint="eastAsia" w:ascii="宋体" w:hAnsi="宋体"/>
          <w:color w:val="auto"/>
          <w:sz w:val="24"/>
          <w:highlight w:val="none"/>
        </w:rPr>
      </w:pPr>
      <w:r>
        <w:rPr>
          <w:rFonts w:hint="eastAsia" w:ascii="宋体" w:hAnsi="宋体" w:eastAsia="宋体" w:cs="宋体"/>
          <w:color w:val="auto"/>
          <w:sz w:val="24"/>
          <w:highlight w:val="none"/>
        </w:rPr>
        <w:t>注</w:t>
      </w:r>
      <w:r>
        <w:rPr>
          <w:rFonts w:hint="eastAsia" w:ascii="宋体" w:hAnsi="宋体" w:eastAsia="宋体" w:cs="宋体"/>
          <w:color w:val="auto"/>
          <w:sz w:val="24"/>
          <w:highlight w:val="none"/>
          <w:lang w:eastAsia="zh-CN"/>
        </w:rPr>
        <w:t>：</w:t>
      </w:r>
      <w:r>
        <w:rPr>
          <w:rFonts w:hint="eastAsia" w:ascii="宋体" w:hAnsi="宋体"/>
          <w:color w:val="auto"/>
          <w:sz w:val="24"/>
          <w:highlight w:val="none"/>
        </w:rPr>
        <w:t>1、</w:t>
      </w:r>
      <w:r>
        <w:rPr>
          <w:rFonts w:hint="eastAsia" w:ascii="宋体" w:hAnsi="宋体"/>
          <w:color w:val="auto"/>
          <w:sz w:val="24"/>
          <w:highlight w:val="none"/>
          <w:lang w:val="en-US" w:eastAsia="zh-CN"/>
        </w:rPr>
        <w:t>投</w:t>
      </w:r>
      <w:r>
        <w:rPr>
          <w:rFonts w:hint="eastAsia" w:ascii="宋体" w:hAnsi="宋体"/>
          <w:color w:val="auto"/>
          <w:sz w:val="24"/>
          <w:highlight w:val="none"/>
        </w:rPr>
        <w:t>标报价一栏必须填写，否则其投标作无效标处理。</w:t>
      </w:r>
    </w:p>
    <w:p>
      <w:pPr>
        <w:numPr>
          <w:ilvl w:val="0"/>
          <w:numId w:val="22"/>
        </w:numPr>
        <w:spacing w:line="360" w:lineRule="auto"/>
        <w:ind w:firstLine="480" w:firstLineChars="200"/>
        <w:jc w:val="left"/>
        <w:rPr>
          <w:rFonts w:hint="eastAsia" w:ascii="宋体" w:hAnsi="宋体" w:cs="Arial"/>
          <w:bCs/>
          <w:color w:val="auto"/>
          <w:sz w:val="24"/>
          <w:highlight w:val="none"/>
        </w:rPr>
      </w:pPr>
      <w:r>
        <w:rPr>
          <w:rFonts w:hint="eastAsia" w:ascii="宋体" w:hAnsi="宋体"/>
          <w:color w:val="auto"/>
          <w:sz w:val="24"/>
          <w:highlight w:val="none"/>
        </w:rPr>
        <w:t>投标报价一经涂改，应在涂改处加盖单位公章或者由法定代表人或授权委托人签字或盖章，否则其投标作无效标处理</w:t>
      </w:r>
      <w:r>
        <w:rPr>
          <w:rFonts w:hint="eastAsia" w:ascii="宋体" w:hAnsi="宋体" w:cs="Arial"/>
          <w:bCs/>
          <w:color w:val="auto"/>
          <w:sz w:val="24"/>
          <w:highlight w:val="none"/>
        </w:rPr>
        <w:t>；</w:t>
      </w:r>
    </w:p>
    <w:p>
      <w:pPr>
        <w:pStyle w:val="4"/>
        <w:spacing w:line="360" w:lineRule="auto"/>
        <w:ind w:left="0" w:leftChars="0" w:firstLine="480" w:firstLineChars="200"/>
        <w:rPr>
          <w:rFonts w:hint="eastAsia" w:ascii="宋体" w:hAnsi="宋体" w:cs="宋体"/>
          <w:color w:val="auto"/>
          <w:sz w:val="24"/>
          <w:highlight w:val="none"/>
          <w:lang w:eastAsia="zh-CN"/>
        </w:rPr>
      </w:pPr>
      <w:r>
        <w:rPr>
          <w:rFonts w:hint="eastAsia" w:ascii="宋体" w:hAnsi="宋体" w:cs="宋体"/>
          <w:color w:val="auto"/>
          <w:sz w:val="24"/>
          <w:highlight w:val="none"/>
          <w:lang w:val="en-US" w:eastAsia="zh-CN"/>
        </w:rPr>
        <w:t>3、</w:t>
      </w:r>
      <w:r>
        <w:rPr>
          <w:rFonts w:hint="eastAsia" w:ascii="宋体" w:hAnsi="宋体" w:cs="宋体"/>
          <w:color w:val="auto"/>
          <w:sz w:val="24"/>
          <w:highlight w:val="none"/>
          <w:lang w:eastAsia="zh-CN"/>
        </w:rPr>
        <w:t>投标报价应包括完成本项目所有相关工作可能发生的一切费用，包括所投货物及备品、备件、辅配件和专用工具费用、税费及包装、运至最终目的地的运输、施工、保险、检测、验收、安装、调试、技术支持与培训、售后服务与维保及相关劳务支出等工作所发生的全部费用以及投标人企业利润、税金和政策性文件规定及合同包含的所有风险、责任等各项应有费用。总包管理费按</w:t>
      </w:r>
      <w:r>
        <w:rPr>
          <w:rFonts w:hint="eastAsia" w:ascii="宋体" w:hAnsi="宋体" w:cs="宋体"/>
          <w:color w:val="auto"/>
          <w:sz w:val="24"/>
          <w:highlight w:val="none"/>
          <w:lang w:val="en-US" w:eastAsia="zh-CN"/>
        </w:rPr>
        <w:t>3</w:t>
      </w:r>
      <w:r>
        <w:rPr>
          <w:rFonts w:hint="eastAsia" w:ascii="宋体" w:hAnsi="宋体" w:cs="宋体"/>
          <w:color w:val="auto"/>
          <w:sz w:val="24"/>
          <w:highlight w:val="none"/>
          <w:lang w:eastAsia="zh-CN"/>
        </w:rPr>
        <w:t>%，在报价中综合考虑。投标人投标报价为投标人所能承受的整个项目的一次性最终最低报价，如有漏项，视同已包含在本项目投标报价中，合同总价不做调整。</w:t>
      </w:r>
    </w:p>
    <w:p>
      <w:pPr>
        <w:pStyle w:val="4"/>
        <w:spacing w:line="360" w:lineRule="auto"/>
        <w:ind w:left="0" w:leftChars="0" w:firstLine="480" w:firstLineChars="200"/>
        <w:rPr>
          <w:rFonts w:hint="eastAsia" w:ascii="宋体" w:hAnsi="宋体" w:eastAsia="宋体" w:cs="宋体"/>
          <w:color w:val="auto"/>
          <w:sz w:val="24"/>
          <w:highlight w:val="none"/>
          <w:lang w:eastAsia="zh-CN"/>
        </w:rPr>
      </w:pPr>
      <w:r>
        <w:rPr>
          <w:rFonts w:hint="eastAsia" w:ascii="宋体" w:hAnsi="宋体" w:cs="宋体"/>
          <w:color w:val="auto"/>
          <w:sz w:val="24"/>
          <w:highlight w:val="none"/>
          <w:lang w:eastAsia="zh-CN"/>
        </w:rPr>
        <w:t>报价为固定价格，在合同执行过程中不因交货时间更改、物价变动、政策变动、投标人漏项或少报等风险因素而调整。</w:t>
      </w:r>
    </w:p>
    <w:p>
      <w:pPr>
        <w:numPr>
          <w:ilvl w:val="0"/>
          <w:numId w:val="0"/>
        </w:numPr>
        <w:snapToGrid/>
        <w:spacing w:line="360" w:lineRule="auto"/>
        <w:ind w:firstLine="480" w:firstLineChars="200"/>
        <w:jc w:val="left"/>
        <w:rPr>
          <w:rFonts w:hint="eastAsia" w:ascii="宋体" w:hAnsi="宋体" w:eastAsia="宋体" w:cs="Times New Roman"/>
          <w:color w:val="auto"/>
          <w:sz w:val="24"/>
          <w:highlight w:val="none"/>
        </w:rPr>
      </w:pPr>
      <w:r>
        <w:rPr>
          <w:rFonts w:hint="eastAsia" w:ascii="宋体" w:hAnsi="宋体" w:cs="Times New Roman"/>
          <w:color w:val="auto"/>
          <w:sz w:val="24"/>
          <w:highlight w:val="none"/>
          <w:lang w:val="en-US" w:eastAsia="zh-CN"/>
        </w:rPr>
        <w:t>4、</w:t>
      </w:r>
      <w:r>
        <w:rPr>
          <w:rFonts w:hint="eastAsia" w:ascii="宋体" w:hAnsi="宋体" w:eastAsia="宋体" w:cs="Times New Roman"/>
          <w:color w:val="auto"/>
          <w:sz w:val="24"/>
          <w:highlight w:val="none"/>
        </w:rPr>
        <w:t>本表格式不允许修改，否则作无效标处理。</w:t>
      </w:r>
    </w:p>
    <w:p>
      <w:pPr>
        <w:pStyle w:val="4"/>
        <w:spacing w:line="360" w:lineRule="auto"/>
        <w:ind w:left="0" w:leftChars="0" w:firstLine="480" w:firstLineChars="200"/>
        <w:rPr>
          <w:rFonts w:hint="eastAsia" w:ascii="宋体" w:hAnsi="宋体" w:cs="宋体"/>
          <w:color w:val="auto"/>
          <w:sz w:val="24"/>
          <w:highlight w:val="none"/>
          <w:lang w:val="en-US" w:eastAsia="zh-CN"/>
        </w:rPr>
      </w:pPr>
    </w:p>
    <w:p>
      <w:pPr>
        <w:spacing w:line="440" w:lineRule="exact"/>
        <w:rPr>
          <w:rFonts w:hint="eastAsia" w:ascii="宋体" w:hAnsi="宋体" w:eastAsia="宋体" w:cs="宋体"/>
          <w:color w:val="auto"/>
          <w:sz w:val="24"/>
          <w:highlight w:val="none"/>
        </w:rPr>
      </w:pPr>
    </w:p>
    <w:p>
      <w:pPr>
        <w:spacing w:line="440" w:lineRule="exact"/>
        <w:rPr>
          <w:rFonts w:hint="eastAsia" w:ascii="宋体" w:hAnsi="宋体" w:eastAsia="宋体" w:cs="宋体"/>
          <w:color w:val="auto"/>
          <w:sz w:val="24"/>
          <w:highlight w:val="none"/>
        </w:rPr>
      </w:pPr>
    </w:p>
    <w:p>
      <w:pPr>
        <w:spacing w:line="44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法定代表人或委托代理人（签字或盖章）：</w:t>
      </w:r>
    </w:p>
    <w:p>
      <w:pPr>
        <w:spacing w:line="440" w:lineRule="exact"/>
        <w:rPr>
          <w:rFonts w:hint="eastAsia" w:ascii="宋体" w:hAnsi="宋体" w:eastAsia="宋体" w:cs="宋体"/>
          <w:color w:val="auto"/>
          <w:sz w:val="24"/>
          <w:highlight w:val="none"/>
        </w:rPr>
      </w:pPr>
    </w:p>
    <w:p>
      <w:pPr>
        <w:spacing w:line="44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投标人名称（盖章）：     </w:t>
      </w:r>
    </w:p>
    <w:p>
      <w:pPr>
        <w:spacing w:line="44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日期：    年   月   日</w:t>
      </w:r>
    </w:p>
    <w:p>
      <w:pPr>
        <w:pStyle w:val="9"/>
        <w:rPr>
          <w:rFonts w:hint="eastAsia" w:ascii="宋体" w:hAnsi="宋体" w:eastAsia="宋体" w:cs="宋体"/>
          <w:color w:val="auto"/>
          <w:sz w:val="24"/>
          <w:highlight w:val="none"/>
        </w:rPr>
      </w:pPr>
    </w:p>
    <w:p>
      <w:pPr>
        <w:keepNext/>
        <w:keepLines/>
        <w:spacing w:before="260" w:after="260" w:line="360" w:lineRule="auto"/>
        <w:outlineLvl w:val="1"/>
        <w:rPr>
          <w:rFonts w:hint="eastAsia"/>
          <w:b/>
          <w:color w:val="auto"/>
          <w:sz w:val="44"/>
          <w:szCs w:val="44"/>
          <w:highlight w:val="none"/>
        </w:rPr>
      </w:pPr>
      <w:bookmarkStart w:id="100" w:name="_Toc25725"/>
      <w:bookmarkStart w:id="101" w:name="_Toc22004"/>
      <w:bookmarkStart w:id="102" w:name="_Toc15094"/>
      <w:r>
        <w:rPr>
          <w:rFonts w:hint="eastAsia" w:ascii="宋体" w:hAnsi="宋体" w:cs="宋体"/>
          <w:bCs/>
          <w:color w:val="auto"/>
          <w:sz w:val="24"/>
          <w:highlight w:val="none"/>
        </w:rPr>
        <w:t>附件十</w:t>
      </w:r>
      <w:r>
        <w:rPr>
          <w:rFonts w:hint="eastAsia" w:ascii="宋体" w:hAnsi="宋体" w:cs="宋体"/>
          <w:bCs/>
          <w:color w:val="auto"/>
          <w:sz w:val="24"/>
          <w:highlight w:val="none"/>
          <w:lang w:val="en-US" w:eastAsia="zh-CN"/>
        </w:rPr>
        <w:t>六</w:t>
      </w:r>
      <w:r>
        <w:rPr>
          <w:rFonts w:hint="eastAsia" w:ascii="宋体" w:hAnsi="宋体" w:cs="宋体"/>
          <w:bCs/>
          <w:color w:val="auto"/>
          <w:sz w:val="24"/>
          <w:highlight w:val="none"/>
        </w:rPr>
        <w:t>：报价明细表</w:t>
      </w:r>
      <w:bookmarkEnd w:id="100"/>
      <w:bookmarkEnd w:id="101"/>
      <w:bookmarkEnd w:id="102"/>
    </w:p>
    <w:p>
      <w:pPr>
        <w:pStyle w:val="8"/>
        <w:jc w:val="center"/>
        <w:rPr>
          <w:b/>
          <w:color w:val="auto"/>
          <w:sz w:val="44"/>
          <w:szCs w:val="44"/>
          <w:highlight w:val="none"/>
        </w:rPr>
      </w:pPr>
      <w:r>
        <w:rPr>
          <w:rFonts w:hint="eastAsia"/>
          <w:b/>
          <w:color w:val="auto"/>
          <w:sz w:val="44"/>
          <w:szCs w:val="44"/>
          <w:highlight w:val="none"/>
        </w:rPr>
        <w:t>报价明细表</w:t>
      </w:r>
    </w:p>
    <w:p>
      <w:pPr>
        <w:rPr>
          <w:rFonts w:ascii="宋体" w:hAnsi="宋体"/>
          <w:color w:val="auto"/>
          <w:sz w:val="24"/>
          <w:highlight w:val="none"/>
        </w:rPr>
      </w:pPr>
      <w:r>
        <w:rPr>
          <w:rFonts w:hint="eastAsia" w:ascii="宋体" w:hAnsi="宋体"/>
          <w:color w:val="auto"/>
          <w:sz w:val="24"/>
          <w:highlight w:val="none"/>
        </w:rPr>
        <w:t xml:space="preserve">招标编号：          </w:t>
      </w:r>
    </w:p>
    <w:p>
      <w:pPr>
        <w:rPr>
          <w:rFonts w:ascii="宋体" w:hAnsi="宋体"/>
          <w:color w:val="auto"/>
          <w:sz w:val="24"/>
          <w:highlight w:val="none"/>
        </w:rPr>
      </w:pPr>
      <w:r>
        <w:rPr>
          <w:rFonts w:hint="eastAsia" w:ascii="宋体" w:hAnsi="宋体"/>
          <w:color w:val="auto"/>
          <w:sz w:val="24"/>
          <w:highlight w:val="none"/>
        </w:rPr>
        <w:t>投标人名称：                                                     单位：元</w:t>
      </w:r>
    </w:p>
    <w:tbl>
      <w:tblPr>
        <w:tblStyle w:val="22"/>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72"/>
        <w:gridCol w:w="1418"/>
        <w:gridCol w:w="1315"/>
        <w:gridCol w:w="1182"/>
        <w:gridCol w:w="1315"/>
        <w:gridCol w:w="1258"/>
        <w:gridCol w:w="1029"/>
        <w:gridCol w:w="1067"/>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50" w:hRule="atLeast"/>
        </w:trPr>
        <w:tc>
          <w:tcPr>
            <w:tcW w:w="77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序号</w:t>
            </w:r>
          </w:p>
        </w:tc>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分项名称</w:t>
            </w:r>
          </w:p>
        </w:tc>
        <w:tc>
          <w:tcPr>
            <w:tcW w:w="131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品牌</w:t>
            </w:r>
          </w:p>
        </w:tc>
        <w:tc>
          <w:tcPr>
            <w:tcW w:w="118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产地</w:t>
            </w:r>
          </w:p>
        </w:tc>
        <w:tc>
          <w:tcPr>
            <w:tcW w:w="131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规格</w:t>
            </w:r>
          </w:p>
          <w:p>
            <w:pPr>
              <w:jc w:val="center"/>
              <w:rPr>
                <w:rFonts w:ascii="宋体" w:hAnsi="宋体"/>
                <w:b/>
                <w:color w:val="auto"/>
                <w:sz w:val="24"/>
                <w:highlight w:val="none"/>
              </w:rPr>
            </w:pPr>
            <w:r>
              <w:rPr>
                <w:rFonts w:hint="eastAsia" w:ascii="宋体" w:hAnsi="宋体"/>
                <w:b/>
                <w:color w:val="auto"/>
                <w:sz w:val="24"/>
                <w:highlight w:val="none"/>
              </w:rPr>
              <w:t>型号</w:t>
            </w:r>
          </w:p>
        </w:tc>
        <w:tc>
          <w:tcPr>
            <w:tcW w:w="125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数量/单位</w:t>
            </w:r>
          </w:p>
        </w:tc>
        <w:tc>
          <w:tcPr>
            <w:tcW w:w="1029"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单价</w:t>
            </w:r>
          </w:p>
        </w:tc>
        <w:tc>
          <w:tcPr>
            <w:tcW w:w="1067"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总价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9" w:hRule="atLeast"/>
        </w:trPr>
        <w:tc>
          <w:tcPr>
            <w:tcW w:w="77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1</w:t>
            </w:r>
          </w:p>
        </w:tc>
        <w:tc>
          <w:tcPr>
            <w:tcW w:w="141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p>
        </w:tc>
        <w:tc>
          <w:tcPr>
            <w:tcW w:w="1182" w:type="dxa"/>
            <w:tcBorders>
              <w:top w:val="single" w:color="auto" w:sz="4" w:space="0"/>
              <w:left w:val="single" w:color="auto" w:sz="4" w:space="0"/>
              <w:bottom w:val="single" w:color="auto" w:sz="4" w:space="0"/>
              <w:right w:val="single" w:color="auto" w:sz="4" w:space="0"/>
            </w:tcBorders>
          </w:tcPr>
          <w:p>
            <w:pPr>
              <w:jc w:val="cente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p>
        </w:tc>
        <w:tc>
          <w:tcPr>
            <w:tcW w:w="1258"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p>
        </w:tc>
        <w:tc>
          <w:tcPr>
            <w:tcW w:w="1029"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9" w:hRule="atLeast"/>
        </w:trPr>
        <w:tc>
          <w:tcPr>
            <w:tcW w:w="77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2</w:t>
            </w:r>
          </w:p>
        </w:tc>
        <w:tc>
          <w:tcPr>
            <w:tcW w:w="141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182" w:type="dxa"/>
            <w:tcBorders>
              <w:top w:val="single" w:color="auto" w:sz="4" w:space="0"/>
              <w:left w:val="single" w:color="auto" w:sz="4" w:space="0"/>
              <w:bottom w:val="single" w:color="auto" w:sz="4" w:space="0"/>
              <w:right w:val="single" w:color="auto" w:sz="4" w:space="0"/>
            </w:tcBorders>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25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29"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3" w:hRule="atLeast"/>
        </w:trPr>
        <w:tc>
          <w:tcPr>
            <w:tcW w:w="77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3</w:t>
            </w:r>
          </w:p>
        </w:tc>
        <w:tc>
          <w:tcPr>
            <w:tcW w:w="141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182" w:type="dxa"/>
            <w:tcBorders>
              <w:top w:val="single" w:color="auto" w:sz="4" w:space="0"/>
              <w:left w:val="single" w:color="auto" w:sz="4" w:space="0"/>
              <w:bottom w:val="single" w:color="auto" w:sz="4" w:space="0"/>
              <w:right w:val="single" w:color="auto" w:sz="4" w:space="0"/>
            </w:tcBorders>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25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29"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3" w:hRule="atLeast"/>
        </w:trPr>
        <w:tc>
          <w:tcPr>
            <w:tcW w:w="77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4</w:t>
            </w:r>
          </w:p>
        </w:tc>
        <w:tc>
          <w:tcPr>
            <w:tcW w:w="141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182" w:type="dxa"/>
            <w:tcBorders>
              <w:top w:val="single" w:color="auto" w:sz="4" w:space="0"/>
              <w:left w:val="single" w:color="auto" w:sz="4" w:space="0"/>
              <w:bottom w:val="single" w:color="auto" w:sz="4" w:space="0"/>
              <w:right w:val="single" w:color="auto" w:sz="4" w:space="0"/>
            </w:tcBorders>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25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29"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3" w:hRule="atLeast"/>
        </w:trPr>
        <w:tc>
          <w:tcPr>
            <w:tcW w:w="77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5</w:t>
            </w:r>
          </w:p>
        </w:tc>
        <w:tc>
          <w:tcPr>
            <w:tcW w:w="141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182" w:type="dxa"/>
            <w:tcBorders>
              <w:top w:val="single" w:color="auto" w:sz="4" w:space="0"/>
              <w:left w:val="single" w:color="auto" w:sz="4" w:space="0"/>
              <w:bottom w:val="single" w:color="auto" w:sz="4" w:space="0"/>
              <w:right w:val="single" w:color="auto" w:sz="4" w:space="0"/>
            </w:tcBorders>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25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29"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613" w:hRule="atLeast"/>
        </w:trPr>
        <w:tc>
          <w:tcPr>
            <w:tcW w:w="77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6</w:t>
            </w:r>
          </w:p>
        </w:tc>
        <w:tc>
          <w:tcPr>
            <w:tcW w:w="141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182" w:type="dxa"/>
            <w:tcBorders>
              <w:top w:val="single" w:color="auto" w:sz="4" w:space="0"/>
              <w:left w:val="single" w:color="auto" w:sz="4" w:space="0"/>
              <w:bottom w:val="single" w:color="auto" w:sz="4" w:space="0"/>
              <w:right w:val="single" w:color="auto" w:sz="4" w:space="0"/>
            </w:tcBorders>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25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29"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613" w:hRule="atLeast"/>
        </w:trPr>
        <w:tc>
          <w:tcPr>
            <w:tcW w:w="77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7</w:t>
            </w:r>
          </w:p>
        </w:tc>
        <w:tc>
          <w:tcPr>
            <w:tcW w:w="141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182" w:type="dxa"/>
            <w:tcBorders>
              <w:top w:val="single" w:color="auto" w:sz="4" w:space="0"/>
              <w:left w:val="single" w:color="auto" w:sz="4" w:space="0"/>
              <w:bottom w:val="single" w:color="auto" w:sz="4" w:space="0"/>
              <w:right w:val="single" w:color="auto" w:sz="4" w:space="0"/>
            </w:tcBorders>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25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29"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613" w:hRule="atLeast"/>
        </w:trPr>
        <w:tc>
          <w:tcPr>
            <w:tcW w:w="77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8</w:t>
            </w:r>
          </w:p>
        </w:tc>
        <w:tc>
          <w:tcPr>
            <w:tcW w:w="141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182" w:type="dxa"/>
            <w:tcBorders>
              <w:top w:val="single" w:color="auto" w:sz="4" w:space="0"/>
              <w:left w:val="single" w:color="auto" w:sz="4" w:space="0"/>
              <w:bottom w:val="single" w:color="auto" w:sz="4" w:space="0"/>
              <w:right w:val="single" w:color="auto" w:sz="4" w:space="0"/>
            </w:tcBorders>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25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29"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3" w:hRule="atLeast"/>
        </w:trPr>
        <w:tc>
          <w:tcPr>
            <w:tcW w:w="77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9</w:t>
            </w:r>
          </w:p>
        </w:tc>
        <w:tc>
          <w:tcPr>
            <w:tcW w:w="141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182" w:type="dxa"/>
            <w:tcBorders>
              <w:top w:val="single" w:color="auto" w:sz="4" w:space="0"/>
              <w:left w:val="single" w:color="auto" w:sz="4" w:space="0"/>
              <w:bottom w:val="single" w:color="auto" w:sz="4" w:space="0"/>
              <w:right w:val="single" w:color="auto" w:sz="4" w:space="0"/>
            </w:tcBorders>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25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29"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3" w:hRule="atLeast"/>
        </w:trPr>
        <w:tc>
          <w:tcPr>
            <w:tcW w:w="77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10</w:t>
            </w:r>
          </w:p>
        </w:tc>
        <w:tc>
          <w:tcPr>
            <w:tcW w:w="141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182" w:type="dxa"/>
            <w:tcBorders>
              <w:top w:val="single" w:color="auto" w:sz="4" w:space="0"/>
              <w:left w:val="single" w:color="auto" w:sz="4" w:space="0"/>
              <w:bottom w:val="single" w:color="auto" w:sz="4" w:space="0"/>
              <w:right w:val="single" w:color="auto" w:sz="4" w:space="0"/>
            </w:tcBorders>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25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29"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77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11</w:t>
            </w:r>
          </w:p>
        </w:tc>
        <w:tc>
          <w:tcPr>
            <w:tcW w:w="141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182" w:type="dxa"/>
            <w:tcBorders>
              <w:top w:val="single" w:color="auto" w:sz="4" w:space="0"/>
              <w:left w:val="single" w:color="auto" w:sz="4" w:space="0"/>
              <w:bottom w:val="single" w:color="auto" w:sz="4" w:space="0"/>
              <w:right w:val="single" w:color="auto" w:sz="4" w:space="0"/>
            </w:tcBorders>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25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29"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77" w:hRule="atLeast"/>
        </w:trPr>
        <w:tc>
          <w:tcPr>
            <w:tcW w:w="77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r>
              <w:rPr>
                <w:rFonts w:hint="eastAsia" w:ascii="宋体" w:hAnsi="宋体"/>
                <w:b/>
                <w:color w:val="auto"/>
                <w:sz w:val="24"/>
                <w:highlight w:val="none"/>
              </w:rPr>
              <w:t>。。。。</w:t>
            </w:r>
          </w:p>
        </w:tc>
        <w:tc>
          <w:tcPr>
            <w:tcW w:w="141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182" w:type="dxa"/>
            <w:tcBorders>
              <w:top w:val="single" w:color="auto" w:sz="4" w:space="0"/>
              <w:left w:val="single" w:color="auto" w:sz="4" w:space="0"/>
              <w:bottom w:val="single" w:color="auto" w:sz="4" w:space="0"/>
              <w:right w:val="single" w:color="auto" w:sz="4" w:space="0"/>
            </w:tcBorders>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25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29"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5" w:hRule="atLeast"/>
        </w:trPr>
        <w:tc>
          <w:tcPr>
            <w:tcW w:w="77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color w:val="auto"/>
                <w:sz w:val="24"/>
                <w:highlight w:val="none"/>
              </w:rPr>
            </w:pPr>
          </w:p>
        </w:tc>
        <w:tc>
          <w:tcPr>
            <w:tcW w:w="141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182" w:type="dxa"/>
            <w:tcBorders>
              <w:top w:val="single" w:color="auto" w:sz="4" w:space="0"/>
              <w:left w:val="single" w:color="auto" w:sz="4" w:space="0"/>
              <w:bottom w:val="single" w:color="auto" w:sz="4" w:space="0"/>
              <w:right w:val="single" w:color="auto" w:sz="4" w:space="0"/>
            </w:tcBorders>
          </w:tcPr>
          <w:p>
            <w:pPr>
              <w:rPr>
                <w:rFonts w:ascii="宋体" w:hAnsi="宋体"/>
                <w:b/>
                <w:color w:val="auto"/>
                <w:sz w:val="24"/>
                <w:highlight w:val="none"/>
              </w:rPr>
            </w:pPr>
          </w:p>
        </w:tc>
        <w:tc>
          <w:tcPr>
            <w:tcW w:w="1315"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258"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29"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3" w:hRule="atLeast"/>
        </w:trPr>
        <w:tc>
          <w:tcPr>
            <w:tcW w:w="8289" w:type="dxa"/>
            <w:gridSpan w:val="7"/>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r>
              <w:rPr>
                <w:rFonts w:hint="eastAsia" w:ascii="宋体" w:hAnsi="宋体"/>
                <w:b/>
                <w:color w:val="auto"/>
                <w:sz w:val="24"/>
                <w:highlight w:val="none"/>
              </w:rPr>
              <w:t>总价合计</w:t>
            </w:r>
          </w:p>
        </w:tc>
        <w:tc>
          <w:tcPr>
            <w:tcW w:w="1067" w:type="dxa"/>
            <w:tcBorders>
              <w:top w:val="single" w:color="auto" w:sz="4" w:space="0"/>
              <w:left w:val="single" w:color="auto" w:sz="4" w:space="0"/>
              <w:bottom w:val="single" w:color="auto" w:sz="4" w:space="0"/>
              <w:right w:val="single" w:color="auto" w:sz="4" w:space="0"/>
            </w:tcBorders>
            <w:vAlign w:val="center"/>
          </w:tcPr>
          <w:p>
            <w:pPr>
              <w:rPr>
                <w:rFonts w:ascii="宋体" w:hAnsi="宋体"/>
                <w:b/>
                <w:color w:val="auto"/>
                <w:sz w:val="24"/>
                <w:highlight w:val="none"/>
              </w:rPr>
            </w:pPr>
          </w:p>
        </w:tc>
      </w:tr>
    </w:tbl>
    <w:p>
      <w:pPr>
        <w:widowControl/>
        <w:spacing w:before="120" w:beforeLines="50" w:line="360" w:lineRule="auto"/>
        <w:jc w:val="left"/>
        <w:rPr>
          <w:rFonts w:ascii="Arial" w:hAnsi="Arial" w:cs="宋体"/>
          <w:color w:val="auto"/>
          <w:kern w:val="0"/>
          <w:sz w:val="24"/>
          <w:highlight w:val="none"/>
        </w:rPr>
      </w:pPr>
      <w:r>
        <w:rPr>
          <w:rFonts w:hint="eastAsia" w:ascii="Arial" w:hAnsi="Arial" w:cs="宋体"/>
          <w:color w:val="auto"/>
          <w:kern w:val="0"/>
          <w:sz w:val="24"/>
          <w:highlight w:val="none"/>
        </w:rPr>
        <w:t>注：本表“报价明细表”总价合计应与“开标一览表”投标报价一致。</w:t>
      </w:r>
    </w:p>
    <w:p>
      <w:pPr>
        <w:pStyle w:val="8"/>
        <w:rPr>
          <w:color w:val="auto"/>
          <w:sz w:val="24"/>
          <w:highlight w:val="none"/>
        </w:rPr>
      </w:pPr>
    </w:p>
    <w:p>
      <w:pPr>
        <w:snapToGrid w:val="0"/>
        <w:spacing w:before="50" w:after="50"/>
        <w:ind w:left="-2" w:leftChars="-1" w:right="-817" w:rightChars="-389" w:firstLine="360" w:firstLineChars="150"/>
        <w:rPr>
          <w:rFonts w:ascii="宋体" w:hAnsi="宋体"/>
          <w:color w:val="auto"/>
          <w:sz w:val="24"/>
          <w:highlight w:val="none"/>
        </w:rPr>
      </w:pPr>
      <w:r>
        <w:rPr>
          <w:rFonts w:hint="eastAsia" w:ascii="宋体" w:hAnsi="宋体"/>
          <w:color w:val="auto"/>
          <w:sz w:val="24"/>
          <w:highlight w:val="none"/>
        </w:rPr>
        <w:t>法定代表人或委托代理人（签字或盖章）：</w:t>
      </w:r>
    </w:p>
    <w:p>
      <w:pPr>
        <w:snapToGrid w:val="0"/>
        <w:spacing w:before="50" w:after="50"/>
        <w:ind w:left="-2" w:leftChars="-1" w:right="-817" w:rightChars="-389" w:firstLine="360" w:firstLineChars="150"/>
        <w:rPr>
          <w:rFonts w:ascii="宋体" w:hAnsi="宋体"/>
          <w:color w:val="auto"/>
          <w:sz w:val="24"/>
          <w:highlight w:val="none"/>
        </w:rPr>
      </w:pPr>
    </w:p>
    <w:p>
      <w:pPr>
        <w:snapToGrid w:val="0"/>
        <w:spacing w:before="50" w:after="50"/>
        <w:ind w:right="-817" w:rightChars="-389" w:firstLine="360" w:firstLineChars="150"/>
        <w:rPr>
          <w:rFonts w:ascii="宋体" w:hAnsi="宋体"/>
          <w:color w:val="auto"/>
          <w:sz w:val="24"/>
          <w:highlight w:val="none"/>
        </w:rPr>
      </w:pPr>
      <w:r>
        <w:rPr>
          <w:rFonts w:hint="eastAsia" w:ascii="宋体" w:hAnsi="宋体"/>
          <w:color w:val="auto"/>
          <w:sz w:val="24"/>
          <w:highlight w:val="none"/>
        </w:rPr>
        <w:t xml:space="preserve">投标人名称（盖章）：                                         </w:t>
      </w:r>
    </w:p>
    <w:p>
      <w:pPr>
        <w:snapToGrid w:val="0"/>
        <w:spacing w:before="50" w:after="50"/>
        <w:ind w:right="-817" w:rightChars="-389"/>
        <w:rPr>
          <w:rFonts w:ascii="宋体" w:hAnsi="宋体"/>
          <w:color w:val="auto"/>
          <w:sz w:val="24"/>
          <w:highlight w:val="none"/>
        </w:rPr>
      </w:pPr>
    </w:p>
    <w:p>
      <w:pPr>
        <w:snapToGrid w:val="0"/>
        <w:spacing w:before="50" w:after="50"/>
        <w:ind w:left="-2" w:leftChars="-1" w:right="-817" w:rightChars="-389" w:firstLine="5400" w:firstLineChars="2250"/>
        <w:rPr>
          <w:color w:val="auto"/>
          <w:highlight w:val="none"/>
        </w:rPr>
      </w:pPr>
      <w:r>
        <w:rPr>
          <w:rFonts w:hint="eastAsia" w:ascii="宋体" w:hAnsi="宋体"/>
          <w:color w:val="auto"/>
          <w:sz w:val="24"/>
          <w:highlight w:val="none"/>
        </w:rPr>
        <w:t>日期：    年   月   日</w:t>
      </w:r>
    </w:p>
    <w:bookmarkEnd w:id="98"/>
    <w:p>
      <w:pPr>
        <w:pageBreakBefore/>
        <w:spacing w:before="260" w:after="260" w:line="415" w:lineRule="auto"/>
        <w:outlineLvl w:val="1"/>
        <w:rPr>
          <w:rFonts w:hint="eastAsia" w:ascii="宋体" w:hAnsi="宋体" w:eastAsia="宋体" w:cs="宋体"/>
          <w:bCs/>
          <w:color w:val="auto"/>
          <w:sz w:val="24"/>
          <w:highlight w:val="none"/>
        </w:rPr>
      </w:pPr>
      <w:bookmarkStart w:id="103" w:name="_Toc3654"/>
      <w:bookmarkStart w:id="104" w:name="_Toc19976"/>
      <w:bookmarkStart w:id="105" w:name="_Toc496599000"/>
      <w:r>
        <w:rPr>
          <w:rFonts w:hint="eastAsia" w:ascii="宋体" w:hAnsi="宋体" w:eastAsia="宋体" w:cs="宋体"/>
          <w:bCs/>
          <w:color w:val="auto"/>
          <w:sz w:val="24"/>
          <w:highlight w:val="none"/>
        </w:rPr>
        <w:t>附件十</w:t>
      </w:r>
      <w:r>
        <w:rPr>
          <w:rFonts w:hint="eastAsia" w:ascii="宋体" w:hAnsi="宋体" w:cs="宋体"/>
          <w:bCs/>
          <w:color w:val="auto"/>
          <w:sz w:val="24"/>
          <w:highlight w:val="none"/>
          <w:lang w:val="en-US" w:eastAsia="zh-CN"/>
        </w:rPr>
        <w:t>七</w:t>
      </w:r>
      <w:r>
        <w:rPr>
          <w:rFonts w:hint="eastAsia" w:ascii="宋体" w:hAnsi="宋体" w:eastAsia="宋体" w:cs="宋体"/>
          <w:bCs/>
          <w:color w:val="auto"/>
          <w:sz w:val="24"/>
          <w:highlight w:val="none"/>
        </w:rPr>
        <w:t>：中小企业声明函（工程、服务）</w:t>
      </w:r>
      <w:bookmarkEnd w:id="103"/>
      <w:bookmarkEnd w:id="104"/>
    </w:p>
    <w:p>
      <w:pPr>
        <w:jc w:val="center"/>
        <w:rPr>
          <w:rFonts w:ascii="宋体" w:hAnsi="宋体" w:cs="宋体"/>
          <w:color w:val="auto"/>
          <w:sz w:val="40"/>
          <w:szCs w:val="40"/>
          <w:highlight w:val="none"/>
        </w:rPr>
      </w:pPr>
      <w:r>
        <w:rPr>
          <w:rFonts w:hint="eastAsia" w:ascii="宋体" w:hAnsi="宋体" w:cs="宋体"/>
          <w:color w:val="auto"/>
          <w:sz w:val="40"/>
          <w:szCs w:val="40"/>
          <w:highlight w:val="none"/>
        </w:rPr>
        <w:t>中小企业声明函（货物）</w:t>
      </w:r>
    </w:p>
    <w:p>
      <w:pPr>
        <w:jc w:val="center"/>
        <w:rPr>
          <w:rFonts w:ascii="宋体" w:hAnsi="宋体" w:cs="宋体"/>
          <w:color w:val="auto"/>
          <w:sz w:val="30"/>
          <w:szCs w:val="30"/>
          <w:highlight w:val="none"/>
        </w:rPr>
      </w:pPr>
    </w:p>
    <w:p>
      <w:pPr>
        <w:spacing w:line="360" w:lineRule="auto"/>
        <w:ind w:firstLine="480" w:firstLineChars="200"/>
        <w:rPr>
          <w:rFonts w:hint="eastAsia" w:ascii="宋体" w:hAnsi="宋体" w:cs="宋体"/>
          <w:color w:val="auto"/>
          <w:sz w:val="24"/>
          <w:szCs w:val="32"/>
          <w:highlight w:val="none"/>
        </w:rPr>
      </w:pPr>
      <w:r>
        <w:rPr>
          <w:rFonts w:hint="eastAsia" w:ascii="宋体" w:hAnsi="宋体" w:cs="宋体"/>
          <w:color w:val="auto"/>
          <w:sz w:val="24"/>
          <w:szCs w:val="32"/>
          <w:highlight w:val="none"/>
        </w:rPr>
        <w:t>本公司（联合体）郑重声明，根据《政府采购促进中小企业发展管理办法》（财库﹝2020﹞46 号）的规定，本公司（联合体）参加</w:t>
      </w:r>
      <w:r>
        <w:rPr>
          <w:rFonts w:hint="eastAsia" w:ascii="宋体" w:hAnsi="宋体" w:cs="宋体"/>
          <w:color w:val="auto"/>
          <w:sz w:val="24"/>
          <w:szCs w:val="32"/>
          <w:highlight w:val="none"/>
          <w:u w:val="single"/>
        </w:rPr>
        <w:t xml:space="preserve">  （单位名称）  </w:t>
      </w:r>
      <w:r>
        <w:rPr>
          <w:rFonts w:hint="eastAsia" w:ascii="宋体" w:hAnsi="宋体" w:cs="宋体"/>
          <w:color w:val="auto"/>
          <w:sz w:val="24"/>
          <w:szCs w:val="32"/>
          <w:highlight w:val="none"/>
        </w:rPr>
        <w:t>的</w:t>
      </w:r>
      <w:r>
        <w:rPr>
          <w:rFonts w:hint="eastAsia" w:ascii="宋体" w:hAnsi="宋体" w:cs="宋体"/>
          <w:color w:val="auto"/>
          <w:sz w:val="24"/>
          <w:szCs w:val="32"/>
          <w:highlight w:val="none"/>
          <w:u w:val="single"/>
        </w:rPr>
        <w:t xml:space="preserve">  （项目名称）  </w:t>
      </w:r>
      <w:r>
        <w:rPr>
          <w:rFonts w:hint="eastAsia" w:ascii="宋体" w:hAnsi="宋体" w:cs="宋体"/>
          <w:color w:val="auto"/>
          <w:sz w:val="24"/>
          <w:szCs w:val="32"/>
          <w:highlight w:val="none"/>
        </w:rPr>
        <w:t>采购活动，提供的货物全部由符合政策要求的中小企业制造。相关企业（含联合体中的中小企业、签订分包意向协议的中小企业）的具体情况如下：</w:t>
      </w:r>
    </w:p>
    <w:p>
      <w:pPr>
        <w:spacing w:line="360" w:lineRule="auto"/>
        <w:ind w:firstLine="480" w:firstLineChars="200"/>
        <w:rPr>
          <w:rFonts w:hint="eastAsia" w:ascii="宋体" w:hAnsi="宋体" w:cs="宋体"/>
          <w:color w:val="auto"/>
          <w:sz w:val="24"/>
          <w:szCs w:val="32"/>
          <w:highlight w:val="none"/>
        </w:rPr>
      </w:pPr>
      <w:r>
        <w:rPr>
          <w:rFonts w:hint="eastAsia" w:ascii="宋体" w:hAnsi="宋体" w:cs="宋体"/>
          <w:color w:val="auto"/>
          <w:sz w:val="24"/>
          <w:szCs w:val="32"/>
          <w:highlight w:val="none"/>
        </w:rPr>
        <w:t>1、</w:t>
      </w:r>
      <w:r>
        <w:rPr>
          <w:rFonts w:hint="eastAsia" w:ascii="宋体" w:hAnsi="宋体" w:cs="宋体"/>
          <w:color w:val="auto"/>
          <w:sz w:val="24"/>
          <w:szCs w:val="32"/>
          <w:highlight w:val="none"/>
          <w:u w:val="single"/>
        </w:rPr>
        <w:t xml:space="preserve">  （标的名称）  </w:t>
      </w:r>
      <w:r>
        <w:rPr>
          <w:rFonts w:hint="eastAsia" w:ascii="宋体" w:hAnsi="宋体" w:cs="宋体"/>
          <w:color w:val="auto"/>
          <w:sz w:val="24"/>
          <w:szCs w:val="32"/>
          <w:highlight w:val="none"/>
        </w:rPr>
        <w:t>，属于</w:t>
      </w:r>
      <w:r>
        <w:rPr>
          <w:rFonts w:hint="eastAsia" w:ascii="宋体" w:hAnsi="宋体" w:cs="宋体"/>
          <w:b/>
          <w:bCs/>
          <w:color w:val="auto"/>
          <w:sz w:val="24"/>
          <w:highlight w:val="none"/>
          <w:u w:val="single"/>
          <w:lang w:val="en-US" w:eastAsia="zh-CN"/>
        </w:rPr>
        <w:t xml:space="preserve">        </w:t>
      </w:r>
      <w:r>
        <w:rPr>
          <w:rFonts w:hint="eastAsia" w:ascii="宋体" w:hAnsi="宋体" w:eastAsia="宋体" w:cs="宋体"/>
          <w:color w:val="auto"/>
          <w:sz w:val="24"/>
          <w:szCs w:val="32"/>
          <w:highlight w:val="none"/>
          <w:lang w:val="en-US" w:eastAsia="zh-CN"/>
        </w:rPr>
        <w:t xml:space="preserve">行业 </w:t>
      </w:r>
      <w:r>
        <w:rPr>
          <w:rFonts w:hint="eastAsia" w:ascii="宋体" w:hAnsi="宋体" w:cs="宋体"/>
          <w:color w:val="auto"/>
          <w:sz w:val="24"/>
          <w:szCs w:val="32"/>
          <w:highlight w:val="none"/>
        </w:rPr>
        <w:t>；制造商为</w:t>
      </w:r>
      <w:r>
        <w:rPr>
          <w:rFonts w:hint="eastAsia" w:ascii="宋体" w:hAnsi="宋体" w:cs="宋体"/>
          <w:color w:val="auto"/>
          <w:sz w:val="24"/>
          <w:szCs w:val="32"/>
          <w:highlight w:val="none"/>
          <w:u w:val="single"/>
        </w:rPr>
        <w:t xml:space="preserve">  （企业名称）  </w:t>
      </w:r>
      <w:r>
        <w:rPr>
          <w:rFonts w:hint="eastAsia" w:ascii="宋体" w:hAnsi="宋体" w:cs="宋体"/>
          <w:color w:val="auto"/>
          <w:sz w:val="24"/>
          <w:szCs w:val="32"/>
          <w:highlight w:val="none"/>
        </w:rPr>
        <w:t>，从业人员</w:t>
      </w:r>
      <w:r>
        <w:rPr>
          <w:rFonts w:hint="eastAsia" w:ascii="宋体" w:hAnsi="宋体" w:cs="宋体"/>
          <w:color w:val="auto"/>
          <w:sz w:val="24"/>
          <w:szCs w:val="32"/>
          <w:highlight w:val="none"/>
          <w:u w:val="single"/>
        </w:rPr>
        <w:t xml:space="preserve">   </w:t>
      </w:r>
      <w:r>
        <w:rPr>
          <w:rFonts w:hint="eastAsia" w:ascii="宋体" w:hAnsi="宋体" w:cs="宋体"/>
          <w:color w:val="auto"/>
          <w:sz w:val="24"/>
          <w:szCs w:val="32"/>
          <w:highlight w:val="none"/>
          <w:u w:val="single"/>
        </w:rPr>
        <w:tab/>
      </w:r>
      <w:r>
        <w:rPr>
          <w:rFonts w:hint="eastAsia" w:ascii="宋体" w:hAnsi="宋体" w:cs="宋体"/>
          <w:color w:val="auto"/>
          <w:sz w:val="24"/>
          <w:szCs w:val="32"/>
          <w:highlight w:val="none"/>
        </w:rPr>
        <w:t>人，营业收入为</w:t>
      </w:r>
      <w:r>
        <w:rPr>
          <w:rFonts w:hint="eastAsia" w:ascii="宋体" w:hAnsi="宋体" w:cs="宋体"/>
          <w:color w:val="auto"/>
          <w:sz w:val="24"/>
          <w:szCs w:val="32"/>
          <w:highlight w:val="none"/>
          <w:u w:val="single"/>
        </w:rPr>
        <w:t xml:space="preserve">   </w:t>
      </w:r>
      <w:r>
        <w:rPr>
          <w:rFonts w:hint="eastAsia" w:ascii="宋体" w:hAnsi="宋体" w:cs="宋体"/>
          <w:color w:val="auto"/>
          <w:sz w:val="24"/>
          <w:szCs w:val="32"/>
          <w:highlight w:val="none"/>
          <w:u w:val="single"/>
        </w:rPr>
        <w:tab/>
      </w:r>
      <w:r>
        <w:rPr>
          <w:rFonts w:hint="eastAsia" w:ascii="宋体" w:hAnsi="宋体" w:cs="宋体"/>
          <w:color w:val="auto"/>
          <w:sz w:val="24"/>
          <w:szCs w:val="32"/>
          <w:highlight w:val="none"/>
        </w:rPr>
        <w:t>万元，资产总额为</w:t>
      </w:r>
      <w:r>
        <w:rPr>
          <w:rFonts w:hint="eastAsia" w:ascii="宋体" w:hAnsi="宋体" w:cs="宋体"/>
          <w:color w:val="auto"/>
          <w:sz w:val="24"/>
          <w:szCs w:val="32"/>
          <w:highlight w:val="none"/>
          <w:u w:val="single"/>
        </w:rPr>
        <w:t xml:space="preserve">   </w:t>
      </w:r>
      <w:r>
        <w:rPr>
          <w:rFonts w:hint="eastAsia" w:ascii="宋体" w:hAnsi="宋体" w:cs="宋体"/>
          <w:color w:val="auto"/>
          <w:sz w:val="24"/>
          <w:szCs w:val="32"/>
          <w:highlight w:val="none"/>
          <w:u w:val="single"/>
        </w:rPr>
        <w:tab/>
      </w:r>
      <w:r>
        <w:rPr>
          <w:rFonts w:hint="eastAsia" w:ascii="宋体" w:hAnsi="宋体" w:cs="宋体"/>
          <w:color w:val="auto"/>
          <w:sz w:val="24"/>
          <w:szCs w:val="32"/>
          <w:highlight w:val="none"/>
        </w:rPr>
        <w:t>万元，</w:t>
      </w:r>
      <w:r>
        <w:rPr>
          <w:rFonts w:hint="eastAsia" w:ascii="宋体" w:hAnsi="宋体" w:cs="宋体"/>
          <w:b/>
          <w:bCs/>
          <w:color w:val="auto"/>
          <w:sz w:val="24"/>
          <w:szCs w:val="32"/>
          <w:highlight w:val="none"/>
        </w:rPr>
        <w:t>属于</w:t>
      </w:r>
      <w:r>
        <w:rPr>
          <w:rFonts w:hint="eastAsia" w:ascii="宋体" w:hAnsi="宋体" w:cs="宋体"/>
          <w:b/>
          <w:bCs/>
          <w:color w:val="auto"/>
          <w:sz w:val="24"/>
          <w:szCs w:val="32"/>
          <w:highlight w:val="none"/>
          <w:u w:val="single"/>
        </w:rPr>
        <w:t xml:space="preserve">         </w:t>
      </w:r>
      <w:r>
        <w:rPr>
          <w:rFonts w:hint="eastAsia" w:ascii="宋体" w:hAnsi="宋体" w:cs="宋体"/>
          <w:b/>
          <w:bCs/>
          <w:color w:val="auto"/>
          <w:sz w:val="24"/>
          <w:szCs w:val="32"/>
          <w:highlight w:val="none"/>
          <w:u w:val="none"/>
        </w:rPr>
        <w:t>企业</w:t>
      </w:r>
      <w:r>
        <w:rPr>
          <w:rFonts w:hint="eastAsia" w:ascii="宋体" w:hAnsi="宋体" w:cs="宋体"/>
          <w:color w:val="auto"/>
          <w:sz w:val="24"/>
          <w:szCs w:val="32"/>
          <w:highlight w:val="none"/>
          <w:u w:val="none"/>
        </w:rPr>
        <w:t>（</w:t>
      </w:r>
      <w:r>
        <w:rPr>
          <w:rFonts w:hint="eastAsia" w:ascii="宋体" w:hAnsi="宋体" w:cs="宋体"/>
          <w:color w:val="auto"/>
          <w:sz w:val="24"/>
          <w:szCs w:val="32"/>
          <w:highlight w:val="none"/>
          <w:u w:val="none"/>
          <w:lang w:val="en-US" w:eastAsia="zh-CN"/>
        </w:rPr>
        <w:t>请填写</w:t>
      </w:r>
      <w:r>
        <w:rPr>
          <w:rFonts w:hint="eastAsia" w:ascii="宋体" w:hAnsi="宋体" w:cs="宋体"/>
          <w:color w:val="auto"/>
          <w:sz w:val="24"/>
          <w:szCs w:val="32"/>
          <w:highlight w:val="none"/>
          <w:u w:val="none"/>
        </w:rPr>
        <w:t>中型企业或小型企业或微型企业）</w:t>
      </w:r>
      <w:r>
        <w:rPr>
          <w:rFonts w:hint="eastAsia" w:ascii="宋体" w:hAnsi="宋体" w:cs="宋体"/>
          <w:color w:val="auto"/>
          <w:sz w:val="24"/>
          <w:szCs w:val="32"/>
          <w:highlight w:val="none"/>
        </w:rPr>
        <w:t>；</w:t>
      </w:r>
    </w:p>
    <w:p>
      <w:pPr>
        <w:spacing w:line="360" w:lineRule="auto"/>
        <w:ind w:firstLine="480" w:firstLineChars="200"/>
        <w:rPr>
          <w:rFonts w:hint="eastAsia" w:ascii="宋体" w:hAnsi="宋体" w:cs="宋体"/>
          <w:color w:val="auto"/>
          <w:sz w:val="24"/>
          <w:szCs w:val="32"/>
          <w:highlight w:val="none"/>
        </w:rPr>
      </w:pPr>
      <w:r>
        <w:rPr>
          <w:rFonts w:hint="eastAsia" w:ascii="宋体" w:hAnsi="宋体" w:cs="宋体"/>
          <w:color w:val="auto"/>
          <w:sz w:val="24"/>
          <w:szCs w:val="32"/>
          <w:highlight w:val="none"/>
        </w:rPr>
        <w:t>2、</w:t>
      </w:r>
      <w:r>
        <w:rPr>
          <w:rFonts w:hint="eastAsia" w:ascii="宋体" w:hAnsi="宋体" w:cs="宋体"/>
          <w:color w:val="auto"/>
          <w:sz w:val="24"/>
          <w:szCs w:val="32"/>
          <w:highlight w:val="none"/>
          <w:u w:val="single"/>
        </w:rPr>
        <w:t xml:space="preserve">  （标的名称）  </w:t>
      </w:r>
      <w:r>
        <w:rPr>
          <w:rFonts w:hint="eastAsia" w:ascii="宋体" w:hAnsi="宋体" w:cs="宋体"/>
          <w:color w:val="auto"/>
          <w:sz w:val="24"/>
          <w:szCs w:val="32"/>
          <w:highlight w:val="none"/>
        </w:rPr>
        <w:t>，属于</w:t>
      </w:r>
      <w:r>
        <w:rPr>
          <w:rFonts w:hint="eastAsia" w:ascii="宋体" w:hAnsi="宋体" w:cs="宋体"/>
          <w:b/>
          <w:bCs/>
          <w:color w:val="auto"/>
          <w:sz w:val="24"/>
          <w:highlight w:val="none"/>
          <w:u w:val="single"/>
          <w:lang w:val="en-US" w:eastAsia="zh-CN"/>
        </w:rPr>
        <w:t xml:space="preserve">        </w:t>
      </w:r>
      <w:r>
        <w:rPr>
          <w:rFonts w:hint="eastAsia" w:ascii="宋体" w:hAnsi="宋体" w:eastAsia="宋体" w:cs="宋体"/>
          <w:color w:val="auto"/>
          <w:sz w:val="24"/>
          <w:szCs w:val="32"/>
          <w:highlight w:val="none"/>
          <w:lang w:val="en-US" w:eastAsia="zh-CN"/>
        </w:rPr>
        <w:t>行业</w:t>
      </w:r>
      <w:r>
        <w:rPr>
          <w:rFonts w:hint="eastAsia" w:ascii="宋体" w:hAnsi="宋体" w:cs="宋体"/>
          <w:color w:val="auto"/>
          <w:sz w:val="24"/>
          <w:szCs w:val="32"/>
          <w:highlight w:val="none"/>
        </w:rPr>
        <w:t>；制造商为</w:t>
      </w:r>
      <w:r>
        <w:rPr>
          <w:rFonts w:hint="eastAsia" w:ascii="宋体" w:hAnsi="宋体" w:cs="宋体"/>
          <w:color w:val="auto"/>
          <w:sz w:val="24"/>
          <w:szCs w:val="32"/>
          <w:highlight w:val="none"/>
          <w:u w:val="single"/>
        </w:rPr>
        <w:t xml:space="preserve">  （企业名称）  </w:t>
      </w:r>
      <w:r>
        <w:rPr>
          <w:rFonts w:hint="eastAsia" w:ascii="宋体" w:hAnsi="宋体" w:cs="宋体"/>
          <w:color w:val="auto"/>
          <w:sz w:val="24"/>
          <w:szCs w:val="32"/>
          <w:highlight w:val="none"/>
        </w:rPr>
        <w:t>，从业人员</w:t>
      </w:r>
      <w:r>
        <w:rPr>
          <w:rFonts w:hint="eastAsia" w:ascii="宋体" w:hAnsi="宋体" w:cs="宋体"/>
          <w:color w:val="auto"/>
          <w:sz w:val="24"/>
          <w:szCs w:val="32"/>
          <w:highlight w:val="none"/>
          <w:u w:val="single"/>
        </w:rPr>
        <w:t xml:space="preserve">   </w:t>
      </w:r>
      <w:r>
        <w:rPr>
          <w:rFonts w:hint="eastAsia" w:ascii="宋体" w:hAnsi="宋体" w:cs="宋体"/>
          <w:color w:val="auto"/>
          <w:sz w:val="24"/>
          <w:szCs w:val="32"/>
          <w:highlight w:val="none"/>
          <w:u w:val="single"/>
        </w:rPr>
        <w:tab/>
      </w:r>
      <w:r>
        <w:rPr>
          <w:rFonts w:hint="eastAsia" w:ascii="宋体" w:hAnsi="宋体" w:cs="宋体"/>
          <w:color w:val="auto"/>
          <w:sz w:val="24"/>
          <w:szCs w:val="32"/>
          <w:highlight w:val="none"/>
        </w:rPr>
        <w:t>人，营业收入为</w:t>
      </w:r>
      <w:r>
        <w:rPr>
          <w:rFonts w:hint="eastAsia" w:ascii="宋体" w:hAnsi="宋体" w:cs="宋体"/>
          <w:color w:val="auto"/>
          <w:sz w:val="24"/>
          <w:szCs w:val="32"/>
          <w:highlight w:val="none"/>
          <w:u w:val="single"/>
        </w:rPr>
        <w:t xml:space="preserve">   </w:t>
      </w:r>
      <w:r>
        <w:rPr>
          <w:rFonts w:hint="eastAsia" w:ascii="宋体" w:hAnsi="宋体" w:cs="宋体"/>
          <w:color w:val="auto"/>
          <w:sz w:val="24"/>
          <w:szCs w:val="32"/>
          <w:highlight w:val="none"/>
          <w:u w:val="single"/>
        </w:rPr>
        <w:tab/>
      </w:r>
      <w:r>
        <w:rPr>
          <w:rFonts w:hint="eastAsia" w:ascii="宋体" w:hAnsi="宋体" w:cs="宋体"/>
          <w:color w:val="auto"/>
          <w:sz w:val="24"/>
          <w:szCs w:val="32"/>
          <w:highlight w:val="none"/>
        </w:rPr>
        <w:t>万元，资产总额为</w:t>
      </w:r>
      <w:r>
        <w:rPr>
          <w:rFonts w:hint="eastAsia" w:ascii="宋体" w:hAnsi="宋体" w:cs="宋体"/>
          <w:color w:val="auto"/>
          <w:sz w:val="24"/>
          <w:szCs w:val="32"/>
          <w:highlight w:val="none"/>
          <w:u w:val="single"/>
        </w:rPr>
        <w:t xml:space="preserve">   </w:t>
      </w:r>
      <w:r>
        <w:rPr>
          <w:rFonts w:hint="eastAsia" w:ascii="宋体" w:hAnsi="宋体" w:cs="宋体"/>
          <w:color w:val="auto"/>
          <w:sz w:val="24"/>
          <w:szCs w:val="32"/>
          <w:highlight w:val="none"/>
          <w:u w:val="single"/>
        </w:rPr>
        <w:tab/>
      </w:r>
      <w:r>
        <w:rPr>
          <w:rFonts w:hint="eastAsia" w:ascii="宋体" w:hAnsi="宋体" w:cs="宋体"/>
          <w:color w:val="auto"/>
          <w:sz w:val="24"/>
          <w:szCs w:val="32"/>
          <w:highlight w:val="none"/>
        </w:rPr>
        <w:t>万元，</w:t>
      </w:r>
      <w:r>
        <w:rPr>
          <w:rFonts w:hint="eastAsia" w:ascii="宋体" w:hAnsi="宋体" w:cs="宋体"/>
          <w:b/>
          <w:bCs/>
          <w:color w:val="auto"/>
          <w:sz w:val="24"/>
          <w:szCs w:val="32"/>
          <w:highlight w:val="none"/>
        </w:rPr>
        <w:t>属于</w:t>
      </w:r>
      <w:r>
        <w:rPr>
          <w:rFonts w:hint="eastAsia" w:ascii="宋体" w:hAnsi="宋体" w:cs="宋体"/>
          <w:b/>
          <w:bCs/>
          <w:color w:val="auto"/>
          <w:sz w:val="24"/>
          <w:szCs w:val="32"/>
          <w:highlight w:val="none"/>
          <w:u w:val="single"/>
        </w:rPr>
        <w:t xml:space="preserve">         </w:t>
      </w:r>
      <w:r>
        <w:rPr>
          <w:rFonts w:hint="eastAsia" w:ascii="宋体" w:hAnsi="宋体" w:cs="宋体"/>
          <w:b/>
          <w:bCs/>
          <w:color w:val="auto"/>
          <w:sz w:val="24"/>
          <w:szCs w:val="32"/>
          <w:highlight w:val="none"/>
        </w:rPr>
        <w:t>企业</w:t>
      </w:r>
      <w:r>
        <w:rPr>
          <w:rFonts w:hint="eastAsia" w:ascii="宋体" w:hAnsi="宋体" w:cs="宋体"/>
          <w:color w:val="auto"/>
          <w:sz w:val="24"/>
          <w:szCs w:val="32"/>
          <w:highlight w:val="none"/>
        </w:rPr>
        <w:t>（</w:t>
      </w:r>
      <w:r>
        <w:rPr>
          <w:rFonts w:hint="eastAsia" w:ascii="宋体" w:hAnsi="宋体" w:cs="宋体"/>
          <w:color w:val="auto"/>
          <w:sz w:val="24"/>
          <w:szCs w:val="32"/>
          <w:highlight w:val="none"/>
          <w:lang w:val="en-US" w:eastAsia="zh-CN"/>
        </w:rPr>
        <w:t>请填写</w:t>
      </w:r>
      <w:r>
        <w:rPr>
          <w:rFonts w:hint="eastAsia" w:ascii="宋体" w:hAnsi="宋体" w:cs="宋体"/>
          <w:color w:val="auto"/>
          <w:sz w:val="24"/>
          <w:szCs w:val="32"/>
          <w:highlight w:val="none"/>
        </w:rPr>
        <w:t>中型企业或小型企业或微型企业）；</w:t>
      </w:r>
    </w:p>
    <w:p>
      <w:pPr>
        <w:spacing w:line="360" w:lineRule="auto"/>
        <w:rPr>
          <w:rFonts w:hint="eastAsia" w:ascii="宋体" w:hAnsi="宋体" w:cs="宋体"/>
          <w:color w:val="auto"/>
          <w:sz w:val="24"/>
          <w:szCs w:val="32"/>
          <w:highlight w:val="none"/>
        </w:rPr>
      </w:pPr>
      <w:r>
        <w:rPr>
          <w:rFonts w:hint="eastAsia" w:ascii="宋体" w:hAnsi="宋体" w:cs="宋体"/>
          <w:color w:val="auto"/>
          <w:sz w:val="24"/>
          <w:szCs w:val="32"/>
          <w:highlight w:val="none"/>
        </w:rPr>
        <w:t>……</w:t>
      </w:r>
    </w:p>
    <w:p>
      <w:pPr>
        <w:spacing w:line="360" w:lineRule="auto"/>
        <w:ind w:firstLine="480" w:firstLineChars="200"/>
        <w:rPr>
          <w:rFonts w:hint="eastAsia" w:ascii="宋体" w:hAnsi="宋体" w:cs="宋体"/>
          <w:color w:val="auto"/>
          <w:sz w:val="24"/>
          <w:szCs w:val="32"/>
          <w:highlight w:val="none"/>
        </w:rPr>
      </w:pPr>
      <w:r>
        <w:rPr>
          <w:rFonts w:hint="eastAsia" w:ascii="宋体" w:hAnsi="宋体" w:cs="宋体"/>
          <w:color w:val="auto"/>
          <w:sz w:val="24"/>
          <w:szCs w:val="32"/>
          <w:highlight w:val="none"/>
        </w:rPr>
        <w:t>以上企业，不属于大企业的分支机构，不存在控股股东为大企业的情形，也不存在与大企业的负责人为同一人的情形。</w:t>
      </w:r>
    </w:p>
    <w:p>
      <w:pPr>
        <w:spacing w:line="360" w:lineRule="auto"/>
        <w:ind w:firstLine="480" w:firstLineChars="200"/>
        <w:rPr>
          <w:rFonts w:hint="eastAsia" w:ascii="宋体" w:hAnsi="宋体" w:cs="宋体"/>
          <w:color w:val="auto"/>
          <w:sz w:val="24"/>
          <w:szCs w:val="32"/>
          <w:highlight w:val="none"/>
        </w:rPr>
      </w:pPr>
      <w:r>
        <w:rPr>
          <w:rFonts w:hint="eastAsia" w:ascii="宋体" w:hAnsi="宋体" w:cs="宋体"/>
          <w:color w:val="auto"/>
          <w:sz w:val="24"/>
          <w:szCs w:val="32"/>
          <w:highlight w:val="none"/>
        </w:rPr>
        <w:t>本企业对上述声明内容的真实性负责。如有虚假，将依法承担相应责任。</w:t>
      </w:r>
    </w:p>
    <w:p>
      <w:pPr>
        <w:spacing w:line="360" w:lineRule="auto"/>
        <w:ind w:firstLine="480" w:firstLineChars="200"/>
        <w:rPr>
          <w:rFonts w:ascii="宋体" w:hAnsi="宋体" w:cs="宋体"/>
          <w:color w:val="auto"/>
          <w:sz w:val="24"/>
          <w:szCs w:val="32"/>
          <w:highlight w:val="none"/>
        </w:rPr>
      </w:pPr>
    </w:p>
    <w:p>
      <w:pPr>
        <w:spacing w:line="360" w:lineRule="auto"/>
        <w:rPr>
          <w:rFonts w:ascii="宋体" w:hAnsi="宋体" w:cs="宋体"/>
          <w:color w:val="auto"/>
          <w:sz w:val="24"/>
          <w:szCs w:val="32"/>
          <w:highlight w:val="none"/>
        </w:rPr>
      </w:pPr>
    </w:p>
    <w:p>
      <w:pPr>
        <w:spacing w:line="360" w:lineRule="auto"/>
        <w:rPr>
          <w:rFonts w:ascii="宋体" w:hAnsi="宋体" w:cs="宋体"/>
          <w:color w:val="auto"/>
          <w:sz w:val="24"/>
          <w:szCs w:val="32"/>
          <w:highlight w:val="none"/>
        </w:rPr>
      </w:pPr>
    </w:p>
    <w:p>
      <w:pPr>
        <w:spacing w:line="360" w:lineRule="auto"/>
        <w:ind w:firstLine="5280" w:firstLineChars="2200"/>
        <w:rPr>
          <w:rFonts w:ascii="宋体" w:hAnsi="宋体" w:cs="宋体"/>
          <w:color w:val="auto"/>
          <w:sz w:val="24"/>
          <w:szCs w:val="32"/>
          <w:highlight w:val="none"/>
        </w:rPr>
      </w:pPr>
      <w:r>
        <w:rPr>
          <w:rFonts w:hint="eastAsia" w:ascii="宋体" w:hAnsi="宋体" w:cs="宋体"/>
          <w:color w:val="auto"/>
          <w:sz w:val="24"/>
          <w:szCs w:val="32"/>
          <w:highlight w:val="none"/>
        </w:rPr>
        <w:t>企业名称（盖章）：</w:t>
      </w:r>
    </w:p>
    <w:p>
      <w:pPr>
        <w:spacing w:line="360" w:lineRule="auto"/>
        <w:ind w:firstLine="5280" w:firstLineChars="2200"/>
        <w:rPr>
          <w:rFonts w:ascii="宋体" w:hAnsi="宋体" w:cs="宋体"/>
          <w:color w:val="auto"/>
          <w:sz w:val="24"/>
          <w:szCs w:val="32"/>
          <w:highlight w:val="none"/>
        </w:rPr>
      </w:pPr>
      <w:r>
        <w:rPr>
          <w:rFonts w:hint="eastAsia" w:ascii="宋体" w:hAnsi="宋体" w:cs="宋体"/>
          <w:color w:val="auto"/>
          <w:sz w:val="24"/>
          <w:szCs w:val="32"/>
          <w:highlight w:val="none"/>
        </w:rPr>
        <w:t>日期：</w:t>
      </w:r>
    </w:p>
    <w:p>
      <w:pPr>
        <w:spacing w:line="360" w:lineRule="auto"/>
        <w:rPr>
          <w:rFonts w:ascii="宋体" w:hAnsi="宋体" w:cs="宋体"/>
          <w:color w:val="auto"/>
          <w:sz w:val="28"/>
          <w:szCs w:val="36"/>
          <w:highlight w:val="none"/>
        </w:rPr>
      </w:pPr>
    </w:p>
    <w:p>
      <w:pPr>
        <w:spacing w:line="360" w:lineRule="auto"/>
        <w:rPr>
          <w:rFonts w:ascii="宋体" w:hAnsi="宋体" w:cs="宋体"/>
          <w:b/>
          <w:bCs/>
          <w:color w:val="auto"/>
          <w:sz w:val="22"/>
          <w:szCs w:val="28"/>
          <w:highlight w:val="none"/>
        </w:rPr>
      </w:pPr>
      <w:r>
        <w:rPr>
          <w:rFonts w:hint="eastAsia" w:ascii="宋体" w:hAnsi="宋体" w:cs="宋体"/>
          <w:b/>
          <w:bCs/>
          <w:color w:val="auto"/>
          <w:sz w:val="22"/>
          <w:szCs w:val="28"/>
          <w:highlight w:val="none"/>
        </w:rPr>
        <w:t>备注：</w:t>
      </w:r>
    </w:p>
    <w:p>
      <w:pPr>
        <w:spacing w:line="360" w:lineRule="auto"/>
        <w:rPr>
          <w:rFonts w:ascii="宋体" w:hAnsi="宋体" w:cs="宋体"/>
          <w:b/>
          <w:bCs/>
          <w:color w:val="auto"/>
          <w:highlight w:val="none"/>
        </w:rPr>
      </w:pPr>
      <w:r>
        <w:rPr>
          <w:rFonts w:hint="eastAsia" w:ascii="宋体" w:hAnsi="宋体" w:cs="宋体"/>
          <w:b/>
          <w:bCs/>
          <w:color w:val="auto"/>
          <w:highlight w:val="none"/>
        </w:rPr>
        <w:t>1、从业人员、营业收入、资产总额填报上一年度数据，无上一年度数据的新成立企业可不填报。</w:t>
      </w:r>
    </w:p>
    <w:p>
      <w:pPr>
        <w:spacing w:line="360" w:lineRule="auto"/>
        <w:rPr>
          <w:rFonts w:ascii="宋体" w:hAnsi="宋体" w:cs="宋体"/>
          <w:b/>
          <w:bCs/>
          <w:color w:val="auto"/>
          <w:sz w:val="24"/>
          <w:highlight w:val="none"/>
        </w:rPr>
      </w:pPr>
      <w:r>
        <w:rPr>
          <w:rFonts w:hint="eastAsia" w:ascii="宋体" w:hAnsi="宋体" w:cs="宋体"/>
          <w:b/>
          <w:bCs/>
          <w:color w:val="auto"/>
          <w:highlight w:val="none"/>
        </w:rPr>
        <w:t>2、如</w:t>
      </w:r>
      <w:r>
        <w:rPr>
          <w:rFonts w:hint="eastAsia"/>
          <w:b/>
          <w:bCs/>
          <w:color w:val="auto"/>
          <w:highlight w:val="none"/>
        </w:rPr>
        <w:t>中标人声明为小微企业，本声明函将随中标结果同时公告，接受社会监督。</w:t>
      </w:r>
    </w:p>
    <w:p>
      <w:pPr>
        <w:pageBreakBefore/>
        <w:spacing w:before="260" w:after="260" w:line="415" w:lineRule="auto"/>
        <w:outlineLvl w:val="1"/>
        <w:rPr>
          <w:rFonts w:hint="eastAsia" w:ascii="宋体" w:hAnsi="宋体" w:eastAsia="宋体" w:cs="宋体"/>
          <w:bCs/>
          <w:color w:val="auto"/>
          <w:sz w:val="24"/>
          <w:highlight w:val="none"/>
        </w:rPr>
      </w:pPr>
      <w:bookmarkStart w:id="106" w:name="_Toc1074"/>
      <w:r>
        <w:rPr>
          <w:rFonts w:hint="eastAsia" w:ascii="宋体" w:hAnsi="宋体" w:eastAsia="宋体" w:cs="宋体"/>
          <w:bCs/>
          <w:color w:val="auto"/>
          <w:sz w:val="24"/>
          <w:highlight w:val="none"/>
        </w:rPr>
        <w:t>附件十</w:t>
      </w:r>
      <w:r>
        <w:rPr>
          <w:rFonts w:hint="eastAsia" w:ascii="宋体" w:hAnsi="宋体" w:cs="宋体"/>
          <w:bCs/>
          <w:color w:val="auto"/>
          <w:sz w:val="24"/>
          <w:highlight w:val="none"/>
          <w:lang w:val="en-US" w:eastAsia="zh-CN"/>
        </w:rPr>
        <w:t>八</w:t>
      </w:r>
      <w:r>
        <w:rPr>
          <w:rFonts w:hint="eastAsia" w:ascii="宋体" w:hAnsi="宋体" w:eastAsia="宋体" w:cs="宋体"/>
          <w:bCs/>
          <w:color w:val="auto"/>
          <w:sz w:val="24"/>
          <w:highlight w:val="none"/>
        </w:rPr>
        <w:t>：</w:t>
      </w:r>
      <w:bookmarkEnd w:id="105"/>
      <w:bookmarkStart w:id="107" w:name="_Toc496599001"/>
      <w:r>
        <w:rPr>
          <w:rFonts w:hint="eastAsia" w:ascii="宋体" w:hAnsi="宋体" w:eastAsia="宋体" w:cs="宋体"/>
          <w:bCs/>
          <w:color w:val="auto"/>
          <w:sz w:val="24"/>
          <w:highlight w:val="none"/>
        </w:rPr>
        <w:t>中小企业声明函（工程、服务）</w:t>
      </w:r>
      <w:bookmarkEnd w:id="106"/>
    </w:p>
    <w:p>
      <w:pPr>
        <w:snapToGrid w:val="0"/>
        <w:spacing w:line="360" w:lineRule="auto"/>
        <w:jc w:val="center"/>
        <w:rPr>
          <w:rFonts w:hint="eastAsia" w:ascii="宋体" w:hAnsi="宋体" w:eastAsia="宋体" w:cs="宋体"/>
          <w:b/>
          <w:color w:val="auto"/>
          <w:kern w:val="0"/>
          <w:sz w:val="32"/>
          <w:szCs w:val="32"/>
          <w:highlight w:val="none"/>
          <w:lang w:val="en-US" w:eastAsia="zh-CN"/>
        </w:rPr>
      </w:pPr>
      <w:r>
        <w:rPr>
          <w:rFonts w:hint="eastAsia" w:ascii="宋体" w:hAnsi="宋体" w:eastAsia="宋体" w:cs="宋体"/>
          <w:b/>
          <w:color w:val="auto"/>
          <w:kern w:val="0"/>
          <w:sz w:val="32"/>
          <w:szCs w:val="32"/>
          <w:highlight w:val="none"/>
          <w:lang w:val="en-US" w:eastAsia="zh-CN"/>
        </w:rPr>
        <w:t>中小企业声明函（工程、服务）</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本公司（联合体）郑重声明，根据《政府采购促进中小企业发展管理办法》（财库﹝2020﹞46 号）的规定，本公司（联合体）参加</w:t>
      </w:r>
      <w:r>
        <w:rPr>
          <w:rFonts w:hint="eastAsia" w:ascii="宋体" w:hAnsi="宋体" w:eastAsia="宋体" w:cs="宋体"/>
          <w:color w:val="auto"/>
          <w:sz w:val="24"/>
          <w:highlight w:val="none"/>
          <w:u w:val="single"/>
        </w:rPr>
        <w:t xml:space="preserve">  （单位名称）  </w:t>
      </w:r>
      <w:r>
        <w:rPr>
          <w:rFonts w:hint="eastAsia" w:ascii="宋体" w:hAnsi="宋体" w:eastAsia="宋体" w:cs="宋体"/>
          <w:color w:val="auto"/>
          <w:sz w:val="24"/>
          <w:highlight w:val="none"/>
        </w:rPr>
        <w:t>的</w:t>
      </w:r>
      <w:r>
        <w:rPr>
          <w:rFonts w:hint="eastAsia" w:ascii="宋体" w:hAnsi="宋体" w:eastAsia="宋体" w:cs="宋体"/>
          <w:color w:val="auto"/>
          <w:sz w:val="24"/>
          <w:highlight w:val="none"/>
          <w:u w:val="single"/>
        </w:rPr>
        <w:t xml:space="preserve">  （项目名称）  </w:t>
      </w:r>
      <w:r>
        <w:rPr>
          <w:rFonts w:hint="eastAsia" w:ascii="宋体" w:hAnsi="宋体" w:eastAsia="宋体" w:cs="宋体"/>
          <w:color w:val="auto"/>
          <w:sz w:val="24"/>
          <w:highlight w:val="none"/>
        </w:rPr>
        <w:t>采购活动，工程的施工单位全部为符合政策要求的中小企业（或者：服务全部由符合政策要求的中小企业承接）。相关企业（含联合 体中的中小企业、签订分包意向协议的中小企业）的具体情况如下：</w:t>
      </w:r>
    </w:p>
    <w:p>
      <w:pPr>
        <w:spacing w:line="360" w:lineRule="auto"/>
        <w:ind w:firstLine="480" w:firstLineChars="200"/>
        <w:rPr>
          <w:rFonts w:hint="eastAsia" w:ascii="宋体" w:hAnsi="宋体" w:cs="宋体"/>
          <w:color w:val="auto"/>
          <w:sz w:val="24"/>
          <w:szCs w:val="32"/>
          <w:highlight w:val="none"/>
        </w:rPr>
      </w:pPr>
      <w:r>
        <w:rPr>
          <w:rFonts w:hint="eastAsia" w:ascii="宋体" w:hAnsi="宋体" w:eastAsia="宋体" w:cs="宋体"/>
          <w:color w:val="auto"/>
          <w:sz w:val="24"/>
          <w:highlight w:val="none"/>
        </w:rPr>
        <w:t>1、</w:t>
      </w:r>
      <w:r>
        <w:rPr>
          <w:rFonts w:hint="eastAsia" w:ascii="宋体" w:hAnsi="宋体" w:eastAsia="宋体" w:cs="宋体"/>
          <w:color w:val="auto"/>
          <w:sz w:val="24"/>
          <w:highlight w:val="none"/>
          <w:u w:val="single"/>
        </w:rPr>
        <w:t xml:space="preserve">  （标的名称）  </w:t>
      </w:r>
      <w:r>
        <w:rPr>
          <w:rFonts w:hint="eastAsia" w:ascii="宋体" w:hAnsi="宋体" w:eastAsia="宋体" w:cs="宋体"/>
          <w:color w:val="auto"/>
          <w:sz w:val="24"/>
          <w:highlight w:val="none"/>
        </w:rPr>
        <w:t>，</w:t>
      </w:r>
      <w:r>
        <w:rPr>
          <w:rFonts w:hint="eastAsia" w:ascii="宋体" w:hAnsi="宋体" w:cs="宋体"/>
          <w:color w:val="auto"/>
          <w:sz w:val="24"/>
          <w:szCs w:val="32"/>
          <w:highlight w:val="none"/>
        </w:rPr>
        <w:t>属于</w:t>
      </w:r>
      <w:r>
        <w:rPr>
          <w:rFonts w:hint="eastAsia" w:ascii="宋体" w:hAnsi="宋体" w:cs="宋体"/>
          <w:b/>
          <w:bCs/>
          <w:color w:val="auto"/>
          <w:sz w:val="24"/>
          <w:highlight w:val="none"/>
          <w:u w:val="single"/>
          <w:lang w:val="en-US" w:eastAsia="zh-CN"/>
        </w:rPr>
        <w:t xml:space="preserve">        </w:t>
      </w:r>
      <w:r>
        <w:rPr>
          <w:rFonts w:hint="eastAsia" w:ascii="宋体" w:hAnsi="宋体" w:eastAsia="宋体" w:cs="宋体"/>
          <w:color w:val="auto"/>
          <w:sz w:val="24"/>
          <w:szCs w:val="32"/>
          <w:highlight w:val="none"/>
          <w:lang w:val="en-US" w:eastAsia="zh-CN"/>
        </w:rPr>
        <w:t>行业</w:t>
      </w:r>
      <w:r>
        <w:rPr>
          <w:rFonts w:hint="eastAsia" w:ascii="宋体" w:hAnsi="宋体" w:eastAsia="宋体" w:cs="宋体"/>
          <w:color w:val="auto"/>
          <w:sz w:val="24"/>
          <w:highlight w:val="none"/>
        </w:rPr>
        <w:t>；承建（承接）企业为</w:t>
      </w:r>
      <w:r>
        <w:rPr>
          <w:rFonts w:hint="eastAsia" w:ascii="宋体" w:hAnsi="宋体" w:eastAsia="宋体" w:cs="宋体"/>
          <w:color w:val="auto"/>
          <w:sz w:val="24"/>
          <w:highlight w:val="none"/>
          <w:u w:val="single"/>
        </w:rPr>
        <w:t xml:space="preserve">  （企业名称）  </w:t>
      </w:r>
      <w:r>
        <w:rPr>
          <w:rFonts w:hint="eastAsia" w:ascii="宋体" w:hAnsi="宋体" w:eastAsia="宋体" w:cs="宋体"/>
          <w:color w:val="auto"/>
          <w:sz w:val="24"/>
          <w:highlight w:val="none"/>
        </w:rPr>
        <w:t>，从业人员</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rPr>
        <w:t>人，营业收入为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rPr>
        <w:t>万元，资产总额为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rPr>
        <w:t>万元，</w:t>
      </w:r>
      <w:r>
        <w:rPr>
          <w:rFonts w:hint="eastAsia" w:ascii="宋体" w:hAnsi="宋体" w:cs="宋体"/>
          <w:b/>
          <w:bCs/>
          <w:color w:val="auto"/>
          <w:sz w:val="24"/>
          <w:szCs w:val="32"/>
          <w:highlight w:val="none"/>
        </w:rPr>
        <w:t>属于</w:t>
      </w:r>
      <w:r>
        <w:rPr>
          <w:rFonts w:hint="eastAsia" w:ascii="宋体" w:hAnsi="宋体" w:cs="宋体"/>
          <w:b/>
          <w:bCs/>
          <w:color w:val="auto"/>
          <w:sz w:val="24"/>
          <w:szCs w:val="32"/>
          <w:highlight w:val="none"/>
          <w:u w:val="single"/>
        </w:rPr>
        <w:t xml:space="preserve">         </w:t>
      </w:r>
      <w:r>
        <w:rPr>
          <w:rFonts w:hint="eastAsia" w:ascii="宋体" w:hAnsi="宋体" w:cs="宋体"/>
          <w:b/>
          <w:bCs/>
          <w:color w:val="auto"/>
          <w:sz w:val="24"/>
          <w:szCs w:val="32"/>
          <w:highlight w:val="none"/>
          <w:u w:val="none"/>
        </w:rPr>
        <w:t>企业</w:t>
      </w:r>
      <w:r>
        <w:rPr>
          <w:rFonts w:hint="eastAsia" w:ascii="宋体" w:hAnsi="宋体" w:cs="宋体"/>
          <w:color w:val="auto"/>
          <w:sz w:val="24"/>
          <w:szCs w:val="32"/>
          <w:highlight w:val="none"/>
          <w:u w:val="none"/>
        </w:rPr>
        <w:t>（中型企业或小型企业或微型企业）</w:t>
      </w:r>
      <w:r>
        <w:rPr>
          <w:rFonts w:hint="eastAsia" w:ascii="宋体" w:hAnsi="宋体" w:cs="宋体"/>
          <w:color w:val="auto"/>
          <w:sz w:val="24"/>
          <w:szCs w:val="32"/>
          <w:highlight w:val="none"/>
        </w:rPr>
        <w:t>；</w:t>
      </w:r>
    </w:p>
    <w:p>
      <w:pPr>
        <w:spacing w:line="360" w:lineRule="auto"/>
        <w:ind w:firstLine="480" w:firstLineChars="200"/>
        <w:rPr>
          <w:rFonts w:hint="eastAsia" w:ascii="宋体" w:hAnsi="宋体" w:cs="宋体"/>
          <w:color w:val="auto"/>
          <w:sz w:val="24"/>
          <w:szCs w:val="32"/>
          <w:highlight w:val="none"/>
        </w:rPr>
      </w:pPr>
      <w:r>
        <w:rPr>
          <w:rFonts w:hint="eastAsia" w:ascii="宋体" w:hAnsi="宋体" w:eastAsia="宋体" w:cs="宋体"/>
          <w:color w:val="auto"/>
          <w:sz w:val="24"/>
          <w:highlight w:val="none"/>
        </w:rPr>
        <w:t>2、</w:t>
      </w:r>
      <w:r>
        <w:rPr>
          <w:rFonts w:hint="eastAsia" w:ascii="宋体" w:hAnsi="宋体" w:eastAsia="宋体" w:cs="宋体"/>
          <w:color w:val="auto"/>
          <w:sz w:val="24"/>
          <w:highlight w:val="none"/>
          <w:u w:val="single"/>
        </w:rPr>
        <w:t xml:space="preserve">  （标的名称）  </w:t>
      </w:r>
      <w:r>
        <w:rPr>
          <w:rFonts w:hint="eastAsia" w:ascii="宋体" w:hAnsi="宋体" w:eastAsia="宋体" w:cs="宋体"/>
          <w:color w:val="auto"/>
          <w:sz w:val="24"/>
          <w:highlight w:val="none"/>
        </w:rPr>
        <w:t>，</w:t>
      </w:r>
      <w:r>
        <w:rPr>
          <w:rFonts w:hint="eastAsia" w:ascii="宋体" w:hAnsi="宋体" w:cs="宋体"/>
          <w:color w:val="auto"/>
          <w:sz w:val="24"/>
          <w:szCs w:val="32"/>
          <w:highlight w:val="none"/>
        </w:rPr>
        <w:t>属于</w:t>
      </w:r>
      <w:r>
        <w:rPr>
          <w:rFonts w:hint="eastAsia" w:ascii="宋体" w:hAnsi="宋体" w:cs="宋体"/>
          <w:b/>
          <w:bCs/>
          <w:color w:val="auto"/>
          <w:sz w:val="24"/>
          <w:highlight w:val="none"/>
          <w:u w:val="single"/>
          <w:lang w:val="en-US" w:eastAsia="zh-CN"/>
        </w:rPr>
        <w:t xml:space="preserve">        </w:t>
      </w:r>
      <w:r>
        <w:rPr>
          <w:rFonts w:hint="eastAsia" w:ascii="宋体" w:hAnsi="宋体" w:eastAsia="宋体" w:cs="宋体"/>
          <w:color w:val="auto"/>
          <w:sz w:val="24"/>
          <w:szCs w:val="32"/>
          <w:highlight w:val="none"/>
          <w:lang w:val="en-US" w:eastAsia="zh-CN"/>
        </w:rPr>
        <w:t>行业</w:t>
      </w:r>
      <w:r>
        <w:rPr>
          <w:rFonts w:hint="eastAsia" w:ascii="宋体" w:hAnsi="宋体" w:eastAsia="宋体" w:cs="宋体"/>
          <w:color w:val="auto"/>
          <w:sz w:val="24"/>
          <w:highlight w:val="none"/>
        </w:rPr>
        <w:t>；承建（承接）企业为</w:t>
      </w:r>
      <w:r>
        <w:rPr>
          <w:rFonts w:hint="eastAsia" w:ascii="宋体" w:hAnsi="宋体" w:eastAsia="宋体" w:cs="宋体"/>
          <w:color w:val="auto"/>
          <w:sz w:val="24"/>
          <w:highlight w:val="none"/>
          <w:u w:val="single"/>
        </w:rPr>
        <w:t xml:space="preserve">  （企业名称）  </w:t>
      </w:r>
      <w:r>
        <w:rPr>
          <w:rFonts w:hint="eastAsia" w:ascii="宋体" w:hAnsi="宋体" w:eastAsia="宋体" w:cs="宋体"/>
          <w:color w:val="auto"/>
          <w:sz w:val="24"/>
          <w:highlight w:val="none"/>
        </w:rPr>
        <w:t>，从业人员</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rPr>
        <w:t>人，营业收入为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rPr>
        <w:t>万元，资产总额为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rPr>
        <w:t>万元，</w:t>
      </w:r>
      <w:r>
        <w:rPr>
          <w:rFonts w:hint="eastAsia" w:ascii="宋体" w:hAnsi="宋体" w:cs="宋体"/>
          <w:b/>
          <w:bCs/>
          <w:color w:val="auto"/>
          <w:sz w:val="24"/>
          <w:szCs w:val="32"/>
          <w:highlight w:val="none"/>
        </w:rPr>
        <w:t>属于</w:t>
      </w:r>
      <w:r>
        <w:rPr>
          <w:rFonts w:hint="eastAsia" w:ascii="宋体" w:hAnsi="宋体" w:cs="宋体"/>
          <w:b/>
          <w:bCs/>
          <w:color w:val="auto"/>
          <w:sz w:val="24"/>
          <w:szCs w:val="32"/>
          <w:highlight w:val="none"/>
          <w:u w:val="single"/>
        </w:rPr>
        <w:t xml:space="preserve">         </w:t>
      </w:r>
      <w:r>
        <w:rPr>
          <w:rFonts w:hint="eastAsia" w:ascii="宋体" w:hAnsi="宋体" w:cs="宋体"/>
          <w:b/>
          <w:bCs/>
          <w:color w:val="auto"/>
          <w:sz w:val="24"/>
          <w:szCs w:val="32"/>
          <w:highlight w:val="none"/>
          <w:u w:val="none"/>
        </w:rPr>
        <w:t>企业</w:t>
      </w:r>
      <w:r>
        <w:rPr>
          <w:rFonts w:hint="eastAsia" w:ascii="宋体" w:hAnsi="宋体" w:cs="宋体"/>
          <w:color w:val="auto"/>
          <w:sz w:val="24"/>
          <w:szCs w:val="32"/>
          <w:highlight w:val="none"/>
          <w:u w:val="none"/>
        </w:rPr>
        <w:t>（中型企业或小型企业或微型企业）</w:t>
      </w:r>
      <w:r>
        <w:rPr>
          <w:rFonts w:hint="eastAsia" w:ascii="宋体" w:hAnsi="宋体" w:cs="宋体"/>
          <w:color w:val="auto"/>
          <w:sz w:val="24"/>
          <w:szCs w:val="32"/>
          <w:highlight w:val="none"/>
        </w:rPr>
        <w:t>；</w:t>
      </w:r>
    </w:p>
    <w:p>
      <w:pPr>
        <w:spacing w:line="360" w:lineRule="auto"/>
        <w:ind w:firstLine="480" w:firstLineChars="200"/>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以上企业，不属于大企业的分支机构，不存在控股股东为大企业的情形，也不存在与大企业的负责人为同一人的情形。</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本企业对上述声明内容的真实性负责。如有虚假，将依法承担相应责任。</w:t>
      </w:r>
    </w:p>
    <w:p>
      <w:pPr>
        <w:spacing w:line="360" w:lineRule="auto"/>
        <w:rPr>
          <w:rFonts w:hint="eastAsia" w:ascii="宋体" w:hAnsi="宋体" w:eastAsia="宋体" w:cs="宋体"/>
          <w:color w:val="auto"/>
          <w:sz w:val="24"/>
          <w:highlight w:val="none"/>
        </w:rPr>
      </w:pPr>
    </w:p>
    <w:p>
      <w:pPr>
        <w:spacing w:line="360" w:lineRule="auto"/>
        <w:ind w:firstLine="5280" w:firstLineChars="2200"/>
        <w:rPr>
          <w:rFonts w:hint="eastAsia" w:ascii="宋体" w:hAnsi="宋体" w:eastAsia="宋体" w:cs="宋体"/>
          <w:color w:val="auto"/>
          <w:sz w:val="24"/>
          <w:highlight w:val="none"/>
        </w:rPr>
      </w:pPr>
      <w:r>
        <w:rPr>
          <w:rFonts w:hint="eastAsia" w:ascii="宋体" w:hAnsi="宋体" w:eastAsia="宋体" w:cs="宋体"/>
          <w:color w:val="auto"/>
          <w:sz w:val="24"/>
          <w:highlight w:val="none"/>
        </w:rPr>
        <w:t>企业名称（盖章）：</w:t>
      </w:r>
    </w:p>
    <w:p>
      <w:pPr>
        <w:spacing w:line="360" w:lineRule="auto"/>
        <w:ind w:firstLine="5280" w:firstLineChars="2200"/>
        <w:rPr>
          <w:rFonts w:hint="eastAsia" w:ascii="宋体" w:hAnsi="宋体" w:eastAsia="宋体" w:cs="宋体"/>
          <w:color w:val="auto"/>
          <w:sz w:val="24"/>
          <w:highlight w:val="none"/>
        </w:rPr>
      </w:pPr>
      <w:r>
        <w:rPr>
          <w:rFonts w:hint="eastAsia" w:ascii="宋体" w:hAnsi="宋体" w:eastAsia="宋体" w:cs="宋体"/>
          <w:color w:val="auto"/>
          <w:sz w:val="24"/>
          <w:highlight w:val="none"/>
        </w:rPr>
        <w:t>日期：</w:t>
      </w:r>
    </w:p>
    <w:p>
      <w:pPr>
        <w:spacing w:line="360" w:lineRule="auto"/>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mc:AlternateContent>
          <mc:Choice Requires="wps">
            <w:drawing>
              <wp:anchor distT="0" distB="0" distL="114300" distR="114300" simplePos="0" relativeHeight="251661312" behindDoc="1" locked="0" layoutInCell="1" allowOverlap="1">
                <wp:simplePos x="0" y="0"/>
                <wp:positionH relativeFrom="page">
                  <wp:posOffset>1143000</wp:posOffset>
                </wp:positionH>
                <wp:positionV relativeFrom="paragraph">
                  <wp:posOffset>111125</wp:posOffset>
                </wp:positionV>
                <wp:extent cx="1828800" cy="0"/>
                <wp:effectExtent l="0" t="0" r="0" b="0"/>
                <wp:wrapTopAndBottom/>
                <wp:docPr id="4" name="直线 6"/>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0" cmpd="sng">
                          <a:solidFill>
                            <a:srgbClr val="000000"/>
                          </a:solidFill>
                          <a:round/>
                        </a:ln>
                      </wps:spPr>
                      <wps:bodyPr/>
                    </wps:wsp>
                  </a:graphicData>
                </a:graphic>
              </wp:anchor>
            </w:drawing>
          </mc:Choice>
          <mc:Fallback>
            <w:pict>
              <v:line id="直线 6" o:spid="_x0000_s1026" o:spt="20" style="position:absolute;left:0pt;margin-left:90pt;margin-top:8.75pt;height:0pt;width:144pt;mso-position-horizontal-relative:page;mso-wrap-distance-bottom:0pt;mso-wrap-distance-top:0pt;z-index:-251655168;mso-width-relative:page;mso-height-relative:page;" filled="f" stroked="t" coordsize="21600,21600" o:gfxdata="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BtshuPVAAAACQEAAA8AAAAAAAAAAQAg&#10;AAAAIgAAAGRycy9kb3ducmV2LnhtbFBLAQIUABQAAAAIAIdO4kCD1PfC2AEAAKkDAAAOAAAAAAAA&#10;AAEAIAAAACQBAABkcnMvZTJvRG9jLnhtbFBLBQYAAAAABgAGAFkBAABuBQAAAAA=&#10;">
                <v:fill on="f" focussize="0,0"/>
                <v:stroke weight="0pt" color="#000000" joinstyle="round"/>
                <v:imagedata o:title=""/>
                <o:lock v:ext="edit" aspectratio="f"/>
                <w10:wrap type="topAndBottom"/>
              </v:line>
            </w:pict>
          </mc:Fallback>
        </mc:AlternateContent>
      </w:r>
    </w:p>
    <w:p>
      <w:pPr>
        <w:spacing w:line="360" w:lineRule="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备注：</w:t>
      </w:r>
    </w:p>
    <w:p>
      <w:pPr>
        <w:spacing w:line="360" w:lineRule="auto"/>
        <w:rPr>
          <w:rFonts w:hint="eastAsia" w:ascii="宋体" w:hAnsi="宋体" w:eastAsia="宋体" w:cs="宋体"/>
          <w:b/>
          <w:bCs/>
          <w:color w:val="auto"/>
          <w:sz w:val="24"/>
          <w:highlight w:val="none"/>
        </w:rPr>
      </w:pPr>
      <w:r>
        <w:rPr>
          <w:rFonts w:hint="eastAsia" w:ascii="宋体" w:hAnsi="宋体" w:cs="宋体"/>
          <w:b/>
          <w:bCs/>
          <w:color w:val="auto"/>
          <w:sz w:val="24"/>
          <w:highlight w:val="none"/>
          <w:lang w:val="en-US" w:eastAsia="zh-CN"/>
        </w:rPr>
        <w:t>1</w:t>
      </w:r>
      <w:r>
        <w:rPr>
          <w:rFonts w:hint="eastAsia" w:ascii="宋体" w:hAnsi="宋体" w:eastAsia="宋体" w:cs="宋体"/>
          <w:b/>
          <w:bCs/>
          <w:color w:val="auto"/>
          <w:sz w:val="24"/>
          <w:highlight w:val="none"/>
        </w:rPr>
        <w:t>、从业人员、营业收入、资产总额填报上一年度数据，无上一年度数据的新成立企业可不填报。</w:t>
      </w:r>
    </w:p>
    <w:p>
      <w:pPr>
        <w:pStyle w:val="8"/>
        <w:rPr>
          <w:rFonts w:hint="eastAsia" w:ascii="宋体" w:hAnsi="宋体" w:eastAsia="宋体" w:cs="宋体"/>
          <w:b/>
          <w:bCs/>
          <w:color w:val="auto"/>
          <w:sz w:val="24"/>
          <w:highlight w:val="none"/>
        </w:rPr>
      </w:pPr>
      <w:r>
        <w:rPr>
          <w:rFonts w:hint="eastAsia" w:ascii="宋体" w:hAnsi="宋体" w:cs="宋体"/>
          <w:b/>
          <w:bCs/>
          <w:color w:val="auto"/>
          <w:sz w:val="24"/>
          <w:highlight w:val="none"/>
          <w:lang w:val="en-US" w:eastAsia="zh-CN"/>
        </w:rPr>
        <w:t>2</w:t>
      </w:r>
      <w:r>
        <w:rPr>
          <w:rFonts w:hint="eastAsia" w:ascii="宋体" w:hAnsi="宋体" w:eastAsia="宋体" w:cs="宋体"/>
          <w:b/>
          <w:bCs/>
          <w:color w:val="auto"/>
          <w:sz w:val="24"/>
          <w:highlight w:val="none"/>
        </w:rPr>
        <w:t>、本声明函将随中标结果同时公告，接受社会监督。</w:t>
      </w:r>
    </w:p>
    <w:p>
      <w:pPr>
        <w:pageBreakBefore/>
        <w:spacing w:before="260" w:after="260" w:line="415" w:lineRule="auto"/>
        <w:outlineLvl w:val="1"/>
        <w:rPr>
          <w:rFonts w:hint="eastAsia" w:ascii="宋体" w:hAnsi="宋体" w:eastAsia="宋体" w:cs="宋体"/>
          <w:bCs/>
          <w:color w:val="auto"/>
          <w:sz w:val="24"/>
          <w:highlight w:val="none"/>
        </w:rPr>
      </w:pPr>
      <w:bookmarkStart w:id="108" w:name="_Toc26117"/>
      <w:r>
        <w:rPr>
          <w:rFonts w:hint="eastAsia" w:ascii="宋体" w:hAnsi="宋体" w:eastAsia="宋体" w:cs="宋体"/>
          <w:bCs/>
          <w:color w:val="auto"/>
          <w:sz w:val="24"/>
          <w:highlight w:val="none"/>
        </w:rPr>
        <w:t>附件</w:t>
      </w:r>
      <w:r>
        <w:rPr>
          <w:rFonts w:hint="eastAsia" w:ascii="宋体" w:hAnsi="宋体" w:cs="宋体"/>
          <w:bCs/>
          <w:color w:val="auto"/>
          <w:sz w:val="24"/>
          <w:highlight w:val="none"/>
          <w:lang w:val="en-US" w:eastAsia="zh-CN"/>
        </w:rPr>
        <w:t>十九</w:t>
      </w:r>
      <w:r>
        <w:rPr>
          <w:rFonts w:hint="eastAsia" w:ascii="宋体" w:hAnsi="宋体" w:eastAsia="宋体" w:cs="宋体"/>
          <w:bCs/>
          <w:color w:val="auto"/>
          <w:sz w:val="24"/>
          <w:highlight w:val="none"/>
        </w:rPr>
        <w:t>：</w:t>
      </w:r>
      <w:bookmarkEnd w:id="107"/>
      <w:r>
        <w:rPr>
          <w:rFonts w:hint="eastAsia" w:ascii="宋体" w:hAnsi="宋体" w:eastAsia="宋体" w:cs="宋体"/>
          <w:bCs/>
          <w:color w:val="auto"/>
          <w:sz w:val="24"/>
          <w:highlight w:val="none"/>
        </w:rPr>
        <w:t>东阳市采购项目验收方案</w:t>
      </w:r>
      <w:bookmarkEnd w:id="108"/>
    </w:p>
    <w:p>
      <w:pPr>
        <w:snapToGrid w:val="0"/>
        <w:spacing w:line="360" w:lineRule="auto"/>
        <w:jc w:val="center"/>
        <w:rPr>
          <w:rFonts w:hint="eastAsia" w:ascii="宋体" w:hAnsi="宋体" w:eastAsia="宋体" w:cs="宋体"/>
          <w:b/>
          <w:color w:val="auto"/>
          <w:kern w:val="0"/>
          <w:sz w:val="32"/>
          <w:szCs w:val="32"/>
          <w:highlight w:val="none"/>
          <w:lang w:val="en-US" w:eastAsia="zh-CN"/>
        </w:rPr>
      </w:pPr>
      <w:r>
        <w:rPr>
          <w:rFonts w:hint="eastAsia" w:ascii="宋体" w:hAnsi="宋体" w:eastAsia="宋体" w:cs="宋体"/>
          <w:b/>
          <w:color w:val="auto"/>
          <w:kern w:val="0"/>
          <w:sz w:val="32"/>
          <w:szCs w:val="32"/>
          <w:highlight w:val="none"/>
          <w:lang w:val="en-US" w:eastAsia="zh-CN"/>
        </w:rPr>
        <w:t>东阳市采购项目验收方案</w:t>
      </w:r>
    </w:p>
    <w:p>
      <w:pPr>
        <w:spacing w:before="120" w:beforeLines="50" w:after="120" w:afterLines="50"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根据《政府采购法》及东阳市政府采购办东财预〔2009〕98号《关于加强政府采购管理工作的补充规定》等有关文件规定，为做好</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采购项目的验收管理工作，特制定本项目验收方案，具体如下。</w:t>
      </w:r>
    </w:p>
    <w:p>
      <w:pPr>
        <w:spacing w:after="120" w:line="360" w:lineRule="auto"/>
        <w:ind w:firstLine="472" w:firstLineChars="196"/>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一、验收项目说明</w:t>
      </w:r>
    </w:p>
    <w:p>
      <w:pPr>
        <w:spacing w:after="120" w:line="360" w:lineRule="auto"/>
        <w:ind w:firstLine="472" w:firstLineChars="196"/>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1、招标编号：               </w:t>
      </w:r>
    </w:p>
    <w:p>
      <w:pPr>
        <w:spacing w:after="120" w:line="360" w:lineRule="auto"/>
        <w:ind w:firstLine="472" w:firstLineChars="196"/>
        <w:rPr>
          <w:rFonts w:hint="eastAsia" w:ascii="宋体" w:hAnsi="宋体" w:eastAsia="宋体" w:cs="宋体"/>
          <w:b/>
          <w:color w:val="auto"/>
          <w:sz w:val="24"/>
          <w:highlight w:val="none"/>
        </w:rPr>
      </w:pPr>
      <w:r>
        <w:rPr>
          <w:rFonts w:hint="eastAsia" w:ascii="宋体" w:hAnsi="宋体" w:eastAsia="宋体" w:cs="宋体"/>
          <w:b/>
          <w:color w:val="auto"/>
          <w:sz w:val="24"/>
          <w:highlight w:val="none"/>
        </w:rPr>
        <w:t>2、采购内容：</w:t>
      </w:r>
    </w:p>
    <w:p>
      <w:pPr>
        <w:spacing w:after="120" w:line="360" w:lineRule="auto"/>
        <w:rPr>
          <w:rFonts w:hint="eastAsia" w:ascii="宋体" w:hAnsi="宋体" w:eastAsia="宋体" w:cs="宋体"/>
          <w:b/>
          <w:color w:val="auto"/>
          <w:sz w:val="24"/>
          <w:highlight w:val="none"/>
        </w:rPr>
      </w:pPr>
    </w:p>
    <w:p>
      <w:pPr>
        <w:spacing w:after="120" w:line="360" w:lineRule="auto"/>
        <w:ind w:firstLine="482" w:firstLineChars="200"/>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二、验收小组人员</w:t>
      </w:r>
    </w:p>
    <w:p>
      <w:pPr>
        <w:spacing w:after="120" w:line="360" w:lineRule="auto"/>
        <w:ind w:firstLine="472" w:firstLineChars="196"/>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1、本次验收由</w:t>
      </w:r>
      <w:r>
        <w:rPr>
          <w:rFonts w:hint="eastAsia" w:ascii="宋体" w:hAnsi="宋体" w:eastAsia="宋体" w:cs="宋体"/>
          <w:b/>
          <w:color w:val="auto"/>
          <w:sz w:val="24"/>
          <w:highlight w:val="none"/>
          <w:u w:val="single"/>
        </w:rPr>
        <w:t xml:space="preserve">            </w:t>
      </w:r>
      <w:r>
        <w:rPr>
          <w:rFonts w:hint="eastAsia" w:ascii="宋体" w:hAnsi="宋体" w:eastAsia="宋体" w:cs="宋体"/>
          <w:color w:val="auto"/>
          <w:sz w:val="24"/>
          <w:highlight w:val="none"/>
          <w:u w:val="single"/>
        </w:rPr>
        <w:t xml:space="preserve"> </w:t>
      </w:r>
      <w:r>
        <w:rPr>
          <w:rFonts w:hint="eastAsia" w:ascii="宋体" w:hAnsi="宋体" w:eastAsia="宋体" w:cs="宋体"/>
          <w:b/>
          <w:color w:val="auto"/>
          <w:sz w:val="24"/>
          <w:highlight w:val="none"/>
        </w:rPr>
        <w:t>组织。</w:t>
      </w:r>
    </w:p>
    <w:p>
      <w:pPr>
        <w:spacing w:after="120" w:line="360" w:lineRule="auto"/>
        <w:ind w:firstLine="472" w:firstLineChars="196"/>
        <w:rPr>
          <w:rFonts w:hint="eastAsia" w:ascii="宋体" w:hAnsi="宋体" w:eastAsia="宋体" w:cs="宋体"/>
          <w:b/>
          <w:color w:val="auto"/>
          <w:sz w:val="24"/>
          <w:highlight w:val="none"/>
          <w:u w:val="single"/>
        </w:rPr>
      </w:pPr>
      <w:r>
        <w:rPr>
          <w:rFonts w:hint="eastAsia" w:ascii="宋体" w:hAnsi="宋体" w:eastAsia="宋体" w:cs="宋体"/>
          <w:b/>
          <w:color w:val="auto"/>
          <w:sz w:val="24"/>
          <w:highlight w:val="none"/>
        </w:rPr>
        <w:t>2、验收小组成员名单：</w:t>
      </w:r>
      <w:r>
        <w:rPr>
          <w:rFonts w:hint="eastAsia" w:ascii="宋体" w:hAnsi="宋体" w:eastAsia="宋体" w:cs="宋体"/>
          <w:b/>
          <w:color w:val="auto"/>
          <w:sz w:val="24"/>
          <w:highlight w:val="none"/>
          <w:u w:val="single"/>
        </w:rPr>
        <w:t xml:space="preserve">                                                       </w:t>
      </w:r>
    </w:p>
    <w:p>
      <w:pPr>
        <w:spacing w:after="120" w:line="360" w:lineRule="auto"/>
        <w:ind w:firstLine="472" w:firstLineChars="196"/>
        <w:rPr>
          <w:rFonts w:hint="eastAsia" w:ascii="宋体" w:hAnsi="宋体" w:eastAsia="宋体" w:cs="宋体"/>
          <w:b/>
          <w:color w:val="auto"/>
          <w:sz w:val="24"/>
          <w:highlight w:val="none"/>
        </w:rPr>
      </w:pPr>
      <w:r>
        <w:rPr>
          <w:rFonts w:hint="eastAsia" w:ascii="宋体" w:hAnsi="宋体" w:eastAsia="宋体" w:cs="宋体"/>
          <w:b/>
          <w:color w:val="auto"/>
          <w:sz w:val="24"/>
          <w:highlight w:val="none"/>
        </w:rPr>
        <w:t>3、验收小组成员签名：</w:t>
      </w:r>
      <w:r>
        <w:rPr>
          <w:rFonts w:hint="eastAsia" w:ascii="宋体" w:hAnsi="宋体" w:eastAsia="宋体" w:cs="宋体"/>
          <w:b/>
          <w:color w:val="auto"/>
          <w:sz w:val="24"/>
          <w:highlight w:val="none"/>
          <w:u w:val="single"/>
        </w:rPr>
        <w:t xml:space="preserve">                                                    </w:t>
      </w:r>
      <w:r>
        <w:rPr>
          <w:rFonts w:hint="eastAsia" w:ascii="宋体" w:hAnsi="宋体" w:eastAsia="宋体" w:cs="宋体"/>
          <w:b/>
          <w:color w:val="auto"/>
          <w:sz w:val="24"/>
          <w:highlight w:val="none"/>
        </w:rPr>
        <w:t xml:space="preserve">                                                                        </w:t>
      </w:r>
    </w:p>
    <w:p>
      <w:pPr>
        <w:spacing w:after="120" w:line="360" w:lineRule="auto"/>
        <w:ind w:firstLine="472" w:firstLineChars="196"/>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三、验收方法与内容</w:t>
      </w:r>
    </w:p>
    <w:p>
      <w:pPr>
        <w:spacing w:after="120" w:line="360" w:lineRule="auto"/>
        <w:rPr>
          <w:rFonts w:hint="eastAsia" w:ascii="宋体" w:hAnsi="宋体" w:eastAsia="宋体" w:cs="宋体"/>
          <w:b/>
          <w:color w:val="auto"/>
          <w:sz w:val="24"/>
          <w:highlight w:val="none"/>
        </w:rPr>
      </w:pPr>
    </w:p>
    <w:p>
      <w:pPr>
        <w:spacing w:after="120" w:line="360" w:lineRule="auto"/>
        <w:ind w:firstLine="482" w:firstLineChars="200"/>
        <w:rPr>
          <w:rFonts w:hint="eastAsia" w:ascii="宋体" w:hAnsi="宋体" w:eastAsia="宋体" w:cs="宋体"/>
          <w:b/>
          <w:color w:val="auto"/>
          <w:sz w:val="24"/>
          <w:highlight w:val="none"/>
        </w:rPr>
      </w:pPr>
      <w:r>
        <w:rPr>
          <w:rFonts w:hint="eastAsia" w:ascii="宋体" w:hAnsi="宋体" w:eastAsia="宋体" w:cs="宋体"/>
          <w:b/>
          <w:color w:val="auto"/>
          <w:sz w:val="24"/>
          <w:highlight w:val="none"/>
        </w:rPr>
        <w:t>四、验收时间</w:t>
      </w:r>
    </w:p>
    <w:p>
      <w:pPr>
        <w:spacing w:after="120" w:line="360" w:lineRule="auto"/>
        <w:rPr>
          <w:rFonts w:hint="eastAsia" w:ascii="宋体" w:hAnsi="宋体" w:eastAsia="宋体" w:cs="宋体"/>
          <w:b/>
          <w:color w:val="auto"/>
          <w:sz w:val="24"/>
          <w:highlight w:val="none"/>
        </w:rPr>
      </w:pPr>
    </w:p>
    <w:p>
      <w:pPr>
        <w:spacing w:after="120" w:line="360" w:lineRule="auto"/>
        <w:ind w:firstLine="472" w:firstLineChars="196"/>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五、验收地点</w:t>
      </w:r>
    </w:p>
    <w:p>
      <w:pPr>
        <w:spacing w:after="120" w:line="360" w:lineRule="auto"/>
        <w:rPr>
          <w:rFonts w:hint="eastAsia" w:ascii="宋体" w:hAnsi="宋体" w:eastAsia="宋体" w:cs="宋体"/>
          <w:b/>
          <w:color w:val="auto"/>
          <w:sz w:val="24"/>
          <w:highlight w:val="none"/>
        </w:rPr>
      </w:pPr>
    </w:p>
    <w:p>
      <w:pPr>
        <w:spacing w:after="120" w:line="360" w:lineRule="auto"/>
        <w:ind w:firstLine="472" w:firstLineChars="196"/>
        <w:rPr>
          <w:rFonts w:hint="eastAsia" w:ascii="宋体" w:hAnsi="宋体" w:eastAsia="宋体" w:cs="宋体"/>
          <w:b/>
          <w:color w:val="auto"/>
          <w:sz w:val="24"/>
          <w:highlight w:val="none"/>
        </w:rPr>
      </w:pPr>
      <w:r>
        <w:rPr>
          <w:rFonts w:hint="eastAsia" w:ascii="宋体" w:hAnsi="宋体" w:eastAsia="宋体" w:cs="宋体"/>
          <w:b/>
          <w:color w:val="auto"/>
          <w:sz w:val="24"/>
          <w:highlight w:val="none"/>
        </w:rPr>
        <w:t>六、验收程序</w:t>
      </w:r>
    </w:p>
    <w:p>
      <w:pPr>
        <w:spacing w:after="120" w:line="360" w:lineRule="auto"/>
        <w:ind w:left="479" w:leftChars="228" w:firstLine="470" w:firstLineChars="195"/>
        <w:rPr>
          <w:rFonts w:hint="eastAsia" w:ascii="宋体" w:hAnsi="宋体" w:eastAsia="宋体" w:cs="宋体"/>
          <w:b/>
          <w:color w:val="auto"/>
          <w:sz w:val="24"/>
          <w:highlight w:val="none"/>
        </w:rPr>
      </w:pPr>
    </w:p>
    <w:p>
      <w:pPr>
        <w:spacing w:after="120" w:line="360" w:lineRule="auto"/>
        <w:ind w:left="479" w:leftChars="228" w:firstLine="470" w:firstLineChars="195"/>
        <w:rPr>
          <w:rFonts w:hint="eastAsia" w:ascii="宋体" w:hAnsi="宋体" w:eastAsia="宋体" w:cs="宋体"/>
          <w:b/>
          <w:color w:val="auto"/>
          <w:sz w:val="24"/>
          <w:highlight w:val="none"/>
        </w:rPr>
      </w:pPr>
    </w:p>
    <w:p>
      <w:pPr>
        <w:spacing w:after="120" w:line="360" w:lineRule="auto"/>
        <w:ind w:right="-6"/>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                                            采购单位（盖章）：</w:t>
      </w:r>
    </w:p>
    <w:p>
      <w:pPr>
        <w:spacing w:after="120" w:line="360" w:lineRule="auto"/>
        <w:ind w:right="960" w:firstLine="470" w:firstLineChars="196"/>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rPr>
        <w:t>年  月  日</w:t>
      </w:r>
    </w:p>
    <w:p>
      <w:pPr>
        <w:pageBreakBefore/>
        <w:spacing w:before="260" w:after="260" w:line="415" w:lineRule="auto"/>
        <w:outlineLvl w:val="1"/>
        <w:rPr>
          <w:rFonts w:hint="eastAsia" w:ascii="宋体" w:hAnsi="宋体" w:eastAsia="宋体" w:cs="宋体"/>
          <w:bCs/>
          <w:color w:val="auto"/>
          <w:sz w:val="24"/>
          <w:highlight w:val="none"/>
        </w:rPr>
      </w:pPr>
      <w:bookmarkStart w:id="109" w:name="_Toc496599002"/>
      <w:bookmarkStart w:id="110" w:name="_Toc23929"/>
      <w:r>
        <w:rPr>
          <w:rFonts w:hint="eastAsia" w:ascii="宋体" w:hAnsi="宋体" w:eastAsia="宋体" w:cs="宋体"/>
          <w:bCs/>
          <w:color w:val="auto"/>
          <w:sz w:val="24"/>
          <w:highlight w:val="none"/>
        </w:rPr>
        <w:t>附件</w:t>
      </w:r>
      <w:r>
        <w:rPr>
          <w:rFonts w:hint="eastAsia" w:ascii="宋体" w:hAnsi="宋体" w:cs="宋体"/>
          <w:bCs/>
          <w:color w:val="auto"/>
          <w:sz w:val="24"/>
          <w:highlight w:val="none"/>
          <w:lang w:val="en-US" w:eastAsia="zh-CN"/>
        </w:rPr>
        <w:t>二十</w:t>
      </w:r>
      <w:r>
        <w:rPr>
          <w:rFonts w:hint="eastAsia" w:ascii="宋体" w:hAnsi="宋体" w:eastAsia="宋体" w:cs="宋体"/>
          <w:bCs/>
          <w:color w:val="auto"/>
          <w:sz w:val="24"/>
          <w:highlight w:val="none"/>
        </w:rPr>
        <w:t>：</w:t>
      </w:r>
      <w:bookmarkEnd w:id="109"/>
      <w:r>
        <w:rPr>
          <w:rFonts w:hint="eastAsia" w:ascii="宋体" w:hAnsi="宋体" w:eastAsia="宋体" w:cs="宋体"/>
          <w:bCs/>
          <w:color w:val="auto"/>
          <w:sz w:val="24"/>
          <w:highlight w:val="none"/>
        </w:rPr>
        <w:t>东阳市政府采购代理机构社会评价表</w:t>
      </w:r>
      <w:bookmarkEnd w:id="110"/>
    </w:p>
    <w:p>
      <w:pPr>
        <w:jc w:val="center"/>
        <w:rPr>
          <w:rFonts w:hint="eastAsia" w:ascii="宋体" w:hAnsi="宋体" w:eastAsia="宋体" w:cs="宋体"/>
          <w:b/>
          <w:bCs/>
          <w:color w:val="auto"/>
          <w:sz w:val="44"/>
          <w:szCs w:val="44"/>
          <w:highlight w:val="none"/>
        </w:rPr>
      </w:pPr>
      <w:r>
        <w:rPr>
          <w:rFonts w:hint="eastAsia" w:ascii="宋体" w:hAnsi="宋体" w:eastAsia="宋体" w:cs="宋体"/>
          <w:b/>
          <w:bCs/>
          <w:color w:val="auto"/>
          <w:sz w:val="44"/>
          <w:szCs w:val="44"/>
          <w:highlight w:val="none"/>
        </w:rPr>
        <w:t>东阳市政府采购代理机构社会评价表</w:t>
      </w:r>
    </w:p>
    <w:p>
      <w:pP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代理机构名称： </w:t>
      </w:r>
    </w:p>
    <w:tbl>
      <w:tblPr>
        <w:tblStyle w:val="22"/>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1469"/>
        <w:gridCol w:w="696"/>
        <w:gridCol w:w="1067"/>
        <w:gridCol w:w="1031"/>
        <w:gridCol w:w="792"/>
        <w:gridCol w:w="2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trPr>
        <w:tc>
          <w:tcPr>
            <w:tcW w:w="124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填表人类别</w:t>
            </w:r>
          </w:p>
        </w:tc>
        <w:tc>
          <w:tcPr>
            <w:tcW w:w="7938" w:type="dxa"/>
            <w:gridSpan w:val="6"/>
            <w:tcBorders>
              <w:top w:val="single" w:color="auto" w:sz="4" w:space="0"/>
              <w:left w:val="nil"/>
              <w:bottom w:val="single" w:color="auto" w:sz="4" w:space="0"/>
              <w:right w:val="single" w:color="auto" w:sz="4" w:space="0"/>
            </w:tcBorders>
            <w:vAlign w:val="center"/>
          </w:tcPr>
          <w:p>
            <w:pPr>
              <w:ind w:firstLine="480" w:firstLineChars="200"/>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□采购单位      □供应商      □专家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6" w:hRule="atLeast"/>
        </w:trPr>
        <w:tc>
          <w:tcPr>
            <w:tcW w:w="124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填表人名称或姓名</w:t>
            </w:r>
          </w:p>
        </w:tc>
        <w:tc>
          <w:tcPr>
            <w:tcW w:w="4266" w:type="dxa"/>
            <w:gridSpan w:val="4"/>
            <w:tcBorders>
              <w:top w:val="single" w:color="auto" w:sz="4" w:space="0"/>
              <w:left w:val="nil"/>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p>
        </w:tc>
        <w:tc>
          <w:tcPr>
            <w:tcW w:w="792" w:type="dxa"/>
            <w:tcBorders>
              <w:top w:val="single" w:color="auto" w:sz="4" w:space="0"/>
              <w:left w:val="nil"/>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地址</w:t>
            </w:r>
          </w:p>
        </w:tc>
        <w:tc>
          <w:tcPr>
            <w:tcW w:w="288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124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联系人</w:t>
            </w:r>
          </w:p>
        </w:tc>
        <w:tc>
          <w:tcPr>
            <w:tcW w:w="1470" w:type="dxa"/>
            <w:tcBorders>
              <w:top w:val="single" w:color="auto" w:sz="4" w:space="0"/>
              <w:left w:val="nil"/>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p>
        </w:tc>
        <w:tc>
          <w:tcPr>
            <w:tcW w:w="696" w:type="dxa"/>
            <w:tcBorders>
              <w:top w:val="single" w:color="auto" w:sz="4" w:space="0"/>
              <w:left w:val="nil"/>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电话</w:t>
            </w:r>
          </w:p>
        </w:tc>
        <w:tc>
          <w:tcPr>
            <w:tcW w:w="2100" w:type="dxa"/>
            <w:gridSpan w:val="2"/>
            <w:tcBorders>
              <w:top w:val="single" w:color="auto" w:sz="4" w:space="0"/>
              <w:left w:val="nil"/>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p>
        </w:tc>
        <w:tc>
          <w:tcPr>
            <w:tcW w:w="787" w:type="dxa"/>
            <w:tcBorders>
              <w:top w:val="single" w:color="auto" w:sz="4" w:space="0"/>
              <w:left w:val="nil"/>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传真</w:t>
            </w:r>
          </w:p>
        </w:tc>
        <w:tc>
          <w:tcPr>
            <w:tcW w:w="288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2" w:type="dxa"/>
            <w:vMerge w:val="restart"/>
            <w:tcBorders>
              <w:top w:val="nil"/>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对代理机构的评价</w:t>
            </w:r>
          </w:p>
        </w:tc>
        <w:tc>
          <w:tcPr>
            <w:tcW w:w="3234" w:type="dxa"/>
            <w:gridSpan w:val="3"/>
            <w:tcBorders>
              <w:top w:val="single" w:color="auto" w:sz="4" w:space="0"/>
              <w:left w:val="nil"/>
              <w:bottom w:val="single" w:color="auto" w:sz="4" w:space="0"/>
              <w:right w:val="single" w:color="auto" w:sz="4" w:space="0"/>
            </w:tcBorders>
            <w:vAlign w:val="center"/>
          </w:tcPr>
          <w:p>
            <w:pPr>
              <w:spacing w:line="500" w:lineRule="exact"/>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项目</w:t>
            </w:r>
          </w:p>
        </w:tc>
        <w:tc>
          <w:tcPr>
            <w:tcW w:w="4704" w:type="dxa"/>
            <w:gridSpan w:val="3"/>
            <w:tcBorders>
              <w:top w:val="single" w:color="auto" w:sz="4" w:space="0"/>
              <w:left w:val="nil"/>
              <w:bottom w:val="single" w:color="auto" w:sz="4" w:space="0"/>
              <w:right w:val="single" w:color="auto" w:sz="4" w:space="0"/>
            </w:tcBorders>
            <w:vAlign w:val="center"/>
          </w:tcPr>
          <w:p>
            <w:pPr>
              <w:spacing w:line="500" w:lineRule="exact"/>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评价（请在分值范围内进行打分）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2" w:type="dxa"/>
            <w:vMerge w:val="continue"/>
            <w:tcBorders>
              <w:top w:val="nil"/>
              <w:left w:val="single" w:color="auto" w:sz="4" w:space="0"/>
              <w:bottom w:val="single" w:color="auto" w:sz="4" w:space="0"/>
              <w:right w:val="single" w:color="auto" w:sz="4" w:space="0"/>
            </w:tcBorders>
            <w:vAlign w:val="center"/>
          </w:tcPr>
          <w:p>
            <w:pPr>
              <w:widowControl/>
              <w:jc w:val="left"/>
              <w:rPr>
                <w:rFonts w:hint="eastAsia" w:ascii="宋体" w:hAnsi="宋体" w:eastAsia="宋体" w:cs="宋体"/>
                <w:color w:val="auto"/>
                <w:sz w:val="24"/>
                <w:highlight w:val="none"/>
              </w:rPr>
            </w:pPr>
          </w:p>
        </w:tc>
        <w:tc>
          <w:tcPr>
            <w:tcW w:w="3234" w:type="dxa"/>
            <w:gridSpan w:val="3"/>
            <w:tcBorders>
              <w:top w:val="single" w:color="auto" w:sz="4" w:space="0"/>
              <w:left w:val="nil"/>
              <w:bottom w:val="single" w:color="auto" w:sz="4" w:space="0"/>
              <w:right w:val="single" w:color="auto" w:sz="4" w:space="0"/>
            </w:tcBorders>
            <w:vAlign w:val="center"/>
          </w:tcPr>
          <w:p>
            <w:pPr>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是否严格执行政府采购纪律、法规和规章制度等（2分）。</w:t>
            </w:r>
          </w:p>
        </w:tc>
        <w:tc>
          <w:tcPr>
            <w:tcW w:w="4704" w:type="dxa"/>
            <w:gridSpan w:val="3"/>
            <w:tcBorders>
              <w:top w:val="single" w:color="auto" w:sz="4" w:space="0"/>
              <w:left w:val="nil"/>
              <w:bottom w:val="single" w:color="auto" w:sz="4" w:space="0"/>
              <w:right w:val="single" w:color="auto" w:sz="4" w:space="0"/>
            </w:tcBorders>
            <w:vAlign w:val="center"/>
          </w:tcPr>
          <w:p>
            <w:pPr>
              <w:spacing w:line="500" w:lineRule="exact"/>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2" w:type="dxa"/>
            <w:vMerge w:val="continue"/>
            <w:tcBorders>
              <w:top w:val="nil"/>
              <w:left w:val="single" w:color="auto" w:sz="4" w:space="0"/>
              <w:bottom w:val="single" w:color="auto" w:sz="4" w:space="0"/>
              <w:right w:val="single" w:color="auto" w:sz="4" w:space="0"/>
            </w:tcBorders>
            <w:vAlign w:val="center"/>
          </w:tcPr>
          <w:p>
            <w:pPr>
              <w:widowControl/>
              <w:jc w:val="left"/>
              <w:rPr>
                <w:rFonts w:hint="eastAsia" w:ascii="宋体" w:hAnsi="宋体" w:eastAsia="宋体" w:cs="宋体"/>
                <w:color w:val="auto"/>
                <w:sz w:val="24"/>
                <w:highlight w:val="none"/>
              </w:rPr>
            </w:pPr>
          </w:p>
        </w:tc>
        <w:tc>
          <w:tcPr>
            <w:tcW w:w="3234" w:type="dxa"/>
            <w:gridSpan w:val="3"/>
            <w:tcBorders>
              <w:top w:val="single" w:color="auto" w:sz="4" w:space="0"/>
              <w:left w:val="nil"/>
              <w:bottom w:val="single" w:color="auto" w:sz="4" w:space="0"/>
              <w:right w:val="single" w:color="auto" w:sz="4" w:space="0"/>
            </w:tcBorders>
            <w:vAlign w:val="center"/>
          </w:tcPr>
          <w:p>
            <w:pPr>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操作程序是否规范，采购行为、过程、结果是否公开、公平、公正，采购组织管理是否规范严谨（2分）</w:t>
            </w:r>
            <w:r>
              <w:rPr>
                <w:rFonts w:hint="eastAsia" w:ascii="宋体" w:hAnsi="宋体" w:eastAsia="宋体" w:cs="宋体"/>
                <w:color w:val="auto"/>
                <w:kern w:val="0"/>
                <w:sz w:val="24"/>
                <w:highlight w:val="none"/>
              </w:rPr>
              <w:t>。</w:t>
            </w:r>
          </w:p>
        </w:tc>
        <w:tc>
          <w:tcPr>
            <w:tcW w:w="4704" w:type="dxa"/>
            <w:gridSpan w:val="3"/>
            <w:tcBorders>
              <w:top w:val="single" w:color="auto" w:sz="4" w:space="0"/>
              <w:left w:val="nil"/>
              <w:bottom w:val="single" w:color="auto" w:sz="4" w:space="0"/>
              <w:right w:val="single" w:color="auto" w:sz="4" w:space="0"/>
            </w:tcBorders>
            <w:vAlign w:val="center"/>
          </w:tcPr>
          <w:p>
            <w:pPr>
              <w:spacing w:line="500" w:lineRule="exact"/>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2" w:type="dxa"/>
            <w:vMerge w:val="continue"/>
            <w:tcBorders>
              <w:top w:val="nil"/>
              <w:left w:val="single" w:color="auto" w:sz="4" w:space="0"/>
              <w:bottom w:val="single" w:color="auto" w:sz="4" w:space="0"/>
              <w:right w:val="single" w:color="auto" w:sz="4" w:space="0"/>
            </w:tcBorders>
            <w:vAlign w:val="center"/>
          </w:tcPr>
          <w:p>
            <w:pPr>
              <w:widowControl/>
              <w:jc w:val="left"/>
              <w:rPr>
                <w:rFonts w:hint="eastAsia" w:ascii="宋体" w:hAnsi="宋体" w:eastAsia="宋体" w:cs="宋体"/>
                <w:color w:val="auto"/>
                <w:sz w:val="24"/>
                <w:highlight w:val="none"/>
              </w:rPr>
            </w:pPr>
          </w:p>
        </w:tc>
        <w:tc>
          <w:tcPr>
            <w:tcW w:w="3234" w:type="dxa"/>
            <w:gridSpan w:val="3"/>
            <w:tcBorders>
              <w:top w:val="single" w:color="auto" w:sz="4" w:space="0"/>
              <w:left w:val="nil"/>
              <w:bottom w:val="single" w:color="auto" w:sz="4" w:space="0"/>
              <w:right w:val="single" w:color="auto" w:sz="4" w:space="0"/>
            </w:tcBorders>
            <w:vAlign w:val="center"/>
          </w:tcPr>
          <w:p>
            <w:pPr>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是否及时组织采购，是否有承诺办事时间并能限时办结（2分）</w:t>
            </w:r>
            <w:r>
              <w:rPr>
                <w:rFonts w:hint="eastAsia" w:ascii="宋体" w:hAnsi="宋体" w:eastAsia="宋体" w:cs="宋体"/>
                <w:color w:val="auto"/>
                <w:kern w:val="0"/>
                <w:sz w:val="24"/>
                <w:highlight w:val="none"/>
              </w:rPr>
              <w:t>。</w:t>
            </w:r>
          </w:p>
        </w:tc>
        <w:tc>
          <w:tcPr>
            <w:tcW w:w="4704" w:type="dxa"/>
            <w:gridSpan w:val="3"/>
            <w:tcBorders>
              <w:top w:val="single" w:color="auto" w:sz="4" w:space="0"/>
              <w:left w:val="nil"/>
              <w:bottom w:val="single" w:color="auto" w:sz="4" w:space="0"/>
              <w:right w:val="single" w:color="auto" w:sz="4" w:space="0"/>
            </w:tcBorders>
            <w:vAlign w:val="center"/>
          </w:tcPr>
          <w:p>
            <w:pPr>
              <w:spacing w:line="500" w:lineRule="exact"/>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2" w:type="dxa"/>
            <w:vMerge w:val="continue"/>
            <w:tcBorders>
              <w:top w:val="nil"/>
              <w:left w:val="single" w:color="auto" w:sz="4" w:space="0"/>
              <w:bottom w:val="single" w:color="auto" w:sz="4" w:space="0"/>
              <w:right w:val="single" w:color="auto" w:sz="4" w:space="0"/>
            </w:tcBorders>
            <w:vAlign w:val="center"/>
          </w:tcPr>
          <w:p>
            <w:pPr>
              <w:widowControl/>
              <w:jc w:val="left"/>
              <w:rPr>
                <w:rFonts w:hint="eastAsia" w:ascii="宋体" w:hAnsi="宋体" w:eastAsia="宋体" w:cs="宋体"/>
                <w:color w:val="auto"/>
                <w:sz w:val="24"/>
                <w:highlight w:val="none"/>
              </w:rPr>
            </w:pPr>
          </w:p>
        </w:tc>
        <w:tc>
          <w:tcPr>
            <w:tcW w:w="3234" w:type="dxa"/>
            <w:gridSpan w:val="3"/>
            <w:tcBorders>
              <w:top w:val="single" w:color="auto" w:sz="4" w:space="0"/>
              <w:left w:val="nil"/>
              <w:bottom w:val="single" w:color="auto" w:sz="4" w:space="0"/>
              <w:right w:val="single" w:color="auto" w:sz="4" w:space="0"/>
            </w:tcBorders>
            <w:vAlign w:val="center"/>
          </w:tcPr>
          <w:p>
            <w:pPr>
              <w:rPr>
                <w:rFonts w:hint="eastAsia" w:ascii="宋体" w:hAnsi="宋体" w:eastAsia="宋体" w:cs="宋体"/>
                <w:color w:val="auto"/>
                <w:sz w:val="24"/>
                <w:highlight w:val="none"/>
              </w:rPr>
            </w:pPr>
            <w:r>
              <w:rPr>
                <w:rFonts w:hint="eastAsia" w:ascii="宋体" w:hAnsi="宋体" w:eastAsia="宋体" w:cs="宋体"/>
                <w:color w:val="auto"/>
                <w:sz w:val="24"/>
                <w:highlight w:val="none"/>
              </w:rPr>
              <w:t>是否能积极</w:t>
            </w:r>
            <w:r>
              <w:rPr>
                <w:rFonts w:hint="eastAsia" w:ascii="宋体" w:hAnsi="宋体" w:eastAsia="宋体" w:cs="宋体"/>
                <w:color w:val="auto"/>
                <w:kern w:val="0"/>
                <w:sz w:val="24"/>
                <w:highlight w:val="none"/>
              </w:rPr>
              <w:t>主动</w:t>
            </w:r>
            <w:r>
              <w:rPr>
                <w:rFonts w:hint="eastAsia" w:ascii="宋体" w:hAnsi="宋体" w:eastAsia="宋体" w:cs="宋体"/>
                <w:color w:val="auto"/>
                <w:sz w:val="24"/>
                <w:highlight w:val="none"/>
              </w:rPr>
              <w:t>与当事人沟通</w:t>
            </w:r>
            <w:r>
              <w:rPr>
                <w:rFonts w:hint="eastAsia" w:ascii="宋体" w:hAnsi="宋体" w:eastAsia="宋体" w:cs="宋体"/>
                <w:color w:val="auto"/>
                <w:kern w:val="0"/>
                <w:sz w:val="24"/>
                <w:highlight w:val="none"/>
              </w:rPr>
              <w:t>对接；对采购政策进行详细解读；</w:t>
            </w:r>
            <w:r>
              <w:rPr>
                <w:rFonts w:hint="eastAsia" w:ascii="宋体" w:hAnsi="宋体" w:eastAsia="宋体" w:cs="宋体"/>
                <w:color w:val="auto"/>
                <w:sz w:val="24"/>
                <w:highlight w:val="none"/>
              </w:rPr>
              <w:t>咨询答复是否热情周到、耐心细致（2分）</w:t>
            </w:r>
            <w:r>
              <w:rPr>
                <w:rFonts w:hint="eastAsia" w:ascii="宋体" w:hAnsi="宋体" w:eastAsia="宋体" w:cs="宋体"/>
                <w:color w:val="auto"/>
                <w:kern w:val="0"/>
                <w:sz w:val="24"/>
                <w:highlight w:val="none"/>
              </w:rPr>
              <w:t>。</w:t>
            </w:r>
          </w:p>
        </w:tc>
        <w:tc>
          <w:tcPr>
            <w:tcW w:w="4704" w:type="dxa"/>
            <w:gridSpan w:val="3"/>
            <w:tcBorders>
              <w:top w:val="single" w:color="auto" w:sz="4" w:space="0"/>
              <w:left w:val="nil"/>
              <w:bottom w:val="single" w:color="auto" w:sz="4" w:space="0"/>
              <w:right w:val="single" w:color="auto" w:sz="4" w:space="0"/>
            </w:tcBorders>
            <w:vAlign w:val="center"/>
          </w:tcPr>
          <w:p>
            <w:pPr>
              <w:spacing w:line="500" w:lineRule="exact"/>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2" w:type="dxa"/>
            <w:vMerge w:val="continue"/>
            <w:tcBorders>
              <w:top w:val="nil"/>
              <w:left w:val="single" w:color="auto" w:sz="4" w:space="0"/>
              <w:bottom w:val="single" w:color="auto" w:sz="4" w:space="0"/>
              <w:right w:val="single" w:color="auto" w:sz="4" w:space="0"/>
            </w:tcBorders>
            <w:vAlign w:val="center"/>
          </w:tcPr>
          <w:p>
            <w:pPr>
              <w:widowControl/>
              <w:jc w:val="left"/>
              <w:rPr>
                <w:rFonts w:hint="eastAsia" w:ascii="宋体" w:hAnsi="宋体" w:eastAsia="宋体" w:cs="宋体"/>
                <w:color w:val="auto"/>
                <w:sz w:val="24"/>
                <w:highlight w:val="none"/>
              </w:rPr>
            </w:pPr>
          </w:p>
        </w:tc>
        <w:tc>
          <w:tcPr>
            <w:tcW w:w="3234" w:type="dxa"/>
            <w:gridSpan w:val="3"/>
            <w:tcBorders>
              <w:top w:val="single" w:color="auto" w:sz="4" w:space="0"/>
              <w:left w:val="nil"/>
              <w:bottom w:val="single" w:color="auto" w:sz="4" w:space="0"/>
              <w:right w:val="single" w:color="auto" w:sz="4" w:space="0"/>
            </w:tcBorders>
            <w:vAlign w:val="center"/>
          </w:tcPr>
          <w:p>
            <w:pPr>
              <w:rPr>
                <w:rFonts w:hint="eastAsia" w:ascii="宋体" w:hAnsi="宋体" w:eastAsia="宋体" w:cs="宋体"/>
                <w:color w:val="auto"/>
                <w:sz w:val="24"/>
                <w:highlight w:val="none"/>
              </w:rPr>
            </w:pPr>
            <w:r>
              <w:rPr>
                <w:rFonts w:hint="eastAsia" w:ascii="宋体" w:hAnsi="宋体" w:eastAsia="宋体" w:cs="宋体"/>
                <w:color w:val="auto"/>
                <w:sz w:val="24"/>
                <w:highlight w:val="none"/>
              </w:rPr>
              <w:t>采购的质量、服务是否满意（2分）。</w:t>
            </w:r>
          </w:p>
        </w:tc>
        <w:tc>
          <w:tcPr>
            <w:tcW w:w="4704" w:type="dxa"/>
            <w:gridSpan w:val="3"/>
            <w:tcBorders>
              <w:top w:val="single" w:color="auto" w:sz="4" w:space="0"/>
              <w:left w:val="nil"/>
              <w:bottom w:val="single" w:color="auto" w:sz="4" w:space="0"/>
              <w:right w:val="single" w:color="auto" w:sz="4" w:space="0"/>
            </w:tcBorders>
            <w:vAlign w:val="center"/>
          </w:tcPr>
          <w:p>
            <w:pPr>
              <w:spacing w:line="500" w:lineRule="exact"/>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2" w:type="dxa"/>
            <w:vMerge w:val="continue"/>
            <w:tcBorders>
              <w:top w:val="nil"/>
              <w:left w:val="single" w:color="auto" w:sz="4" w:space="0"/>
              <w:bottom w:val="single" w:color="auto" w:sz="4" w:space="0"/>
              <w:right w:val="single" w:color="auto" w:sz="4" w:space="0"/>
            </w:tcBorders>
            <w:vAlign w:val="center"/>
          </w:tcPr>
          <w:p>
            <w:pPr>
              <w:widowControl/>
              <w:jc w:val="left"/>
              <w:rPr>
                <w:rFonts w:hint="eastAsia" w:ascii="宋体" w:hAnsi="宋体" w:eastAsia="宋体" w:cs="宋体"/>
                <w:color w:val="auto"/>
                <w:sz w:val="24"/>
                <w:highlight w:val="none"/>
              </w:rPr>
            </w:pPr>
          </w:p>
        </w:tc>
        <w:tc>
          <w:tcPr>
            <w:tcW w:w="3234" w:type="dxa"/>
            <w:gridSpan w:val="3"/>
            <w:tcBorders>
              <w:top w:val="single" w:color="auto" w:sz="4" w:space="0"/>
              <w:left w:val="nil"/>
              <w:bottom w:val="single" w:color="auto" w:sz="4" w:space="0"/>
              <w:right w:val="single" w:color="auto" w:sz="4" w:space="0"/>
            </w:tcBorders>
            <w:vAlign w:val="center"/>
          </w:tcPr>
          <w:p>
            <w:pPr>
              <w:spacing w:line="500" w:lineRule="exact"/>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合计</w:t>
            </w:r>
          </w:p>
        </w:tc>
        <w:tc>
          <w:tcPr>
            <w:tcW w:w="4704" w:type="dxa"/>
            <w:gridSpan w:val="3"/>
            <w:tcBorders>
              <w:top w:val="single" w:color="auto" w:sz="4" w:space="0"/>
              <w:left w:val="nil"/>
              <w:bottom w:val="single" w:color="auto" w:sz="4" w:space="0"/>
              <w:right w:val="single" w:color="auto" w:sz="4" w:space="0"/>
            </w:tcBorders>
            <w:vAlign w:val="center"/>
          </w:tcPr>
          <w:p>
            <w:pPr>
              <w:spacing w:line="500" w:lineRule="exact"/>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7" w:hRule="atLeast"/>
        </w:trPr>
        <w:tc>
          <w:tcPr>
            <w:tcW w:w="124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对代理机构的意见和建议</w:t>
            </w:r>
          </w:p>
        </w:tc>
        <w:tc>
          <w:tcPr>
            <w:tcW w:w="7938" w:type="dxa"/>
            <w:gridSpan w:val="6"/>
            <w:tcBorders>
              <w:top w:val="single" w:color="auto" w:sz="4" w:space="0"/>
              <w:left w:val="nil"/>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4" w:hRule="atLeast"/>
        </w:trPr>
        <w:tc>
          <w:tcPr>
            <w:tcW w:w="124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备注</w:t>
            </w:r>
          </w:p>
        </w:tc>
        <w:tc>
          <w:tcPr>
            <w:tcW w:w="7938" w:type="dxa"/>
            <w:gridSpan w:val="6"/>
            <w:tcBorders>
              <w:top w:val="single" w:color="auto" w:sz="4" w:space="0"/>
              <w:left w:val="nil"/>
              <w:bottom w:val="single" w:color="auto" w:sz="4" w:space="0"/>
              <w:right w:val="single" w:color="auto" w:sz="4" w:space="0"/>
            </w:tcBorders>
            <w:vAlign w:val="center"/>
          </w:tcPr>
          <w:p>
            <w:pPr>
              <w:jc w:val="center"/>
              <w:rPr>
                <w:rFonts w:hint="eastAsia" w:ascii="宋体" w:hAnsi="宋体" w:eastAsia="宋体" w:cs="宋体"/>
                <w:color w:val="auto"/>
                <w:sz w:val="24"/>
                <w:highlight w:val="none"/>
              </w:rPr>
            </w:pPr>
          </w:p>
        </w:tc>
      </w:tr>
    </w:tbl>
    <w:p>
      <w:pPr>
        <w:spacing w:after="120"/>
        <w:ind w:right="1240"/>
        <w:rPr>
          <w:rFonts w:hint="eastAsia" w:ascii="宋体" w:hAnsi="宋体" w:eastAsia="宋体" w:cs="宋体"/>
          <w:color w:val="auto"/>
          <w:sz w:val="24"/>
          <w:highlight w:val="none"/>
        </w:rPr>
      </w:pPr>
      <w:r>
        <w:rPr>
          <w:rFonts w:hint="eastAsia" w:ascii="宋体" w:hAnsi="宋体" w:eastAsia="宋体" w:cs="宋体"/>
          <w:color w:val="auto"/>
          <w:sz w:val="24"/>
          <w:highlight w:val="none"/>
        </w:rPr>
        <w:t>填表人签字盖章：                    日期</w:t>
      </w:r>
    </w:p>
    <w:p>
      <w:pPr>
        <w:spacing w:after="120"/>
        <w:ind w:right="-154"/>
        <w:rPr>
          <w:rFonts w:hint="eastAsia" w:ascii="宋体" w:hAnsi="宋体" w:eastAsia="宋体" w:cs="宋体"/>
          <w:color w:val="auto"/>
          <w:szCs w:val="21"/>
          <w:highlight w:val="none"/>
        </w:rPr>
      </w:pPr>
      <w:r>
        <w:rPr>
          <w:rFonts w:hint="eastAsia" w:ascii="宋体" w:hAnsi="宋体" w:eastAsia="宋体" w:cs="宋体"/>
          <w:color w:val="auto"/>
          <w:szCs w:val="21"/>
          <w:highlight w:val="none"/>
        </w:rPr>
        <w:t>注：投标单位须加盖单位红章。</w:t>
      </w:r>
    </w:p>
    <w:p>
      <w:pPr>
        <w:pStyle w:val="2"/>
        <w:rPr>
          <w:rFonts w:hint="eastAsia" w:ascii="宋体" w:hAnsi="宋体" w:eastAsia="宋体" w:cs="宋体"/>
          <w:b w:val="0"/>
          <w:color w:val="auto"/>
          <w:sz w:val="24"/>
          <w:szCs w:val="24"/>
          <w:highlight w:val="none"/>
        </w:rPr>
      </w:pPr>
      <w:bookmarkStart w:id="111" w:name="_Toc25847"/>
      <w:bookmarkStart w:id="112" w:name="_Toc10564"/>
      <w:r>
        <w:rPr>
          <w:rFonts w:hint="eastAsia" w:ascii="宋体" w:hAnsi="宋体" w:eastAsia="宋体" w:cs="宋体"/>
          <w:b w:val="0"/>
          <w:color w:val="auto"/>
          <w:sz w:val="24"/>
          <w:szCs w:val="24"/>
          <w:highlight w:val="none"/>
        </w:rPr>
        <w:t>附件</w:t>
      </w:r>
      <w:r>
        <w:rPr>
          <w:rFonts w:hint="eastAsia" w:ascii="宋体" w:hAnsi="宋体" w:eastAsia="宋体" w:cs="宋体"/>
          <w:b w:val="0"/>
          <w:color w:val="auto"/>
          <w:sz w:val="24"/>
          <w:szCs w:val="24"/>
          <w:highlight w:val="none"/>
          <w:lang w:val="en-US" w:eastAsia="zh-CN"/>
        </w:rPr>
        <w:t>二十一</w:t>
      </w:r>
      <w:r>
        <w:rPr>
          <w:rFonts w:hint="eastAsia" w:ascii="宋体" w:hAnsi="宋体" w:eastAsia="宋体" w:cs="宋体"/>
          <w:b w:val="0"/>
          <w:color w:val="auto"/>
          <w:sz w:val="24"/>
          <w:szCs w:val="24"/>
          <w:highlight w:val="none"/>
        </w:rPr>
        <w:t>：办理保函需提供资料</w:t>
      </w:r>
      <w:bookmarkEnd w:id="111"/>
      <w:bookmarkEnd w:id="112"/>
    </w:p>
    <w:p>
      <w:pPr>
        <w:spacing w:after="120"/>
        <w:ind w:right="-154"/>
        <w:rPr>
          <w:rFonts w:hint="eastAsia" w:ascii="宋体" w:hAnsi="宋体" w:eastAsia="宋体" w:cs="宋体"/>
          <w:color w:val="auto"/>
          <w:sz w:val="24"/>
          <w:highlight w:val="none"/>
        </w:rPr>
      </w:pPr>
    </w:p>
    <w:p>
      <w:pPr>
        <w:spacing w:after="120"/>
        <w:ind w:right="-154"/>
        <w:jc w:val="center"/>
        <w:rPr>
          <w:rFonts w:hint="eastAsia" w:ascii="宋体" w:hAnsi="宋体" w:eastAsia="宋体" w:cs="宋体"/>
          <w:b/>
          <w:color w:val="auto"/>
          <w:sz w:val="24"/>
          <w:highlight w:val="none"/>
        </w:rPr>
      </w:pPr>
      <w:r>
        <w:rPr>
          <w:rFonts w:hint="eastAsia" w:ascii="宋体" w:hAnsi="宋体" w:eastAsia="宋体" w:cs="宋体"/>
          <w:b/>
          <w:color w:val="auto"/>
          <w:sz w:val="24"/>
          <w:highlight w:val="none"/>
        </w:rPr>
        <w:t>办理保函需提供资料</w:t>
      </w:r>
    </w:p>
    <w:p>
      <w:pPr>
        <w:numPr>
          <w:ilvl w:val="0"/>
          <w:numId w:val="23"/>
        </w:numPr>
        <w:spacing w:line="800" w:lineRule="exact"/>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营业执照</w:t>
      </w:r>
    </w:p>
    <w:p>
      <w:pPr>
        <w:numPr>
          <w:ilvl w:val="0"/>
          <w:numId w:val="23"/>
        </w:numPr>
        <w:spacing w:line="800" w:lineRule="exact"/>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法人身份证</w:t>
      </w:r>
    </w:p>
    <w:p>
      <w:pPr>
        <w:numPr>
          <w:ilvl w:val="0"/>
          <w:numId w:val="23"/>
        </w:numPr>
        <w:spacing w:line="800" w:lineRule="exact"/>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近两年财务报表</w:t>
      </w:r>
    </w:p>
    <w:p>
      <w:pPr>
        <w:numPr>
          <w:ilvl w:val="0"/>
          <w:numId w:val="23"/>
        </w:numPr>
        <w:spacing w:line="800" w:lineRule="exact"/>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资质证书或安装，维修证书</w:t>
      </w:r>
    </w:p>
    <w:p>
      <w:pPr>
        <w:numPr>
          <w:ilvl w:val="0"/>
          <w:numId w:val="23"/>
        </w:numPr>
        <w:spacing w:line="800" w:lineRule="exact"/>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中标通知书</w:t>
      </w:r>
    </w:p>
    <w:p>
      <w:pPr>
        <w:numPr>
          <w:ilvl w:val="0"/>
          <w:numId w:val="23"/>
        </w:numPr>
        <w:spacing w:line="800" w:lineRule="exact"/>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招标文件电子版</w:t>
      </w:r>
    </w:p>
    <w:p>
      <w:pPr>
        <w:numPr>
          <w:ilvl w:val="0"/>
          <w:numId w:val="23"/>
        </w:numPr>
        <w:spacing w:line="800" w:lineRule="exact"/>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信用反担保函</w:t>
      </w:r>
    </w:p>
    <w:p>
      <w:pPr>
        <w:spacing w:line="800" w:lineRule="exact"/>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注：所有资料复印件加盖公章</w:t>
      </w:r>
    </w:p>
    <w:p>
      <w:pPr>
        <w:spacing w:after="120"/>
        <w:ind w:right="-154"/>
        <w:rPr>
          <w:rFonts w:hint="eastAsia" w:ascii="宋体" w:hAnsi="宋体" w:eastAsia="宋体" w:cs="宋体"/>
          <w:b/>
          <w:color w:val="auto"/>
          <w:sz w:val="24"/>
          <w:highlight w:val="none"/>
        </w:rPr>
      </w:pPr>
    </w:p>
    <w:p>
      <w:pPr>
        <w:spacing w:after="120"/>
        <w:ind w:right="-154"/>
        <w:rPr>
          <w:rFonts w:hint="eastAsia" w:ascii="宋体" w:hAnsi="宋体" w:eastAsia="宋体" w:cs="宋体"/>
          <w:b/>
          <w:color w:val="auto"/>
          <w:sz w:val="24"/>
          <w:highlight w:val="none"/>
        </w:rPr>
      </w:pPr>
    </w:p>
    <w:p>
      <w:pPr>
        <w:spacing w:after="120"/>
        <w:ind w:right="-154"/>
        <w:rPr>
          <w:rFonts w:hint="eastAsia" w:ascii="宋体" w:hAnsi="宋体" w:eastAsia="宋体" w:cs="宋体"/>
          <w:b/>
          <w:color w:val="auto"/>
          <w:sz w:val="24"/>
          <w:highlight w:val="none"/>
        </w:rPr>
      </w:pPr>
    </w:p>
    <w:p>
      <w:pPr>
        <w:spacing w:after="120"/>
        <w:ind w:right="-154"/>
        <w:rPr>
          <w:rFonts w:hint="eastAsia" w:ascii="宋体" w:hAnsi="宋体" w:eastAsia="宋体" w:cs="宋体"/>
          <w:b/>
          <w:color w:val="auto"/>
          <w:sz w:val="24"/>
          <w:highlight w:val="none"/>
        </w:rPr>
      </w:pPr>
    </w:p>
    <w:p>
      <w:pPr>
        <w:spacing w:after="120"/>
        <w:ind w:right="-154"/>
        <w:rPr>
          <w:rFonts w:hint="eastAsia" w:ascii="宋体" w:hAnsi="宋体" w:eastAsia="宋体" w:cs="宋体"/>
          <w:b/>
          <w:color w:val="auto"/>
          <w:sz w:val="24"/>
          <w:highlight w:val="none"/>
        </w:rPr>
      </w:pPr>
    </w:p>
    <w:p>
      <w:pPr>
        <w:spacing w:after="120"/>
        <w:ind w:right="-154"/>
        <w:rPr>
          <w:rFonts w:hint="eastAsia" w:ascii="宋体" w:hAnsi="宋体" w:eastAsia="宋体" w:cs="宋体"/>
          <w:b/>
          <w:color w:val="auto"/>
          <w:sz w:val="24"/>
          <w:highlight w:val="none"/>
        </w:rPr>
      </w:pPr>
    </w:p>
    <w:p>
      <w:pPr>
        <w:spacing w:after="120"/>
        <w:ind w:right="-154"/>
        <w:rPr>
          <w:rFonts w:hint="eastAsia" w:ascii="宋体" w:hAnsi="宋体" w:eastAsia="宋体" w:cs="宋体"/>
          <w:b/>
          <w:color w:val="auto"/>
          <w:sz w:val="24"/>
          <w:highlight w:val="none"/>
        </w:rPr>
      </w:pPr>
    </w:p>
    <w:p>
      <w:pPr>
        <w:spacing w:after="120"/>
        <w:ind w:right="-154"/>
        <w:rPr>
          <w:rFonts w:hint="eastAsia" w:ascii="宋体" w:hAnsi="宋体" w:eastAsia="宋体" w:cs="宋体"/>
          <w:b/>
          <w:color w:val="auto"/>
          <w:sz w:val="24"/>
          <w:highlight w:val="none"/>
        </w:rPr>
      </w:pPr>
    </w:p>
    <w:p>
      <w:pPr>
        <w:spacing w:after="120"/>
        <w:ind w:right="-154"/>
        <w:rPr>
          <w:rFonts w:hint="eastAsia" w:ascii="宋体" w:hAnsi="宋体" w:eastAsia="宋体" w:cs="宋体"/>
          <w:b/>
          <w:color w:val="auto"/>
          <w:sz w:val="24"/>
          <w:highlight w:val="none"/>
        </w:rPr>
      </w:pPr>
    </w:p>
    <w:p>
      <w:pPr>
        <w:spacing w:after="120"/>
        <w:ind w:right="-154"/>
        <w:rPr>
          <w:rFonts w:hint="eastAsia" w:ascii="宋体" w:hAnsi="宋体" w:eastAsia="宋体" w:cs="宋体"/>
          <w:b/>
          <w:color w:val="auto"/>
          <w:sz w:val="24"/>
          <w:highlight w:val="none"/>
        </w:rPr>
      </w:pPr>
    </w:p>
    <w:p>
      <w:pPr>
        <w:spacing w:after="120"/>
        <w:ind w:right="-154"/>
        <w:rPr>
          <w:rFonts w:hint="eastAsia" w:ascii="宋体" w:hAnsi="宋体" w:eastAsia="宋体" w:cs="宋体"/>
          <w:b/>
          <w:color w:val="auto"/>
          <w:sz w:val="24"/>
          <w:highlight w:val="none"/>
        </w:rPr>
      </w:pPr>
    </w:p>
    <w:p>
      <w:pPr>
        <w:spacing w:after="120"/>
        <w:ind w:right="-154"/>
        <w:rPr>
          <w:rFonts w:hint="eastAsia" w:ascii="宋体" w:hAnsi="宋体" w:eastAsia="宋体" w:cs="宋体"/>
          <w:b/>
          <w:color w:val="auto"/>
          <w:sz w:val="24"/>
          <w:highlight w:val="none"/>
        </w:rPr>
      </w:pPr>
    </w:p>
    <w:p>
      <w:pPr>
        <w:pageBreakBefore/>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信用反担保保证函</w:t>
      </w:r>
    </w:p>
    <w:p>
      <w:pPr>
        <w:spacing w:line="52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中国人民财产保险股份有限公司</w:t>
      </w:r>
      <w:r>
        <w:rPr>
          <w:rFonts w:hint="eastAsia" w:ascii="宋体" w:hAnsi="宋体" w:eastAsia="宋体" w:cs="宋体"/>
          <w:b/>
          <w:bCs/>
          <w:color w:val="auto"/>
          <w:sz w:val="24"/>
          <w:highlight w:val="none"/>
          <w:u w:val="single"/>
        </w:rPr>
        <w:t>东阳</w:t>
      </w:r>
      <w:r>
        <w:rPr>
          <w:rFonts w:hint="eastAsia" w:ascii="宋体" w:hAnsi="宋体" w:eastAsia="宋体" w:cs="宋体"/>
          <w:color w:val="auto"/>
          <w:sz w:val="24"/>
          <w:highlight w:val="none"/>
        </w:rPr>
        <w:t>支公司：</w:t>
      </w:r>
    </w:p>
    <w:p>
      <w:pPr>
        <w:spacing w:line="520" w:lineRule="exact"/>
        <w:ind w:firstLine="480" w:firstLineChars="200"/>
        <w:rPr>
          <w:rFonts w:hint="eastAsia" w:ascii="宋体" w:hAnsi="宋体" w:eastAsia="宋体" w:cs="宋体"/>
          <w:b/>
          <w:bCs/>
          <w:color w:val="auto"/>
          <w:sz w:val="24"/>
          <w:highlight w:val="none"/>
          <w:u w:val="single"/>
        </w:rPr>
      </w:pPr>
      <w:r>
        <w:rPr>
          <w:rFonts w:hint="eastAsia" w:ascii="宋体" w:hAnsi="宋体" w:eastAsia="宋体" w:cs="宋体"/>
          <w:color w:val="auto"/>
          <w:sz w:val="24"/>
          <w:highlight w:val="none"/>
        </w:rPr>
        <w:t>鉴于中国人民财产保险股份有限公司</w:t>
      </w:r>
      <w:r>
        <w:rPr>
          <w:rFonts w:hint="eastAsia" w:ascii="宋体" w:hAnsi="宋体" w:eastAsia="宋体" w:cs="宋体"/>
          <w:b/>
          <w:bCs/>
          <w:color w:val="auto"/>
          <w:sz w:val="24"/>
          <w:highlight w:val="none"/>
          <w:u w:val="single"/>
        </w:rPr>
        <w:t>东阳</w:t>
      </w:r>
      <w:r>
        <w:rPr>
          <w:rFonts w:hint="eastAsia" w:ascii="宋体" w:hAnsi="宋体" w:eastAsia="宋体" w:cs="宋体"/>
          <w:color w:val="auto"/>
          <w:sz w:val="24"/>
          <w:highlight w:val="none"/>
        </w:rPr>
        <w:t>支公司向</w:t>
      </w:r>
    </w:p>
    <w:p>
      <w:pPr>
        <w:spacing w:line="520" w:lineRule="exact"/>
        <w:ind w:firstLine="482" w:firstLineChars="200"/>
        <w:jc w:val="left"/>
        <w:rPr>
          <w:rFonts w:hint="eastAsia" w:ascii="宋体" w:hAnsi="宋体" w:eastAsia="宋体" w:cs="宋体"/>
          <w:color w:val="auto"/>
          <w:sz w:val="24"/>
          <w:highlight w:val="none"/>
          <w:u w:val="single"/>
        </w:rPr>
      </w:pPr>
      <w:r>
        <w:rPr>
          <w:rFonts w:hint="eastAsia" w:ascii="宋体" w:hAnsi="宋体" w:eastAsia="宋体" w:cs="宋体"/>
          <w:b/>
          <w:bCs/>
          <w:color w:val="auto"/>
          <w:sz w:val="24"/>
          <w:highlight w:val="none"/>
          <w:u w:val="single"/>
        </w:rPr>
        <w:t xml:space="preserve">             </w:t>
      </w:r>
      <w:r>
        <w:rPr>
          <w:rFonts w:hint="eastAsia" w:ascii="宋体" w:hAnsi="宋体" w:eastAsia="宋体" w:cs="宋体"/>
          <w:color w:val="auto"/>
          <w:sz w:val="24"/>
          <w:highlight w:val="none"/>
        </w:rPr>
        <w:t>公司出具《供货履约保证保险》保单（保单编号：</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），并承担相应的保险责任（具体以保险合同条款为准），最高保险金额为人民币（大写）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（小写：</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）；为促进该业务的良好开展，</w:t>
      </w:r>
      <w:r>
        <w:rPr>
          <w:rFonts w:hint="eastAsia" w:ascii="宋体" w:hAnsi="宋体" w:eastAsia="宋体" w:cs="宋体"/>
          <w:color w:val="auto"/>
          <w:sz w:val="24"/>
          <w:highlight w:val="none"/>
          <w:u w:val="single"/>
        </w:rPr>
        <w:t xml:space="preserve">                                                     </w:t>
      </w:r>
    </w:p>
    <w:p>
      <w:pPr>
        <w:spacing w:line="52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有限责任公司（以下称本信用反担保保证人）愿意为中国人民财产保险股份有限公司</w:t>
      </w:r>
      <w:r>
        <w:rPr>
          <w:rFonts w:hint="eastAsia" w:ascii="宋体" w:hAnsi="宋体" w:eastAsia="宋体" w:cs="宋体"/>
          <w:b/>
          <w:bCs/>
          <w:color w:val="auto"/>
          <w:sz w:val="24"/>
          <w:highlight w:val="none"/>
          <w:u w:val="single"/>
        </w:rPr>
        <w:t>东阳</w:t>
      </w:r>
      <w:r>
        <w:rPr>
          <w:rFonts w:hint="eastAsia" w:ascii="宋体" w:hAnsi="宋体" w:eastAsia="宋体" w:cs="宋体"/>
          <w:color w:val="auto"/>
          <w:sz w:val="24"/>
          <w:highlight w:val="none"/>
        </w:rPr>
        <w:t>支公司在保险合同项下的一系列保险保障提供信用反担保保证，同意履行以下保证内容：</w:t>
      </w:r>
    </w:p>
    <w:p>
      <w:pPr>
        <w:spacing w:line="520" w:lineRule="exact"/>
        <w:ind w:firstLine="600" w:firstLineChars="250"/>
        <w:rPr>
          <w:rFonts w:hint="eastAsia" w:ascii="宋体" w:hAnsi="宋体" w:eastAsia="宋体" w:cs="宋体"/>
          <w:color w:val="auto"/>
          <w:sz w:val="24"/>
          <w:highlight w:val="none"/>
        </w:rPr>
      </w:pPr>
      <w:r>
        <w:rPr>
          <w:rFonts w:hint="eastAsia" w:ascii="宋体" w:hAnsi="宋体" w:eastAsia="宋体" w:cs="宋体"/>
          <w:color w:val="auto"/>
          <w:sz w:val="24"/>
          <w:highlight w:val="none"/>
        </w:rPr>
        <w:t>一、 本信用反担保保证人同意承担的保证范围：</w:t>
      </w:r>
    </w:p>
    <w:p>
      <w:pPr>
        <w:spacing w:line="52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（一）中国人民财产保险股份有限公司</w:t>
      </w:r>
      <w:r>
        <w:rPr>
          <w:rFonts w:hint="eastAsia" w:ascii="宋体" w:hAnsi="宋体" w:eastAsia="宋体" w:cs="宋体"/>
          <w:b/>
          <w:bCs/>
          <w:color w:val="auto"/>
          <w:sz w:val="24"/>
          <w:highlight w:val="none"/>
          <w:u w:val="single"/>
        </w:rPr>
        <w:t>东阳</w:t>
      </w:r>
      <w:r>
        <w:rPr>
          <w:rFonts w:hint="eastAsia" w:ascii="宋体" w:hAnsi="宋体" w:eastAsia="宋体" w:cs="宋体"/>
          <w:color w:val="auto"/>
          <w:sz w:val="24"/>
          <w:highlight w:val="none"/>
        </w:rPr>
        <w:t>支公司承保的保单号为：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的供货履约保证保险合同约定的保险责任、保险金额和履行保证责任而实际发生的费用（包括但不限于诉讼费、公告费、保全费、律师费等）及损失；</w:t>
      </w:r>
    </w:p>
    <w:p>
      <w:pPr>
        <w:spacing w:line="52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（二）本信用反担保保证人承担保证责任的方式为连带保证责任。</w:t>
      </w:r>
    </w:p>
    <w:p>
      <w:pPr>
        <w:spacing w:line="52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二、本信用反担保保证人承担的保证期间为：从中国人民财产保险股份有限公司</w:t>
      </w:r>
      <w:r>
        <w:rPr>
          <w:rFonts w:hint="eastAsia" w:ascii="宋体" w:hAnsi="宋体" w:eastAsia="宋体" w:cs="宋体"/>
          <w:b/>
          <w:bCs/>
          <w:color w:val="auto"/>
          <w:sz w:val="24"/>
          <w:highlight w:val="none"/>
          <w:u w:val="single"/>
        </w:rPr>
        <w:t>东阳</w:t>
      </w:r>
      <w:r>
        <w:rPr>
          <w:rFonts w:hint="eastAsia" w:ascii="宋体" w:hAnsi="宋体" w:eastAsia="宋体" w:cs="宋体"/>
          <w:color w:val="auto"/>
          <w:sz w:val="24"/>
          <w:highlight w:val="none"/>
        </w:rPr>
        <w:t>支公司与本信用反担保保证人签订的保险合同生效之日起，至保险合同结束之日起的两年届满时止。</w:t>
      </w:r>
    </w:p>
    <w:p>
      <w:pPr>
        <w:spacing w:line="520" w:lineRule="exact"/>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三、中国人民财产保险股份有限公司</w:t>
      </w:r>
      <w:r>
        <w:rPr>
          <w:rFonts w:hint="eastAsia" w:ascii="宋体" w:hAnsi="宋体" w:eastAsia="宋体" w:cs="宋体"/>
          <w:b/>
          <w:bCs/>
          <w:color w:val="auto"/>
          <w:sz w:val="24"/>
          <w:highlight w:val="none"/>
          <w:u w:val="single"/>
        </w:rPr>
        <w:t>东阳</w:t>
      </w:r>
      <w:r>
        <w:rPr>
          <w:rFonts w:hint="eastAsia" w:ascii="宋体" w:hAnsi="宋体" w:eastAsia="宋体" w:cs="宋体"/>
          <w:color w:val="auto"/>
          <w:sz w:val="24"/>
          <w:highlight w:val="none"/>
        </w:rPr>
        <w:t>支公司所承保的《供货履约保证保险》合同发生保险事故后，有权要求本信用反担保保证人优先履行偿债责任，且优先偿债比例为100%。</w:t>
      </w:r>
    </w:p>
    <w:p>
      <w:pPr>
        <w:spacing w:line="520" w:lineRule="exact"/>
        <w:ind w:left="560"/>
        <w:rPr>
          <w:rFonts w:hint="eastAsia" w:ascii="宋体" w:hAnsi="宋体" w:eastAsia="宋体" w:cs="宋体"/>
          <w:color w:val="auto"/>
          <w:sz w:val="24"/>
          <w:highlight w:val="none"/>
        </w:rPr>
      </w:pPr>
      <w:r>
        <w:rPr>
          <w:rFonts w:hint="eastAsia" w:ascii="宋体" w:hAnsi="宋体" w:eastAsia="宋体" w:cs="宋体"/>
          <w:color w:val="auto"/>
          <w:sz w:val="24"/>
          <w:highlight w:val="none"/>
        </w:rPr>
        <w:t>四、本信用反担保保证人放弃反担保措施的优先偿债抗辩权。</w:t>
      </w:r>
    </w:p>
    <w:p>
      <w:pPr>
        <w:spacing w:line="520" w:lineRule="exact"/>
        <w:rPr>
          <w:rFonts w:hint="eastAsia" w:ascii="宋体" w:hAnsi="宋体" w:eastAsia="宋体" w:cs="宋体"/>
          <w:color w:val="auto"/>
          <w:sz w:val="24"/>
          <w:highlight w:val="none"/>
        </w:rPr>
      </w:pPr>
    </w:p>
    <w:p>
      <w:pPr>
        <w:spacing w:line="52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信用反担保保证人：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 </w:t>
      </w:r>
    </w:p>
    <w:p>
      <w:pPr>
        <w:spacing w:line="520" w:lineRule="exact"/>
        <w:ind w:left="4680" w:hanging="4680" w:hangingChars="1950"/>
        <w:rPr>
          <w:rFonts w:hint="eastAsia" w:ascii="宋体" w:hAnsi="宋体" w:eastAsia="宋体" w:cs="宋体"/>
          <w:color w:val="auto"/>
          <w:sz w:val="24"/>
          <w:highlight w:val="none"/>
        </w:rPr>
      </w:pPr>
    </w:p>
    <w:p>
      <w:pPr>
        <w:spacing w:line="520" w:lineRule="exact"/>
        <w:ind w:left="5460" w:leftChars="2600" w:firstLine="360" w:firstLineChars="150"/>
        <w:rPr>
          <w:rFonts w:hint="eastAsia" w:ascii="宋体" w:hAnsi="宋体" w:eastAsia="宋体" w:cs="宋体"/>
          <w:color w:val="auto"/>
          <w:sz w:val="24"/>
          <w:highlight w:val="none"/>
        </w:rPr>
      </w:pPr>
      <w:r>
        <w:rPr>
          <w:rFonts w:hint="eastAsia" w:ascii="宋体" w:hAnsi="宋体" w:eastAsia="宋体" w:cs="宋体"/>
          <w:color w:val="auto"/>
          <w:sz w:val="24"/>
          <w:highlight w:val="none"/>
        </w:rPr>
        <w:t>年  月   日</w:t>
      </w:r>
    </w:p>
    <w:p>
      <w:pPr>
        <w:spacing w:line="360" w:lineRule="auto"/>
        <w:rPr>
          <w:rFonts w:hint="eastAsia" w:ascii="宋体" w:hAnsi="宋体" w:eastAsia="宋体" w:cs="宋体"/>
          <w:color w:val="auto"/>
          <w:sz w:val="24"/>
          <w:highlight w:val="none"/>
        </w:rPr>
      </w:pPr>
    </w:p>
    <w:p>
      <w:pPr>
        <w:pStyle w:val="9"/>
        <w:rPr>
          <w:rFonts w:hint="eastAsia"/>
          <w:color w:val="auto"/>
          <w:highlight w:val="none"/>
        </w:rPr>
      </w:pPr>
    </w:p>
    <w:p>
      <w:pPr>
        <w:pStyle w:val="2"/>
        <w:keepNext w:val="0"/>
        <w:keepLines w:val="0"/>
        <w:pageBreakBefore/>
        <w:rPr>
          <w:rFonts w:hint="eastAsia" w:ascii="宋体" w:hAnsi="宋体" w:eastAsia="宋体" w:cs="宋体"/>
          <w:b w:val="0"/>
          <w:color w:val="auto"/>
          <w:sz w:val="24"/>
          <w:highlight w:val="none"/>
        </w:rPr>
      </w:pPr>
      <w:bookmarkStart w:id="113" w:name="_Toc24160"/>
      <w:bookmarkStart w:id="114" w:name="_Toc2489"/>
      <w:bookmarkStart w:id="115" w:name="_Toc21662"/>
      <w:r>
        <w:rPr>
          <w:rFonts w:hint="eastAsia" w:ascii="宋体" w:hAnsi="宋体" w:eastAsia="宋体" w:cs="宋体"/>
          <w:b w:val="0"/>
          <w:color w:val="auto"/>
          <w:sz w:val="24"/>
          <w:highlight w:val="none"/>
        </w:rPr>
        <w:t>附件</w:t>
      </w:r>
      <w:r>
        <w:rPr>
          <w:rFonts w:hint="eastAsia" w:ascii="宋体" w:hAnsi="宋体" w:eastAsia="宋体" w:cs="宋体"/>
          <w:b w:val="0"/>
          <w:color w:val="auto"/>
          <w:sz w:val="24"/>
          <w:highlight w:val="none"/>
          <w:lang w:val="en-US" w:eastAsia="zh-CN"/>
        </w:rPr>
        <w:t>二十二</w:t>
      </w:r>
      <w:r>
        <w:rPr>
          <w:rFonts w:hint="eastAsia" w:ascii="宋体" w:hAnsi="宋体" w:eastAsia="宋体" w:cs="宋体"/>
          <w:b w:val="0"/>
          <w:color w:val="auto"/>
          <w:sz w:val="24"/>
          <w:highlight w:val="none"/>
        </w:rPr>
        <w:t>：质疑函范本</w:t>
      </w:r>
      <w:bookmarkEnd w:id="113"/>
      <w:bookmarkEnd w:id="114"/>
      <w:bookmarkEnd w:id="115"/>
    </w:p>
    <w:p>
      <w:pPr>
        <w:jc w:val="center"/>
        <w:rPr>
          <w:rFonts w:hint="eastAsia" w:ascii="宋体" w:hAnsi="宋体" w:eastAsia="宋体" w:cs="宋体"/>
          <w:b/>
          <w:bCs/>
          <w:color w:val="auto"/>
          <w:sz w:val="44"/>
          <w:szCs w:val="44"/>
          <w:highlight w:val="none"/>
        </w:rPr>
      </w:pPr>
      <w:r>
        <w:rPr>
          <w:rFonts w:hint="eastAsia" w:ascii="宋体" w:hAnsi="宋体" w:eastAsia="宋体" w:cs="宋体"/>
          <w:b/>
          <w:bCs/>
          <w:color w:val="auto"/>
          <w:sz w:val="44"/>
          <w:szCs w:val="44"/>
          <w:highlight w:val="none"/>
        </w:rPr>
        <w:t>质疑函范本</w:t>
      </w:r>
    </w:p>
    <w:p>
      <w:pPr>
        <w:adjustRightInd w:val="0"/>
        <w:snapToGrid w:val="0"/>
        <w:spacing w:before="240" w:beforeLines="100" w:line="360" w:lineRule="auto"/>
        <w:rPr>
          <w:rFonts w:hint="eastAsia" w:ascii="宋体" w:hAnsi="宋体" w:eastAsia="宋体" w:cs="宋体"/>
          <w:bCs/>
          <w:color w:val="auto"/>
          <w:sz w:val="28"/>
          <w:szCs w:val="28"/>
          <w:highlight w:val="none"/>
        </w:rPr>
      </w:pPr>
      <w:r>
        <w:rPr>
          <w:rFonts w:hint="eastAsia" w:ascii="宋体" w:hAnsi="宋体" w:eastAsia="宋体" w:cs="宋体"/>
          <w:bCs/>
          <w:color w:val="auto"/>
          <w:sz w:val="32"/>
          <w:szCs w:val="32"/>
          <w:highlight w:val="none"/>
        </w:rPr>
        <w:t>一</w:t>
      </w:r>
      <w:r>
        <w:rPr>
          <w:rFonts w:hint="eastAsia" w:ascii="宋体" w:hAnsi="宋体" w:eastAsia="宋体" w:cs="宋体"/>
          <w:bCs/>
          <w:color w:val="auto"/>
          <w:sz w:val="28"/>
          <w:szCs w:val="28"/>
          <w:highlight w:val="none"/>
        </w:rPr>
        <w:t>、质疑供应商基本信息</w:t>
      </w:r>
    </w:p>
    <w:p>
      <w:pPr>
        <w:adjustRightInd w:val="0"/>
        <w:snapToGrid w:val="0"/>
        <w:spacing w:line="360" w:lineRule="auto"/>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质疑供应商：</w:t>
      </w:r>
      <w:r>
        <w:rPr>
          <w:rFonts w:hint="eastAsia" w:ascii="宋体" w:hAnsi="宋体" w:eastAsia="宋体" w:cs="宋体"/>
          <w:color w:val="auto"/>
          <w:sz w:val="28"/>
          <w:szCs w:val="28"/>
          <w:highlight w:val="none"/>
          <w:u w:val="dotted"/>
        </w:rPr>
        <w:t xml:space="preserve">                                        </w:t>
      </w:r>
    </w:p>
    <w:p>
      <w:pPr>
        <w:adjustRightInd w:val="0"/>
        <w:snapToGrid w:val="0"/>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地址：</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邮编：</w:t>
      </w:r>
      <w:r>
        <w:rPr>
          <w:rFonts w:hint="eastAsia" w:ascii="宋体" w:hAnsi="宋体" w:eastAsia="宋体" w:cs="宋体"/>
          <w:color w:val="auto"/>
          <w:sz w:val="28"/>
          <w:szCs w:val="28"/>
          <w:highlight w:val="none"/>
          <w:u w:val="dotted"/>
        </w:rPr>
        <w:t xml:space="preserve">                                                   </w:t>
      </w:r>
    </w:p>
    <w:p>
      <w:pPr>
        <w:adjustRightInd w:val="0"/>
        <w:snapToGrid w:val="0"/>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联系人：</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联系电话：</w:t>
      </w:r>
      <w:r>
        <w:rPr>
          <w:rFonts w:hint="eastAsia" w:ascii="宋体" w:hAnsi="宋体" w:eastAsia="宋体" w:cs="宋体"/>
          <w:color w:val="auto"/>
          <w:sz w:val="28"/>
          <w:szCs w:val="28"/>
          <w:highlight w:val="none"/>
          <w:u w:val="dotted"/>
        </w:rPr>
        <w:t xml:space="preserve">                              </w:t>
      </w:r>
    </w:p>
    <w:p>
      <w:pPr>
        <w:adjustRightInd w:val="0"/>
        <w:snapToGrid w:val="0"/>
        <w:spacing w:line="360" w:lineRule="auto"/>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授权代表：</w:t>
      </w:r>
      <w:r>
        <w:rPr>
          <w:rFonts w:hint="eastAsia" w:ascii="宋体" w:hAnsi="宋体" w:eastAsia="宋体" w:cs="宋体"/>
          <w:color w:val="auto"/>
          <w:sz w:val="28"/>
          <w:szCs w:val="28"/>
          <w:highlight w:val="none"/>
          <w:u w:val="dotted"/>
        </w:rPr>
        <w:t xml:space="preserve">                                          </w:t>
      </w:r>
    </w:p>
    <w:p>
      <w:pPr>
        <w:adjustRightInd w:val="0"/>
        <w:snapToGrid w:val="0"/>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联系电话：</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 xml:space="preserve"> </w:t>
      </w:r>
    </w:p>
    <w:p>
      <w:pPr>
        <w:adjustRightInd w:val="0"/>
        <w:snapToGrid w:val="0"/>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地址： </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邮编：</w:t>
      </w:r>
      <w:r>
        <w:rPr>
          <w:rFonts w:hint="eastAsia" w:ascii="宋体" w:hAnsi="宋体" w:eastAsia="宋体" w:cs="宋体"/>
          <w:color w:val="auto"/>
          <w:sz w:val="28"/>
          <w:szCs w:val="28"/>
          <w:highlight w:val="none"/>
          <w:u w:val="dotted"/>
        </w:rPr>
        <w:t xml:space="preserve">                                                </w:t>
      </w:r>
    </w:p>
    <w:p>
      <w:pPr>
        <w:adjustRightInd w:val="0"/>
        <w:snapToGrid w:val="0"/>
        <w:spacing w:line="360" w:lineRule="auto"/>
        <w:rPr>
          <w:rFonts w:hint="eastAsia" w:ascii="宋体" w:hAnsi="宋体" w:eastAsia="宋体" w:cs="宋体"/>
          <w:bCs/>
          <w:color w:val="auto"/>
          <w:sz w:val="28"/>
          <w:szCs w:val="28"/>
          <w:highlight w:val="none"/>
        </w:rPr>
      </w:pPr>
      <w:r>
        <w:rPr>
          <w:rFonts w:hint="eastAsia" w:ascii="宋体" w:hAnsi="宋体" w:eastAsia="宋体" w:cs="宋体"/>
          <w:bCs/>
          <w:color w:val="auto"/>
          <w:sz w:val="28"/>
          <w:szCs w:val="28"/>
          <w:highlight w:val="none"/>
        </w:rPr>
        <w:t>二、质疑项目基本情况</w:t>
      </w:r>
    </w:p>
    <w:p>
      <w:pPr>
        <w:adjustRightInd w:val="0"/>
        <w:snapToGrid w:val="0"/>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质疑项目的名称：</w:t>
      </w:r>
      <w:r>
        <w:rPr>
          <w:rFonts w:hint="eastAsia" w:ascii="宋体" w:hAnsi="宋体" w:eastAsia="宋体" w:cs="宋体"/>
          <w:color w:val="auto"/>
          <w:sz w:val="28"/>
          <w:szCs w:val="28"/>
          <w:highlight w:val="none"/>
          <w:u w:val="dotted"/>
        </w:rPr>
        <w:t xml:space="preserve">                                      </w:t>
      </w:r>
    </w:p>
    <w:p>
      <w:pPr>
        <w:adjustRightInd w:val="0"/>
        <w:snapToGrid w:val="0"/>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质疑项目的编号：</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包号：</w:t>
      </w:r>
      <w:r>
        <w:rPr>
          <w:rFonts w:hint="eastAsia" w:ascii="宋体" w:hAnsi="宋体" w:eastAsia="宋体" w:cs="宋体"/>
          <w:color w:val="auto"/>
          <w:sz w:val="28"/>
          <w:szCs w:val="28"/>
          <w:highlight w:val="none"/>
          <w:u w:val="dotted"/>
        </w:rPr>
        <w:t xml:space="preserve">                 </w:t>
      </w:r>
    </w:p>
    <w:p>
      <w:pPr>
        <w:adjustRightInd w:val="0"/>
        <w:snapToGrid w:val="0"/>
        <w:spacing w:line="360" w:lineRule="auto"/>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采购人名称：</w:t>
      </w:r>
      <w:r>
        <w:rPr>
          <w:rFonts w:hint="eastAsia" w:ascii="宋体" w:hAnsi="宋体" w:eastAsia="宋体" w:cs="宋体"/>
          <w:color w:val="auto"/>
          <w:sz w:val="28"/>
          <w:szCs w:val="28"/>
          <w:highlight w:val="none"/>
          <w:u w:val="dotted"/>
        </w:rPr>
        <w:t xml:space="preserve">                                         </w:t>
      </w:r>
    </w:p>
    <w:p>
      <w:pPr>
        <w:adjustRightInd w:val="0"/>
        <w:snapToGrid w:val="0"/>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采购文件获取日期：</w:t>
      </w:r>
      <w:r>
        <w:rPr>
          <w:rFonts w:hint="eastAsia" w:ascii="宋体" w:hAnsi="宋体" w:eastAsia="宋体" w:cs="宋体"/>
          <w:color w:val="auto"/>
          <w:sz w:val="28"/>
          <w:szCs w:val="28"/>
          <w:highlight w:val="none"/>
          <w:u w:val="dotted"/>
        </w:rPr>
        <w:t xml:space="preserve">                                           </w:t>
      </w:r>
    </w:p>
    <w:p>
      <w:pPr>
        <w:adjustRightInd w:val="0"/>
        <w:snapToGrid w:val="0"/>
        <w:spacing w:line="360" w:lineRule="auto"/>
        <w:rPr>
          <w:rFonts w:hint="eastAsia" w:ascii="宋体" w:hAnsi="宋体" w:eastAsia="宋体" w:cs="宋体"/>
          <w:bCs/>
          <w:color w:val="auto"/>
          <w:sz w:val="28"/>
          <w:szCs w:val="28"/>
          <w:highlight w:val="none"/>
        </w:rPr>
      </w:pPr>
      <w:r>
        <w:rPr>
          <w:rFonts w:hint="eastAsia" w:ascii="宋体" w:hAnsi="宋体" w:eastAsia="宋体" w:cs="宋体"/>
          <w:bCs/>
          <w:color w:val="auto"/>
          <w:sz w:val="28"/>
          <w:szCs w:val="28"/>
          <w:highlight w:val="none"/>
        </w:rPr>
        <w:t>三、质疑事项具体内容</w:t>
      </w:r>
    </w:p>
    <w:p>
      <w:pPr>
        <w:adjustRightInd w:val="0"/>
        <w:snapToGrid w:val="0"/>
        <w:spacing w:line="360" w:lineRule="auto"/>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质疑事项1：</w:t>
      </w:r>
      <w:r>
        <w:rPr>
          <w:rFonts w:hint="eastAsia" w:ascii="宋体" w:hAnsi="宋体" w:eastAsia="宋体" w:cs="宋体"/>
          <w:color w:val="auto"/>
          <w:sz w:val="28"/>
          <w:szCs w:val="28"/>
          <w:highlight w:val="none"/>
          <w:u w:val="dotted"/>
        </w:rPr>
        <w:t xml:space="preserve">                                         </w:t>
      </w:r>
    </w:p>
    <w:p>
      <w:pPr>
        <w:adjustRightInd w:val="0"/>
        <w:snapToGrid w:val="0"/>
        <w:spacing w:line="360" w:lineRule="auto"/>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事实依据：</w:t>
      </w:r>
      <w:r>
        <w:rPr>
          <w:rFonts w:hint="eastAsia" w:ascii="宋体" w:hAnsi="宋体" w:eastAsia="宋体" w:cs="宋体"/>
          <w:color w:val="auto"/>
          <w:sz w:val="28"/>
          <w:szCs w:val="28"/>
          <w:highlight w:val="none"/>
          <w:u w:val="dotted"/>
        </w:rPr>
        <w:t xml:space="preserve">                                          </w:t>
      </w:r>
    </w:p>
    <w:p>
      <w:pPr>
        <w:adjustRightInd w:val="0"/>
        <w:snapToGrid w:val="0"/>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u w:val="dotted"/>
        </w:rPr>
        <w:t xml:space="preserve">                                                       </w:t>
      </w:r>
    </w:p>
    <w:p>
      <w:pPr>
        <w:adjustRightInd w:val="0"/>
        <w:snapToGrid w:val="0"/>
        <w:spacing w:line="360" w:lineRule="auto"/>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法律依据：</w:t>
      </w:r>
      <w:r>
        <w:rPr>
          <w:rFonts w:hint="eastAsia" w:ascii="宋体" w:hAnsi="宋体" w:eastAsia="宋体" w:cs="宋体"/>
          <w:color w:val="auto"/>
          <w:sz w:val="28"/>
          <w:szCs w:val="28"/>
          <w:highlight w:val="none"/>
          <w:u w:val="dotted"/>
        </w:rPr>
        <w:t xml:space="preserve">                                          </w:t>
      </w:r>
    </w:p>
    <w:p>
      <w:pPr>
        <w:adjustRightInd w:val="0"/>
        <w:snapToGrid w:val="0"/>
        <w:spacing w:line="360" w:lineRule="auto"/>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u w:val="dotted"/>
        </w:rPr>
        <w:t xml:space="preserve">                                                     </w:t>
      </w:r>
    </w:p>
    <w:p>
      <w:pPr>
        <w:adjustRightInd w:val="0"/>
        <w:snapToGrid w:val="0"/>
        <w:spacing w:line="360" w:lineRule="auto"/>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质疑事项2</w:t>
      </w:r>
    </w:p>
    <w:p>
      <w:pPr>
        <w:adjustRightInd w:val="0"/>
        <w:snapToGrid w:val="0"/>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w:t>
      </w:r>
    </w:p>
    <w:p>
      <w:pPr>
        <w:adjustRightInd w:val="0"/>
        <w:snapToGrid w:val="0"/>
        <w:spacing w:line="360" w:lineRule="auto"/>
        <w:rPr>
          <w:rFonts w:hint="eastAsia" w:ascii="宋体" w:hAnsi="宋体" w:eastAsia="宋体" w:cs="宋体"/>
          <w:bCs/>
          <w:color w:val="auto"/>
          <w:sz w:val="28"/>
          <w:szCs w:val="28"/>
          <w:highlight w:val="none"/>
        </w:rPr>
      </w:pPr>
      <w:r>
        <w:rPr>
          <w:rFonts w:hint="eastAsia" w:ascii="宋体" w:hAnsi="宋体" w:eastAsia="宋体" w:cs="宋体"/>
          <w:bCs/>
          <w:color w:val="auto"/>
          <w:sz w:val="28"/>
          <w:szCs w:val="28"/>
          <w:highlight w:val="none"/>
        </w:rPr>
        <w:t>四、与质疑事项相关的质疑请求</w:t>
      </w:r>
    </w:p>
    <w:p>
      <w:pPr>
        <w:adjustRightInd w:val="0"/>
        <w:snapToGrid w:val="0"/>
        <w:spacing w:line="360" w:lineRule="auto"/>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请求：</w:t>
      </w:r>
      <w:r>
        <w:rPr>
          <w:rFonts w:hint="eastAsia" w:ascii="宋体" w:hAnsi="宋体" w:eastAsia="宋体" w:cs="宋体"/>
          <w:color w:val="auto"/>
          <w:sz w:val="28"/>
          <w:szCs w:val="28"/>
          <w:highlight w:val="none"/>
          <w:u w:val="dotted"/>
        </w:rPr>
        <w:t xml:space="preserve">                                               </w:t>
      </w:r>
    </w:p>
    <w:p>
      <w:pP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签字(签章)：                   公章：                      </w:t>
      </w:r>
    </w:p>
    <w:p>
      <w:pP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日期：    </w:t>
      </w:r>
    </w:p>
    <w:p>
      <w:pPr>
        <w:adjustRightInd w:val="0"/>
        <w:snapToGrid w:val="0"/>
        <w:spacing w:line="360" w:lineRule="auto"/>
        <w:rPr>
          <w:rFonts w:hint="eastAsia" w:ascii="宋体" w:hAnsi="宋体" w:eastAsia="宋体" w:cs="宋体"/>
          <w:color w:val="auto"/>
          <w:sz w:val="28"/>
          <w:szCs w:val="28"/>
          <w:highlight w:val="none"/>
        </w:rPr>
      </w:pPr>
    </w:p>
    <w:p>
      <w:pPr>
        <w:adjustRightInd w:val="0"/>
        <w:snapToGrid w:val="0"/>
        <w:spacing w:line="360" w:lineRule="auto"/>
        <w:rPr>
          <w:rFonts w:hint="eastAsia" w:ascii="宋体" w:hAnsi="宋体" w:eastAsia="宋体" w:cs="宋体"/>
          <w:color w:val="auto"/>
          <w:sz w:val="28"/>
          <w:szCs w:val="28"/>
          <w:highlight w:val="none"/>
        </w:rPr>
      </w:pPr>
    </w:p>
    <w:p>
      <w:pPr>
        <w:rPr>
          <w:rFonts w:hint="eastAsia" w:ascii="宋体" w:hAnsi="宋体" w:eastAsia="宋体" w:cs="宋体"/>
          <w:b/>
          <w:color w:val="auto"/>
          <w:sz w:val="28"/>
          <w:szCs w:val="28"/>
          <w:highlight w:val="none"/>
        </w:rPr>
      </w:pPr>
    </w:p>
    <w:p>
      <w:pPr>
        <w:rPr>
          <w:rFonts w:hint="eastAsia" w:ascii="宋体" w:hAnsi="宋体" w:eastAsia="宋体" w:cs="宋体"/>
          <w:b/>
          <w:color w:val="auto"/>
          <w:sz w:val="28"/>
          <w:szCs w:val="28"/>
          <w:highlight w:val="none"/>
        </w:rPr>
      </w:pPr>
    </w:p>
    <w:p>
      <w:pPr>
        <w:rPr>
          <w:rFonts w:hint="eastAsia" w:ascii="宋体" w:hAnsi="宋体" w:eastAsia="宋体" w:cs="宋体"/>
          <w:b/>
          <w:color w:val="auto"/>
          <w:sz w:val="28"/>
          <w:szCs w:val="28"/>
          <w:highlight w:val="none"/>
        </w:rPr>
      </w:pPr>
    </w:p>
    <w:p>
      <w:pPr>
        <w:rPr>
          <w:rFonts w:hint="eastAsia" w:ascii="宋体" w:hAnsi="宋体" w:eastAsia="宋体" w:cs="宋体"/>
          <w:b/>
          <w:color w:val="auto"/>
          <w:sz w:val="28"/>
          <w:szCs w:val="28"/>
          <w:highlight w:val="none"/>
        </w:rPr>
      </w:pPr>
    </w:p>
    <w:p>
      <w:pPr>
        <w:rPr>
          <w:rFonts w:hint="eastAsia" w:ascii="宋体" w:hAnsi="宋体" w:eastAsia="宋体" w:cs="宋体"/>
          <w:b/>
          <w:color w:val="auto"/>
          <w:sz w:val="28"/>
          <w:szCs w:val="28"/>
          <w:highlight w:val="none"/>
        </w:rPr>
      </w:pPr>
    </w:p>
    <w:p>
      <w:pPr>
        <w:rPr>
          <w:rFonts w:hint="eastAsia" w:ascii="宋体" w:hAnsi="宋体" w:eastAsia="宋体" w:cs="宋体"/>
          <w:b/>
          <w:color w:val="auto"/>
          <w:sz w:val="24"/>
          <w:highlight w:val="none"/>
        </w:rPr>
      </w:pPr>
      <w:r>
        <w:rPr>
          <w:rFonts w:hint="eastAsia" w:ascii="宋体" w:hAnsi="宋体" w:eastAsia="宋体" w:cs="宋体"/>
          <w:b/>
          <w:color w:val="auto"/>
          <w:sz w:val="24"/>
          <w:highlight w:val="none"/>
        </w:rPr>
        <w:t>质疑函制作说明：</w:t>
      </w:r>
    </w:p>
    <w:p>
      <w:pPr>
        <w:widowControl/>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1.供应商提出质疑时，应提交质疑函和必要的证明材料。</w:t>
      </w:r>
    </w:p>
    <w:p>
      <w:pPr>
        <w:widowControl/>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2.质疑供应商若委托代理人进行质疑的，质疑函应按要求列明“授权代表”的有关内容，并在附件中提交由质疑</w:t>
      </w:r>
      <w:r>
        <w:rPr>
          <w:rFonts w:hint="eastAsia" w:ascii="宋体" w:hAnsi="宋体" w:eastAsia="宋体" w:cs="宋体"/>
          <w:color w:val="auto"/>
          <w:kern w:val="0"/>
          <w:sz w:val="24"/>
          <w:highlight w:val="none"/>
        </w:rPr>
        <w:t>供应商签署的授权委托书。授权委托书应载明代理人的姓名或者名称、代理事项、具体权限、期限和相关事项。</w:t>
      </w:r>
    </w:p>
    <w:p>
      <w:pPr>
        <w:widowControl/>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3.质疑供应商若对项目的某一分包进行质疑，质疑函中应列明具体分包号。</w:t>
      </w:r>
    </w:p>
    <w:p>
      <w:pPr>
        <w:widowControl/>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4.质疑函的质疑事项应具体、明确，并有必要的事实依据和法律依据。</w:t>
      </w:r>
    </w:p>
    <w:p>
      <w:pPr>
        <w:widowControl/>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5.质疑函的质疑请求应与质疑事项相关。</w:t>
      </w:r>
    </w:p>
    <w:p>
      <w:pPr>
        <w:widowControl/>
        <w:ind w:firstLine="480" w:firstLineChars="200"/>
        <w:jc w:val="left"/>
        <w:rPr>
          <w:rFonts w:hint="eastAsia" w:ascii="宋体" w:hAnsi="宋体" w:eastAsia="宋体" w:cs="宋体"/>
          <w:color w:val="auto"/>
          <w:sz w:val="28"/>
          <w:szCs w:val="28"/>
          <w:highlight w:val="none"/>
        </w:rPr>
      </w:pPr>
      <w:r>
        <w:rPr>
          <w:rFonts w:hint="eastAsia" w:ascii="宋体" w:hAnsi="宋体" w:eastAsia="宋体" w:cs="宋体"/>
          <w:color w:val="auto"/>
          <w:sz w:val="24"/>
          <w:highlight w:val="none"/>
        </w:rPr>
        <w:t>6.质疑供应商为自然人的，质疑函应由本人签字；质疑供应商为法人或者其他组织的，质疑函应由法定代表人、主要负责人，或者其授权代表签字或者盖章，并加盖公章。</w:t>
      </w:r>
    </w:p>
    <w:p>
      <w:pPr>
        <w:rPr>
          <w:rFonts w:hint="eastAsia" w:ascii="宋体" w:hAnsi="宋体" w:eastAsia="宋体" w:cs="宋体"/>
          <w:color w:val="auto"/>
          <w:sz w:val="20"/>
          <w:szCs w:val="22"/>
          <w:highlight w:val="none"/>
        </w:rPr>
      </w:pPr>
    </w:p>
    <w:p>
      <w:pPr>
        <w:pStyle w:val="9"/>
        <w:ind w:firstLine="560"/>
        <w:rPr>
          <w:rFonts w:hint="eastAsia" w:ascii="宋体" w:hAnsi="宋体" w:eastAsia="宋体" w:cs="宋体"/>
          <w:color w:val="auto"/>
          <w:sz w:val="28"/>
          <w:szCs w:val="22"/>
          <w:highlight w:val="none"/>
        </w:rPr>
      </w:pPr>
    </w:p>
    <w:p>
      <w:pPr>
        <w:pStyle w:val="10"/>
        <w:rPr>
          <w:rFonts w:hint="eastAsia" w:ascii="宋体" w:hAnsi="宋体" w:eastAsia="宋体" w:cs="宋体"/>
          <w:color w:val="auto"/>
          <w:sz w:val="20"/>
          <w:szCs w:val="22"/>
          <w:highlight w:val="none"/>
        </w:rPr>
      </w:pPr>
    </w:p>
    <w:p>
      <w:pPr>
        <w:rPr>
          <w:rFonts w:hint="eastAsia" w:ascii="宋体" w:hAnsi="宋体" w:eastAsia="宋体" w:cs="宋体"/>
          <w:color w:val="auto"/>
          <w:sz w:val="20"/>
          <w:szCs w:val="22"/>
          <w:highlight w:val="none"/>
        </w:rPr>
      </w:pPr>
    </w:p>
    <w:p>
      <w:pPr>
        <w:pStyle w:val="2"/>
        <w:keepNext w:val="0"/>
        <w:keepLines w:val="0"/>
        <w:pageBreakBefore/>
        <w:rPr>
          <w:rFonts w:hint="eastAsia" w:ascii="宋体" w:hAnsi="宋体" w:eastAsia="宋体" w:cs="宋体"/>
          <w:b w:val="0"/>
          <w:color w:val="auto"/>
          <w:sz w:val="24"/>
          <w:highlight w:val="none"/>
        </w:rPr>
      </w:pPr>
      <w:bookmarkStart w:id="116" w:name="_Toc28792"/>
      <w:bookmarkStart w:id="117" w:name="_Toc30418"/>
      <w:bookmarkStart w:id="118" w:name="_Toc32533"/>
      <w:r>
        <w:rPr>
          <w:rFonts w:hint="eastAsia" w:ascii="宋体" w:hAnsi="宋体" w:eastAsia="宋体" w:cs="宋体"/>
          <w:b w:val="0"/>
          <w:color w:val="auto"/>
          <w:sz w:val="24"/>
          <w:highlight w:val="none"/>
        </w:rPr>
        <w:t>附件</w:t>
      </w:r>
      <w:r>
        <w:rPr>
          <w:rFonts w:hint="eastAsia" w:ascii="宋体" w:hAnsi="宋体" w:eastAsia="宋体" w:cs="宋体"/>
          <w:b w:val="0"/>
          <w:color w:val="auto"/>
          <w:sz w:val="24"/>
          <w:highlight w:val="none"/>
          <w:lang w:val="en-US" w:eastAsia="zh-CN"/>
        </w:rPr>
        <w:t>二十三</w:t>
      </w:r>
      <w:r>
        <w:rPr>
          <w:rFonts w:hint="eastAsia" w:ascii="宋体" w:hAnsi="宋体" w:eastAsia="宋体" w:cs="宋体"/>
          <w:b w:val="0"/>
          <w:color w:val="auto"/>
          <w:sz w:val="24"/>
          <w:highlight w:val="none"/>
        </w:rPr>
        <w:t>：投诉书范本</w:t>
      </w:r>
      <w:bookmarkEnd w:id="116"/>
      <w:bookmarkEnd w:id="117"/>
      <w:bookmarkEnd w:id="118"/>
    </w:p>
    <w:p>
      <w:pPr>
        <w:jc w:val="center"/>
        <w:rPr>
          <w:rFonts w:hint="eastAsia" w:ascii="宋体" w:hAnsi="宋体" w:eastAsia="宋体" w:cs="宋体"/>
          <w:b/>
          <w:color w:val="auto"/>
          <w:sz w:val="40"/>
          <w:szCs w:val="40"/>
          <w:highlight w:val="none"/>
        </w:rPr>
      </w:pPr>
      <w:r>
        <w:rPr>
          <w:rFonts w:hint="eastAsia" w:ascii="宋体" w:hAnsi="宋体" w:eastAsia="宋体" w:cs="宋体"/>
          <w:b/>
          <w:color w:val="auto"/>
          <w:sz w:val="40"/>
          <w:szCs w:val="40"/>
          <w:highlight w:val="none"/>
        </w:rPr>
        <w:t>投诉书范本</w:t>
      </w:r>
    </w:p>
    <w:p>
      <w:pP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一、投诉相关主体基本情况</w:t>
      </w:r>
    </w:p>
    <w:p>
      <w:pPr>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投诉人：</w:t>
      </w:r>
      <w:r>
        <w:rPr>
          <w:rFonts w:hint="eastAsia" w:ascii="宋体" w:hAnsi="宋体" w:eastAsia="宋体" w:cs="宋体"/>
          <w:color w:val="auto"/>
          <w:sz w:val="28"/>
          <w:szCs w:val="28"/>
          <w:highlight w:val="none"/>
          <w:u w:val="dotted"/>
        </w:rPr>
        <w:t xml:space="preserve">                                               </w:t>
      </w:r>
    </w:p>
    <w:p>
      <w:pPr>
        <w:rPr>
          <w:rFonts w:hint="eastAsia" w:ascii="宋体" w:hAnsi="宋体" w:eastAsia="宋体" w:cs="宋体"/>
          <w:color w:val="auto"/>
          <w:sz w:val="28"/>
          <w:szCs w:val="28"/>
          <w:highlight w:val="none"/>
          <w:u w:val="single"/>
        </w:rPr>
      </w:pPr>
      <w:r>
        <w:rPr>
          <w:rFonts w:hint="eastAsia" w:ascii="宋体" w:hAnsi="宋体" w:eastAsia="宋体" w:cs="宋体"/>
          <w:color w:val="auto"/>
          <w:sz w:val="28"/>
          <w:szCs w:val="28"/>
          <w:highlight w:val="none"/>
        </w:rPr>
        <w:t>地     址：</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邮编：</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u w:val="single"/>
        </w:rPr>
        <w:t xml:space="preserve">   </w:t>
      </w:r>
    </w:p>
    <w:p>
      <w:pPr>
        <w:tabs>
          <w:tab w:val="left" w:pos="6510"/>
        </w:tabs>
        <w:jc w:val="left"/>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法定代表人/主要负责人：</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 xml:space="preserve">  </w:t>
      </w:r>
    </w:p>
    <w:p>
      <w:pPr>
        <w:tabs>
          <w:tab w:val="left" w:pos="6510"/>
        </w:tabs>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联系电话：</w:t>
      </w:r>
      <w:r>
        <w:rPr>
          <w:rFonts w:hint="eastAsia" w:ascii="宋体" w:hAnsi="宋体" w:eastAsia="宋体" w:cs="宋体"/>
          <w:color w:val="auto"/>
          <w:sz w:val="28"/>
          <w:szCs w:val="28"/>
          <w:highlight w:val="none"/>
          <w:u w:val="dotted"/>
        </w:rPr>
        <w:t xml:space="preserve">                                             </w:t>
      </w:r>
    </w:p>
    <w:p>
      <w:pPr>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授权代表：</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联系电话</w:t>
      </w:r>
      <w:r>
        <w:rPr>
          <w:rFonts w:hint="eastAsia" w:ascii="宋体" w:hAnsi="宋体" w:eastAsia="宋体" w:cs="宋体"/>
          <w:color w:val="auto"/>
          <w:sz w:val="28"/>
          <w:szCs w:val="28"/>
          <w:highlight w:val="none"/>
          <w:u w:val="dotted"/>
        </w:rPr>
        <w:t xml:space="preserve">：                  </w:t>
      </w:r>
    </w:p>
    <w:p>
      <w:pPr>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地     址：</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邮编：</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u w:val="single"/>
        </w:rPr>
        <w:t xml:space="preserve"> </w:t>
      </w:r>
      <w:r>
        <w:rPr>
          <w:rFonts w:hint="eastAsia" w:ascii="宋体" w:hAnsi="宋体" w:eastAsia="宋体" w:cs="宋体"/>
          <w:color w:val="auto"/>
          <w:sz w:val="28"/>
          <w:szCs w:val="28"/>
          <w:highlight w:val="none"/>
          <w:u w:val="dotted"/>
        </w:rPr>
        <w:t xml:space="preserve">                   </w:t>
      </w:r>
    </w:p>
    <w:p>
      <w:pPr>
        <w:rPr>
          <w:rFonts w:hint="eastAsia" w:ascii="宋体" w:hAnsi="宋体" w:eastAsia="宋体" w:cs="宋体"/>
          <w:color w:val="auto"/>
          <w:sz w:val="28"/>
          <w:szCs w:val="28"/>
          <w:highlight w:val="none"/>
          <w:u w:val="single"/>
        </w:rPr>
      </w:pPr>
      <w:r>
        <w:rPr>
          <w:rFonts w:hint="eastAsia" w:ascii="宋体" w:hAnsi="宋体" w:eastAsia="宋体" w:cs="宋体"/>
          <w:color w:val="auto"/>
          <w:sz w:val="28"/>
          <w:szCs w:val="28"/>
          <w:highlight w:val="none"/>
        </w:rPr>
        <w:t>被投诉人1：</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u w:val="single"/>
        </w:rPr>
        <w:t xml:space="preserve">  </w:t>
      </w:r>
    </w:p>
    <w:p>
      <w:pPr>
        <w:rPr>
          <w:rFonts w:hint="eastAsia" w:ascii="宋体" w:hAnsi="宋体" w:eastAsia="宋体" w:cs="宋体"/>
          <w:color w:val="auto"/>
          <w:sz w:val="28"/>
          <w:szCs w:val="28"/>
          <w:highlight w:val="none"/>
          <w:u w:val="single"/>
        </w:rPr>
      </w:pPr>
      <w:r>
        <w:rPr>
          <w:rFonts w:hint="eastAsia" w:ascii="宋体" w:hAnsi="宋体" w:eastAsia="宋体" w:cs="宋体"/>
          <w:color w:val="auto"/>
          <w:sz w:val="28"/>
          <w:szCs w:val="28"/>
          <w:highlight w:val="none"/>
        </w:rPr>
        <w:t>地     址：</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邮编：</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u w:val="single"/>
        </w:rPr>
        <w:t xml:space="preserve"> </w:t>
      </w:r>
    </w:p>
    <w:p>
      <w:pPr>
        <w:rPr>
          <w:rFonts w:hint="eastAsia" w:ascii="宋体" w:hAnsi="宋体" w:eastAsia="宋体" w:cs="宋体"/>
          <w:color w:val="auto"/>
          <w:sz w:val="28"/>
          <w:szCs w:val="28"/>
          <w:highlight w:val="none"/>
          <w:u w:val="single"/>
        </w:rPr>
      </w:pPr>
      <w:r>
        <w:rPr>
          <w:rFonts w:hint="eastAsia" w:ascii="宋体" w:hAnsi="宋体" w:eastAsia="宋体" w:cs="宋体"/>
          <w:color w:val="auto"/>
          <w:sz w:val="28"/>
          <w:szCs w:val="28"/>
          <w:highlight w:val="none"/>
        </w:rPr>
        <w:t>联系人：</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联系电话：</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u w:val="single"/>
        </w:rPr>
        <w:t xml:space="preserve"> </w:t>
      </w:r>
    </w:p>
    <w:p>
      <w:pP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被投诉人2</w:t>
      </w:r>
    </w:p>
    <w:p>
      <w:pPr>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w:t>
      </w:r>
    </w:p>
    <w:p>
      <w:pPr>
        <w:rPr>
          <w:rFonts w:hint="eastAsia" w:ascii="宋体" w:hAnsi="宋体" w:eastAsia="宋体" w:cs="宋体"/>
          <w:color w:val="auto"/>
          <w:sz w:val="28"/>
          <w:szCs w:val="28"/>
          <w:highlight w:val="none"/>
          <w:u w:val="single"/>
        </w:rPr>
      </w:pPr>
      <w:r>
        <w:rPr>
          <w:rFonts w:hint="eastAsia" w:ascii="宋体" w:hAnsi="宋体" w:eastAsia="宋体" w:cs="宋体"/>
          <w:color w:val="auto"/>
          <w:sz w:val="28"/>
          <w:szCs w:val="28"/>
          <w:highlight w:val="none"/>
        </w:rPr>
        <w:t>相关供应商：</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u w:val="single"/>
        </w:rPr>
        <w:t xml:space="preserve">    </w:t>
      </w:r>
    </w:p>
    <w:p>
      <w:pPr>
        <w:rPr>
          <w:rFonts w:hint="eastAsia" w:ascii="宋体" w:hAnsi="宋体" w:eastAsia="宋体" w:cs="宋体"/>
          <w:color w:val="auto"/>
          <w:sz w:val="28"/>
          <w:szCs w:val="28"/>
          <w:highlight w:val="none"/>
          <w:u w:val="single"/>
        </w:rPr>
      </w:pPr>
      <w:r>
        <w:rPr>
          <w:rFonts w:hint="eastAsia" w:ascii="宋体" w:hAnsi="宋体" w:eastAsia="宋体" w:cs="宋体"/>
          <w:color w:val="auto"/>
          <w:sz w:val="28"/>
          <w:szCs w:val="28"/>
          <w:highlight w:val="none"/>
        </w:rPr>
        <w:t>地     址：</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邮编：</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u w:val="single"/>
        </w:rPr>
        <w:t xml:space="preserve"> </w:t>
      </w:r>
    </w:p>
    <w:p>
      <w:pPr>
        <w:rPr>
          <w:rFonts w:hint="eastAsia" w:ascii="宋体" w:hAnsi="宋体" w:eastAsia="宋体" w:cs="宋体"/>
          <w:color w:val="auto"/>
          <w:sz w:val="28"/>
          <w:szCs w:val="28"/>
          <w:highlight w:val="none"/>
          <w:u w:val="single"/>
        </w:rPr>
      </w:pPr>
      <w:r>
        <w:rPr>
          <w:rFonts w:hint="eastAsia" w:ascii="宋体" w:hAnsi="宋体" w:eastAsia="宋体" w:cs="宋体"/>
          <w:color w:val="auto"/>
          <w:sz w:val="28"/>
          <w:szCs w:val="28"/>
          <w:highlight w:val="none"/>
        </w:rPr>
        <w:t>联系人：</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联系电话：</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u w:val="single"/>
        </w:rPr>
        <w:t xml:space="preserve">      </w:t>
      </w:r>
    </w:p>
    <w:p>
      <w:pP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二、投诉项目基本情况</w:t>
      </w:r>
    </w:p>
    <w:p>
      <w:pPr>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采购项目名称：</w:t>
      </w:r>
      <w:r>
        <w:rPr>
          <w:rFonts w:hint="eastAsia" w:ascii="宋体" w:hAnsi="宋体" w:eastAsia="宋体" w:cs="宋体"/>
          <w:color w:val="auto"/>
          <w:sz w:val="28"/>
          <w:szCs w:val="28"/>
          <w:highlight w:val="none"/>
          <w:u w:val="dotted"/>
        </w:rPr>
        <w:t xml:space="preserve">                                        </w:t>
      </w:r>
    </w:p>
    <w:p>
      <w:pPr>
        <w:rPr>
          <w:rFonts w:hint="eastAsia" w:ascii="宋体" w:hAnsi="宋体" w:eastAsia="宋体" w:cs="宋体"/>
          <w:color w:val="auto"/>
          <w:sz w:val="28"/>
          <w:szCs w:val="28"/>
          <w:highlight w:val="none"/>
          <w:u w:val="single"/>
        </w:rPr>
      </w:pPr>
      <w:r>
        <w:rPr>
          <w:rFonts w:hint="eastAsia" w:ascii="宋体" w:hAnsi="宋体" w:eastAsia="宋体" w:cs="宋体"/>
          <w:color w:val="auto"/>
          <w:sz w:val="28"/>
          <w:szCs w:val="28"/>
          <w:highlight w:val="none"/>
        </w:rPr>
        <w:t>采购项目编号：</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包号：</w:t>
      </w:r>
      <w:r>
        <w:rPr>
          <w:rFonts w:hint="eastAsia" w:ascii="宋体" w:hAnsi="宋体" w:eastAsia="宋体" w:cs="宋体"/>
          <w:color w:val="auto"/>
          <w:sz w:val="28"/>
          <w:szCs w:val="28"/>
          <w:highlight w:val="none"/>
          <w:u w:val="dotted"/>
        </w:rPr>
        <w:t xml:space="preserve">              </w:t>
      </w:r>
    </w:p>
    <w:p>
      <w:pP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采购人名称：</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u w:val="single"/>
        </w:rPr>
        <w:t xml:space="preserve">  </w:t>
      </w:r>
    </w:p>
    <w:p>
      <w:pPr>
        <w:rPr>
          <w:rFonts w:hint="eastAsia" w:ascii="宋体" w:hAnsi="宋体" w:eastAsia="宋体" w:cs="宋体"/>
          <w:color w:val="auto"/>
          <w:sz w:val="28"/>
          <w:szCs w:val="28"/>
          <w:highlight w:val="none"/>
          <w:u w:val="single"/>
        </w:rPr>
      </w:pPr>
      <w:r>
        <w:rPr>
          <w:rFonts w:hint="eastAsia" w:ascii="宋体" w:hAnsi="宋体" w:eastAsia="宋体" w:cs="宋体"/>
          <w:color w:val="auto"/>
          <w:sz w:val="28"/>
          <w:szCs w:val="28"/>
          <w:highlight w:val="none"/>
        </w:rPr>
        <w:t>代理机构名称：</w:t>
      </w:r>
      <w:r>
        <w:rPr>
          <w:rFonts w:hint="eastAsia" w:ascii="宋体" w:hAnsi="宋体" w:eastAsia="宋体" w:cs="宋体"/>
          <w:color w:val="auto"/>
          <w:sz w:val="28"/>
          <w:szCs w:val="28"/>
          <w:highlight w:val="none"/>
          <w:u w:val="dotted"/>
        </w:rPr>
        <w:t xml:space="preserve">                                         </w:t>
      </w:r>
    </w:p>
    <w:p>
      <w:pPr>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采购文件公告:</w:t>
      </w:r>
      <w:r>
        <w:rPr>
          <w:rFonts w:hint="eastAsia" w:ascii="宋体" w:hAnsi="宋体" w:eastAsia="宋体" w:cs="宋体"/>
          <w:color w:val="auto"/>
          <w:sz w:val="28"/>
          <w:szCs w:val="28"/>
          <w:highlight w:val="none"/>
          <w:u w:val="dotted"/>
        </w:rPr>
        <w:t xml:space="preserve">是/否 </w:t>
      </w:r>
      <w:r>
        <w:rPr>
          <w:rFonts w:hint="eastAsia" w:ascii="宋体" w:hAnsi="宋体" w:eastAsia="宋体" w:cs="宋体"/>
          <w:color w:val="auto"/>
          <w:sz w:val="28"/>
          <w:szCs w:val="28"/>
          <w:highlight w:val="none"/>
        </w:rPr>
        <w:t>公告期限：</w:t>
      </w:r>
      <w:r>
        <w:rPr>
          <w:rFonts w:hint="eastAsia" w:ascii="宋体" w:hAnsi="宋体" w:eastAsia="宋体" w:cs="宋体"/>
          <w:color w:val="auto"/>
          <w:sz w:val="28"/>
          <w:szCs w:val="28"/>
          <w:highlight w:val="none"/>
          <w:u w:val="dotted"/>
        </w:rPr>
        <w:t xml:space="preserve">                                 </w:t>
      </w:r>
    </w:p>
    <w:p>
      <w:pPr>
        <w:rPr>
          <w:rFonts w:hint="eastAsia" w:ascii="宋体" w:hAnsi="宋体" w:eastAsia="宋体" w:cs="宋体"/>
          <w:color w:val="auto"/>
          <w:sz w:val="28"/>
          <w:szCs w:val="28"/>
          <w:highlight w:val="none"/>
          <w:u w:val="single"/>
        </w:rPr>
      </w:pPr>
      <w:r>
        <w:rPr>
          <w:rFonts w:hint="eastAsia" w:ascii="宋体" w:hAnsi="宋体" w:eastAsia="宋体" w:cs="宋体"/>
          <w:color w:val="auto"/>
          <w:sz w:val="28"/>
          <w:szCs w:val="28"/>
          <w:highlight w:val="none"/>
        </w:rPr>
        <w:t>采购结果公告:</w:t>
      </w:r>
      <w:r>
        <w:rPr>
          <w:rFonts w:hint="eastAsia" w:ascii="宋体" w:hAnsi="宋体" w:eastAsia="宋体" w:cs="宋体"/>
          <w:color w:val="auto"/>
          <w:sz w:val="28"/>
          <w:szCs w:val="28"/>
          <w:highlight w:val="none"/>
          <w:u w:val="dotted"/>
        </w:rPr>
        <w:t xml:space="preserve">是/否 </w:t>
      </w:r>
      <w:r>
        <w:rPr>
          <w:rFonts w:hint="eastAsia" w:ascii="宋体" w:hAnsi="宋体" w:eastAsia="宋体" w:cs="宋体"/>
          <w:color w:val="auto"/>
          <w:sz w:val="28"/>
          <w:szCs w:val="28"/>
          <w:highlight w:val="none"/>
        </w:rPr>
        <w:t>公告期限：</w:t>
      </w:r>
      <w:r>
        <w:rPr>
          <w:rFonts w:hint="eastAsia" w:ascii="宋体" w:hAnsi="宋体" w:eastAsia="宋体" w:cs="宋体"/>
          <w:color w:val="auto"/>
          <w:sz w:val="28"/>
          <w:szCs w:val="28"/>
          <w:highlight w:val="none"/>
          <w:u w:val="dotted"/>
        </w:rPr>
        <w:t xml:space="preserve">                        </w:t>
      </w:r>
    </w:p>
    <w:p>
      <w:pP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三、质疑基本情况</w:t>
      </w:r>
    </w:p>
    <w:p>
      <w:pPr>
        <w:ind w:firstLine="560" w:firstLineChars="200"/>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投诉人于</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年</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月</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日,向</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提出质疑，质疑事项为：</w:t>
      </w:r>
      <w:r>
        <w:rPr>
          <w:rFonts w:hint="eastAsia" w:ascii="宋体" w:hAnsi="宋体" w:eastAsia="宋体" w:cs="宋体"/>
          <w:color w:val="auto"/>
          <w:sz w:val="28"/>
          <w:szCs w:val="28"/>
          <w:highlight w:val="none"/>
          <w:u w:val="dotted"/>
        </w:rPr>
        <w:t xml:space="preserve">                                </w:t>
      </w:r>
    </w:p>
    <w:p>
      <w:pPr>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 xml:space="preserve">  </w:t>
      </w:r>
    </w:p>
    <w:p>
      <w:pPr>
        <w:ind w:firstLine="420" w:firstLineChars="15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u w:val="dotted"/>
        </w:rPr>
        <w:t>采购人/代理机构</w:t>
      </w:r>
      <w:r>
        <w:rPr>
          <w:rFonts w:hint="eastAsia" w:ascii="宋体" w:hAnsi="宋体" w:eastAsia="宋体" w:cs="宋体"/>
          <w:color w:val="auto"/>
          <w:sz w:val="28"/>
          <w:szCs w:val="28"/>
          <w:highlight w:val="none"/>
        </w:rPr>
        <w:t>于</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年</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月</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日,就质疑事项作出了答复/没有在法定期限内作出答复。</w:t>
      </w:r>
    </w:p>
    <w:p>
      <w:pP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四、投诉事项具体内容</w:t>
      </w:r>
    </w:p>
    <w:p>
      <w:pPr>
        <w:rPr>
          <w:rFonts w:hint="eastAsia" w:ascii="宋体" w:hAnsi="宋体" w:eastAsia="宋体" w:cs="宋体"/>
          <w:color w:val="auto"/>
          <w:sz w:val="28"/>
          <w:szCs w:val="28"/>
          <w:highlight w:val="none"/>
          <w:u w:val="single"/>
        </w:rPr>
      </w:pPr>
      <w:r>
        <w:rPr>
          <w:rFonts w:hint="eastAsia" w:ascii="宋体" w:hAnsi="宋体" w:eastAsia="宋体" w:cs="宋体"/>
          <w:color w:val="auto"/>
          <w:sz w:val="28"/>
          <w:szCs w:val="28"/>
          <w:highlight w:val="none"/>
        </w:rPr>
        <w:t>投诉事项 1：</w:t>
      </w:r>
      <w:r>
        <w:rPr>
          <w:rFonts w:hint="eastAsia" w:ascii="宋体" w:hAnsi="宋体" w:eastAsia="宋体" w:cs="宋体"/>
          <w:color w:val="auto"/>
          <w:sz w:val="28"/>
          <w:szCs w:val="28"/>
          <w:highlight w:val="none"/>
          <w:u w:val="dotted"/>
        </w:rPr>
        <w:t xml:space="preserve">                                       </w:t>
      </w:r>
    </w:p>
    <w:p>
      <w:pP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事实依据：</w:t>
      </w:r>
      <w:r>
        <w:rPr>
          <w:rFonts w:hint="eastAsia" w:ascii="宋体" w:hAnsi="宋体" w:eastAsia="宋体" w:cs="宋体"/>
          <w:color w:val="auto"/>
          <w:sz w:val="28"/>
          <w:szCs w:val="28"/>
          <w:highlight w:val="none"/>
          <w:u w:val="dotted"/>
        </w:rPr>
        <w:t xml:space="preserve">                                         </w:t>
      </w:r>
    </w:p>
    <w:p>
      <w:pPr>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u w:val="dotted"/>
        </w:rPr>
        <w:t xml:space="preserve">                                                      </w:t>
      </w:r>
    </w:p>
    <w:p>
      <w:pPr>
        <w:rPr>
          <w:rFonts w:hint="eastAsia" w:ascii="宋体" w:hAnsi="宋体" w:eastAsia="宋体" w:cs="宋体"/>
          <w:color w:val="auto"/>
          <w:sz w:val="28"/>
          <w:szCs w:val="28"/>
          <w:highlight w:val="none"/>
          <w:u w:val="single"/>
        </w:rPr>
      </w:pPr>
      <w:r>
        <w:rPr>
          <w:rFonts w:hint="eastAsia" w:ascii="宋体" w:hAnsi="宋体" w:eastAsia="宋体" w:cs="宋体"/>
          <w:color w:val="auto"/>
          <w:sz w:val="28"/>
          <w:szCs w:val="28"/>
          <w:highlight w:val="none"/>
        </w:rPr>
        <w:t>法律依据：</w:t>
      </w:r>
      <w:r>
        <w:rPr>
          <w:rFonts w:hint="eastAsia" w:ascii="宋体" w:hAnsi="宋体" w:eastAsia="宋体" w:cs="宋体"/>
          <w:color w:val="auto"/>
          <w:sz w:val="28"/>
          <w:szCs w:val="28"/>
          <w:highlight w:val="none"/>
          <w:u w:val="dotted"/>
        </w:rPr>
        <w:t xml:space="preserve">                                          </w:t>
      </w:r>
    </w:p>
    <w:p>
      <w:pPr>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u w:val="dotted"/>
        </w:rPr>
        <w:t xml:space="preserve">                                                      </w:t>
      </w:r>
    </w:p>
    <w:p>
      <w:pP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投诉事项2</w:t>
      </w:r>
    </w:p>
    <w:p>
      <w:pPr>
        <w:rPr>
          <w:rFonts w:hint="eastAsia" w:ascii="宋体" w:hAnsi="宋体" w:eastAsia="宋体" w:cs="宋体"/>
          <w:color w:val="auto"/>
          <w:sz w:val="28"/>
          <w:szCs w:val="28"/>
          <w:highlight w:val="none"/>
          <w:u w:val="dotted"/>
        </w:rPr>
      </w:pPr>
      <w:r>
        <w:rPr>
          <w:rFonts w:hint="eastAsia" w:ascii="宋体" w:hAnsi="宋体" w:eastAsia="宋体" w:cs="宋体"/>
          <w:color w:val="auto"/>
          <w:sz w:val="28"/>
          <w:szCs w:val="28"/>
          <w:highlight w:val="none"/>
        </w:rPr>
        <w:t>……</w:t>
      </w:r>
    </w:p>
    <w:p>
      <w:pP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五、与投诉事项相关的投诉请求</w:t>
      </w:r>
    </w:p>
    <w:p>
      <w:pP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请求：</w:t>
      </w:r>
      <w:r>
        <w:rPr>
          <w:rFonts w:hint="eastAsia" w:ascii="宋体" w:hAnsi="宋体" w:eastAsia="宋体" w:cs="宋体"/>
          <w:color w:val="auto"/>
          <w:sz w:val="28"/>
          <w:szCs w:val="28"/>
          <w:highlight w:val="none"/>
          <w:u w:val="dotted"/>
        </w:rPr>
        <w:t xml:space="preserve">                                              </w:t>
      </w:r>
      <w:r>
        <w:rPr>
          <w:rFonts w:hint="eastAsia" w:ascii="宋体" w:hAnsi="宋体" w:eastAsia="宋体" w:cs="宋体"/>
          <w:color w:val="auto"/>
          <w:sz w:val="28"/>
          <w:szCs w:val="28"/>
          <w:highlight w:val="none"/>
        </w:rPr>
        <w:t xml:space="preserve"> </w:t>
      </w:r>
    </w:p>
    <w:p>
      <w:pPr>
        <w:rPr>
          <w:rFonts w:hint="eastAsia" w:ascii="宋体" w:hAnsi="宋体" w:eastAsia="宋体" w:cs="宋体"/>
          <w:color w:val="auto"/>
          <w:sz w:val="28"/>
          <w:szCs w:val="28"/>
          <w:highlight w:val="none"/>
          <w:u w:val="single"/>
        </w:rPr>
      </w:pPr>
      <w:r>
        <w:rPr>
          <w:rFonts w:hint="eastAsia" w:ascii="宋体" w:hAnsi="宋体" w:eastAsia="宋体" w:cs="宋体"/>
          <w:color w:val="auto"/>
          <w:sz w:val="28"/>
          <w:szCs w:val="28"/>
          <w:highlight w:val="none"/>
        </w:rPr>
        <w:t xml:space="preserve">                                                                                                    </w:t>
      </w:r>
    </w:p>
    <w:p>
      <w:pP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签字(签章)：                   公章：                      </w:t>
      </w:r>
    </w:p>
    <w:p>
      <w:pP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日期：    </w:t>
      </w:r>
    </w:p>
    <w:p>
      <w:pPr>
        <w:rPr>
          <w:rFonts w:hint="eastAsia" w:ascii="宋体" w:hAnsi="宋体" w:eastAsia="宋体" w:cs="宋体"/>
          <w:b/>
          <w:color w:val="auto"/>
          <w:sz w:val="28"/>
          <w:szCs w:val="28"/>
          <w:highlight w:val="none"/>
        </w:rPr>
      </w:pPr>
    </w:p>
    <w:p>
      <w:pPr>
        <w:rPr>
          <w:rFonts w:hint="eastAsia" w:ascii="宋体" w:hAnsi="宋体" w:eastAsia="宋体" w:cs="宋体"/>
          <w:b/>
          <w:color w:val="auto"/>
          <w:sz w:val="28"/>
          <w:szCs w:val="28"/>
          <w:highlight w:val="none"/>
        </w:rPr>
      </w:pPr>
    </w:p>
    <w:p>
      <w:pPr>
        <w:rPr>
          <w:rFonts w:hint="eastAsia" w:ascii="宋体" w:hAnsi="宋体" w:eastAsia="宋体" w:cs="宋体"/>
          <w:b/>
          <w:color w:val="auto"/>
          <w:sz w:val="28"/>
          <w:szCs w:val="28"/>
          <w:highlight w:val="none"/>
        </w:rPr>
      </w:pPr>
    </w:p>
    <w:p>
      <w:pPr>
        <w:rPr>
          <w:rFonts w:hint="eastAsia" w:ascii="宋体" w:hAnsi="宋体" w:eastAsia="宋体" w:cs="宋体"/>
          <w:b/>
          <w:color w:val="auto"/>
          <w:sz w:val="28"/>
          <w:szCs w:val="28"/>
          <w:highlight w:val="none"/>
        </w:rPr>
      </w:pPr>
    </w:p>
    <w:p>
      <w:pPr>
        <w:rPr>
          <w:rFonts w:hint="eastAsia" w:ascii="宋体" w:hAnsi="宋体" w:eastAsia="宋体" w:cs="宋体"/>
          <w:b/>
          <w:color w:val="auto"/>
          <w:sz w:val="28"/>
          <w:szCs w:val="28"/>
          <w:highlight w:val="none"/>
        </w:rPr>
      </w:pPr>
    </w:p>
    <w:p>
      <w:pPr>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投诉书制作说明：</w:t>
      </w:r>
    </w:p>
    <w:p>
      <w:pPr>
        <w:widowControl/>
        <w:ind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1.投诉人提起投诉时，应当提交投诉书和必要的证明材料，并按照被投诉人和与投诉事项有关的供应商数量提供投诉书副本。</w:t>
      </w:r>
    </w:p>
    <w:p>
      <w:pPr>
        <w:widowControl/>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2.投诉人若委托代理人进行投诉的，投诉书应按照要求列明“授权代表”的有关内容，并在附件中提交由</w:t>
      </w:r>
      <w:r>
        <w:rPr>
          <w:rFonts w:hint="eastAsia" w:ascii="宋体" w:hAnsi="宋体" w:eastAsia="宋体" w:cs="宋体"/>
          <w:color w:val="auto"/>
          <w:kern w:val="0"/>
          <w:sz w:val="24"/>
          <w:highlight w:val="none"/>
        </w:rPr>
        <w:t>投诉人签署的授权委托书。授权委托书应当载明代理人的姓名或者名称、代理事项、具体权限、期限和相关事项。</w:t>
      </w:r>
    </w:p>
    <w:p>
      <w:pPr>
        <w:widowControl/>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3.投诉人若对项目的某一分包进行投诉，投诉书应列明具体分包号。</w:t>
      </w:r>
    </w:p>
    <w:p>
      <w:pPr>
        <w:widowControl/>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4.投诉书应简要列明质疑事项，质疑函、质疑答复等作为附件材料提供。</w:t>
      </w:r>
    </w:p>
    <w:p>
      <w:pPr>
        <w:widowControl/>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5.投诉书的投诉事项应具体、明确，并有必要的事实依据和法律依据。</w:t>
      </w:r>
    </w:p>
    <w:p>
      <w:pPr>
        <w:widowControl/>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6.投诉书的投诉请求应与投诉事项相关。</w:t>
      </w:r>
    </w:p>
    <w:p>
      <w:pPr>
        <w:widowControl/>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7.投诉人为自然人的，投诉书应当由本人签字；投诉人为法人或者其他组织的，投诉书应当由法定代表人、主要负责人，或者其授权代表签字或者盖章，并加盖公章。</w:t>
      </w:r>
    </w:p>
    <w:p>
      <w:pPr>
        <w:jc w:val="left"/>
        <w:rPr>
          <w:rFonts w:hint="eastAsia" w:ascii="宋体" w:hAnsi="宋体" w:eastAsia="宋体" w:cs="宋体"/>
          <w:b/>
          <w:color w:val="auto"/>
          <w:sz w:val="28"/>
          <w:szCs w:val="28"/>
          <w:highlight w:val="none"/>
        </w:rPr>
      </w:pPr>
      <w:r>
        <w:rPr>
          <w:rFonts w:hint="eastAsia" w:ascii="宋体" w:hAnsi="宋体" w:eastAsia="宋体" w:cs="宋体"/>
          <w:color w:val="auto"/>
          <w:sz w:val="28"/>
          <w:szCs w:val="28"/>
          <w:highlight w:val="none"/>
        </w:rPr>
        <w:t xml:space="preserve">         </w:t>
      </w:r>
      <w:r>
        <w:rPr>
          <w:rFonts w:hint="eastAsia" w:ascii="宋体" w:hAnsi="宋体" w:eastAsia="宋体" w:cs="宋体"/>
          <w:b/>
          <w:color w:val="auto"/>
          <w:sz w:val="28"/>
          <w:szCs w:val="28"/>
          <w:highlight w:val="none"/>
        </w:rPr>
        <w:t xml:space="preserve"> </w:t>
      </w:r>
    </w:p>
    <w:p>
      <w:pPr>
        <w:jc w:val="left"/>
        <w:rPr>
          <w:rFonts w:hint="eastAsia" w:ascii="宋体" w:hAnsi="宋体" w:eastAsia="宋体" w:cs="宋体"/>
          <w:b/>
          <w:color w:val="auto"/>
          <w:sz w:val="28"/>
          <w:szCs w:val="28"/>
          <w:highlight w:val="none"/>
        </w:rPr>
      </w:pPr>
    </w:p>
    <w:p>
      <w:pPr>
        <w:rPr>
          <w:rFonts w:hint="eastAsia" w:ascii="宋体" w:hAnsi="宋体" w:eastAsia="宋体" w:cs="宋体"/>
          <w:color w:val="auto"/>
          <w:sz w:val="20"/>
          <w:szCs w:val="22"/>
          <w:highlight w:val="none"/>
        </w:rPr>
      </w:pPr>
    </w:p>
    <w:p>
      <w:pPr>
        <w:rPr>
          <w:rFonts w:hint="eastAsia" w:ascii="宋体" w:hAnsi="宋体" w:eastAsia="宋体" w:cs="宋体"/>
          <w:color w:val="auto"/>
          <w:sz w:val="20"/>
          <w:szCs w:val="22"/>
          <w:highlight w:val="none"/>
        </w:rPr>
      </w:pPr>
    </w:p>
    <w:p>
      <w:pPr>
        <w:pStyle w:val="9"/>
        <w:ind w:firstLine="600"/>
        <w:rPr>
          <w:rFonts w:hint="eastAsia" w:ascii="宋体" w:hAnsi="宋体" w:eastAsia="宋体" w:cs="宋体"/>
          <w:color w:val="auto"/>
          <w:highlight w:val="none"/>
        </w:rPr>
      </w:pPr>
    </w:p>
    <w:p>
      <w:pPr>
        <w:rPr>
          <w:rFonts w:hint="eastAsia" w:ascii="宋体" w:hAnsi="宋体" w:eastAsia="宋体" w:cs="宋体"/>
          <w:color w:val="auto"/>
          <w:highlight w:val="none"/>
        </w:rPr>
      </w:pPr>
    </w:p>
    <w:p>
      <w:pPr>
        <w:pStyle w:val="12"/>
        <w:rPr>
          <w:rFonts w:hint="eastAsia" w:ascii="宋体" w:hAnsi="宋体" w:eastAsia="宋体" w:cs="宋体"/>
          <w:color w:val="auto"/>
          <w:highlight w:val="none"/>
        </w:rPr>
      </w:pPr>
    </w:p>
    <w:p>
      <w:pPr>
        <w:rPr>
          <w:rFonts w:hint="eastAsia" w:ascii="宋体" w:hAnsi="宋体" w:eastAsia="宋体" w:cs="宋体"/>
          <w:color w:val="auto"/>
          <w:highlight w:val="none"/>
        </w:rPr>
      </w:pPr>
    </w:p>
    <w:p>
      <w:pPr>
        <w:pStyle w:val="12"/>
        <w:rPr>
          <w:rFonts w:hint="eastAsia" w:ascii="宋体" w:hAnsi="宋体" w:eastAsia="宋体" w:cs="宋体"/>
          <w:color w:val="auto"/>
          <w:highlight w:val="none"/>
        </w:rPr>
      </w:pPr>
    </w:p>
    <w:p>
      <w:pPr>
        <w:rPr>
          <w:rFonts w:hint="eastAsia" w:ascii="宋体" w:hAnsi="宋体" w:eastAsia="宋体" w:cs="宋体"/>
          <w:color w:val="auto"/>
          <w:highlight w:val="none"/>
        </w:rPr>
      </w:pPr>
    </w:p>
    <w:p>
      <w:pPr>
        <w:pStyle w:val="12"/>
        <w:rPr>
          <w:rFonts w:hint="eastAsia" w:ascii="宋体" w:hAnsi="宋体" w:eastAsia="宋体" w:cs="宋体"/>
          <w:color w:val="auto"/>
          <w:highlight w:val="none"/>
        </w:rPr>
      </w:pPr>
    </w:p>
    <w:p>
      <w:pPr>
        <w:rPr>
          <w:rFonts w:hint="eastAsia" w:ascii="宋体" w:hAnsi="宋体" w:eastAsia="宋体" w:cs="宋体"/>
          <w:color w:val="auto"/>
          <w:highlight w:val="none"/>
        </w:rPr>
      </w:pPr>
    </w:p>
    <w:p>
      <w:pPr>
        <w:pStyle w:val="12"/>
        <w:rPr>
          <w:rFonts w:hint="eastAsia" w:ascii="宋体" w:hAnsi="宋体" w:eastAsia="宋体" w:cs="宋体"/>
          <w:color w:val="auto"/>
          <w:highlight w:val="none"/>
        </w:rPr>
      </w:pPr>
    </w:p>
    <w:p>
      <w:pPr>
        <w:rPr>
          <w:rFonts w:hint="eastAsia" w:ascii="宋体" w:hAnsi="宋体" w:eastAsia="宋体" w:cs="宋体"/>
          <w:color w:val="auto"/>
          <w:highlight w:val="none"/>
        </w:rPr>
      </w:pPr>
    </w:p>
    <w:p>
      <w:pPr>
        <w:pStyle w:val="12"/>
        <w:rPr>
          <w:rFonts w:hint="eastAsia" w:ascii="宋体" w:hAnsi="宋体" w:eastAsia="宋体" w:cs="宋体"/>
          <w:color w:val="auto"/>
          <w:highlight w:val="none"/>
        </w:rPr>
      </w:pPr>
    </w:p>
    <w:p>
      <w:pPr>
        <w:rPr>
          <w:rFonts w:hint="eastAsia" w:ascii="宋体" w:hAnsi="宋体" w:eastAsia="宋体" w:cs="宋体"/>
          <w:color w:val="auto"/>
          <w:highlight w:val="none"/>
        </w:rPr>
      </w:pPr>
    </w:p>
    <w:p>
      <w:pPr>
        <w:pStyle w:val="12"/>
        <w:rPr>
          <w:rFonts w:hint="eastAsia" w:ascii="宋体" w:hAnsi="宋体" w:eastAsia="宋体" w:cs="宋体"/>
          <w:color w:val="auto"/>
          <w:highlight w:val="none"/>
        </w:rPr>
      </w:pPr>
    </w:p>
    <w:p>
      <w:pPr>
        <w:rPr>
          <w:rFonts w:hint="eastAsia" w:ascii="宋体" w:hAnsi="宋体" w:eastAsia="宋体" w:cs="宋体"/>
          <w:color w:val="auto"/>
          <w:highlight w:val="none"/>
        </w:rPr>
      </w:pPr>
    </w:p>
    <w:p>
      <w:pPr>
        <w:pStyle w:val="12"/>
        <w:rPr>
          <w:rFonts w:hint="eastAsia" w:ascii="宋体" w:hAnsi="宋体" w:eastAsia="宋体" w:cs="宋体"/>
          <w:color w:val="auto"/>
          <w:highlight w:val="none"/>
        </w:rPr>
      </w:pPr>
    </w:p>
    <w:p>
      <w:pPr>
        <w:rPr>
          <w:rFonts w:hint="eastAsia" w:ascii="宋体" w:hAnsi="宋体" w:eastAsia="宋体" w:cs="宋体"/>
          <w:color w:val="auto"/>
          <w:highlight w:val="none"/>
        </w:rPr>
      </w:pPr>
    </w:p>
    <w:p>
      <w:pPr>
        <w:pStyle w:val="12"/>
        <w:rPr>
          <w:rFonts w:hint="eastAsia" w:ascii="宋体" w:hAnsi="宋体" w:eastAsia="宋体" w:cs="宋体"/>
          <w:color w:val="auto"/>
          <w:highlight w:val="none"/>
        </w:rPr>
      </w:pPr>
    </w:p>
    <w:p>
      <w:pPr>
        <w:rPr>
          <w:rFonts w:hint="eastAsia" w:ascii="宋体" w:hAnsi="宋体" w:eastAsia="宋体" w:cs="宋体"/>
          <w:color w:val="auto"/>
          <w:highlight w:val="none"/>
        </w:rPr>
      </w:pPr>
    </w:p>
    <w:p>
      <w:pPr>
        <w:pStyle w:val="12"/>
        <w:rPr>
          <w:rFonts w:hint="eastAsia" w:ascii="宋体" w:hAnsi="宋体" w:eastAsia="宋体" w:cs="宋体"/>
          <w:color w:val="auto"/>
          <w:highlight w:val="none"/>
        </w:rPr>
      </w:pPr>
    </w:p>
    <w:p>
      <w:pPr>
        <w:pStyle w:val="2"/>
        <w:keepNext w:val="0"/>
        <w:keepLines w:val="0"/>
        <w:pageBreakBefore/>
        <w:rPr>
          <w:rFonts w:hint="eastAsia" w:ascii="宋体" w:hAnsi="宋体" w:eastAsia="宋体" w:cs="宋体"/>
          <w:b w:val="0"/>
          <w:color w:val="auto"/>
          <w:sz w:val="24"/>
          <w:highlight w:val="none"/>
        </w:rPr>
      </w:pPr>
      <w:bookmarkStart w:id="119" w:name="_Toc29210"/>
      <w:r>
        <w:rPr>
          <w:rFonts w:hint="eastAsia" w:ascii="宋体" w:hAnsi="宋体" w:eastAsia="宋体" w:cs="宋体"/>
          <w:b w:val="0"/>
          <w:color w:val="auto"/>
          <w:sz w:val="24"/>
          <w:highlight w:val="none"/>
        </w:rPr>
        <w:t>附件二十</w:t>
      </w:r>
      <w:r>
        <w:rPr>
          <w:rFonts w:hint="eastAsia" w:ascii="宋体" w:hAnsi="宋体" w:eastAsia="宋体" w:cs="宋体"/>
          <w:b w:val="0"/>
          <w:color w:val="auto"/>
          <w:sz w:val="24"/>
          <w:highlight w:val="none"/>
          <w:lang w:val="en-US" w:eastAsia="zh-CN"/>
        </w:rPr>
        <w:t>四</w:t>
      </w:r>
      <w:r>
        <w:rPr>
          <w:rFonts w:hint="eastAsia" w:ascii="宋体" w:hAnsi="宋体" w:eastAsia="宋体" w:cs="宋体"/>
          <w:b w:val="0"/>
          <w:color w:val="auto"/>
          <w:sz w:val="24"/>
          <w:highlight w:val="none"/>
        </w:rPr>
        <w:t>：采购清单</w:t>
      </w:r>
      <w:bookmarkEnd w:id="119"/>
    </w:p>
    <w:tbl>
      <w:tblPr>
        <w:tblStyle w:val="22"/>
        <w:tblW w:w="9780" w:type="dxa"/>
        <w:tblInd w:w="93" w:type="dxa"/>
        <w:tblLayout w:type="autofit"/>
        <w:tblCellMar>
          <w:top w:w="0" w:type="dxa"/>
          <w:left w:w="108" w:type="dxa"/>
          <w:bottom w:w="0" w:type="dxa"/>
          <w:right w:w="108" w:type="dxa"/>
        </w:tblCellMar>
      </w:tblPr>
      <w:tblGrid>
        <w:gridCol w:w="819"/>
        <w:gridCol w:w="2850"/>
        <w:gridCol w:w="4011"/>
        <w:gridCol w:w="975"/>
        <w:gridCol w:w="1125"/>
      </w:tblGrid>
      <w:tr>
        <w:tblPrEx>
          <w:tblCellMar>
            <w:top w:w="0" w:type="dxa"/>
            <w:left w:w="108" w:type="dxa"/>
            <w:bottom w:w="0" w:type="dxa"/>
            <w:right w:w="108" w:type="dxa"/>
          </w:tblCellMar>
        </w:tblPrEx>
        <w:trPr>
          <w:trHeight w:val="540" w:hRule="atLeast"/>
        </w:trPr>
        <w:tc>
          <w:tcPr>
            <w:tcW w:w="9780" w:type="dxa"/>
            <w:gridSpan w:val="5"/>
            <w:tcBorders>
              <w:top w:val="nil"/>
              <w:left w:val="nil"/>
              <w:bottom w:val="nil"/>
              <w:right w:val="nil"/>
            </w:tcBorders>
            <w:shd w:val="clear" w:color="auto" w:fill="auto"/>
            <w:noWrap/>
            <w:vAlign w:val="center"/>
          </w:tcPr>
          <w:p>
            <w:pPr>
              <w:widowControl/>
              <w:jc w:val="center"/>
              <w:textAlignment w:val="center"/>
              <w:rPr>
                <w:rFonts w:ascii="宋体" w:hAnsi="宋体" w:cs="宋体"/>
                <w:b/>
                <w:bCs/>
                <w:color w:val="auto"/>
                <w:kern w:val="0"/>
                <w:sz w:val="32"/>
                <w:szCs w:val="32"/>
                <w:highlight w:val="none"/>
              </w:rPr>
            </w:pPr>
            <w:r>
              <w:rPr>
                <w:rFonts w:hint="eastAsia" w:ascii="宋体" w:hAnsi="宋体" w:cs="宋体"/>
                <w:b/>
                <w:bCs/>
                <w:color w:val="auto"/>
                <w:kern w:val="0"/>
                <w:sz w:val="32"/>
                <w:szCs w:val="32"/>
                <w:highlight w:val="none"/>
              </w:rPr>
              <w:t xml:space="preserve">采 购 清 单 </w:t>
            </w:r>
          </w:p>
        </w:tc>
      </w:tr>
      <w:tr>
        <w:tblPrEx>
          <w:tblCellMar>
            <w:top w:w="0" w:type="dxa"/>
            <w:left w:w="108" w:type="dxa"/>
            <w:bottom w:w="0" w:type="dxa"/>
            <w:right w:w="108" w:type="dxa"/>
          </w:tblCellMar>
        </w:tblPrEx>
        <w:trPr>
          <w:trHeight w:val="540" w:hRule="atLeast"/>
        </w:trPr>
        <w:tc>
          <w:tcPr>
            <w:tcW w:w="9780" w:type="dxa"/>
            <w:gridSpan w:val="5"/>
            <w:tcBorders>
              <w:top w:val="nil"/>
              <w:left w:val="nil"/>
              <w:bottom w:val="nil"/>
              <w:right w:val="nil"/>
            </w:tcBorders>
            <w:shd w:val="clear" w:color="auto" w:fill="auto"/>
            <w:noWrap/>
            <w:vAlign w:val="center"/>
          </w:tcPr>
          <w:p>
            <w:pPr>
              <w:widowControl/>
              <w:jc w:val="center"/>
              <w:textAlignment w:val="center"/>
              <w:rPr>
                <w:rFonts w:ascii="宋体" w:hAnsi="宋体" w:cs="宋体"/>
                <w:b/>
                <w:bCs/>
                <w:color w:val="auto"/>
                <w:kern w:val="0"/>
                <w:sz w:val="32"/>
                <w:szCs w:val="32"/>
                <w:highlight w:val="none"/>
              </w:rPr>
            </w:pPr>
            <w:r>
              <w:rPr>
                <w:rFonts w:hint="eastAsia" w:ascii="宋体" w:hAnsi="宋体" w:cs="宋体"/>
                <w:b/>
                <w:bCs/>
                <w:color w:val="auto"/>
                <w:kern w:val="0"/>
                <w:sz w:val="32"/>
                <w:szCs w:val="32"/>
                <w:highlight w:val="none"/>
              </w:rPr>
              <w:t>项目名称：东阳市横店医院公共卫生综合楼百级手术室、供应中心净化系统设备采购及安装项目</w:t>
            </w:r>
          </w:p>
        </w:tc>
      </w:tr>
      <w:tr>
        <w:tblPrEx>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序号</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名称</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规格型号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单位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数量</w:t>
            </w:r>
          </w:p>
        </w:tc>
      </w:tr>
      <w:tr>
        <w:tblPrEx>
          <w:tblCellMar>
            <w:top w:w="0" w:type="dxa"/>
            <w:left w:w="108" w:type="dxa"/>
            <w:bottom w:w="0" w:type="dxa"/>
            <w:right w:w="108" w:type="dxa"/>
          </w:tblCellMar>
        </w:tblPrEx>
        <w:trPr>
          <w:trHeight w:val="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18"/>
                <w:szCs w:val="18"/>
                <w:highlight w:val="none"/>
              </w:rPr>
            </w:pPr>
            <w:r>
              <w:rPr>
                <w:rFonts w:hint="eastAsia" w:ascii="宋体" w:hAnsi="宋体" w:cs="宋体"/>
                <w:b/>
                <w:bCs/>
                <w:color w:val="auto"/>
                <w:kern w:val="0"/>
                <w:sz w:val="18"/>
                <w:szCs w:val="18"/>
                <w:highlight w:val="none"/>
              </w:rPr>
              <w:t>一</w:t>
            </w:r>
          </w:p>
        </w:tc>
        <w:tc>
          <w:tcPr>
            <w:tcW w:w="2850" w:type="dxa"/>
            <w:tcBorders>
              <w:top w:val="single" w:color="000000" w:sz="4" w:space="0"/>
              <w:left w:val="single" w:color="000000" w:sz="4" w:space="0"/>
              <w:bottom w:val="single" w:color="000000" w:sz="4" w:space="0"/>
              <w:right w:val="nil"/>
            </w:tcBorders>
            <w:shd w:val="clear" w:color="auto" w:fill="auto"/>
            <w:vAlign w:val="center"/>
          </w:tcPr>
          <w:p>
            <w:pPr>
              <w:widowControl/>
              <w:jc w:val="left"/>
              <w:textAlignment w:val="center"/>
              <w:rPr>
                <w:rFonts w:ascii="宋体" w:hAnsi="宋体" w:cs="宋体"/>
                <w:b/>
                <w:bCs/>
                <w:color w:val="auto"/>
                <w:sz w:val="18"/>
                <w:szCs w:val="18"/>
                <w:highlight w:val="none"/>
              </w:rPr>
            </w:pPr>
            <w:r>
              <w:rPr>
                <w:rFonts w:hint="eastAsia" w:ascii="宋体" w:hAnsi="宋体" w:cs="宋体"/>
                <w:b/>
                <w:bCs/>
                <w:color w:val="auto"/>
                <w:kern w:val="0"/>
                <w:sz w:val="18"/>
                <w:szCs w:val="18"/>
                <w:highlight w:val="none"/>
              </w:rPr>
              <w:t>净化空气处理系统</w:t>
            </w:r>
          </w:p>
        </w:tc>
        <w:tc>
          <w:tcPr>
            <w:tcW w:w="4011" w:type="dxa"/>
            <w:tcBorders>
              <w:top w:val="single" w:color="000000" w:sz="4" w:space="0"/>
              <w:left w:val="nil"/>
              <w:bottom w:val="single" w:color="000000" w:sz="4" w:space="0"/>
              <w:right w:val="single" w:color="000000" w:sz="4" w:space="0"/>
            </w:tcBorders>
            <w:shd w:val="clear" w:color="auto" w:fill="auto"/>
            <w:vAlign w:val="center"/>
          </w:tcPr>
          <w:p>
            <w:pPr>
              <w:rPr>
                <w:rFonts w:ascii="宋体" w:hAnsi="宋体" w:cs="宋体"/>
                <w:b/>
                <w:bCs/>
                <w:color w:val="auto"/>
                <w:sz w:val="18"/>
                <w:szCs w:val="18"/>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auto"/>
                <w:sz w:val="18"/>
                <w:szCs w:val="18"/>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right"/>
              <w:rPr>
                <w:rFonts w:ascii="宋体" w:hAnsi="宋体" w:cs="宋体"/>
                <w:color w:val="auto"/>
                <w:sz w:val="18"/>
                <w:szCs w:val="18"/>
                <w:highlight w:val="none"/>
              </w:rPr>
            </w:pP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静音型排风机</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EF-302-1</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排风机，1500M3/h，机外余压：250Pa；减震器制作；减震器安装；软管接口。</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静音型排风机</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EF-302-2</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排风机，1800M3/h，机外余压：200Pa；减震器制作；减震器安装；软管接口。</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静音型排风机</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EF-302-3</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排风机，3200M3/h，机外余压：250Pa；减震器制作；减震器安装；软管接口。</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静音型排风机</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EF-402-1</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排风机，450M3/h，机外余压：200Pa；减震器制作；减震器安装；软管接口。</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静音型排风机</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PF-401-1</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排风机，400M3/h，机外余压：200Pa；减震器制作；减震器安装；软管接口。</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静音型排风机</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PF-402-1</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排风机，400M3/h，机外余压：200Pa；减震器制作；减震器安装；软管接口。</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静音型排风机</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PF-403-1</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排风机，300M3/h，机外余压：200Pa；减震器制作；减震器安装；软管接口。</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静音型排风机</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PF-404-1</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排风机，300M3/h，机外余压：200Pa；减震器制作；减震器安装；软管接口。</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静音型排风机</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PF-404-2</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排风机，1200M3/h，机外余压：700Pa；减震器制作；减震器安装；软管接口。</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静音型排风机</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PF-405-1</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排风机，600M3/h，机外余压：200Pa；减震器制作；减震器安装；软管接口。</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吸顶式排气扇</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PQS-301</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排风机，150M3/h；减震器制作；减震器安装；软管接口。</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吸顶式排气扇</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PQS-302</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排风机，220M3/h；减震器制作；减震器安装；软管接口。</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吸顶式排气扇</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PQS-401/402</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排风机，360M3/h；减震器制作；减震器安装；软管接口。</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2.00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医用型净化循环机组AHU-401</w:t>
            </w:r>
          </w:p>
        </w:tc>
        <w:tc>
          <w:tcPr>
            <w:tcW w:w="4011" w:type="dxa"/>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color w:val="auto"/>
                <w:sz w:val="18"/>
                <w:szCs w:val="18"/>
                <w:highlight w:val="none"/>
              </w:rPr>
            </w:pPr>
            <w:r>
              <w:rPr>
                <w:rFonts w:hint="eastAsia" w:ascii="宋体" w:hAnsi="宋体" w:cs="宋体"/>
                <w:color w:val="auto"/>
                <w:kern w:val="0"/>
                <w:sz w:val="18"/>
                <w:szCs w:val="18"/>
                <w:highlight w:val="none"/>
              </w:rPr>
              <w:t>风量：9890CMH、制冷量30KW、再热量20KW、制热量18.7KW、功率:7.5KW、机外余压：800Pa、加湿量:11Kg/h</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医用型净化循环机组AHU-402</w:t>
            </w:r>
          </w:p>
        </w:tc>
        <w:tc>
          <w:tcPr>
            <w:tcW w:w="4011" w:type="dxa"/>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color w:val="auto"/>
                <w:sz w:val="18"/>
                <w:szCs w:val="18"/>
                <w:highlight w:val="none"/>
              </w:rPr>
            </w:pPr>
            <w:r>
              <w:rPr>
                <w:rFonts w:hint="eastAsia" w:ascii="宋体" w:hAnsi="宋体" w:cs="宋体"/>
                <w:color w:val="auto"/>
                <w:kern w:val="0"/>
                <w:sz w:val="18"/>
                <w:szCs w:val="18"/>
                <w:highlight w:val="none"/>
              </w:rPr>
              <w:t>风量：9890CMH、制冷量30KW、再热量20KW、制热量18.7KW、功率:7.5KW、机外余压：800Pa、加湿量:11Kg/h</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医用型净化循环机组AHU-403</w:t>
            </w:r>
          </w:p>
        </w:tc>
        <w:tc>
          <w:tcPr>
            <w:tcW w:w="4011" w:type="dxa"/>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color w:val="auto"/>
                <w:sz w:val="18"/>
                <w:szCs w:val="18"/>
                <w:highlight w:val="none"/>
              </w:rPr>
            </w:pPr>
            <w:r>
              <w:rPr>
                <w:rFonts w:hint="eastAsia" w:ascii="宋体" w:hAnsi="宋体" w:cs="宋体"/>
                <w:color w:val="auto"/>
                <w:kern w:val="0"/>
                <w:sz w:val="18"/>
                <w:szCs w:val="18"/>
                <w:highlight w:val="none"/>
              </w:rPr>
              <w:t>风量：2760CMH、制冷量5.2KW、再热量5.6KW、制热量8.2KW、功率:2.2KW、机外余压：800Pa、加湿量:9Kg/h</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医用型净化循环机组AHU-404</w:t>
            </w:r>
          </w:p>
        </w:tc>
        <w:tc>
          <w:tcPr>
            <w:tcW w:w="4011" w:type="dxa"/>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color w:val="auto"/>
                <w:sz w:val="18"/>
                <w:szCs w:val="18"/>
                <w:highlight w:val="none"/>
              </w:rPr>
            </w:pPr>
            <w:r>
              <w:rPr>
                <w:rFonts w:hint="eastAsia" w:ascii="宋体" w:hAnsi="宋体" w:cs="宋体"/>
                <w:color w:val="auto"/>
                <w:kern w:val="0"/>
                <w:sz w:val="18"/>
                <w:szCs w:val="18"/>
                <w:highlight w:val="none"/>
              </w:rPr>
              <w:t>风量：3510CMH、制冷量30KW、再热量7.1KW、制热量13KW、功率:3.0KW、机外余压：800Pa、加湿量:8Kg/h</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医用型净化循环机组AHU-405</w:t>
            </w:r>
          </w:p>
        </w:tc>
        <w:tc>
          <w:tcPr>
            <w:tcW w:w="4011" w:type="dxa"/>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color w:val="auto"/>
                <w:sz w:val="18"/>
                <w:szCs w:val="18"/>
                <w:highlight w:val="none"/>
              </w:rPr>
            </w:pPr>
            <w:r>
              <w:rPr>
                <w:rFonts w:hint="eastAsia" w:ascii="宋体" w:hAnsi="宋体" w:cs="宋体"/>
                <w:color w:val="auto"/>
                <w:kern w:val="0"/>
                <w:sz w:val="18"/>
                <w:szCs w:val="18"/>
                <w:highlight w:val="none"/>
              </w:rPr>
              <w:t>风量：11490CMH、制冷量32KW、再热量23.1KW、制热量24KW、功率:11KW、机外余压：950Pa、加湿量:18Kg/h</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医用型净化新风机组PAU-401</w:t>
            </w:r>
          </w:p>
        </w:tc>
        <w:tc>
          <w:tcPr>
            <w:tcW w:w="4011" w:type="dxa"/>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color w:val="auto"/>
                <w:sz w:val="18"/>
                <w:szCs w:val="18"/>
                <w:highlight w:val="none"/>
              </w:rPr>
            </w:pPr>
            <w:r>
              <w:rPr>
                <w:rFonts w:hint="eastAsia" w:ascii="宋体" w:hAnsi="宋体" w:cs="宋体"/>
                <w:color w:val="auto"/>
                <w:kern w:val="0"/>
                <w:sz w:val="18"/>
                <w:szCs w:val="18"/>
                <w:highlight w:val="none"/>
              </w:rPr>
              <w:t>风量：7700CMH、制冷量145KW、制热量24KW、功率:11KW、机外余压：1000Pa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新风机组XF-301</w:t>
            </w:r>
          </w:p>
        </w:tc>
        <w:tc>
          <w:tcPr>
            <w:tcW w:w="4011" w:type="dxa"/>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color w:val="auto"/>
                <w:sz w:val="18"/>
                <w:szCs w:val="18"/>
                <w:highlight w:val="none"/>
              </w:rPr>
            </w:pPr>
            <w:r>
              <w:rPr>
                <w:rFonts w:hint="eastAsia" w:ascii="宋体" w:hAnsi="宋体" w:cs="宋体"/>
                <w:color w:val="auto"/>
                <w:kern w:val="0"/>
                <w:sz w:val="18"/>
                <w:szCs w:val="18"/>
                <w:highlight w:val="none"/>
              </w:rPr>
              <w:t>风量：1170CMH、制冷量16.7KW、制热量10.9KW、功率:0.75KW、机外余压：350Pa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新风机组XF-302</w:t>
            </w:r>
          </w:p>
        </w:tc>
        <w:tc>
          <w:tcPr>
            <w:tcW w:w="4011" w:type="dxa"/>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color w:val="auto"/>
                <w:sz w:val="18"/>
                <w:szCs w:val="18"/>
                <w:highlight w:val="none"/>
              </w:rPr>
            </w:pPr>
            <w:r>
              <w:rPr>
                <w:rFonts w:hint="eastAsia" w:ascii="宋体" w:hAnsi="宋体" w:cs="宋体"/>
                <w:color w:val="auto"/>
                <w:kern w:val="0"/>
                <w:sz w:val="18"/>
                <w:szCs w:val="18"/>
                <w:highlight w:val="none"/>
              </w:rPr>
              <w:t>风量：6300CMH、制冷量90.5KW、制热量58KW、功率:3.0KW、机外余压：350Pa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新风机组XF-401</w:t>
            </w:r>
          </w:p>
        </w:tc>
        <w:tc>
          <w:tcPr>
            <w:tcW w:w="4011" w:type="dxa"/>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color w:val="auto"/>
                <w:sz w:val="18"/>
                <w:szCs w:val="18"/>
                <w:highlight w:val="none"/>
              </w:rPr>
            </w:pPr>
            <w:r>
              <w:rPr>
                <w:rFonts w:hint="eastAsia" w:ascii="宋体" w:hAnsi="宋体" w:cs="宋体"/>
                <w:color w:val="auto"/>
                <w:kern w:val="0"/>
                <w:sz w:val="18"/>
                <w:szCs w:val="18"/>
                <w:highlight w:val="none"/>
              </w:rPr>
              <w:t>风量：1240CMH、制冷量17.7KW、制热量11.8KW、功率:0.75KW、机外余压：300Pa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新风机组XF-402</w:t>
            </w:r>
          </w:p>
        </w:tc>
        <w:tc>
          <w:tcPr>
            <w:tcW w:w="4011" w:type="dxa"/>
            <w:tcBorders>
              <w:top w:val="single" w:color="000000" w:sz="4" w:space="0"/>
              <w:left w:val="single" w:color="000000" w:sz="4" w:space="0"/>
              <w:bottom w:val="single" w:color="000000" w:sz="4" w:space="0"/>
              <w:right w:val="single" w:color="000000" w:sz="4" w:space="0"/>
            </w:tcBorders>
            <w:shd w:val="clear" w:color="auto" w:fill="auto"/>
          </w:tcPr>
          <w:p>
            <w:pPr>
              <w:widowControl/>
              <w:jc w:val="left"/>
              <w:textAlignment w:val="top"/>
              <w:rPr>
                <w:rFonts w:ascii="宋体" w:hAnsi="宋体" w:cs="宋体"/>
                <w:color w:val="auto"/>
                <w:sz w:val="18"/>
                <w:szCs w:val="18"/>
                <w:highlight w:val="none"/>
              </w:rPr>
            </w:pPr>
            <w:r>
              <w:rPr>
                <w:rFonts w:hint="eastAsia" w:ascii="宋体" w:hAnsi="宋体" w:cs="宋体"/>
                <w:color w:val="auto"/>
                <w:kern w:val="0"/>
                <w:sz w:val="18"/>
                <w:szCs w:val="18"/>
                <w:highlight w:val="none"/>
              </w:rPr>
              <w:t>风量：1270CMH、制冷量18.2KW、制热量11.8KW、功率:0.75KW、机外余压：250Pa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风机盘管（四管制）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 FP-2 吊顶暗装；中档风量270CMH，静压30Pa，制冷量1.89KW，制热量2.05KW，功率32W；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13.00 </w:t>
            </w:r>
          </w:p>
        </w:tc>
      </w:tr>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风机盘管（四管制）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 FP-3 吊顶暗装；中档风量380CMH，静压30Pa，制冷量2.78KW，制热量3KW，功率45W；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5.00 </w:t>
            </w:r>
          </w:p>
        </w:tc>
      </w:tr>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风机盘管（四管制）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 FP-4 吊顶暗装；中档风量510CMH，静压30Pa，制冷量3.57KW，制热量3.85KW，功率50W；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5.00 </w:t>
            </w:r>
          </w:p>
        </w:tc>
      </w:tr>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风机盘管（四管制）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 FP-5 吊顶暗装；中档风量620CMH，静压30Pa，制冷量4.15KW，制热量4.5KW，功率64W；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5.00 </w:t>
            </w:r>
          </w:p>
        </w:tc>
      </w:tr>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风机盘管（四管制）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 FP-7 吊顶暗装；中档风量880CMH，静压30Pa，制冷量5.9KW，制热量6.3KW，功率105W；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4.00 </w:t>
            </w:r>
          </w:p>
        </w:tc>
      </w:tr>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风机盘管（四管制）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 FP-8 吊顶暗装；中档风量1030CMH，静压30Pa，制冷量6.9KW，制热量7.55KW，功率133W；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3.00 </w:t>
            </w:r>
          </w:p>
        </w:tc>
      </w:tr>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风机盘管（四管制）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 FP-10 吊顶暗装；中档风量1290CMH，静压30Pa，制冷量8KW，制热量8.5KW，功率160W；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3.00 </w:t>
            </w:r>
          </w:p>
        </w:tc>
      </w:tr>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风机盘管（四管制）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 FP-12 吊顶暗装；中档风量1540CMH，静压30Pa，制冷量8.5KW，制热量9.8KW，功率195W；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4.00 </w:t>
            </w:r>
          </w:p>
        </w:tc>
      </w:tr>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风机盘管（四管制）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 FP-14 吊顶暗装；中档风量1975CMH，静压30Pa，制冷量11KW，制热量12.7KW，功率230W；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3.00 </w:t>
            </w:r>
          </w:p>
        </w:tc>
      </w:tr>
      <w:tr>
        <w:tblPrEx>
          <w:tblCellMar>
            <w:top w:w="0" w:type="dxa"/>
            <w:left w:w="108" w:type="dxa"/>
            <w:bottom w:w="0" w:type="dxa"/>
            <w:right w:w="108" w:type="dxa"/>
          </w:tblCellMar>
        </w:tblPrEx>
        <w:trPr>
          <w:trHeight w:val="4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33</w:t>
            </w:r>
          </w:p>
        </w:tc>
        <w:tc>
          <w:tcPr>
            <w:tcW w:w="2850" w:type="dxa"/>
            <w:tcBorders>
              <w:top w:val="nil"/>
              <w:left w:val="nil"/>
              <w:bottom w:val="nil"/>
              <w:right w:val="nil"/>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1P壁挂机</w:t>
            </w:r>
          </w:p>
        </w:tc>
        <w:tc>
          <w:tcPr>
            <w:tcW w:w="4011" w:type="dxa"/>
            <w:tcBorders>
              <w:top w:val="nil"/>
              <w:left w:val="nil"/>
              <w:bottom w:val="nil"/>
              <w:right w:val="nil"/>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冷量：2.6KW、功率:700W；室外机功率：150W；含冷媒管6.35/12.7，共20m；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9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空调自动控制系统</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20"/>
                <w:szCs w:val="20"/>
                <w:highlight w:val="none"/>
              </w:rPr>
            </w:pPr>
            <w:r>
              <w:rPr>
                <w:rFonts w:hint="eastAsia" w:ascii="宋体" w:hAnsi="宋体" w:cs="宋体"/>
                <w:color w:val="auto"/>
                <w:kern w:val="0"/>
                <w:sz w:val="20"/>
                <w:szCs w:val="20"/>
                <w:highlight w:val="none"/>
              </w:rPr>
              <w:t>1、名称：含多功能控制器、温、湿度传感器，压差开关、防冻开关、风阀执行器、变频器、控制箱等对系统的风量及温湿度进行控制</w:t>
            </w:r>
          </w:p>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2、规格：以设计为准</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10.00 </w:t>
            </w:r>
          </w:p>
        </w:tc>
      </w:tr>
      <w:tr>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中央监控系统</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1.00 </w:t>
            </w:r>
          </w:p>
        </w:tc>
      </w:tr>
      <w:tr>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四管制冷热源一体机</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制冷量302KW、制热量386KW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2.00 </w:t>
            </w:r>
          </w:p>
        </w:tc>
      </w:tr>
      <w:tr>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卧式离心式泵（冷冻水）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58m3/h，32mH20，功率11kW，两用一备</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3.00 </w:t>
            </w:r>
          </w:p>
        </w:tc>
      </w:tr>
      <w:tr>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卧式离心式泵（热水）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60m3/h，32mH20，功率11kW，两用一备</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3.00 </w:t>
            </w:r>
          </w:p>
        </w:tc>
      </w:tr>
      <w:tr>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自动补水排气定压装置</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罐体容量：1m3，水泵功率：2.2KW*2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2.00 </w:t>
            </w:r>
          </w:p>
        </w:tc>
      </w:tr>
      <w:tr>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除垢仪</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DN100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 3.00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净化通风管制作安装</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材质:镀锌钢板；形状:矩形；风管长边尺寸B≤320；板材厚度:δ=0.5mm；接口形式:咬口；支架刷防锈漆2道；难燃B1级橡塑保温板，厚度30mm。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455.20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净化通风管制作安装</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材质:镀锌钢板；形状:矩形；风管长边尺寸320＜B≤630；板材厚度:δ=0.6mm；接口形式:咬口；支架刷防锈漆2道；难燃B1级橡塑保温板，厚度30mm。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751.08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净化通风管制作安装</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材质:镀锌钢板；形状:矩形；风管长边尺寸630＜B≤1000；板材厚度:δ=0.75mm；接口形式:咬口；支架刷防锈漆2道；难燃B1级橡塑保温板，厚度30mm。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716.94 </w:t>
            </w:r>
          </w:p>
        </w:tc>
      </w:tr>
      <w:tr>
        <w:tblPrEx>
          <w:tblCellMar>
            <w:top w:w="0" w:type="dxa"/>
            <w:left w:w="108" w:type="dxa"/>
            <w:bottom w:w="0" w:type="dxa"/>
            <w:right w:w="108" w:type="dxa"/>
          </w:tblCellMar>
        </w:tblPrEx>
        <w:trPr>
          <w:trHeight w:val="6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净化通风管制作安装</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材质:镀锌钢板；形状:矩形；风管长边尺寸1000＜B≤1500；板材厚度:</w:t>
            </w:r>
            <w:r>
              <w:rPr>
                <w:rStyle w:val="60"/>
                <w:rFonts w:ascii="宋体" w:hAnsi="宋体" w:cs="宋体"/>
                <w:color w:val="auto"/>
                <w:sz w:val="24"/>
                <w:szCs w:val="24"/>
                <w:highlight w:val="none"/>
              </w:rPr>
              <w:t>δ</w:t>
            </w:r>
            <w:r>
              <w:rPr>
                <w:rFonts w:hint="eastAsia" w:ascii="宋体" w:hAnsi="宋体" w:cs="宋体"/>
                <w:color w:val="auto"/>
                <w:kern w:val="0"/>
                <w:sz w:val="18"/>
                <w:szCs w:val="18"/>
                <w:highlight w:val="none"/>
              </w:rPr>
              <w:t>=1.0mm；接口形式:咬口；支架刷防锈漆2道；难燃B1级橡塑保温板，厚度30mm。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227.60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橡塑板保温</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难燃B1级橡塑保温板，厚度30mm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70.56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Ⅰ级（百级）阻漏式送风天花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2600*2400*500，高效过滤器过滤效率为H14</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Ⅲ级（万级）阻漏式送风天花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2600*1400*500，高效过滤器过滤效率为H14</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高效送风口S3</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1500m3/h（带高效过滤器）</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3.00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高效送风口S2</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1000m3/h（带高效过滤器）</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7.00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高效送风口S1</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500m3/h（带高效过滤器）</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9.00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散流器SO1</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250*250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散流器SO2</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300*300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36.00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散流器SO3</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400*400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28.00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回风口（吊顶安装）</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200*200 （带过滤）</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回风口（吊顶安装）</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400*200 （带过滤）</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26.00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回风口（吊顶安装）</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500*400 （带过滤）</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26.00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回风口（吊顶安装）</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700*400 （带过滤）</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3.00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回风口（吊顶安装）</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900*400 （带过滤）</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7.00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回风口（墙下侧安装）</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500*300 （带中效F6过滤）</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6.00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回风口（墙下侧安装）</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600*400 （带中效F6过滤）</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12.00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顶排风口</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200*200 （带过滤）</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5.00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顶排风口</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400*200 （带过滤）</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6.00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顶排风口</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500*400 （带过滤）</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3.00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顶排风口</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700*400 （带过滤）</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手术室顶排风口</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500*400 （带中效F7过滤）</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4.00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排风口（墙下侧安装）</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500*300 （带高效H13过滤）</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铝合金防雨百叶风口</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400*200 （带防虫网）</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5.00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铝合金防雨百叶风口</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400*400 （带防虫网）</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铝合金防雨百叶风口</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500*500 （带防虫网）</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6.00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铝合金防雨百叶风口</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800*800 （带防虫网）</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铝合金防雨百叶风口</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1200*1000 （带防虫网）</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微穿孔式消声器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800*500，L=2000mm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6.00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微穿孔式消声器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800*400，L=2000mm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微穿孔式消声器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630*250，L=1500mm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微穿孔式消声器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500*250，L=1500mm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微穿孔式消声器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400*320，L=2000mm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微穿孔式消声器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400*250，L=2000mm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微压差计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宋体" w:hAnsi="宋体" w:cs="宋体"/>
                <w:color w:val="auto"/>
                <w:sz w:val="18"/>
                <w:szCs w:val="18"/>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7.00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微穿孔式消声弯头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ascii="宋体" w:hAnsi="宋体" w:cs="宋体"/>
                <w:color w:val="auto"/>
                <w:kern w:val="0"/>
                <w:sz w:val="18"/>
                <w:szCs w:val="18"/>
                <w:highlight w:val="none"/>
              </w:rPr>
              <w:t>800*500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5.00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微穿孔式消声弯头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hAnsi="宋体" w:cs="宋体"/>
                <w:color w:val="auto"/>
                <w:kern w:val="0"/>
                <w:sz w:val="18"/>
                <w:szCs w:val="18"/>
                <w:highlight w:val="none"/>
              </w:rPr>
            </w:pPr>
            <w:r>
              <w:rPr>
                <w:rFonts w:hint="eastAsia" w:ascii="宋体" w:hAnsi="宋体" w:cs="宋体"/>
                <w:color w:val="auto"/>
                <w:kern w:val="0"/>
                <w:sz w:val="18"/>
                <w:szCs w:val="18"/>
                <w:highlight w:val="none"/>
              </w:rPr>
              <w:t>800*400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color w:val="auto"/>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微穿孔式消声弯头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hAnsi="宋体" w:cs="宋体"/>
                <w:color w:val="auto"/>
                <w:kern w:val="0"/>
                <w:sz w:val="18"/>
                <w:szCs w:val="18"/>
                <w:highlight w:val="none"/>
              </w:rPr>
            </w:pPr>
            <w:r>
              <w:rPr>
                <w:rFonts w:hint="eastAsia" w:ascii="宋体" w:hAnsi="宋体" w:cs="宋体"/>
                <w:color w:val="auto"/>
                <w:kern w:val="0"/>
                <w:sz w:val="18"/>
                <w:szCs w:val="18"/>
                <w:highlight w:val="none"/>
              </w:rPr>
              <w:t>630*250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color w:val="auto"/>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微穿孔式消声弯头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hAnsi="宋体" w:cs="宋体"/>
                <w:color w:val="auto"/>
                <w:kern w:val="0"/>
                <w:sz w:val="18"/>
                <w:szCs w:val="18"/>
                <w:highlight w:val="none"/>
              </w:rPr>
            </w:pPr>
            <w:r>
              <w:rPr>
                <w:rFonts w:hint="eastAsia" w:ascii="宋体" w:hAnsi="宋体" w:cs="宋体"/>
                <w:color w:val="auto"/>
                <w:kern w:val="0"/>
                <w:sz w:val="18"/>
                <w:szCs w:val="18"/>
                <w:highlight w:val="none"/>
              </w:rPr>
              <w:t>500*250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color w:val="auto"/>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微穿孔式消声弯头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hAnsi="宋体" w:cs="宋体"/>
                <w:color w:val="auto"/>
                <w:kern w:val="0"/>
                <w:sz w:val="18"/>
                <w:szCs w:val="18"/>
                <w:highlight w:val="none"/>
              </w:rPr>
            </w:pPr>
            <w:r>
              <w:rPr>
                <w:rFonts w:hint="eastAsia" w:ascii="宋体" w:hAnsi="宋体" w:cs="宋体"/>
                <w:color w:val="auto"/>
                <w:kern w:val="0"/>
                <w:sz w:val="18"/>
                <w:szCs w:val="18"/>
                <w:highlight w:val="none"/>
              </w:rPr>
              <w:t>400*320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color w:val="auto"/>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微穿孔式消声弯头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hAnsi="宋体" w:cs="宋体"/>
                <w:color w:val="auto"/>
                <w:kern w:val="0"/>
                <w:sz w:val="18"/>
                <w:szCs w:val="18"/>
                <w:highlight w:val="none"/>
              </w:rPr>
            </w:pPr>
            <w:r>
              <w:rPr>
                <w:rFonts w:hint="eastAsia" w:ascii="宋体" w:hAnsi="宋体" w:cs="宋体"/>
                <w:color w:val="auto"/>
                <w:kern w:val="0"/>
                <w:sz w:val="18"/>
                <w:szCs w:val="18"/>
                <w:highlight w:val="none"/>
              </w:rPr>
              <w:t>400*250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color w:val="auto"/>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风管止回阀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200*200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5.00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风管止回阀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400*200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风管止回阀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500*250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风管止回阀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500*320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风管止回阀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ascii="Calibri" w:hAnsi="Calibri" w:cs="Calibri"/>
                <w:color w:val="auto"/>
                <w:kern w:val="0"/>
                <w:sz w:val="18"/>
                <w:szCs w:val="18"/>
                <w:highlight w:val="none"/>
              </w:rPr>
              <w:t>φ</w:t>
            </w:r>
            <w:r>
              <w:rPr>
                <w:rStyle w:val="61"/>
                <w:rFonts w:hint="default"/>
                <w:color w:val="auto"/>
                <w:highlight w:val="none"/>
              </w:rPr>
              <w:t>300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手动对开多叶调节阀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120*120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36.00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手动对开多叶调节阀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160*120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7.00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手动对开多叶调节阀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200*200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46.00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手动对开多叶调节阀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320*200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22.00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手动对开多叶调节阀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320*250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3.00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手动对开多叶调节阀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400*200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16.00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手动对开多叶调节阀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400*320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手动对开多叶调节阀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500*320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手动对开多叶调节阀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630*400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手动对开多叶调节阀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800*400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手动对开多叶调节阀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800*500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5.00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手动对开多叶调节阀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ascii="Calibri" w:hAnsi="Calibri" w:cs="Calibri"/>
                <w:color w:val="auto"/>
                <w:kern w:val="0"/>
                <w:sz w:val="18"/>
                <w:szCs w:val="18"/>
                <w:highlight w:val="none"/>
              </w:rPr>
              <w:t>φ</w:t>
            </w:r>
            <w:r>
              <w:rPr>
                <w:rStyle w:val="61"/>
                <w:rFonts w:hint="default"/>
                <w:color w:val="auto"/>
                <w:highlight w:val="none"/>
              </w:rPr>
              <w:t>300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防火阀 70℃</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120*120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5.00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防火阀 70℃</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160*120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防火阀 70℃</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200*160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防火阀 70℃</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320*200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防火阀 70℃</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400*200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防火阀 70℃</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400*320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防火阀 70℃</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500*320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防火阀 70℃</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630*400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防火阀 70℃</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800*400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防火阀 70℃</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800*500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5.00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电动密闭阀（开关量）</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400*200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3.00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电动密闭阀（模拟量）</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800*500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定风量阀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320*200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定风量阀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400*200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定风量阀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400*320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双位定风量阀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320*200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管道支架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管道配件辅材</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镀锌钢管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978.68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镀锌钢管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142.25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镀锌钢管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DN32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432.44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镀锌钢管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DN40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125.18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镀锌钢管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DN50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182.08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无缝钢管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DN65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318.64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无缝钢管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DN80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250.36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无缝钢管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DN100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81.94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无缝钢管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DN125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79.66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无缝钢管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DN150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73.97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橡塑管保温</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难燃B1级，厚25mm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m3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11.38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铝皮保温</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0.5mm厚铝皮</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91.04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截止阀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94.00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截止阀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6.00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截止阀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DN32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16.00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截止阀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DN40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28.00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截止阀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DN50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16.00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蝶阀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DN65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8.00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蝶阀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DN80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14.00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蝶阀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DN100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14.00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蝶阀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DN125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12.00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止回阀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DN100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3.00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止回阀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DN125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3.00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Y型过滤器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46.00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Y型过滤器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4.00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Y型过滤器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DN32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4.00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Y型过滤器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DN40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7.00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Y型过滤器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DN50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4.00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Y型过滤器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DN65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Y型过滤器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DN80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Y型过滤器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DN100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5.00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Y型过滤器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DN125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5.00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金属软接头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92.00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金属软接头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DN32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8.00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金属软接头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DN40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14.00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金属软接头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DN50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8.00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橡胶软接头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DN65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4.00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橡胶软接头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DN80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4.00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橡胶软接头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DN100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橡胶软接头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DN125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排污阀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30.00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自动排气阀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4.00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水流量开关</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宋体" w:hAnsi="宋体" w:cs="宋体"/>
                <w:color w:val="auto"/>
                <w:sz w:val="18"/>
                <w:szCs w:val="18"/>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4.00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不锈钢压力表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量程0～1.0MPa，DN15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60.00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表盘式温度计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量程0℃～100℃， DN15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48.00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电动压差平衡调节阀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DN100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电动压差平衡调节阀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DN125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电磁阀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风机盘管温控开关和电磁阀</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45.00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冷热水比例积分电动二通阀+阀门执行器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170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冷热水比例积分电动二通阀+阀门执行器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DN32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4.00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171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冷热水比例积分电动二通阀+阀门执行器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DN40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7.00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sz w:val="18"/>
                <w:szCs w:val="18"/>
                <w:highlight w:val="none"/>
              </w:rPr>
              <w:t>172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冷热水比例积分电动二通阀+阀门执行器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DN50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4.00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sz w:val="18"/>
                <w:szCs w:val="18"/>
                <w:highlight w:val="none"/>
              </w:rPr>
              <w:t>173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冷热水比例积分电动二通阀+阀门执行器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DN65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sz w:val="18"/>
                <w:szCs w:val="18"/>
                <w:highlight w:val="none"/>
              </w:rPr>
              <w:t>174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冷热水比例积分电动二通阀+阀门执行器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DN80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2.00 </w:t>
            </w:r>
          </w:p>
        </w:tc>
      </w:tr>
      <w:tr>
        <w:tblPrEx>
          <w:tblCellMar>
            <w:top w:w="0" w:type="dxa"/>
            <w:left w:w="108" w:type="dxa"/>
            <w:bottom w:w="0" w:type="dxa"/>
            <w:right w:w="108"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sz w:val="18"/>
                <w:szCs w:val="18"/>
                <w:highlight w:val="none"/>
              </w:rPr>
              <w:t>175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水管标识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标识管道介质、流向、温度及压力</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sz w:val="18"/>
                <w:szCs w:val="18"/>
                <w:highlight w:val="none"/>
              </w:rPr>
              <w:t>176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管道支架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sz w:val="18"/>
                <w:szCs w:val="18"/>
                <w:highlight w:val="none"/>
              </w:rPr>
              <w:t>177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管道配件辅材</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 1.00 </w:t>
            </w:r>
          </w:p>
        </w:tc>
      </w:tr>
      <w:tr>
        <w:tblPrEx>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二</w:t>
            </w:r>
          </w:p>
        </w:tc>
        <w:tc>
          <w:tcPr>
            <w:tcW w:w="2850" w:type="dxa"/>
            <w:tcBorders>
              <w:top w:val="single" w:color="000000" w:sz="4" w:space="0"/>
              <w:left w:val="single" w:color="000000" w:sz="4" w:space="0"/>
              <w:bottom w:val="single" w:color="000000" w:sz="4" w:space="0"/>
              <w:right w:val="nil"/>
            </w:tcBorders>
            <w:shd w:val="clear" w:color="auto" w:fill="FFFFFF"/>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装饰装修、基本装备系统</w:t>
            </w:r>
          </w:p>
        </w:tc>
        <w:tc>
          <w:tcPr>
            <w:tcW w:w="4011" w:type="dxa"/>
            <w:tcBorders>
              <w:top w:val="single" w:color="000000" w:sz="4" w:space="0"/>
              <w:left w:val="nil"/>
              <w:bottom w:val="single" w:color="000000" w:sz="4" w:space="0"/>
              <w:right w:val="single" w:color="000000" w:sz="4" w:space="0"/>
            </w:tcBorders>
            <w:shd w:val="clear" w:color="auto" w:fill="FFFFFF"/>
            <w:vAlign w:val="center"/>
          </w:tcPr>
          <w:p>
            <w:pPr>
              <w:rPr>
                <w:rFonts w:ascii="宋体" w:hAnsi="宋体" w:cs="宋体"/>
                <w:b/>
                <w:bCs/>
                <w:color w:val="auto"/>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jc w:val="center"/>
              <w:rPr>
                <w:rFonts w:ascii="宋体" w:hAnsi="宋体" w:cs="宋体"/>
                <w:b/>
                <w:bCs/>
                <w:color w:val="auto"/>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宋体" w:hAnsi="宋体" w:cs="宋体"/>
                <w:b/>
                <w:bCs/>
                <w:color w:val="auto"/>
                <w:sz w:val="20"/>
                <w:szCs w:val="20"/>
                <w:highlight w:val="none"/>
              </w:rPr>
            </w:pPr>
          </w:p>
        </w:tc>
      </w:tr>
      <w:tr>
        <w:tblPrEx>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18"/>
                <w:szCs w:val="18"/>
                <w:highlight w:val="none"/>
              </w:rPr>
            </w:pPr>
            <w:r>
              <w:rPr>
                <w:rFonts w:hint="eastAsia" w:ascii="宋体" w:hAnsi="宋体" w:cs="宋体"/>
                <w:b/>
                <w:bCs/>
                <w:color w:val="auto"/>
                <w:kern w:val="0"/>
                <w:sz w:val="18"/>
                <w:szCs w:val="18"/>
                <w:highlight w:val="none"/>
              </w:rPr>
              <w:t>（一）</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b/>
                <w:bCs/>
                <w:color w:val="auto"/>
                <w:sz w:val="18"/>
                <w:szCs w:val="18"/>
                <w:highlight w:val="none"/>
              </w:rPr>
            </w:pPr>
            <w:r>
              <w:rPr>
                <w:rFonts w:hint="eastAsia" w:ascii="宋体" w:hAnsi="宋体" w:cs="宋体"/>
                <w:b/>
                <w:bCs/>
                <w:color w:val="auto"/>
                <w:kern w:val="0"/>
                <w:sz w:val="18"/>
                <w:szCs w:val="18"/>
                <w:highlight w:val="none"/>
              </w:rPr>
              <w:t>三层中心供应室</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hAnsi="宋体" w:cs="宋体"/>
                <w:b/>
                <w:bCs/>
                <w:color w:val="auto"/>
                <w:sz w:val="18"/>
                <w:szCs w:val="18"/>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auto"/>
                <w:sz w:val="18"/>
                <w:szCs w:val="18"/>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right"/>
              <w:rPr>
                <w:rFonts w:ascii="宋体" w:hAnsi="宋体" w:cs="宋体"/>
                <w:color w:val="auto"/>
                <w:sz w:val="18"/>
                <w:szCs w:val="18"/>
                <w:highlight w:val="none"/>
              </w:rPr>
            </w:pPr>
          </w:p>
        </w:tc>
      </w:tr>
      <w:tr>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地砖地面</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1.20mm厚1:3水泥砂浆找平层；</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2.300*300地砖干硬性水泥砂浆粘贴；</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3.干水泥嵌缝。</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13.06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地砖地面</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1.20mm厚1:3水泥砂浆找平层；</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2.600*600地砖干硬性水泥砂浆粘贴；</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3.干水泥嵌缝。</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38.28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地砖地面</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1.20mm厚1:3水泥砂浆找平层；</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2.800*800地砖干硬性水泥砂浆粘贴；</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3.干水泥嵌缝。</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130.07 </w:t>
            </w:r>
          </w:p>
        </w:tc>
      </w:tr>
      <w:tr>
        <w:tblPrEx>
          <w:tblCellMar>
            <w:top w:w="0" w:type="dxa"/>
            <w:left w:w="108" w:type="dxa"/>
            <w:bottom w:w="0" w:type="dxa"/>
            <w:right w:w="108" w:type="dxa"/>
          </w:tblCellMar>
        </w:tblPrEx>
        <w:trPr>
          <w:trHeight w:val="43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地面防水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1.2mm厚聚氨酯防水，四周翻边300mm。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235.32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卷材地面</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1.20mm厚1:2水泥砂浆面层铁板赶光</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2.吸收性界面处理剂,3mm厚超强自流平；</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3.2mm厚抗静电PVC卷材地面。</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371.38 </w:t>
            </w:r>
          </w:p>
        </w:tc>
      </w:tr>
      <w:tr>
        <w:tblPrEx>
          <w:tblCellMar>
            <w:top w:w="0" w:type="dxa"/>
            <w:left w:w="108" w:type="dxa"/>
            <w:bottom w:w="0" w:type="dxa"/>
            <w:right w:w="108" w:type="dxa"/>
          </w:tblCellMar>
        </w:tblPrEx>
        <w:trPr>
          <w:trHeight w:val="40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细石混凝土找平</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1.50mm厚砼地面找平，压实收光。</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384.55 </w:t>
            </w:r>
          </w:p>
        </w:tc>
      </w:tr>
      <w:tr>
        <w:tblPrEx>
          <w:tblCellMar>
            <w:top w:w="0" w:type="dxa"/>
            <w:left w:w="108" w:type="dxa"/>
            <w:bottom w:w="0" w:type="dxa"/>
            <w:right w:w="108" w:type="dxa"/>
          </w:tblCellMar>
        </w:tblPrEx>
        <w:trPr>
          <w:trHeight w:val="40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大理石门槛石</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1.大理石门槛石、干硬性水泥砂浆粘贴。</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4.07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PVC踢脚线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1.100mm高PVC踢脚线；</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2.12mm厚木工板基层，双面涂胶粘剂,R=40水泥圆弧造型，L型铝合金收口条。</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22.82 </w:t>
            </w:r>
          </w:p>
        </w:tc>
      </w:tr>
      <w:tr>
        <w:tblPrEx>
          <w:tblCellMar>
            <w:top w:w="0" w:type="dxa"/>
            <w:left w:w="108" w:type="dxa"/>
            <w:bottom w:w="0" w:type="dxa"/>
            <w:right w:w="108" w:type="dxa"/>
          </w:tblCellMar>
        </w:tblPrEx>
        <w:trPr>
          <w:trHeight w:val="55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不锈钢踢脚线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1.100mm高不锈钢踢脚线，阻燃板基层；</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122.07 </w:t>
            </w:r>
          </w:p>
        </w:tc>
      </w:tr>
      <w:tr>
        <w:tblPrEx>
          <w:tblCellMar>
            <w:top w:w="0" w:type="dxa"/>
            <w:left w:w="108" w:type="dxa"/>
            <w:bottom w:w="0" w:type="dxa"/>
            <w:right w:w="108" w:type="dxa"/>
          </w:tblCellMar>
        </w:tblPrEx>
        <w:trPr>
          <w:trHeight w:val="55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降板区域泡沫混凝土浇筑</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1.场降板区域浇筑泡沫混凝土，400mm厚。</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2.17 </w:t>
            </w:r>
          </w:p>
        </w:tc>
      </w:tr>
      <w:tr>
        <w:tblPrEx>
          <w:tblCellMar>
            <w:top w:w="0" w:type="dxa"/>
            <w:left w:w="108" w:type="dxa"/>
            <w:bottom w:w="0" w:type="dxa"/>
            <w:right w:w="108" w:type="dxa"/>
          </w:tblCellMar>
        </w:tblPrEx>
        <w:trPr>
          <w:trHeight w:val="55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轻质砌块墙</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1.200mm厚轻质砌块墙。</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451.81</w:t>
            </w:r>
          </w:p>
        </w:tc>
      </w:tr>
      <w:tr>
        <w:tblPrEx>
          <w:tblCellMar>
            <w:top w:w="0" w:type="dxa"/>
            <w:left w:w="108" w:type="dxa"/>
            <w:bottom w:w="0" w:type="dxa"/>
            <w:right w:w="108" w:type="dxa"/>
          </w:tblCellMar>
        </w:tblPrEx>
        <w:trPr>
          <w:trHeight w:val="55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轻质砌块墙</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1.100mm厚轻质砌块墙。</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102.46</w:t>
            </w:r>
          </w:p>
        </w:tc>
      </w:tr>
      <w:tr>
        <w:tblPrEx>
          <w:tblCellMar>
            <w:top w:w="0" w:type="dxa"/>
            <w:left w:w="108" w:type="dxa"/>
            <w:bottom w:w="0" w:type="dxa"/>
            <w:right w:w="108" w:type="dxa"/>
          </w:tblCellMar>
        </w:tblPrEx>
        <w:trPr>
          <w:trHeight w:val="55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墙面抹灰</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1：砌块墙双面抹灰、抹灰高度至吊顶上100mm。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601.98</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双面双层石膏板隔墙</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1:75型轻钢龙骨双面封双层12mm厚纸面石膏板；</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2：内填50mm厚岩棉；</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3：隔墙封板高度至楼板底。</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102.46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双面单层石膏板隔墙</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30*50*1.5mm镀锌方钢管龙骨+12MM厚单面双层石膏板</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101.54</w:t>
            </w:r>
          </w:p>
        </w:tc>
      </w:tr>
      <w:tr>
        <w:tblPrEx>
          <w:tblCellMar>
            <w:top w:w="0" w:type="dxa"/>
            <w:left w:w="108" w:type="dxa"/>
            <w:bottom w:w="0" w:type="dxa"/>
            <w:right w:w="108" w:type="dxa"/>
          </w:tblCellMar>
        </w:tblPrEx>
        <w:trPr>
          <w:trHeight w:val="9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墙砖饰面</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1.300*600墙砖饰面</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2.瓷砖背面刷界面剂；</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3.白水泥嵌缝。</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221.76</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墙面防水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1.墙面1.5mm聚氨酯防水，施工高度1800mm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98.43 </w:t>
            </w:r>
          </w:p>
        </w:tc>
      </w:tr>
      <w:tr>
        <w:tblPrEx>
          <w:tblCellMar>
            <w:top w:w="0" w:type="dxa"/>
            <w:left w:w="108" w:type="dxa"/>
            <w:bottom w:w="0" w:type="dxa"/>
            <w:right w:w="108" w:type="dxa"/>
          </w:tblCellMar>
        </w:tblPrEx>
        <w:trPr>
          <w:trHeight w:val="61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钢架墙旁边不锈钢饰面</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1：6mm硅酸钙板基层；</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2:1.2mm厚304不锈钢面层。</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77.78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墙面装饰板（土建墙体）</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50轻钢龙骨+12MM厚单面纸面石膏板基层+无机预涂板</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774.49 </w:t>
            </w:r>
          </w:p>
        </w:tc>
      </w:tr>
      <w:tr>
        <w:tblPrEx>
          <w:tblCellMar>
            <w:top w:w="0" w:type="dxa"/>
            <w:left w:w="108" w:type="dxa"/>
            <w:bottom w:w="0" w:type="dxa"/>
            <w:right w:w="108" w:type="dxa"/>
          </w:tblCellMar>
        </w:tblPrEx>
        <w:trPr>
          <w:trHeight w:val="6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墙面装饰板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1:6mm厚无机预涂板，配套安装配件型材；</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2：拼缝处打同色密封胶。</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103.94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墙面乳胶漆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1：墙面批901胶成品腻子、刷白色乳胶漆。</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48.33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无机预涂板板缝铝合金压条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1:无机预涂板板缝铝合金T型压条。</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2195.88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卫生间隔断</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1:12mm厚抗倍特板卫生间隔断</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2:不锈钢五金件。</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4.94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大理石洗手台</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1：大理石洗手台、镀锌角钢支架。</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1.68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卫生间镜子</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含镜框</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3.36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铝扣板吊顶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1.50型轻钢主龙、8mm全丝吊筋；</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2.300*300*1.0铝扣板吊顶，配套三角龙骨及挂件。</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3.扣板拼缝处打密封胶。</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13.06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铝扣板吊顶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1.50型轻钢主龙、8mm全丝吊筋；</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2.600*600*1.0铝扣板吊顶，配套三角龙骨及挂件。</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3.扣板拼缝处打密封胶。</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409.66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铝孔板吊顶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1.50型轻钢主龙、8mm全丝吊筋；</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2.600*1200*1.0铝孔板吊顶，配套三角龙骨及挂件。</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3.扣板拼缝处打密封胶。</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130.07 </w:t>
            </w:r>
          </w:p>
        </w:tc>
      </w:tr>
      <w:tr>
        <w:tblPrEx>
          <w:tblCellMar>
            <w:top w:w="0" w:type="dxa"/>
            <w:left w:w="108" w:type="dxa"/>
            <w:bottom w:w="0" w:type="dxa"/>
            <w:right w:w="108" w:type="dxa"/>
          </w:tblCellMar>
        </w:tblPrEx>
        <w:trPr>
          <w:trHeight w:val="55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顶面乳胶漆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1.墙面批901胶成品腻子、刷防菌涂料。</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384.55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暗装窗帘盒</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1.全丝杆天棚Φ8吊筋，木龙骨；</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2.细木工板基层,刷防火涂料；</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3.3mm厚铝塑板饰面。</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58.35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大理石窗台板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1.大理石窗台板；</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2.素水泥浆粘贴。</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58.35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医用钢制气密门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1.M1021气密门；</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2.钢板喷塑门体，铝合金型材边框；</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13.00</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医用钢制气密门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1.M1221气密门；</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2.钢板喷塑门体，铝合金型材边框；</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医用钢制气密门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1.M1521气密门；</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2.钢板喷塑门体，铝合金型材边框；</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10.00 </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防火门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1：FM丙0718钢制防火门；</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1.00</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防火门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1：FM丙0518钢制防火门；</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3.00</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电动升降传递窗</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1.DC0916电动升降传递窗；</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4.00</w:t>
            </w:r>
          </w:p>
        </w:tc>
      </w:tr>
      <w:tr>
        <w:tblPrEx>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设备检修门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1:400*1800不锈钢设备检修门</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18"/>
                <w:szCs w:val="18"/>
                <w:highlight w:val="none"/>
              </w:rPr>
            </w:pPr>
            <w:r>
              <w:rPr>
                <w:rFonts w:hint="eastAsia" w:ascii="宋体" w:hAnsi="宋体" w:cs="宋体"/>
                <w:b/>
                <w:bCs/>
                <w:color w:val="auto"/>
                <w:kern w:val="0"/>
                <w:sz w:val="18"/>
                <w:szCs w:val="18"/>
                <w:highlight w:val="none"/>
              </w:rPr>
              <w:t>（二）</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b/>
                <w:bCs/>
                <w:color w:val="auto"/>
                <w:sz w:val="18"/>
                <w:szCs w:val="18"/>
                <w:highlight w:val="none"/>
              </w:rPr>
            </w:pPr>
            <w:r>
              <w:rPr>
                <w:rFonts w:hint="eastAsia" w:ascii="宋体" w:hAnsi="宋体" w:cs="宋体"/>
                <w:b/>
                <w:bCs/>
                <w:color w:val="auto"/>
                <w:kern w:val="0"/>
                <w:sz w:val="18"/>
                <w:szCs w:val="18"/>
                <w:highlight w:val="none"/>
              </w:rPr>
              <w:t>四层手术室</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hAnsi="宋体" w:cs="宋体"/>
                <w:b/>
                <w:bCs/>
                <w:color w:val="auto"/>
                <w:sz w:val="18"/>
                <w:szCs w:val="18"/>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auto"/>
                <w:sz w:val="18"/>
                <w:szCs w:val="18"/>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right"/>
              <w:rPr>
                <w:rFonts w:ascii="宋体" w:hAnsi="宋体" w:cs="宋体"/>
                <w:color w:val="auto"/>
                <w:sz w:val="18"/>
                <w:szCs w:val="18"/>
                <w:highlight w:val="none"/>
              </w:rPr>
            </w:pP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地砖地面</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1.20mm厚1:3水泥砂浆找平层；</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2.300*300地砖干硬性水泥砂浆粘贴；</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3.干水泥嵌缝。</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15.24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地砖地面</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1.20mm厚1:3水泥砂浆找平层；</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2.600*600地砖干硬性水泥砂浆粘贴；</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3.干水泥嵌缝。</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91.83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地砖地面</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1.20mm厚1:3水泥砂浆找平层；</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2.800*800地砖干硬性水泥砂浆粘贴；</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3.干水泥嵌缝。</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127.37 </w:t>
            </w:r>
          </w:p>
        </w:tc>
      </w:tr>
      <w:tr>
        <w:tblPrEx>
          <w:tblCellMar>
            <w:top w:w="0" w:type="dxa"/>
            <w:left w:w="108" w:type="dxa"/>
            <w:bottom w:w="0" w:type="dxa"/>
            <w:right w:w="108"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地面防水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1.2mm厚聚氨酯防水，四周翻边300mm。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291.34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卷材地面</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1.20mm厚1:2水泥砂浆面层铁板赶光</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2.吸收性界面处理剂,3mm厚自流平；</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3.2mm厚抗静电PVC卷材地面。</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459.12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卷材地面</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1.20mm厚1:2水泥砂浆面层铁板赶光</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2.吸收性界面处理剂,2mm厚自流平；</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3.2mm厚抗静电橡胶卷材地面。</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166.99 </w:t>
            </w:r>
          </w:p>
        </w:tc>
      </w:tr>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细石混凝土找平</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1.50mm厚砼地面找平，压实收光。</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626.11 </w:t>
            </w:r>
          </w:p>
        </w:tc>
      </w:tr>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地面防辐射硫酸钡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1.50mm厚防辐射硫酸钡地面；</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122.32 </w:t>
            </w:r>
          </w:p>
        </w:tc>
      </w:tr>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大理石门槛石</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1.大理石门槛石、干硬性水泥砂浆粘贴。</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5.25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PVC踢脚线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1.100mm高PVC踢脚线；</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2.12mm厚木工板基层，双面涂胶粘剂,R=40水泥圆弧造型，L型铝合金收口条。</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37.70 </w:t>
            </w:r>
          </w:p>
        </w:tc>
      </w:tr>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不锈钢踢脚线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1.100mm高不锈钢踢脚线，阻燃板基层；</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134.77 </w:t>
            </w:r>
          </w:p>
        </w:tc>
      </w:tr>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橡胶地板踢脚线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1:100mm高橡胶踢脚线；</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2:10mm厚硅酸钙板基层。</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11.60 </w:t>
            </w:r>
          </w:p>
        </w:tc>
      </w:tr>
      <w:tr>
        <w:tblPrEx>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降板区域泡沫混凝土浇筑</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1.场降板区域浇筑泡沫混凝土，400mm厚。</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18.75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墙砖饰面</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1.300*600墙砖饰面</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2.瓷砖背面刷界面剂；</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3.白水泥嵌缝。</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347.07</w:t>
            </w:r>
          </w:p>
        </w:tc>
      </w:tr>
      <w:tr>
        <w:tblPrEx>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墙面装饰板（土建墙体）</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50轻钢龙骨+12MM厚单面纸面石膏板基层+无机预涂板</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498.18 </w:t>
            </w:r>
          </w:p>
        </w:tc>
      </w:tr>
      <w:tr>
        <w:tblPrEx>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墙面装饰板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1:6mm厚无机预涂板，配套安装配件型材；</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2：拼缝处打同色密封胶。</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396.16 </w:t>
            </w:r>
          </w:p>
        </w:tc>
      </w:tr>
      <w:tr>
        <w:tblPrEx>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墙面乳胶漆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1：墙面批901胶成品腻子、刷白色乳胶漆。</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427.28 </w:t>
            </w:r>
          </w:p>
        </w:tc>
      </w:tr>
      <w:tr>
        <w:tblPrEx>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电解钢板墙面</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1:50*30镀锌方管龙骨；</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2:1.2mm厚电解钢板面层、背面衬12mm厚纸面石膏板；</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3：表面喷涂抗菌涂料。</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358.47 </w:t>
            </w:r>
          </w:p>
        </w:tc>
      </w:tr>
      <w:tr>
        <w:tblPrEx>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墙面防辐射</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1：2mm厚防辐射铅板；</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2：镀锌方管框架。</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250.78 </w:t>
            </w:r>
          </w:p>
        </w:tc>
      </w:tr>
      <w:tr>
        <w:tblPrEx>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不锈钢防撞带</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1：200mm宽不锈钢防撞带；</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2:1.2mm厚SUS304不锈钢。</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123.42 </w:t>
            </w:r>
          </w:p>
        </w:tc>
      </w:tr>
      <w:tr>
        <w:tblPrEx>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不锈钢防撞护角</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1:50mm宽不锈钢防撞护角。</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13.92 </w:t>
            </w:r>
          </w:p>
        </w:tc>
      </w:tr>
      <w:tr>
        <w:tblPrEx>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轻质砌块墙</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1.200mm厚轻质砌块墙。</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365.65 </w:t>
            </w:r>
          </w:p>
        </w:tc>
      </w:tr>
      <w:tr>
        <w:tblPrEx>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轻质砌块墙</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1.100mm厚轻质砌块墙。</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202.57</w:t>
            </w:r>
          </w:p>
        </w:tc>
      </w:tr>
      <w:tr>
        <w:tblPrEx>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墙面抹灰</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1：砌块墙双面抹灰、抹灰高度至吊顶上100mm。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756.96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双面双层石膏板隔墙</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1:75型轻钢龙骨双面封双层12mm厚纸面石膏板；</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2：内填50mm厚岩棉；</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3：隔墙封板高度至楼板底。</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854.95 </w:t>
            </w:r>
          </w:p>
        </w:tc>
      </w:tr>
      <w:tr>
        <w:tblPrEx>
          <w:tblCellMar>
            <w:top w:w="0" w:type="dxa"/>
            <w:left w:w="108" w:type="dxa"/>
            <w:bottom w:w="0" w:type="dxa"/>
            <w:right w:w="108" w:type="dxa"/>
          </w:tblCellMar>
        </w:tblPrEx>
        <w:trPr>
          <w:trHeight w:val="46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无机预涂板板缝铝合金压条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1:无机预涂板板缝T形铝合金压条。</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2456.88 </w:t>
            </w:r>
          </w:p>
        </w:tc>
      </w:tr>
      <w:tr>
        <w:tblPrEx>
          <w:tblCellMar>
            <w:top w:w="0" w:type="dxa"/>
            <w:left w:w="108" w:type="dxa"/>
            <w:bottom w:w="0" w:type="dxa"/>
            <w:right w:w="108" w:type="dxa"/>
          </w:tblCellMar>
        </w:tblPrEx>
        <w:trPr>
          <w:trHeight w:val="46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谈话窗</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1:TC1212固定谈话窗</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6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药品柜YPG</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SUS304不锈钢药品柜1700*900*350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6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器械柜QXG</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SUS304不锈钢器械柜1700*900*350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6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麻醉柜MZG</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SUS304不锈钢麻醉柜1700*900*350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6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电脑柜DNG</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SUS304不锈钢电脑柜1700*900*350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6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面板MG</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六气面板900*250*100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6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保温柜</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1：保温柜MIR;</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2：温度控制范围+5度~+80度。</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6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保冷柜</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1：保冷柜MBR；</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2：温度控制范围+2度~+8度。</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6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观片灯GPD-6</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六联观片灯</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6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情报面板带书写台QBMB</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32寸情报面板带书写台</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11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电源插座箱CZX-1</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600*250*150电源插座箱；底箱为镀锌钢板加工，表面喷粉。面板及边框为不锈钢,翻直边16mm。不含电源插座，含2个接地端子。4个220V插座,带底盒及面盖;2个接地端子;</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11.00 </w:t>
            </w:r>
          </w:p>
        </w:tc>
      </w:tr>
      <w:tr>
        <w:tblPrEx>
          <w:tblCellMar>
            <w:top w:w="0" w:type="dxa"/>
            <w:left w:w="108" w:type="dxa"/>
            <w:bottom w:w="0" w:type="dxa"/>
            <w:right w:w="108" w:type="dxa"/>
          </w:tblCellMar>
        </w:tblPrEx>
        <w:trPr>
          <w:trHeight w:val="11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电源插座箱CZX-2</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600*250*150电源插座箱；底箱为镀锌钢板加工，表面喷粉。面板及边框为不锈钢,翻直边16mm。不含电源插座，含2个接地端子。插座箱CZX-2 3个220V插座,1个三相380V插座,带底盒及面盖;2个接地端子;</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气体终端箱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600*250*150气体终端箱（不含终端）</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吊塔、无影灯预埋件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1：镀锌型钢现场制作</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12.00 </w:t>
            </w:r>
          </w:p>
        </w:tc>
      </w:tr>
      <w:tr>
        <w:tblPrEx>
          <w:tblCellMar>
            <w:top w:w="0" w:type="dxa"/>
            <w:left w:w="108" w:type="dxa"/>
            <w:bottom w:w="0" w:type="dxa"/>
            <w:right w:w="108" w:type="dxa"/>
          </w:tblCellMar>
        </w:tblPrEx>
        <w:trPr>
          <w:trHeight w:val="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输液轨道</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1：输液轨2.5米，配两个挂钩。</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8.00 </w:t>
            </w:r>
          </w:p>
        </w:tc>
      </w:tr>
      <w:tr>
        <w:tblPrEx>
          <w:tblCellMar>
            <w:top w:w="0" w:type="dxa"/>
            <w:left w:w="108" w:type="dxa"/>
            <w:bottom w:w="0" w:type="dxa"/>
            <w:right w:w="108" w:type="dxa"/>
          </w:tblCellMar>
        </w:tblPrEx>
        <w:trPr>
          <w:trHeight w:val="6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卫生间隔断</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1:12mm厚抗倍特板卫生间隔断</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2:不锈钢五金件。</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37.18 </w:t>
            </w:r>
          </w:p>
        </w:tc>
      </w:tr>
      <w:tr>
        <w:tblPrEx>
          <w:tblCellMar>
            <w:top w:w="0" w:type="dxa"/>
            <w:left w:w="108" w:type="dxa"/>
            <w:bottom w:w="0" w:type="dxa"/>
            <w:right w:w="108" w:type="dxa"/>
          </w:tblCellMar>
        </w:tblPrEx>
        <w:trPr>
          <w:trHeight w:val="51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墙面防水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1.墙面1.5mm聚氨酯防水，施工高度1800mm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139.30 </w:t>
            </w:r>
          </w:p>
        </w:tc>
      </w:tr>
      <w:tr>
        <w:tblPrEx>
          <w:tblCellMar>
            <w:top w:w="0" w:type="dxa"/>
            <w:left w:w="108" w:type="dxa"/>
            <w:bottom w:w="0" w:type="dxa"/>
            <w:right w:w="108" w:type="dxa"/>
          </w:tblCellMar>
        </w:tblPrEx>
        <w:trPr>
          <w:trHeight w:val="51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大理石洗手台</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1：大理石洗手台、镀锌角钢支架。</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51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卫生间镜子</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含镜框</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51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淋浴间挡水坎</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1：淋浴间大理石挡水坎。</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服务台</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1：750mm高服务台；</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2：镀锌角钢框架，免漆板柜体，外立面烤漆玻璃面层，不锈钢包边。</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2.50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铝扣板吊顶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1.50型轻钢主龙、8mm全丝吊筋；</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2.300*300*1.0铝扣板吊顶，配套三角龙骨及挂件。</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3.扣板拼缝处打密封胶。</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15.24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铝扣板吊顶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1.50型轻钢主龙、8mm全丝吊筋；</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2.600*600*1.0铝扣板吊顶，配套三角龙骨及挂件。</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3.扣板拼缝处打密封胶。</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550.95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铝孔板吊顶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1.50型轻钢主龙、8mm全丝吊筋；</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2.600*1200*1.0铝孔板吊顶，配套三角龙骨及挂件。</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3.扣板拼缝处打密封胶。</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127.37 </w:t>
            </w:r>
          </w:p>
        </w:tc>
      </w:tr>
      <w:tr>
        <w:tblPrEx>
          <w:tblCellMar>
            <w:top w:w="0" w:type="dxa"/>
            <w:left w:w="108" w:type="dxa"/>
            <w:bottom w:w="0" w:type="dxa"/>
            <w:right w:w="108" w:type="dxa"/>
          </w:tblCellMar>
        </w:tblPrEx>
        <w:trPr>
          <w:trHeight w:val="9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电解钢板吊顶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1.50*30*1.5镀锌方管龙骨；</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2.1.2mm厚电解钢板面层、满刷底油两道，背面衬9.5mm厚纸面石膏板；</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3.表面喷涂抗菌涂料。</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166.99 </w:t>
            </w:r>
          </w:p>
        </w:tc>
      </w:tr>
      <w:tr>
        <w:tblPrEx>
          <w:tblCellMar>
            <w:top w:w="0" w:type="dxa"/>
            <w:left w:w="108" w:type="dxa"/>
            <w:bottom w:w="0" w:type="dxa"/>
            <w:right w:w="108" w:type="dxa"/>
          </w:tblCellMar>
        </w:tblPrEx>
        <w:trPr>
          <w:trHeight w:val="67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暗装窗帘盒</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1.全丝杆天棚Φ8吊筋，木龙骨；</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2.细木工板基层,刷防火涂料；</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3.3mm厚铝塑板饰面。</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95.93 </w:t>
            </w:r>
          </w:p>
        </w:tc>
      </w:tr>
      <w:tr>
        <w:tblPrEx>
          <w:tblCellMar>
            <w:top w:w="0" w:type="dxa"/>
            <w:left w:w="108" w:type="dxa"/>
            <w:bottom w:w="0" w:type="dxa"/>
            <w:right w:w="108" w:type="dxa"/>
          </w:tblCellMar>
        </w:tblPrEx>
        <w:trPr>
          <w:trHeight w:val="5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大理石窗台板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1.大理石窗台板；</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2.素水泥浆粘贴。</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95.93 </w:t>
            </w:r>
          </w:p>
        </w:tc>
      </w:tr>
      <w:tr>
        <w:tblPrEx>
          <w:tblCellMar>
            <w:top w:w="0" w:type="dxa"/>
            <w:left w:w="108" w:type="dxa"/>
            <w:bottom w:w="0" w:type="dxa"/>
            <w:right w:w="108" w:type="dxa"/>
          </w:tblCellMar>
        </w:tblPrEx>
        <w:trPr>
          <w:trHeight w:val="5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医用钢制气密门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1.M1021气密门；</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2.钢板喷塑门体，铝合金型材边框；</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26.00</w:t>
            </w:r>
          </w:p>
        </w:tc>
      </w:tr>
      <w:tr>
        <w:tblPrEx>
          <w:tblCellMar>
            <w:top w:w="0" w:type="dxa"/>
            <w:left w:w="108" w:type="dxa"/>
            <w:bottom w:w="0" w:type="dxa"/>
            <w:right w:w="108" w:type="dxa"/>
          </w:tblCellMar>
        </w:tblPrEx>
        <w:trPr>
          <w:trHeight w:val="5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医用钢制气密门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1.M1121气密门；</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2.钢板喷塑门体，铝合金型材边框；</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5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医用钢制气密门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1.M1521气密门；</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2.钢板喷塑门体，铝合金型材边框；</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7.00 </w:t>
            </w:r>
          </w:p>
        </w:tc>
      </w:tr>
      <w:tr>
        <w:tblPrEx>
          <w:tblCellMar>
            <w:top w:w="0" w:type="dxa"/>
            <w:left w:w="108" w:type="dxa"/>
            <w:bottom w:w="0" w:type="dxa"/>
            <w:right w:w="108" w:type="dxa"/>
          </w:tblCellMar>
        </w:tblPrEx>
        <w:trPr>
          <w:trHeight w:val="87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自动平移门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1.ZDSM1521医用自动双开平移门；2：钢板喷塑门板；</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3：国产优质电机。</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73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铅防护自动门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1：QZDM1521铅防护平移自动门；</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2：2个铅当量；</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3：国产优质电机。</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7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自动平移门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1：ZDM1521医用自动平移门；</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2：钢板喷塑门板；</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3：国产优质电机。</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55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防辐射气密门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1：QM1021钢制防辐射气密门；</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3：钢板喷塑门体，铝合金型材边框；</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55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防火门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1：FM甲1021钢制防火门；</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3.00</w:t>
            </w:r>
          </w:p>
        </w:tc>
      </w:tr>
      <w:tr>
        <w:tblPrEx>
          <w:tblCellMar>
            <w:top w:w="0" w:type="dxa"/>
            <w:left w:w="108" w:type="dxa"/>
            <w:bottom w:w="0" w:type="dxa"/>
            <w:right w:w="108" w:type="dxa"/>
          </w:tblCellMar>
        </w:tblPrEx>
        <w:trPr>
          <w:trHeight w:val="55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18"/>
                <w:szCs w:val="18"/>
                <w:highlight w:val="none"/>
              </w:rPr>
            </w:pPr>
            <w:r>
              <w:rPr>
                <w:rFonts w:hint="eastAsia" w:ascii="宋体" w:hAnsi="宋体" w:cs="宋体"/>
                <w:b/>
                <w:bCs/>
                <w:color w:val="auto"/>
                <w:kern w:val="0"/>
                <w:sz w:val="18"/>
                <w:szCs w:val="18"/>
                <w:highlight w:val="none"/>
              </w:rPr>
              <w:t>（三）</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b/>
                <w:bCs/>
                <w:color w:val="auto"/>
                <w:sz w:val="18"/>
                <w:szCs w:val="18"/>
                <w:highlight w:val="none"/>
              </w:rPr>
            </w:pPr>
            <w:r>
              <w:rPr>
                <w:rFonts w:hint="eastAsia" w:ascii="宋体" w:hAnsi="宋体" w:cs="宋体"/>
                <w:b/>
                <w:bCs/>
                <w:color w:val="auto"/>
                <w:kern w:val="0"/>
                <w:sz w:val="18"/>
                <w:szCs w:val="18"/>
                <w:highlight w:val="none"/>
              </w:rPr>
              <w:t>五层设备机房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hAnsi="宋体" w:cs="宋体"/>
                <w:b/>
                <w:bCs/>
                <w:color w:val="auto"/>
                <w:sz w:val="18"/>
                <w:szCs w:val="18"/>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auto"/>
                <w:sz w:val="18"/>
                <w:szCs w:val="18"/>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right"/>
              <w:rPr>
                <w:rFonts w:ascii="宋体" w:hAnsi="宋体" w:cs="宋体"/>
                <w:color w:val="auto"/>
                <w:sz w:val="18"/>
                <w:szCs w:val="18"/>
                <w:highlight w:val="none"/>
              </w:rPr>
            </w:pPr>
          </w:p>
        </w:tc>
      </w:tr>
      <w:tr>
        <w:tblPrEx>
          <w:tblCellMar>
            <w:top w:w="0" w:type="dxa"/>
            <w:left w:w="108" w:type="dxa"/>
            <w:bottom w:w="0" w:type="dxa"/>
            <w:right w:w="108" w:type="dxa"/>
          </w:tblCellMar>
        </w:tblPrEx>
        <w:trPr>
          <w:trHeight w:val="55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地面防辐射硫酸钡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1.50mm厚防辐射硫酸钡地面；</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135.24 </w:t>
            </w:r>
          </w:p>
        </w:tc>
      </w:tr>
      <w:tr>
        <w:tblPrEx>
          <w:tblCellMar>
            <w:top w:w="0" w:type="dxa"/>
            <w:left w:w="108" w:type="dxa"/>
            <w:bottom w:w="0" w:type="dxa"/>
            <w:right w:w="108" w:type="dxa"/>
          </w:tblCellMar>
        </w:tblPrEx>
        <w:trPr>
          <w:trHeight w:val="49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三</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强电系统</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b/>
                <w:bCs/>
                <w:color w:val="auto"/>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宋体" w:hAnsi="宋体" w:cs="宋体"/>
                <w:b/>
                <w:bCs/>
                <w:color w:val="auto"/>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宋体" w:hAnsi="宋体" w:cs="宋体"/>
                <w:b/>
                <w:bCs/>
                <w:color w:val="auto"/>
                <w:sz w:val="20"/>
                <w:szCs w:val="20"/>
                <w:highlight w:val="none"/>
              </w:rPr>
            </w:pPr>
          </w:p>
        </w:tc>
      </w:tr>
      <w:tr>
        <w:tblPrEx>
          <w:tblCellMar>
            <w:top w:w="0" w:type="dxa"/>
            <w:left w:w="108" w:type="dxa"/>
            <w:bottom w:w="0" w:type="dxa"/>
            <w:right w:w="108" w:type="dxa"/>
          </w:tblCellMar>
        </w:tblPrEx>
        <w:trPr>
          <w:trHeight w:val="55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18"/>
                <w:szCs w:val="18"/>
                <w:highlight w:val="none"/>
              </w:rPr>
            </w:pPr>
            <w:r>
              <w:rPr>
                <w:rFonts w:hint="eastAsia" w:ascii="宋体" w:hAnsi="宋体" w:cs="宋体"/>
                <w:b/>
                <w:bCs/>
                <w:color w:val="auto"/>
                <w:kern w:val="0"/>
                <w:sz w:val="18"/>
                <w:szCs w:val="18"/>
                <w:highlight w:val="none"/>
              </w:rPr>
              <w:t>（一）</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b/>
                <w:bCs/>
                <w:color w:val="auto"/>
                <w:sz w:val="18"/>
                <w:szCs w:val="18"/>
                <w:highlight w:val="none"/>
              </w:rPr>
            </w:pPr>
            <w:r>
              <w:rPr>
                <w:rFonts w:hint="eastAsia" w:ascii="宋体" w:hAnsi="宋体" w:cs="宋体"/>
                <w:b/>
                <w:bCs/>
                <w:color w:val="auto"/>
                <w:kern w:val="0"/>
                <w:sz w:val="18"/>
                <w:szCs w:val="18"/>
                <w:highlight w:val="none"/>
              </w:rPr>
              <w:t>三层中心供应室</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hAnsi="宋体" w:cs="宋体"/>
                <w:b/>
                <w:bCs/>
                <w:color w:val="auto"/>
                <w:sz w:val="18"/>
                <w:szCs w:val="18"/>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auto"/>
                <w:sz w:val="18"/>
                <w:szCs w:val="18"/>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right"/>
              <w:rPr>
                <w:rFonts w:ascii="宋体" w:hAnsi="宋体" w:cs="宋体"/>
                <w:color w:val="auto"/>
                <w:sz w:val="18"/>
                <w:szCs w:val="18"/>
                <w:highlight w:val="none"/>
              </w:rPr>
            </w:pP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nil"/>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供应室配电总箱</w:t>
            </w:r>
          </w:p>
        </w:tc>
        <w:tc>
          <w:tcPr>
            <w:tcW w:w="4011" w:type="dxa"/>
            <w:tcBorders>
              <w:top w:val="nil"/>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AP-GY</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照明配电箱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3AL-BG1</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动力配电箱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3AP1</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动力配电箱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3AP2</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动力配电箱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3AP3</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空调动力配电箱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3AP-KT</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镀锌防火桥架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200x100x1.5mm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32.49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镀锌防火桥架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300x150x1.5mm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58.79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铁构件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桥架支架制作与安装</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kg</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136.85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WDZB-RYJP-4*0.75mm2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53.79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WDZB-YJY-3*4mm2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109.48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WDZB-YJY-4*2.5mm2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172.91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WDZB-YJY-5*2.5mm2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157.44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WDZB-YJY-5*4mm2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89.25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WDZB-YJY-5*6mm2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109.96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WDZB-YJY-5*10mm2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60.57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WDZB-YJY-4*50+1*25mm2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53.79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控制线缆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KVV-7*1.0mm2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288.34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端子外部接线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74.00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端子外部接线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端子外部接线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WDZB-YJY-4*50+1*25mm2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WDZB-BYJ-2.5mm2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7801.64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JDG20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1288.77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JDG25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340.34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JDG32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17.85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LED吸顶灯</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18W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LED防水筒灯</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LED平板灯</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600x600，36W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9.00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LED平板灯</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1200x300，36W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26.00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LED净化平板灯</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600x300，25W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LED净化平板灯</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600x600，40W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74.00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单联单控开关</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10A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14.00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双联单控开关</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10A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8.00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三联单控开关</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10A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单联双控开关</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10A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8.00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三联智能控制面板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10A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单相五孔插座</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10A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46.00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单相五孔防水插座</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10A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14.00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地面五孔插座</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10A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接线盒、开关盒</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86型</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215.00 </w:t>
            </w:r>
          </w:p>
        </w:tc>
      </w:tr>
      <w:tr>
        <w:tblPrEx>
          <w:tblCellMar>
            <w:top w:w="0" w:type="dxa"/>
            <w:left w:w="108" w:type="dxa"/>
            <w:bottom w:w="0" w:type="dxa"/>
            <w:right w:w="108" w:type="dxa"/>
          </w:tblCellMar>
        </w:tblPrEx>
        <w:trPr>
          <w:trHeight w:val="49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18"/>
                <w:szCs w:val="18"/>
                <w:highlight w:val="none"/>
              </w:rPr>
            </w:pPr>
            <w:r>
              <w:rPr>
                <w:rFonts w:hint="eastAsia" w:ascii="宋体" w:hAnsi="宋体" w:cs="宋体"/>
                <w:b/>
                <w:bCs/>
                <w:color w:val="auto"/>
                <w:kern w:val="0"/>
                <w:sz w:val="18"/>
                <w:szCs w:val="18"/>
                <w:highlight w:val="none"/>
              </w:rPr>
              <w:t>（二）</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b/>
                <w:bCs/>
                <w:color w:val="auto"/>
                <w:sz w:val="18"/>
                <w:szCs w:val="18"/>
                <w:highlight w:val="none"/>
              </w:rPr>
            </w:pPr>
            <w:r>
              <w:rPr>
                <w:rFonts w:hint="eastAsia" w:ascii="宋体" w:hAnsi="宋体" w:cs="宋体"/>
                <w:b/>
                <w:bCs/>
                <w:color w:val="auto"/>
                <w:kern w:val="0"/>
                <w:sz w:val="18"/>
                <w:szCs w:val="18"/>
                <w:highlight w:val="none"/>
              </w:rPr>
              <w:t>四层手术室</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宋体" w:hAnsi="宋体" w:cs="宋体"/>
                <w:color w:val="auto"/>
                <w:sz w:val="18"/>
                <w:szCs w:val="18"/>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highlight w:val="none"/>
              </w:rPr>
            </w:pP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nil"/>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手术室配电总箱</w:t>
            </w:r>
          </w:p>
        </w:tc>
        <w:tc>
          <w:tcPr>
            <w:tcW w:w="4011" w:type="dxa"/>
            <w:tcBorders>
              <w:top w:val="nil"/>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4AL-1</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nil"/>
              <w:right w:val="nil"/>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照明配电箱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4AL-BG1</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照明配电箱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4AL-BG2</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手术室配电箱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AP-SS1,SS2</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手术室配电箱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AP-SS3,SS4</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动力配电箱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SXAP1</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空调动力配电箱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5AP-KT</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空调动力配电箱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AP-KT3</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空调动力配电箱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AHU-401,AHU-402</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空调动力配电箱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AHU-403</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空调动力配电箱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AHU-404</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空调动力配电箱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AHU-405</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空调动力配电箱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PAU-401</w:t>
            </w:r>
          </w:p>
        </w:tc>
        <w:tc>
          <w:tcPr>
            <w:tcW w:w="97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1</w:t>
            </w:r>
            <w:r>
              <w:rPr>
                <w:rFonts w:hint="eastAsia" w:ascii="宋体" w:hAnsi="宋体" w:cs="宋体"/>
                <w:color w:val="auto"/>
                <w:kern w:val="0"/>
                <w:sz w:val="18"/>
                <w:szCs w:val="18"/>
                <w:highlight w:val="none"/>
                <w:lang w:val="en-US" w:eastAsia="zh-CN"/>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整流变压器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6KVA隔离电源（含医用隔离变压器、绝缘监视仪、电流互感器、仪器专用电源）详见图纸</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1</w:t>
            </w:r>
            <w:r>
              <w:rPr>
                <w:rFonts w:hint="eastAsia" w:ascii="宋体" w:hAnsi="宋体" w:cs="宋体"/>
                <w:color w:val="auto"/>
                <w:kern w:val="0"/>
                <w:sz w:val="18"/>
                <w:szCs w:val="18"/>
                <w:highlight w:val="none"/>
                <w:lang w:val="en-US" w:eastAsia="zh-CN"/>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整流变压器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8KVA隔离电源（含医用隔离变压器、绝缘监视仪、电流互感器、仪器专用电源）详见图纸</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r>
              <w:rPr>
                <w:rFonts w:hint="eastAsia" w:ascii="宋体" w:hAnsi="宋体" w:cs="宋体"/>
                <w:color w:val="auto"/>
                <w:kern w:val="0"/>
                <w:sz w:val="18"/>
                <w:szCs w:val="18"/>
                <w:highlight w:val="none"/>
                <w:lang w:val="en-US" w:eastAsia="zh-CN"/>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整流变压器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10KVA隔离电源（含医用隔离变压器、绝缘监视仪、电流互感器、仪器专用电源）详见图纸</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1</w:t>
            </w:r>
            <w:r>
              <w:rPr>
                <w:rFonts w:hint="eastAsia" w:ascii="宋体" w:hAnsi="宋体" w:cs="宋体"/>
                <w:color w:val="auto"/>
                <w:kern w:val="0"/>
                <w:sz w:val="18"/>
                <w:szCs w:val="18"/>
                <w:highlight w:val="none"/>
                <w:lang w:val="en-US" w:eastAsia="zh-CN"/>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镀锌防火桥架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200x100x1.5mm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64.14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1</w:t>
            </w:r>
            <w:r>
              <w:rPr>
                <w:rFonts w:hint="eastAsia" w:ascii="宋体" w:hAnsi="宋体" w:cs="宋体"/>
                <w:color w:val="auto"/>
                <w:kern w:val="0"/>
                <w:sz w:val="18"/>
                <w:szCs w:val="18"/>
                <w:highlight w:val="none"/>
                <w:lang w:val="en-US" w:eastAsia="zh-CN"/>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镀锌防火桥架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300x100x1.5mm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102.70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宋体" w:hAnsi="宋体" w:eastAsia="宋体" w:cs="宋体"/>
                <w:color w:val="auto"/>
                <w:sz w:val="18"/>
                <w:szCs w:val="18"/>
                <w:highlight w:val="none"/>
                <w:lang w:val="en-US" w:eastAsia="zh-CN"/>
              </w:rPr>
            </w:pPr>
            <w:r>
              <w:rPr>
                <w:rFonts w:hint="eastAsia" w:ascii="宋体" w:hAnsi="宋体" w:cs="宋体"/>
                <w:color w:val="auto"/>
                <w:kern w:val="0"/>
                <w:sz w:val="18"/>
                <w:szCs w:val="18"/>
                <w:highlight w:val="none"/>
                <w:lang w:val="en-US" w:eastAsia="zh-CN"/>
              </w:rPr>
              <w:t>19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不锈钢室外桥架</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300x150x1.5mm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48.08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宋体" w:hAnsi="宋体" w:eastAsia="宋体" w:cs="宋体"/>
                <w:color w:val="auto"/>
                <w:sz w:val="18"/>
                <w:szCs w:val="18"/>
                <w:highlight w:val="none"/>
                <w:lang w:val="en-US" w:eastAsia="zh-CN"/>
              </w:rPr>
            </w:pPr>
            <w:r>
              <w:rPr>
                <w:rFonts w:hint="eastAsia" w:ascii="宋体" w:hAnsi="宋体" w:cs="宋体"/>
                <w:color w:val="auto"/>
                <w:kern w:val="0"/>
                <w:sz w:val="18"/>
                <w:szCs w:val="18"/>
                <w:highlight w:val="none"/>
                <w:lang w:val="en-US" w:eastAsia="zh-CN"/>
              </w:rPr>
              <w:t>20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铁构件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桥架支架制作与安装</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kg</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246.33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val="en-US" w:eastAsia="zh-CN"/>
              </w:rPr>
            </w:pPr>
            <w:r>
              <w:rPr>
                <w:rFonts w:hint="eastAsia" w:ascii="宋体" w:hAnsi="宋体" w:cs="宋体"/>
                <w:color w:val="auto"/>
                <w:kern w:val="0"/>
                <w:sz w:val="18"/>
                <w:szCs w:val="18"/>
                <w:highlight w:val="none"/>
              </w:rPr>
              <w:t>2</w:t>
            </w:r>
            <w:r>
              <w:rPr>
                <w:rFonts w:hint="eastAsia" w:ascii="宋体" w:hAnsi="宋体" w:cs="宋体"/>
                <w:color w:val="auto"/>
                <w:kern w:val="0"/>
                <w:sz w:val="18"/>
                <w:szCs w:val="18"/>
                <w:highlight w:val="none"/>
                <w:lang w:val="en-US" w:eastAsia="zh-CN"/>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WDZB-RYJP-4*0.75mm2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46.41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2</w:t>
            </w:r>
            <w:r>
              <w:rPr>
                <w:rFonts w:hint="eastAsia" w:ascii="宋体" w:hAnsi="宋体" w:cs="宋体"/>
                <w:color w:val="auto"/>
                <w:kern w:val="0"/>
                <w:sz w:val="18"/>
                <w:szCs w:val="18"/>
                <w:highlight w:val="none"/>
                <w:lang w:val="en-US" w:eastAsia="zh-CN"/>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WDZB-YJY-3*2.5mm2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129.83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2</w:t>
            </w:r>
            <w:r>
              <w:rPr>
                <w:rFonts w:hint="eastAsia" w:ascii="宋体" w:hAnsi="宋体" w:cs="宋体"/>
                <w:color w:val="auto"/>
                <w:kern w:val="0"/>
                <w:sz w:val="18"/>
                <w:szCs w:val="18"/>
                <w:highlight w:val="none"/>
                <w:lang w:val="en-US" w:eastAsia="zh-CN"/>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WDZB-YJY-4*2.5mm2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884.65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2</w:t>
            </w:r>
            <w:r>
              <w:rPr>
                <w:rFonts w:hint="eastAsia" w:ascii="宋体" w:hAnsi="宋体" w:cs="宋体"/>
                <w:color w:val="auto"/>
                <w:kern w:val="0"/>
                <w:sz w:val="18"/>
                <w:szCs w:val="18"/>
                <w:highlight w:val="none"/>
                <w:lang w:val="en-US" w:eastAsia="zh-CN"/>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WDZB-YJYP-4*2.5mm2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36.65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2</w:t>
            </w:r>
            <w:r>
              <w:rPr>
                <w:rFonts w:hint="eastAsia" w:ascii="宋体" w:hAnsi="宋体" w:cs="宋体"/>
                <w:color w:val="auto"/>
                <w:kern w:val="0"/>
                <w:sz w:val="18"/>
                <w:szCs w:val="18"/>
                <w:highlight w:val="none"/>
                <w:lang w:val="en-US" w:eastAsia="zh-CN"/>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WDZB-YJY-5*2.5mm2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128.04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2</w:t>
            </w:r>
            <w:r>
              <w:rPr>
                <w:rFonts w:hint="eastAsia" w:ascii="宋体" w:hAnsi="宋体" w:cs="宋体"/>
                <w:color w:val="auto"/>
                <w:kern w:val="0"/>
                <w:sz w:val="18"/>
                <w:szCs w:val="18"/>
                <w:highlight w:val="none"/>
                <w:lang w:val="en-US" w:eastAsia="zh-CN"/>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WDZB-YJY-4*4mm2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nil"/>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18.33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2</w:t>
            </w:r>
            <w:r>
              <w:rPr>
                <w:rFonts w:hint="eastAsia" w:ascii="宋体" w:hAnsi="宋体" w:cs="宋体"/>
                <w:color w:val="auto"/>
                <w:kern w:val="0"/>
                <w:sz w:val="18"/>
                <w:szCs w:val="18"/>
                <w:highlight w:val="none"/>
                <w:lang w:val="en-US" w:eastAsia="zh-CN"/>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WDZB-YJYP-4*4mm2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0" w:type="auto"/>
            <w:tcBorders>
              <w:top w:val="nil"/>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18.33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2</w:t>
            </w:r>
            <w:r>
              <w:rPr>
                <w:rFonts w:hint="eastAsia" w:ascii="宋体" w:hAnsi="宋体" w:cs="宋体"/>
                <w:color w:val="auto"/>
                <w:kern w:val="0"/>
                <w:sz w:val="18"/>
                <w:szCs w:val="18"/>
                <w:highlight w:val="none"/>
                <w:lang w:val="en-US" w:eastAsia="zh-CN"/>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WDZB-YJY-5*4mm2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54.98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29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WDZB-YJY-4*6mm2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18.33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3</w:t>
            </w:r>
            <w:r>
              <w:rPr>
                <w:rFonts w:hint="eastAsia" w:ascii="宋体" w:hAnsi="宋体" w:cs="宋体"/>
                <w:color w:val="auto"/>
                <w:kern w:val="0"/>
                <w:sz w:val="18"/>
                <w:szCs w:val="18"/>
                <w:highlight w:val="none"/>
                <w:lang w:val="en-US" w:eastAsia="zh-CN"/>
              </w:rPr>
              <w:t>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WDZB-YJYP-4*6mm2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36.65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宋体" w:hAnsi="宋体" w:eastAsia="宋体" w:cs="宋体"/>
                <w:color w:val="auto"/>
                <w:sz w:val="18"/>
                <w:szCs w:val="18"/>
                <w:highlight w:val="none"/>
                <w:lang w:val="en-US" w:eastAsia="zh-CN"/>
              </w:rPr>
            </w:pPr>
            <w:r>
              <w:rPr>
                <w:rFonts w:hint="eastAsia" w:ascii="宋体" w:hAnsi="宋体" w:cs="宋体"/>
                <w:color w:val="auto"/>
                <w:kern w:val="0"/>
                <w:sz w:val="18"/>
                <w:szCs w:val="18"/>
                <w:highlight w:val="none"/>
                <w:lang w:val="en-US" w:eastAsia="zh-CN"/>
              </w:rPr>
              <w:t>31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WDZB-YJY-5*6mm2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184.33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3</w:t>
            </w:r>
            <w:r>
              <w:rPr>
                <w:rFonts w:hint="eastAsia" w:ascii="宋体" w:hAnsi="宋体" w:cs="宋体"/>
                <w:color w:val="auto"/>
                <w:kern w:val="0"/>
                <w:sz w:val="18"/>
                <w:szCs w:val="18"/>
                <w:highlight w:val="none"/>
                <w:lang w:val="en-US" w:eastAsia="zh-CN"/>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WDZB-YJY-3*10mm2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85.44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3</w:t>
            </w:r>
            <w:r>
              <w:rPr>
                <w:rFonts w:hint="eastAsia" w:ascii="宋体" w:hAnsi="宋体" w:cs="宋体"/>
                <w:color w:val="auto"/>
                <w:kern w:val="0"/>
                <w:sz w:val="18"/>
                <w:szCs w:val="18"/>
                <w:highlight w:val="none"/>
                <w:lang w:val="en-US" w:eastAsia="zh-CN"/>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WDZB-YJY-4*10mm2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349.74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3</w:t>
            </w:r>
            <w:r>
              <w:rPr>
                <w:rFonts w:hint="eastAsia" w:ascii="宋体" w:hAnsi="宋体" w:cs="宋体"/>
                <w:color w:val="auto"/>
                <w:kern w:val="0"/>
                <w:sz w:val="18"/>
                <w:szCs w:val="18"/>
                <w:highlight w:val="none"/>
                <w:lang w:val="en-US" w:eastAsia="zh-CN"/>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WDZB-YJYP-4*10mm2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18.33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3</w:t>
            </w:r>
            <w:r>
              <w:rPr>
                <w:rFonts w:hint="eastAsia" w:ascii="宋体" w:hAnsi="宋体" w:cs="宋体"/>
                <w:color w:val="auto"/>
                <w:kern w:val="0"/>
                <w:sz w:val="18"/>
                <w:szCs w:val="18"/>
                <w:highlight w:val="none"/>
                <w:lang w:val="en-US" w:eastAsia="zh-CN"/>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WDZB-YJY-5*10mm2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235.38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3</w:t>
            </w:r>
            <w:r>
              <w:rPr>
                <w:rFonts w:hint="eastAsia" w:ascii="宋体" w:hAnsi="宋体" w:cs="宋体"/>
                <w:color w:val="auto"/>
                <w:kern w:val="0"/>
                <w:sz w:val="18"/>
                <w:szCs w:val="18"/>
                <w:highlight w:val="none"/>
                <w:lang w:val="en-US" w:eastAsia="zh-CN"/>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WDZB-YJY-5*16mm2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370.33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3</w:t>
            </w:r>
            <w:r>
              <w:rPr>
                <w:rFonts w:hint="eastAsia" w:ascii="宋体" w:hAnsi="宋体" w:cs="宋体"/>
                <w:color w:val="auto"/>
                <w:kern w:val="0"/>
                <w:sz w:val="18"/>
                <w:szCs w:val="18"/>
                <w:highlight w:val="none"/>
                <w:lang w:val="en-US" w:eastAsia="zh-CN"/>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WDZB-YJY-4*25+1*16mm2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69.38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3</w:t>
            </w:r>
            <w:r>
              <w:rPr>
                <w:rFonts w:hint="eastAsia" w:ascii="宋体" w:hAnsi="宋体" w:cs="宋体"/>
                <w:color w:val="auto"/>
                <w:kern w:val="0"/>
                <w:sz w:val="18"/>
                <w:szCs w:val="18"/>
                <w:highlight w:val="none"/>
                <w:lang w:val="en-US" w:eastAsia="zh-CN"/>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WDZB-YJY-4*95+1*50mm2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109.00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宋体" w:hAnsi="宋体" w:eastAsia="宋体" w:cs="宋体"/>
                <w:color w:val="auto"/>
                <w:sz w:val="18"/>
                <w:szCs w:val="18"/>
                <w:highlight w:val="none"/>
                <w:lang w:val="en-US" w:eastAsia="zh-CN"/>
              </w:rPr>
            </w:pPr>
            <w:r>
              <w:rPr>
                <w:rFonts w:hint="eastAsia" w:ascii="宋体" w:hAnsi="宋体" w:cs="宋体"/>
                <w:color w:val="auto"/>
                <w:kern w:val="0"/>
                <w:sz w:val="18"/>
                <w:szCs w:val="18"/>
                <w:highlight w:val="none"/>
                <w:lang w:val="en-US" w:eastAsia="zh-CN"/>
              </w:rPr>
              <w:t>39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控制线缆</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KVV-7*1.0mm2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203.49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4</w:t>
            </w:r>
            <w:r>
              <w:rPr>
                <w:rFonts w:hint="eastAsia" w:ascii="宋体" w:hAnsi="宋体" w:cs="宋体"/>
                <w:color w:val="auto"/>
                <w:kern w:val="0"/>
                <w:sz w:val="18"/>
                <w:szCs w:val="18"/>
                <w:highlight w:val="none"/>
                <w:lang w:val="en-US" w:eastAsia="zh-CN"/>
              </w:rPr>
              <w:t>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端子外部接线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160.00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4</w:t>
            </w:r>
            <w:r>
              <w:rPr>
                <w:rFonts w:hint="eastAsia" w:ascii="宋体" w:hAnsi="宋体" w:cs="宋体"/>
                <w:color w:val="auto"/>
                <w:kern w:val="0"/>
                <w:sz w:val="18"/>
                <w:szCs w:val="18"/>
                <w:highlight w:val="none"/>
                <w:lang w:val="en-US" w:eastAsia="zh-CN"/>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端子外部接线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46.00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4</w:t>
            </w:r>
            <w:r>
              <w:rPr>
                <w:rFonts w:hint="eastAsia" w:ascii="宋体" w:hAnsi="宋体" w:cs="宋体"/>
                <w:color w:val="auto"/>
                <w:kern w:val="0"/>
                <w:sz w:val="18"/>
                <w:szCs w:val="18"/>
                <w:highlight w:val="none"/>
                <w:lang w:val="en-US" w:eastAsia="zh-CN"/>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端子外部接线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74.00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4</w:t>
            </w:r>
            <w:r>
              <w:rPr>
                <w:rFonts w:hint="eastAsia" w:ascii="宋体" w:hAnsi="宋体" w:cs="宋体"/>
                <w:color w:val="auto"/>
                <w:kern w:val="0"/>
                <w:sz w:val="18"/>
                <w:szCs w:val="18"/>
                <w:highlight w:val="none"/>
                <w:lang w:val="en-US" w:eastAsia="zh-CN"/>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端子外部接线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102.00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4</w:t>
            </w:r>
            <w:r>
              <w:rPr>
                <w:rFonts w:hint="eastAsia" w:ascii="宋体" w:hAnsi="宋体" w:cs="宋体"/>
                <w:color w:val="auto"/>
                <w:kern w:val="0"/>
                <w:sz w:val="18"/>
                <w:szCs w:val="18"/>
                <w:highlight w:val="none"/>
                <w:lang w:val="en-US" w:eastAsia="zh-CN"/>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WDZB-YJY-5*16mm2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4</w:t>
            </w:r>
            <w:r>
              <w:rPr>
                <w:rFonts w:hint="eastAsia" w:ascii="宋体" w:hAnsi="宋体" w:cs="宋体"/>
                <w:color w:val="auto"/>
                <w:kern w:val="0"/>
                <w:sz w:val="18"/>
                <w:szCs w:val="18"/>
                <w:highlight w:val="none"/>
                <w:lang w:val="en-US" w:eastAsia="zh-CN"/>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WDZB-YJY-4*25+1*16mm2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4</w:t>
            </w:r>
            <w:r>
              <w:rPr>
                <w:rFonts w:hint="eastAsia" w:ascii="宋体" w:hAnsi="宋体" w:cs="宋体"/>
                <w:color w:val="auto"/>
                <w:kern w:val="0"/>
                <w:sz w:val="18"/>
                <w:szCs w:val="18"/>
                <w:highlight w:val="none"/>
                <w:lang w:val="en-US" w:eastAsia="zh-CN"/>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电力电缆头</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WDZB-YJY-4*95+1*50mm2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4</w:t>
            </w:r>
            <w:r>
              <w:rPr>
                <w:rFonts w:hint="eastAsia" w:ascii="宋体" w:hAnsi="宋体" w:cs="宋体"/>
                <w:color w:val="auto"/>
                <w:kern w:val="0"/>
                <w:sz w:val="18"/>
                <w:szCs w:val="18"/>
                <w:highlight w:val="none"/>
                <w:lang w:val="en-US" w:eastAsia="zh-CN"/>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WDZB-BYJ-2.5mm2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12913.88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4</w:t>
            </w:r>
            <w:r>
              <w:rPr>
                <w:rFonts w:hint="eastAsia" w:ascii="宋体" w:hAnsi="宋体" w:cs="宋体"/>
                <w:color w:val="auto"/>
                <w:kern w:val="0"/>
                <w:sz w:val="18"/>
                <w:szCs w:val="18"/>
                <w:highlight w:val="none"/>
                <w:lang w:val="en-US" w:eastAsia="zh-CN"/>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WDZB-BYJ-4mm2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2166.99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宋体" w:hAnsi="宋体" w:eastAsia="宋体" w:cs="宋体"/>
                <w:color w:val="auto"/>
                <w:sz w:val="18"/>
                <w:szCs w:val="18"/>
                <w:highlight w:val="none"/>
                <w:lang w:val="en-US" w:eastAsia="zh-CN"/>
              </w:rPr>
            </w:pPr>
            <w:r>
              <w:rPr>
                <w:rFonts w:hint="eastAsia" w:ascii="宋体" w:hAnsi="宋体" w:cs="宋体"/>
                <w:color w:val="auto"/>
                <w:kern w:val="0"/>
                <w:sz w:val="18"/>
                <w:szCs w:val="18"/>
                <w:highlight w:val="none"/>
                <w:lang w:val="en-US" w:eastAsia="zh-CN"/>
              </w:rPr>
              <w:t>49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BVR-6mm2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1090.16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5</w:t>
            </w:r>
            <w:r>
              <w:rPr>
                <w:rFonts w:hint="eastAsia" w:ascii="宋体" w:hAnsi="宋体" w:cs="宋体"/>
                <w:color w:val="auto"/>
                <w:kern w:val="0"/>
                <w:sz w:val="18"/>
                <w:szCs w:val="18"/>
                <w:highlight w:val="none"/>
                <w:lang w:val="en-US" w:eastAsia="zh-CN"/>
              </w:rPr>
              <w:t>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BVR-16mm2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110.91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5</w:t>
            </w:r>
            <w:r>
              <w:rPr>
                <w:rFonts w:hint="eastAsia" w:ascii="宋体" w:hAnsi="宋体" w:cs="宋体"/>
                <w:color w:val="auto"/>
                <w:kern w:val="0"/>
                <w:sz w:val="18"/>
                <w:szCs w:val="18"/>
                <w:highlight w:val="none"/>
                <w:lang w:val="en-US" w:eastAsia="zh-CN"/>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PVC20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990.08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5</w:t>
            </w:r>
            <w:r>
              <w:rPr>
                <w:rFonts w:hint="eastAsia" w:ascii="宋体" w:hAnsi="宋体" w:cs="宋体"/>
                <w:color w:val="auto"/>
                <w:kern w:val="0"/>
                <w:sz w:val="18"/>
                <w:szCs w:val="18"/>
                <w:highlight w:val="none"/>
                <w:lang w:val="en-US" w:eastAsia="zh-CN"/>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PVC40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91.04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5</w:t>
            </w:r>
            <w:r>
              <w:rPr>
                <w:rFonts w:hint="eastAsia" w:ascii="宋体" w:hAnsi="宋体" w:cs="宋体"/>
                <w:color w:val="auto"/>
                <w:kern w:val="0"/>
                <w:sz w:val="18"/>
                <w:szCs w:val="18"/>
                <w:highlight w:val="none"/>
                <w:lang w:val="en-US" w:eastAsia="zh-CN"/>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JDG20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1913.52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5</w:t>
            </w:r>
            <w:r>
              <w:rPr>
                <w:rFonts w:hint="eastAsia" w:ascii="宋体" w:hAnsi="宋体" w:cs="宋体"/>
                <w:color w:val="auto"/>
                <w:kern w:val="0"/>
                <w:sz w:val="18"/>
                <w:szCs w:val="18"/>
                <w:highlight w:val="none"/>
                <w:lang w:val="en-US" w:eastAsia="zh-CN"/>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JDG25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1948.03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5</w:t>
            </w:r>
            <w:r>
              <w:rPr>
                <w:rFonts w:hint="eastAsia" w:ascii="宋体" w:hAnsi="宋体" w:cs="宋体"/>
                <w:color w:val="auto"/>
                <w:kern w:val="0"/>
                <w:sz w:val="18"/>
                <w:szCs w:val="18"/>
                <w:highlight w:val="none"/>
                <w:lang w:val="en-US" w:eastAsia="zh-CN"/>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JDG32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142.32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5</w:t>
            </w:r>
            <w:r>
              <w:rPr>
                <w:rFonts w:hint="eastAsia" w:ascii="宋体" w:hAnsi="宋体" w:cs="宋体"/>
                <w:color w:val="auto"/>
                <w:kern w:val="0"/>
                <w:sz w:val="18"/>
                <w:szCs w:val="18"/>
                <w:highlight w:val="none"/>
                <w:lang w:val="en-US" w:eastAsia="zh-CN"/>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JDG40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18.45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5</w:t>
            </w:r>
            <w:r>
              <w:rPr>
                <w:rFonts w:hint="eastAsia" w:ascii="宋体" w:hAnsi="宋体" w:cs="宋体"/>
                <w:color w:val="auto"/>
                <w:kern w:val="0"/>
                <w:sz w:val="18"/>
                <w:szCs w:val="18"/>
                <w:highlight w:val="none"/>
                <w:lang w:val="en-US" w:eastAsia="zh-CN"/>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SC25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14.40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5</w:t>
            </w:r>
            <w:r>
              <w:rPr>
                <w:rFonts w:hint="eastAsia" w:ascii="宋体" w:hAnsi="宋体" w:cs="宋体"/>
                <w:color w:val="auto"/>
                <w:kern w:val="0"/>
                <w:sz w:val="18"/>
                <w:szCs w:val="18"/>
                <w:highlight w:val="none"/>
                <w:lang w:val="en-US" w:eastAsia="zh-CN"/>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SC40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13.80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宋体" w:hAnsi="宋体" w:eastAsia="宋体" w:cs="宋体"/>
                <w:color w:val="auto"/>
                <w:sz w:val="18"/>
                <w:szCs w:val="18"/>
                <w:highlight w:val="none"/>
                <w:lang w:val="en-US" w:eastAsia="zh-CN"/>
              </w:rPr>
            </w:pPr>
            <w:r>
              <w:rPr>
                <w:rFonts w:hint="eastAsia" w:ascii="宋体" w:hAnsi="宋体" w:cs="宋体"/>
                <w:color w:val="auto"/>
                <w:kern w:val="0"/>
                <w:sz w:val="18"/>
                <w:szCs w:val="18"/>
                <w:highlight w:val="none"/>
                <w:lang w:val="en-US" w:eastAsia="zh-CN"/>
              </w:rPr>
              <w:t>59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电气配管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SC100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7.02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6</w:t>
            </w:r>
            <w:r>
              <w:rPr>
                <w:rFonts w:hint="eastAsia" w:ascii="宋体" w:hAnsi="宋体" w:cs="宋体"/>
                <w:color w:val="auto"/>
                <w:kern w:val="0"/>
                <w:sz w:val="18"/>
                <w:szCs w:val="18"/>
                <w:highlight w:val="none"/>
                <w:lang w:val="en-US" w:eastAsia="zh-CN"/>
              </w:rPr>
              <w:t>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手术中指示灯</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DC24V 1W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6</w:t>
            </w:r>
            <w:r>
              <w:rPr>
                <w:rFonts w:hint="eastAsia" w:ascii="宋体" w:hAnsi="宋体" w:cs="宋体"/>
                <w:color w:val="auto"/>
                <w:kern w:val="0"/>
                <w:sz w:val="18"/>
                <w:szCs w:val="18"/>
                <w:highlight w:val="none"/>
                <w:lang w:val="en-US" w:eastAsia="zh-CN"/>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LED支架灯</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36W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6</w:t>
            </w:r>
            <w:r>
              <w:rPr>
                <w:rFonts w:hint="eastAsia" w:ascii="宋体" w:hAnsi="宋体" w:cs="宋体"/>
                <w:color w:val="auto"/>
                <w:kern w:val="0"/>
                <w:sz w:val="18"/>
                <w:szCs w:val="18"/>
                <w:highlight w:val="none"/>
                <w:lang w:val="en-US" w:eastAsia="zh-CN"/>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LED防水筒灯</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16.00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6</w:t>
            </w:r>
            <w:r>
              <w:rPr>
                <w:rFonts w:hint="eastAsia" w:ascii="宋体" w:hAnsi="宋体" w:cs="宋体"/>
                <w:color w:val="auto"/>
                <w:kern w:val="0"/>
                <w:sz w:val="18"/>
                <w:szCs w:val="18"/>
                <w:highlight w:val="none"/>
                <w:lang w:val="en-US" w:eastAsia="zh-CN"/>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LED平板灯</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600x600，36W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6</w:t>
            </w:r>
            <w:r>
              <w:rPr>
                <w:rFonts w:hint="eastAsia" w:ascii="宋体" w:hAnsi="宋体" w:cs="宋体"/>
                <w:color w:val="auto"/>
                <w:kern w:val="0"/>
                <w:sz w:val="18"/>
                <w:szCs w:val="18"/>
                <w:highlight w:val="none"/>
                <w:lang w:val="en-US" w:eastAsia="zh-CN"/>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LED平板灯</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1200x300，36W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19.00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6</w:t>
            </w:r>
            <w:r>
              <w:rPr>
                <w:rFonts w:hint="eastAsia" w:ascii="宋体" w:hAnsi="宋体" w:cs="宋体"/>
                <w:color w:val="auto"/>
                <w:kern w:val="0"/>
                <w:sz w:val="18"/>
                <w:szCs w:val="18"/>
                <w:highlight w:val="none"/>
                <w:lang w:val="en-US" w:eastAsia="zh-CN"/>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LED净化平板灯</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600x600，40W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96.00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6</w:t>
            </w:r>
            <w:r>
              <w:rPr>
                <w:rFonts w:hint="eastAsia" w:ascii="宋体" w:hAnsi="宋体" w:cs="宋体"/>
                <w:color w:val="auto"/>
                <w:kern w:val="0"/>
                <w:sz w:val="18"/>
                <w:szCs w:val="18"/>
                <w:highlight w:val="none"/>
                <w:lang w:val="en-US" w:eastAsia="zh-CN"/>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LED气密净化灯盘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1200x300,40W</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36.00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6</w:t>
            </w:r>
            <w:r>
              <w:rPr>
                <w:rFonts w:hint="eastAsia" w:ascii="宋体" w:hAnsi="宋体" w:cs="宋体"/>
                <w:color w:val="auto"/>
                <w:kern w:val="0"/>
                <w:sz w:val="18"/>
                <w:szCs w:val="18"/>
                <w:highlight w:val="none"/>
                <w:lang w:val="en-US" w:eastAsia="zh-CN"/>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LED气密净化灯盘（应急）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1200x300,40W，带应急，时间不少于90min </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22.00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r>
              <w:rPr>
                <w:rFonts w:hint="eastAsia" w:ascii="宋体" w:hAnsi="宋体" w:cs="宋体"/>
                <w:color w:val="auto"/>
                <w:kern w:val="0"/>
                <w:sz w:val="18"/>
                <w:szCs w:val="18"/>
                <w:highlight w:val="none"/>
                <w:lang w:val="en-US" w:eastAsia="zh-CN"/>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单联单控开关</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10A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16.00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69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双联单控开关</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10A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7</w:t>
            </w:r>
            <w:r>
              <w:rPr>
                <w:rFonts w:hint="eastAsia" w:ascii="宋体" w:hAnsi="宋体" w:cs="宋体"/>
                <w:color w:val="auto"/>
                <w:kern w:val="0"/>
                <w:sz w:val="18"/>
                <w:szCs w:val="18"/>
                <w:highlight w:val="none"/>
                <w:lang w:val="en-US" w:eastAsia="zh-CN"/>
              </w:rPr>
              <w:t>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三联单控开关</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10A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7</w:t>
            </w:r>
            <w:r>
              <w:rPr>
                <w:rFonts w:hint="eastAsia" w:ascii="宋体" w:hAnsi="宋体" w:cs="宋体"/>
                <w:color w:val="auto"/>
                <w:kern w:val="0"/>
                <w:sz w:val="18"/>
                <w:szCs w:val="18"/>
                <w:highlight w:val="none"/>
                <w:lang w:val="en-US" w:eastAsia="zh-CN"/>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单联双控开关</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10A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18.00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7</w:t>
            </w:r>
            <w:r>
              <w:rPr>
                <w:rFonts w:hint="eastAsia" w:ascii="宋体" w:hAnsi="宋体" w:cs="宋体"/>
                <w:color w:val="auto"/>
                <w:kern w:val="0"/>
                <w:sz w:val="18"/>
                <w:szCs w:val="18"/>
                <w:highlight w:val="none"/>
                <w:lang w:val="en-US" w:eastAsia="zh-CN"/>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三联智能控制面板</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10A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7</w:t>
            </w:r>
            <w:r>
              <w:rPr>
                <w:rFonts w:hint="eastAsia" w:ascii="宋体" w:hAnsi="宋体" w:cs="宋体"/>
                <w:color w:val="auto"/>
                <w:kern w:val="0"/>
                <w:sz w:val="18"/>
                <w:szCs w:val="18"/>
                <w:highlight w:val="none"/>
                <w:lang w:val="en-US" w:eastAsia="zh-CN"/>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单相五孔插座</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10A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70.00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7</w:t>
            </w:r>
            <w:r>
              <w:rPr>
                <w:rFonts w:hint="eastAsia" w:ascii="宋体" w:hAnsi="宋体" w:cs="宋体"/>
                <w:color w:val="auto"/>
                <w:kern w:val="0"/>
                <w:sz w:val="18"/>
                <w:szCs w:val="18"/>
                <w:highlight w:val="none"/>
                <w:lang w:val="en-US" w:eastAsia="zh-CN"/>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单相三孔插座</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16A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7</w:t>
            </w:r>
            <w:r>
              <w:rPr>
                <w:rFonts w:hint="eastAsia" w:ascii="宋体" w:hAnsi="宋体" w:cs="宋体"/>
                <w:color w:val="auto"/>
                <w:kern w:val="0"/>
                <w:sz w:val="18"/>
                <w:szCs w:val="18"/>
                <w:highlight w:val="none"/>
                <w:lang w:val="en-US" w:eastAsia="zh-CN"/>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单相五孔防水插座</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10A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7</w:t>
            </w:r>
            <w:r>
              <w:rPr>
                <w:rFonts w:hint="eastAsia" w:ascii="宋体" w:hAnsi="宋体" w:cs="宋体"/>
                <w:color w:val="auto"/>
                <w:kern w:val="0"/>
                <w:sz w:val="18"/>
                <w:szCs w:val="18"/>
                <w:highlight w:val="none"/>
                <w:lang w:val="en-US" w:eastAsia="zh-CN"/>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地面五孔插座</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250V 10A</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7</w:t>
            </w:r>
            <w:r>
              <w:rPr>
                <w:rFonts w:hint="eastAsia" w:ascii="宋体" w:hAnsi="宋体" w:cs="宋体"/>
                <w:color w:val="auto"/>
                <w:kern w:val="0"/>
                <w:sz w:val="18"/>
                <w:szCs w:val="18"/>
                <w:highlight w:val="none"/>
                <w:lang w:val="en-US" w:eastAsia="zh-CN"/>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接线盒、开关盒</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86型</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350.00 </w:t>
            </w:r>
          </w:p>
        </w:tc>
      </w:tr>
      <w:tr>
        <w:tblPrEx>
          <w:tblCellMar>
            <w:top w:w="0" w:type="dxa"/>
            <w:left w:w="108" w:type="dxa"/>
            <w:bottom w:w="0" w:type="dxa"/>
            <w:right w:w="108" w:type="dxa"/>
          </w:tblCellMar>
        </w:tblPrEx>
        <w:trPr>
          <w:trHeight w:val="499" w:hRule="atLeast"/>
        </w:trPr>
        <w:tc>
          <w:tcPr>
            <w:tcW w:w="819" w:type="dxa"/>
            <w:tcBorders>
              <w:top w:val="nil"/>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color w:val="auto"/>
                <w:sz w:val="18"/>
                <w:szCs w:val="18"/>
                <w:highlight w:val="none"/>
                <w:lang w:eastAsia="zh-CN"/>
              </w:rPr>
            </w:pPr>
            <w:r>
              <w:rPr>
                <w:rFonts w:hint="eastAsia" w:ascii="宋体" w:hAnsi="宋体" w:cs="宋体"/>
                <w:color w:val="auto"/>
                <w:kern w:val="0"/>
                <w:sz w:val="18"/>
                <w:szCs w:val="18"/>
                <w:highlight w:val="none"/>
              </w:rPr>
              <w:t>7</w:t>
            </w:r>
            <w:r>
              <w:rPr>
                <w:rFonts w:hint="eastAsia" w:ascii="宋体" w:hAnsi="宋体" w:cs="宋体"/>
                <w:color w:val="auto"/>
                <w:kern w:val="0"/>
                <w:sz w:val="18"/>
                <w:szCs w:val="18"/>
                <w:highlight w:val="none"/>
                <w:lang w:val="en-US" w:eastAsia="zh-CN"/>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等电位端子箱、 测试板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局部等电位箱</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36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四</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弱电系统</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b/>
                <w:bCs/>
                <w:color w:val="auto"/>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宋体" w:hAnsi="宋体" w:cs="宋体"/>
                <w:b/>
                <w:bCs/>
                <w:color w:val="auto"/>
                <w:sz w:val="20"/>
                <w:szCs w:val="20"/>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宋体" w:hAnsi="宋体" w:cs="宋体"/>
                <w:b/>
                <w:bCs/>
                <w:color w:val="auto"/>
                <w:sz w:val="20"/>
                <w:szCs w:val="20"/>
                <w:highlight w:val="none"/>
              </w:rPr>
            </w:pPr>
          </w:p>
        </w:tc>
      </w:tr>
      <w:tr>
        <w:tblPrEx>
          <w:tblCellMar>
            <w:top w:w="0" w:type="dxa"/>
            <w:left w:w="108" w:type="dxa"/>
            <w:bottom w:w="0" w:type="dxa"/>
            <w:right w:w="108" w:type="dxa"/>
          </w:tblCellMar>
        </w:tblPrEx>
        <w:trPr>
          <w:trHeight w:val="55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18"/>
                <w:szCs w:val="18"/>
                <w:highlight w:val="none"/>
              </w:rPr>
            </w:pPr>
            <w:r>
              <w:rPr>
                <w:rFonts w:hint="eastAsia" w:ascii="宋体" w:hAnsi="宋体" w:cs="宋体"/>
                <w:b/>
                <w:bCs/>
                <w:color w:val="auto"/>
                <w:kern w:val="0"/>
                <w:sz w:val="18"/>
                <w:szCs w:val="18"/>
                <w:highlight w:val="none"/>
              </w:rPr>
              <w:t>（一）</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b/>
                <w:bCs/>
                <w:color w:val="auto"/>
                <w:sz w:val="18"/>
                <w:szCs w:val="18"/>
                <w:highlight w:val="none"/>
              </w:rPr>
            </w:pPr>
            <w:r>
              <w:rPr>
                <w:rFonts w:hint="eastAsia" w:ascii="宋体" w:hAnsi="宋体" w:cs="宋体"/>
                <w:b/>
                <w:bCs/>
                <w:color w:val="auto"/>
                <w:kern w:val="0"/>
                <w:sz w:val="18"/>
                <w:szCs w:val="18"/>
                <w:highlight w:val="none"/>
              </w:rPr>
              <w:t>三层中心供应室</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hAnsi="宋体" w:cs="宋体"/>
                <w:b/>
                <w:bCs/>
                <w:color w:val="auto"/>
                <w:sz w:val="18"/>
                <w:szCs w:val="18"/>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auto"/>
                <w:sz w:val="18"/>
                <w:szCs w:val="18"/>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right"/>
              <w:rPr>
                <w:rFonts w:ascii="宋体" w:hAnsi="宋体" w:cs="宋体"/>
                <w:color w:val="auto"/>
                <w:sz w:val="18"/>
                <w:szCs w:val="18"/>
                <w:highlight w:val="none"/>
              </w:rPr>
            </w:pP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b/>
                <w:bCs/>
                <w:color w:val="auto"/>
                <w:sz w:val="20"/>
                <w:szCs w:val="20"/>
                <w:highlight w:val="none"/>
              </w:rPr>
            </w:pP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综合布线系统</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（不含弱电机房设备）</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color w:val="auto"/>
                <w:sz w:val="20"/>
                <w:szCs w:val="20"/>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信息插座</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*1.单口信息网络面板</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信息插座</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*1.单口电话面板</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信息插座</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*1.双口网络面板</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无线AP</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*1.无线AP </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配线</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*1.六类四对非屏蔽双绞线</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2344.30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跳线</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*1.2米六类非屏蔽跳线</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根</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58.00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配管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*1.砖、混凝土结构明配钢管JDG20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307.02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桥架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*1.金属桥架安装 200×100 </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11.90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桥架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*1.金属桥架安装 300×100 </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63.07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铁构件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*1.桥架支架制作安装</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kg</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71.40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b/>
                <w:bCs/>
                <w:color w:val="auto"/>
                <w:sz w:val="20"/>
                <w:szCs w:val="20"/>
                <w:highlight w:val="none"/>
              </w:rPr>
            </w:pP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视频安防监控系统</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color w:val="auto"/>
                <w:sz w:val="20"/>
                <w:szCs w:val="20"/>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监控摄像设备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*1.半球摄像机DS-2CD3325-I </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15.00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配线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*1.六类四对非屏蔽双绞线</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736.61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配线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*1.管内穿线WDZB-RYY-2x1.0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736.61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配管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*1.砖、混凝土结构暗配钢管JDG25</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88.06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b/>
                <w:bCs/>
                <w:color w:val="auto"/>
                <w:sz w:val="18"/>
                <w:szCs w:val="18"/>
                <w:highlight w:val="none"/>
              </w:rPr>
            </w:pP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b/>
                <w:bCs/>
                <w:color w:val="auto"/>
                <w:sz w:val="18"/>
                <w:szCs w:val="18"/>
                <w:highlight w:val="none"/>
              </w:rPr>
            </w:pPr>
            <w:r>
              <w:rPr>
                <w:rFonts w:hint="eastAsia" w:ascii="宋体" w:hAnsi="宋体" w:cs="宋体"/>
                <w:b/>
                <w:bCs/>
                <w:color w:val="auto"/>
                <w:kern w:val="0"/>
                <w:sz w:val="18"/>
                <w:szCs w:val="18"/>
                <w:highlight w:val="none"/>
              </w:rPr>
              <w:t>门禁系统</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cs="宋体"/>
                <w:color w:val="auto"/>
                <w:sz w:val="18"/>
                <w:szCs w:val="18"/>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cs="宋体"/>
                <w:b/>
                <w:bCs/>
                <w:color w:val="auto"/>
                <w:sz w:val="18"/>
                <w:szCs w:val="18"/>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18"/>
                <w:szCs w:val="18"/>
                <w:highlight w:val="none"/>
              </w:rPr>
            </w:pP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门禁控制器</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*1.双门门禁控制器</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门禁控制器</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*1.四门门禁控制器</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单门磁力锁</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*1.单门磁力锁</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把</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双门磁力锁</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*1.双门磁力锁</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把</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读卡器</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*1.密码，刷卡功能</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6.00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出门按钮</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*1.出门按钮</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6.00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门禁电源</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*1.门禁专用电源</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发卡器</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*1.发卡器</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配线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*1.六类四对非屏蔽双绞线</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23.80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电源线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*1.管内穿线WDZB-RYY-2x1.0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543.83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控制线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*1.管内穿线WDZB-RYYSP-2x1.0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270.13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控制线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*1.管内穿线RWDZB-RYY-4x1.0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274.89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配管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*1.砖、混凝土结构暗配钢管JDG20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61.88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配管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*1.砖、混凝土结构暗配钢管JDG25</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29.75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（二）</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四层手术室</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b/>
                <w:bCs/>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color w:val="auto"/>
                <w:sz w:val="20"/>
                <w:szCs w:val="20"/>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r>
      <w:tr>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综合布线系统</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（不含弱电机房设备）</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color w:val="auto"/>
                <w:sz w:val="20"/>
                <w:szCs w:val="20"/>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信息插座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*1.单口信息网络面板</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信息插座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*1.单口电话面板</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信息插座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*1.双口网络面板</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15.00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电视插座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*1.电视点(数据接口+TV圆口)</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无线AP</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*1.无线AP </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11.00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跳线</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*1.2米六类非屏蔽跳线</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根</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94.00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配线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*1.六类四对非屏蔽双绞线</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4217.36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配线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*1.WDZB-SYWV-75-5</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146.37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配管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*1.砖、混凝土结构明配钢管JDG20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398.65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桥架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*1.金属桥架安装 100×100 </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10.71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桥架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*1.金属桥架安装 300×100 </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72.59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铁构件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*1.桥架支架制作安装</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kg</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83.30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b/>
                <w:bCs/>
                <w:color w:val="auto"/>
                <w:sz w:val="20"/>
                <w:szCs w:val="20"/>
                <w:highlight w:val="none"/>
              </w:rPr>
            </w:pP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视频安防监控系统</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color w:val="auto"/>
                <w:sz w:val="20"/>
                <w:szCs w:val="20"/>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监控摄像设备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*1.半球摄像机DS-2CD3325-I </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19.00 </w:t>
            </w:r>
          </w:p>
        </w:tc>
      </w:tr>
      <w:tr>
        <w:tblPrEx>
          <w:tblCellMar>
            <w:top w:w="0" w:type="dxa"/>
            <w:left w:w="108" w:type="dxa"/>
            <w:bottom w:w="0" w:type="dxa"/>
            <w:right w:w="108" w:type="dxa"/>
          </w:tblCellMar>
        </w:tblPrEx>
        <w:trPr>
          <w:trHeight w:val="585"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监控摄像设备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*1.半球摄像机，带拾音器，含授权</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录像设备</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*1.网络硬盘录像机32路安装DS-8816N-R8 </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交换机</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*1.POE交换机24路安装DS-3E0318P-E/M</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显示设备</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*1.液晶显示器22寸安装调试DS-D5022QD-S</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组件（卡件）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*1.硬盘6TB</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配线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*1.六类四对非屏蔽双绞线</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988.89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信号线</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*1.管内穿线WDZB-RYYP-2x0.5</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11.90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电源线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*1.管内穿线WDZB-RYY-2x1.0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1074.57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配管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*1.砖、混凝土结构暗配钢管JDG20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22.61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配管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*1.砖、混凝土结构暗配钢管JDG25</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153.51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b/>
                <w:bCs/>
                <w:color w:val="auto"/>
                <w:sz w:val="20"/>
                <w:szCs w:val="20"/>
                <w:highlight w:val="none"/>
              </w:rPr>
            </w:pP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护士呼叫系统</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color w:val="auto"/>
                <w:sz w:val="20"/>
                <w:szCs w:val="20"/>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护士呼叫主机</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*1.护士呼叫主机</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护士呼叫分机</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*1.护士呼叫分机</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双面显示屏</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*1.呼叫系统双面显示屏</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模数转换器</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cs="宋体"/>
                <w:color w:val="auto"/>
                <w:sz w:val="18"/>
                <w:szCs w:val="18"/>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配线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*1.六类四对非屏蔽双绞线</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71.40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信号线</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*1.管内穿线WDZB-RYY-3x1.5</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105.91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配管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*1.砖、混凝土结构暗配钢管JDG20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36.89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b/>
                <w:bCs/>
                <w:color w:val="auto"/>
                <w:sz w:val="20"/>
                <w:szCs w:val="20"/>
                <w:highlight w:val="none"/>
              </w:rPr>
            </w:pP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背景音乐系统</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color w:val="auto"/>
                <w:sz w:val="20"/>
                <w:szCs w:val="20"/>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r>
      <w:tr>
        <w:tblPrEx>
          <w:tblCellMar>
            <w:top w:w="0" w:type="dxa"/>
            <w:left w:w="108" w:type="dxa"/>
            <w:bottom w:w="0" w:type="dxa"/>
            <w:right w:w="108" w:type="dxa"/>
          </w:tblCellMar>
        </w:tblPrEx>
        <w:trPr>
          <w:trHeight w:val="3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背景音乐广播</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*1.背景音乐广播25W吸顶安装 DSPPA DSP505 防火6-10W</w:t>
            </w:r>
          </w:p>
        </w:tc>
        <w:tc>
          <w:tcPr>
            <w:tcW w:w="975" w:type="dxa"/>
            <w:tcBorders>
              <w:top w:val="single" w:color="000000" w:sz="4" w:space="0"/>
              <w:left w:val="single" w:color="000000" w:sz="4" w:space="0"/>
              <w:bottom w:val="single" w:color="000000" w:sz="4" w:space="0"/>
              <w:right w:val="nil"/>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背景音乐系统设备</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*1.带前置的广播功放安装  MP600PII</w:t>
            </w:r>
          </w:p>
        </w:tc>
        <w:tc>
          <w:tcPr>
            <w:tcW w:w="975" w:type="dxa"/>
            <w:tcBorders>
              <w:top w:val="single" w:color="000000" w:sz="4" w:space="0"/>
              <w:left w:val="single" w:color="000000" w:sz="4" w:space="0"/>
              <w:bottom w:val="single" w:color="000000" w:sz="4" w:space="0"/>
              <w:right w:val="nil"/>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扩声系统设备</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*1.音量强插控制器 WH-E1F</w:t>
            </w:r>
          </w:p>
        </w:tc>
        <w:tc>
          <w:tcPr>
            <w:tcW w:w="975" w:type="dxa"/>
            <w:tcBorders>
              <w:top w:val="single" w:color="000000" w:sz="4" w:space="0"/>
              <w:left w:val="single" w:color="000000" w:sz="4" w:space="0"/>
              <w:bottom w:val="single" w:color="000000" w:sz="4" w:space="0"/>
              <w:right w:val="nil"/>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机柜、机架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*1.机柜，落地式安装 MP1110</w:t>
            </w:r>
          </w:p>
        </w:tc>
        <w:tc>
          <w:tcPr>
            <w:tcW w:w="975" w:type="dxa"/>
            <w:tcBorders>
              <w:top w:val="single" w:color="000000" w:sz="4" w:space="0"/>
              <w:left w:val="single" w:color="000000" w:sz="4" w:space="0"/>
              <w:bottom w:val="single" w:color="000000" w:sz="4" w:space="0"/>
              <w:right w:val="nil"/>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报警发生器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*1.报警发生器 MP9815E</w:t>
            </w:r>
          </w:p>
        </w:tc>
        <w:tc>
          <w:tcPr>
            <w:tcW w:w="975" w:type="dxa"/>
            <w:tcBorders>
              <w:top w:val="single" w:color="000000" w:sz="4" w:space="0"/>
              <w:left w:val="single" w:color="000000" w:sz="4" w:space="0"/>
              <w:bottom w:val="single" w:color="000000" w:sz="4" w:space="0"/>
              <w:right w:val="nil"/>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扩声系统设备</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*1.DVD机安装 MP9807C</w:t>
            </w:r>
          </w:p>
        </w:tc>
        <w:tc>
          <w:tcPr>
            <w:tcW w:w="975" w:type="dxa"/>
            <w:tcBorders>
              <w:top w:val="single" w:color="000000" w:sz="4" w:space="0"/>
              <w:left w:val="single" w:color="000000" w:sz="4" w:space="0"/>
              <w:bottom w:val="single" w:color="000000" w:sz="4" w:space="0"/>
              <w:right w:val="nil"/>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扩声系统设备</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*1.话筒,EC200</w:t>
            </w:r>
          </w:p>
        </w:tc>
        <w:tc>
          <w:tcPr>
            <w:tcW w:w="975" w:type="dxa"/>
            <w:tcBorders>
              <w:top w:val="single" w:color="000000" w:sz="4" w:space="0"/>
              <w:left w:val="single" w:color="000000" w:sz="4" w:space="0"/>
              <w:bottom w:val="single" w:color="000000" w:sz="4" w:space="0"/>
              <w:right w:val="nil"/>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信号线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*1.管内穿线WDZB-RYS-2x1.5</w:t>
            </w:r>
          </w:p>
        </w:tc>
        <w:tc>
          <w:tcPr>
            <w:tcW w:w="975" w:type="dxa"/>
            <w:tcBorders>
              <w:top w:val="single" w:color="000000" w:sz="4" w:space="0"/>
              <w:left w:val="single" w:color="000000" w:sz="4" w:space="0"/>
              <w:bottom w:val="single" w:color="000000" w:sz="4" w:space="0"/>
              <w:right w:val="nil"/>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380.80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配管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*1.砖、混凝土结构暗配钢管JDG20</w:t>
            </w:r>
          </w:p>
        </w:tc>
        <w:tc>
          <w:tcPr>
            <w:tcW w:w="975" w:type="dxa"/>
            <w:tcBorders>
              <w:top w:val="single" w:color="000000" w:sz="4" w:space="0"/>
              <w:left w:val="single" w:color="000000" w:sz="4" w:space="0"/>
              <w:bottom w:val="single" w:color="000000" w:sz="4" w:space="0"/>
              <w:right w:val="nil"/>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267.75 </w:t>
            </w:r>
          </w:p>
        </w:tc>
      </w:tr>
      <w:tr>
        <w:tblPrEx>
          <w:tblCellMar>
            <w:top w:w="0" w:type="dxa"/>
            <w:left w:w="108" w:type="dxa"/>
            <w:bottom w:w="0" w:type="dxa"/>
            <w:right w:w="108" w:type="dxa"/>
          </w:tblCellMar>
        </w:tblPrEx>
        <w:trPr>
          <w:trHeight w:val="39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b/>
                <w:bCs/>
                <w:color w:val="auto"/>
                <w:sz w:val="20"/>
                <w:szCs w:val="20"/>
                <w:highlight w:val="none"/>
              </w:rPr>
            </w:pP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对讲系统</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cs="宋体"/>
                <w:b/>
                <w:bCs/>
                <w:color w:val="auto"/>
                <w:sz w:val="20"/>
                <w:szCs w:val="20"/>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可视对讲主机</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*1.彩色可视室内对讲分机 DS-KH8520-C</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1.00 </w:t>
            </w:r>
          </w:p>
        </w:tc>
      </w:tr>
      <w:tr>
        <w:tblPrEx>
          <w:tblCellMar>
            <w:top w:w="0" w:type="dxa"/>
            <w:left w:w="108" w:type="dxa"/>
            <w:bottom w:w="0" w:type="dxa"/>
            <w:right w:w="108"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可视对讲门禁机</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*1.含彩色可视对讲门口机、感应卡密码门禁机、电源控制器等一套设备 DS-KV8402-1A</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1.00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门禁控制器</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*1.四门门禁控制器</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3.00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单门磁力锁</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*1.单门磁力锁</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把</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5.00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双门磁力锁</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*1.双门磁力锁</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把</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4.00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读卡器</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*1.密码，刷卡功能</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9.00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出门按钮</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*1.出门按钮</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10.00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门禁电源</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*1.门禁专用电源</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3.00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配线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*1.六类四对非屏蔽双绞线</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130.90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电源线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*1.管内穿线WDZB-RYY-2x1.0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881.79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控制线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*1.管内穿线WDZB-RYYSP-2x1.0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461.72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控制线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*1.管内穿线RWDZB-RYY-4x1.0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422.45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配管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*1.砖、混凝土结构暗配钢管JDG20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109.48 </w:t>
            </w:r>
          </w:p>
        </w:tc>
      </w:tr>
      <w:tr>
        <w:tblPrEx>
          <w:tblCellMar>
            <w:top w:w="0" w:type="dxa"/>
            <w:left w:w="108" w:type="dxa"/>
            <w:bottom w:w="0" w:type="dxa"/>
            <w:right w:w="108" w:type="dxa"/>
          </w:tblCellMar>
        </w:tblPrEx>
        <w:trPr>
          <w:trHeight w:val="3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配管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*1.砖、混凝土结构暗配钢管JDG25</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20"/>
                <w:szCs w:val="20"/>
                <w:highlight w:val="none"/>
              </w:rPr>
            </w:pPr>
            <w:r>
              <w:rPr>
                <w:rFonts w:hint="eastAsia" w:ascii="宋体" w:hAnsi="宋体" w:cs="宋体"/>
                <w:color w:val="auto"/>
                <w:kern w:val="0"/>
                <w:sz w:val="20"/>
                <w:szCs w:val="20"/>
                <w:highlight w:val="none"/>
              </w:rPr>
              <w:t xml:space="preserve">51.17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五</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给排水系统</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color w:val="auto"/>
                <w:sz w:val="20"/>
                <w:szCs w:val="20"/>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r>
      <w:tr>
        <w:tblPrEx>
          <w:tblCellMar>
            <w:top w:w="0" w:type="dxa"/>
            <w:left w:w="108" w:type="dxa"/>
            <w:bottom w:w="0" w:type="dxa"/>
            <w:right w:w="108" w:type="dxa"/>
          </w:tblCellMar>
        </w:tblPrEx>
        <w:trPr>
          <w:trHeight w:val="49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（一）</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三层中心供应室</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color w:val="auto"/>
                <w:sz w:val="20"/>
                <w:szCs w:val="20"/>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r>
      <w:tr>
        <w:tblPrEx>
          <w:tblCellMar>
            <w:top w:w="0" w:type="dxa"/>
            <w:left w:w="108" w:type="dxa"/>
            <w:bottom w:w="0" w:type="dxa"/>
            <w:right w:w="108" w:type="dxa"/>
          </w:tblCellMar>
        </w:tblPrEx>
        <w:trPr>
          <w:trHeight w:val="1125"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薄壁不锈钢管(含管件)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*1.薄壁不锈钢管(含管件)</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*2.冷热水</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*3.DN15</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*4.卡压连接</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*5.管道消毒、冲洗、试压</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27.75 </w:t>
            </w:r>
          </w:p>
        </w:tc>
      </w:tr>
      <w:tr>
        <w:tblPrEx>
          <w:tblCellMar>
            <w:top w:w="0" w:type="dxa"/>
            <w:left w:w="108" w:type="dxa"/>
            <w:bottom w:w="0" w:type="dxa"/>
            <w:right w:w="108" w:type="dxa"/>
          </w:tblCellMar>
        </w:tblPrEx>
        <w:trPr>
          <w:trHeight w:val="1125"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薄壁不锈钢管(含管件)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*1.薄壁不锈钢管(含管件)</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*2.冷热水</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*3.DN25</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*4.卡压连接</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*5.管道消毒、冲洗、试压</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48.84 </w:t>
            </w:r>
          </w:p>
        </w:tc>
      </w:tr>
      <w:tr>
        <w:tblPrEx>
          <w:tblCellMar>
            <w:top w:w="0" w:type="dxa"/>
            <w:left w:w="108" w:type="dxa"/>
            <w:bottom w:w="0" w:type="dxa"/>
            <w:right w:w="108" w:type="dxa"/>
          </w:tblCellMar>
        </w:tblPrEx>
        <w:trPr>
          <w:trHeight w:val="1125"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薄壁不锈钢管(含管件)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*1.薄壁不锈钢管(含管件)</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*2.冷热水</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*3.DN32</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*4.卡压连接</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*5.管道消毒、冲洗、试压</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6.66 </w:t>
            </w:r>
          </w:p>
        </w:tc>
      </w:tr>
      <w:tr>
        <w:tblPrEx>
          <w:tblCellMar>
            <w:top w:w="0" w:type="dxa"/>
            <w:left w:w="108" w:type="dxa"/>
            <w:bottom w:w="0" w:type="dxa"/>
            <w:right w:w="108" w:type="dxa"/>
          </w:tblCellMar>
        </w:tblPrEx>
        <w:trPr>
          <w:trHeight w:val="1125"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薄壁不锈钢管(含管件)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*1.薄壁不锈钢管(含管件)</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*2.冷热水</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*3.DN40</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*4.卡压连接</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*5.管道消毒、冲洗、试压</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12.21 </w:t>
            </w:r>
          </w:p>
        </w:tc>
      </w:tr>
      <w:tr>
        <w:tblPrEx>
          <w:tblCellMar>
            <w:top w:w="0" w:type="dxa"/>
            <w:left w:w="108" w:type="dxa"/>
            <w:bottom w:w="0" w:type="dxa"/>
            <w:right w:w="108" w:type="dxa"/>
          </w:tblCellMar>
        </w:tblPrEx>
        <w:trPr>
          <w:trHeight w:val="1125"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薄壁不锈钢管(含管件)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*1.薄壁不锈钢管(含管件)</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*2.冷热水</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*3.DN65</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*4.卡压连接</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*5.管道消毒、冲洗、试压</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46.62 </w:t>
            </w:r>
          </w:p>
        </w:tc>
      </w:tr>
      <w:tr>
        <w:tblPrEx>
          <w:tblCellMar>
            <w:top w:w="0" w:type="dxa"/>
            <w:left w:w="108" w:type="dxa"/>
            <w:bottom w:w="0" w:type="dxa"/>
            <w:right w:w="108" w:type="dxa"/>
          </w:tblCellMar>
        </w:tblPrEx>
        <w:trPr>
          <w:trHeight w:val="1125"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薄壁不锈钢管(含管件)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*1.薄壁不锈钢管(含管件)</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*2.冷热水</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*3.DN80</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*4.卡压连接</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*5.管道消毒、冲洗、试压</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22.20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螺纹阀门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*1.全铜截止阀DN40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螺纹阀门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*1.全铜截止阀DN32</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螺纹阀门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*1.全铜截止阀DN25</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水龙头</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*1.DN15</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压力表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*1.不锈钢压力表</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W型柔性排水铸铁管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*1.DN50,卡箍连接</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64.38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W型柔性排水铸铁管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*1.DN75,卡箍连接</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17.76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W型柔性排水铸铁管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*1.DN100,卡箍连接</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17.76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304无缝不锈钢管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*1.DN25,焊接</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304无缝不锈钢管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*1.DN50,焊接</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35.52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17</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304无缝不锈钢管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*1.DN100,焊接</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28.86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18</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304无缝不锈钢管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*1.DN150,焊接</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26.64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19</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台下式感应洗脸盆</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*1.台下盆，配感应龙头、角阀软管等配件</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20</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立柱式感应洗脸盆</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*1.立柱盆，配感应龙头、角阀软管等配件</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污洗池</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*1.不锈钢单斗污洗池600*500 含水龙头，角阀软管等配件</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54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22</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蹲便器</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*1.脚踏式冲洗阀及冲洗管</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23</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储水式热水器</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*1.60L</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24</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给、排水 附（配）件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*1.地漏安装 DN50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9.00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*1.楼板打孔、套管制作安装DN50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27.00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26</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*1.楼板打孔、套管制作安装DN100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27</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打洞（孔）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*1.楼板开孔及封堵，孔径φ100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color w:val="auto"/>
                <w:sz w:val="20"/>
                <w:szCs w:val="20"/>
                <w:highlight w:val="none"/>
              </w:rPr>
            </w:pPr>
          </w:p>
        </w:tc>
        <w:tc>
          <w:tcPr>
            <w:tcW w:w="2850" w:type="dxa"/>
            <w:tcBorders>
              <w:top w:val="single" w:color="000000" w:sz="4" w:space="0"/>
              <w:left w:val="nil"/>
              <w:bottom w:val="single" w:color="000000" w:sz="4" w:space="0"/>
              <w:right w:val="single" w:color="000000" w:sz="4" w:space="0"/>
            </w:tcBorders>
            <w:shd w:val="clear" w:color="auto" w:fill="FFFFFF"/>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纯水部分</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color w:val="auto"/>
                <w:sz w:val="20"/>
                <w:szCs w:val="20"/>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nil"/>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卫生级304不锈钢管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*1.DN20,焊接</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44.40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nil"/>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卫生级305不锈钢管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*1.DN25,焊接</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6.66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nil"/>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卫生级306不锈钢管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*1.DN32,焊接</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28.86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nil"/>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卫生级不锈钢球阀</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*1.DN20,焊接</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8.00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nil"/>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卫生级不锈钢球阀</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*1.DN25,焊接</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nil"/>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卫生级不锈钢球阀</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*1.DN32,焊接</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压力表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*1.不锈钢压力表</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304不锈钢弯头</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*1.DN20,焊接</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304不锈钢弯头</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*1.DN32,焊接</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304不锈钢三通</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*1.DN25,焊接</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305不锈钢三通</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*1.DN32,焊接</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306不锈钢三通</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*1.DN32xDN20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307不锈钢三通</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*1.DN32xDN25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308不锈钢三通</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*1.DN25xDN20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308不锈钢变径</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*1.DN32xDN25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308不锈钢变径</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*1.DN25xDN20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color w:val="auto"/>
                <w:sz w:val="20"/>
                <w:szCs w:val="20"/>
                <w:highlight w:val="none"/>
              </w:rPr>
            </w:pPr>
          </w:p>
        </w:tc>
        <w:tc>
          <w:tcPr>
            <w:tcW w:w="2850" w:type="dxa"/>
            <w:tcBorders>
              <w:top w:val="single" w:color="000000" w:sz="4" w:space="0"/>
              <w:left w:val="nil"/>
              <w:bottom w:val="single" w:color="000000" w:sz="4" w:space="0"/>
              <w:right w:val="single" w:color="000000" w:sz="4" w:space="0"/>
            </w:tcBorders>
            <w:shd w:val="clear" w:color="auto" w:fill="FFFFFF"/>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蒸汽部分</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304无缝不锈钢管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*1.DN15,焊接</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13.32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304无缝不锈钢管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*1.DN25,焊接</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21.05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304无缝不锈钢管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*1.DN50,焊接</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26.14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蒸汽不锈钢截止阀</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*1.DN25,焊接</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蒸汽不锈钢截止阀</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*1.DN50,焊接</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不锈钢蒸汽减压阀</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*1.DN50,焊接</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不锈钢蒸汽过滤器</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*1.DN50,焊接</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压力表</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*1.不锈钢压力表</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9.00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疏水阀组</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*1.DN15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304不锈钢弯头</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*1.DN25,焊接</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11.00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304不锈钢弯头</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*1.DN50,焊接</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304不锈钢变径</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*1.DN50xDN25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304不锈钢变径</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*1.DN25xDN15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304不锈钢三通</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*1.DN25,焊接</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304不锈钢三通</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*1.DN50,焊接</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304不锈钢三通</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*1.DN50xDN25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17</w:t>
            </w:r>
          </w:p>
        </w:tc>
        <w:tc>
          <w:tcPr>
            <w:tcW w:w="2850" w:type="dxa"/>
            <w:tcBorders>
              <w:top w:val="single" w:color="000000" w:sz="4" w:space="0"/>
              <w:left w:val="nil"/>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离心玻璃棉保温带筋铝箔</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*1.保温厚度40mm</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m3</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0.67 </w:t>
            </w:r>
          </w:p>
        </w:tc>
      </w:tr>
      <w:tr>
        <w:tblPrEx>
          <w:tblCellMar>
            <w:top w:w="0" w:type="dxa"/>
            <w:left w:w="108" w:type="dxa"/>
            <w:bottom w:w="0" w:type="dxa"/>
            <w:right w:w="108" w:type="dxa"/>
          </w:tblCellMar>
        </w:tblPrEx>
        <w:trPr>
          <w:trHeight w:val="49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（二）</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四层手术室</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color w:val="auto"/>
                <w:sz w:val="20"/>
                <w:szCs w:val="20"/>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r>
      <w:tr>
        <w:tblPrEx>
          <w:tblCellMar>
            <w:top w:w="0" w:type="dxa"/>
            <w:left w:w="108" w:type="dxa"/>
            <w:bottom w:w="0" w:type="dxa"/>
            <w:right w:w="108" w:type="dxa"/>
          </w:tblCellMar>
        </w:tblPrEx>
        <w:trPr>
          <w:trHeight w:val="1125"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薄壁不锈钢管(含管件)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*1.薄壁不锈钢管(含管件)</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*2.冷热水</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*3.DN15</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*4.卡压连接</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*5.管道消毒、冲洗、试压</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77.70 </w:t>
            </w:r>
          </w:p>
        </w:tc>
      </w:tr>
      <w:tr>
        <w:tblPrEx>
          <w:tblCellMar>
            <w:top w:w="0" w:type="dxa"/>
            <w:left w:w="108" w:type="dxa"/>
            <w:bottom w:w="0" w:type="dxa"/>
            <w:right w:w="108" w:type="dxa"/>
          </w:tblCellMar>
        </w:tblPrEx>
        <w:trPr>
          <w:trHeight w:val="1125"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薄壁不锈钢管(含管件)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*1.薄壁不锈钢管(含管件)</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*2.冷热水</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*3.DN20</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*4.卡压连接</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*5.管道消毒、冲洗、试压</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4.44 </w:t>
            </w:r>
          </w:p>
        </w:tc>
      </w:tr>
      <w:tr>
        <w:tblPrEx>
          <w:tblCellMar>
            <w:top w:w="0" w:type="dxa"/>
            <w:left w:w="108" w:type="dxa"/>
            <w:bottom w:w="0" w:type="dxa"/>
            <w:right w:w="108" w:type="dxa"/>
          </w:tblCellMar>
        </w:tblPrEx>
        <w:trPr>
          <w:trHeight w:val="1125"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薄壁不锈钢管(含管件)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*1.薄壁不锈钢管(含管件)</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*2.冷热水</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*3.DN25</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*4.卡压连接</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*5.管道消毒、冲洗、试压</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44.40 </w:t>
            </w:r>
          </w:p>
        </w:tc>
      </w:tr>
      <w:tr>
        <w:tblPrEx>
          <w:tblCellMar>
            <w:top w:w="0" w:type="dxa"/>
            <w:left w:w="108" w:type="dxa"/>
            <w:bottom w:w="0" w:type="dxa"/>
            <w:right w:w="108" w:type="dxa"/>
          </w:tblCellMar>
        </w:tblPrEx>
        <w:trPr>
          <w:trHeight w:val="1125"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薄壁不锈钢管(含管件)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*1.薄壁不锈钢管(含管件)</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*2.冷热水</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*3.DN32</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*4.卡压连接</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*5.管道消毒、冲洗、试压</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13.32 </w:t>
            </w:r>
          </w:p>
        </w:tc>
      </w:tr>
      <w:tr>
        <w:tblPrEx>
          <w:tblCellMar>
            <w:top w:w="0" w:type="dxa"/>
            <w:left w:w="108" w:type="dxa"/>
            <w:bottom w:w="0" w:type="dxa"/>
            <w:right w:w="108" w:type="dxa"/>
          </w:tblCellMar>
        </w:tblPrEx>
        <w:trPr>
          <w:trHeight w:val="1125"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薄壁不锈钢管(含管件)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*1.薄壁不锈钢管(含管件)</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*2.冷热水</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*3.DN40</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*4.卡压连接</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*5.管道消毒、冲洗、试压</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6.66 </w:t>
            </w:r>
          </w:p>
        </w:tc>
      </w:tr>
      <w:tr>
        <w:tblPrEx>
          <w:tblCellMar>
            <w:top w:w="0" w:type="dxa"/>
            <w:left w:w="108" w:type="dxa"/>
            <w:bottom w:w="0" w:type="dxa"/>
            <w:right w:w="108" w:type="dxa"/>
          </w:tblCellMar>
        </w:tblPrEx>
        <w:trPr>
          <w:trHeight w:val="1125"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薄壁不锈钢管(含管件)</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*1.薄壁不锈钢管(含管件)</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*2.冷热水</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*3.DN50</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*4.卡压连接</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*5.管道消毒、冲洗、试压</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73.26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螺纹阀门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*1.铜截止阀DN50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螺纹阀门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*1.铜截止阀DN40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螺纹阀门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*1.铜截止阀DN32</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螺纹阀门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*1.铜截止阀DN25</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W型柔性排水铸铁管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*1.DN50,卡箍连接</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53.28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W型柔性排水铸铁管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*1.DN75,卡箍连接</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42.18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W型柔性排水铸铁管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*1.DN100,卡箍连接</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31.08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水龙头</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*1.DN15</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台下式感应洗脸盆</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*1.台下盆，配感应式混合龙头、角阀软管等配件</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立柱式感应洗脸盆</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*1.立柱盆，配感应龙头、角阀软管等配件</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17</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污洗池</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*1.不锈钢单斗污洗池600*500 含水龙头，角阀软管等配件</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18</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器械清洗槽</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*1.不锈钢水槽1000*600，含水龙头，角阀软管等配件</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19</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坐便器</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*1.低水箱坐便器，角阀软管等配件</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20</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蹲便器</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*1.脚踏式冲洗阀及冲洗管</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小便器</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*1.小便器、感应式，含下水等配件</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22</w:t>
            </w:r>
          </w:p>
        </w:tc>
        <w:tc>
          <w:tcPr>
            <w:tcW w:w="2850" w:type="dxa"/>
            <w:tcBorders>
              <w:top w:val="nil"/>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淋浴器</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*1.含软管花洒,升降杆肥皂托等配件</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23</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储水式热水器</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*1.60L</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90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24</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四人位刷手池</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*1.四位医用不锈钢刷手池（洗手池采用优质不锈钢材料，池内边底均作圆弧处理，配置独立镜灯，并配非手动的感应或膝控水嘴、自动刷手器、感应皂液器）</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90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两人位刷手池</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*1.两位医用不锈钢刷手池（洗手池采用优质不锈钢材料，池内边底均作圆弧处理，配置独立镜灯，并配非手动的感应或膝控水嘴、自动刷手器、感应皂液器）</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54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26</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给、排水 附（配）件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*1.地漏安装 DN50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27</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*1.楼板打孔、套管制作安装DN100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18.00 </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28</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套管</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*1.楼板打孔、套管制作安装DN150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29</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打洞（孔）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*1.楼板开孔及封堵，孔径φ100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28.00 </w:t>
            </w: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（三）</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污水处理</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kern w:val="0"/>
                <w:sz w:val="18"/>
                <w:szCs w:val="18"/>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kern w:val="0"/>
                <w:sz w:val="18"/>
                <w:szCs w:val="18"/>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kern w:val="0"/>
                <w:sz w:val="18"/>
                <w:szCs w:val="18"/>
                <w:highlight w:val="none"/>
              </w:rPr>
            </w:pPr>
          </w:p>
        </w:tc>
      </w:tr>
      <w:tr>
        <w:tblPrEx>
          <w:tblCellMar>
            <w:top w:w="0" w:type="dxa"/>
            <w:left w:w="108" w:type="dxa"/>
            <w:bottom w:w="0" w:type="dxa"/>
            <w:right w:w="108"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bCs/>
                <w:color w:val="auto"/>
                <w:kern w:val="0"/>
                <w:sz w:val="20"/>
                <w:szCs w:val="20"/>
                <w:highlight w:val="none"/>
              </w:rPr>
            </w:pPr>
            <w:r>
              <w:rPr>
                <w:rFonts w:hint="eastAsia" w:ascii="宋体" w:hAnsi="宋体" w:cs="宋体"/>
                <w:bCs/>
                <w:color w:val="auto"/>
                <w:kern w:val="0"/>
                <w:sz w:val="20"/>
                <w:szCs w:val="20"/>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bCs/>
                <w:color w:val="auto"/>
                <w:kern w:val="0"/>
                <w:sz w:val="20"/>
                <w:szCs w:val="20"/>
                <w:highlight w:val="none"/>
              </w:rPr>
            </w:pPr>
            <w:r>
              <w:rPr>
                <w:rFonts w:hint="eastAsia" w:ascii="宋体" w:hAnsi="宋体" w:cs="宋体"/>
                <w:bCs/>
                <w:color w:val="auto"/>
                <w:kern w:val="0"/>
                <w:sz w:val="20"/>
                <w:szCs w:val="20"/>
                <w:highlight w:val="none"/>
              </w:rPr>
              <w:t>污水处理系统</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深化设计</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项</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w:t>
            </w:r>
          </w:p>
        </w:tc>
      </w:tr>
      <w:tr>
        <w:tblPrEx>
          <w:tblCellMar>
            <w:top w:w="0" w:type="dxa"/>
            <w:left w:w="108" w:type="dxa"/>
            <w:bottom w:w="0" w:type="dxa"/>
            <w:right w:w="108" w:type="dxa"/>
          </w:tblCellMar>
        </w:tblPrEx>
        <w:trPr>
          <w:trHeight w:val="492" w:hRule="atLeast"/>
        </w:trPr>
        <w:tc>
          <w:tcPr>
            <w:tcW w:w="81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六</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医用气体系统</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cs="宋体"/>
                <w:color w:val="auto"/>
                <w:sz w:val="20"/>
                <w:szCs w:val="20"/>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r>
      <w:tr>
        <w:tblPrEx>
          <w:tblCellMar>
            <w:top w:w="0" w:type="dxa"/>
            <w:left w:w="108" w:type="dxa"/>
            <w:bottom w:w="0" w:type="dxa"/>
            <w:right w:w="108" w:type="dxa"/>
          </w:tblCellMar>
        </w:tblPrEx>
        <w:trPr>
          <w:trHeight w:val="6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（一）</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一层急诊及主管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b/>
                <w:bCs/>
                <w:color w:val="auto"/>
                <w:sz w:val="22"/>
                <w:szCs w:val="22"/>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宋体" w:hAnsi="宋体" w:cs="宋体"/>
                <w:b/>
                <w:bCs/>
                <w:color w:val="auto"/>
                <w:sz w:val="22"/>
                <w:szCs w:val="22"/>
                <w:highlight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宋体" w:hAnsi="宋体" w:cs="宋体"/>
                <w:b/>
                <w:bCs/>
                <w:color w:val="auto"/>
                <w:sz w:val="22"/>
                <w:szCs w:val="22"/>
                <w:highlight w:val="none"/>
              </w:rPr>
            </w:pP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φ10×1.0*2.管道进行压力试验*3.管道泄漏性试验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98.78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φ12×1.0*2.管道进行压力试验*3.管道泄漏性试验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101.14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φ15×1.0*2.管道进行压力试验*3.管道泄漏性试验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59.98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φ22×1.2*2.管道进行压力试验*3.管道泄漏性试验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61.15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φ25×1.2*2.管道进行压力试验*3.管道泄漏性试验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29.40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φ28×1.5*2.管道进行压力试验*3.管道泄漏性试验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43.20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φ32×1.5*2.管道进行压力试验*3.管道泄漏性试验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97.20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φ35×1.5*2.管道进行压力试验*3.管道泄漏性试验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91.80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φ57×3.0*2.管道进行压力试验*3.管道泄漏性试验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43.20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φ65×3.0*2.管道进行压力试验*3.管道泄漏性试验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54.00 </w:t>
            </w:r>
          </w:p>
        </w:tc>
      </w:tr>
      <w:tr>
        <w:tblPrEx>
          <w:tblCellMar>
            <w:top w:w="0" w:type="dxa"/>
            <w:left w:w="108" w:type="dxa"/>
            <w:bottom w:w="0" w:type="dxa"/>
            <w:right w:w="108" w:type="dxa"/>
          </w:tblCellMar>
        </w:tblPrEx>
        <w:trPr>
          <w:trHeight w:val="600"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*1.铜球阀（连活接头）φ10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600"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*1.铜球阀（连活接头）φ12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600"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*1.铜球阀（连活接头）φ15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600"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*1.铜球阀（连活接头）φ22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600"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*1.铜球阀（连活接头）φ35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600"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*1.氧气终端（含插头与插座）</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16.00 </w:t>
            </w:r>
          </w:p>
        </w:tc>
      </w:tr>
      <w:tr>
        <w:tblPrEx>
          <w:tblCellMar>
            <w:top w:w="0" w:type="dxa"/>
            <w:left w:w="108" w:type="dxa"/>
            <w:bottom w:w="0" w:type="dxa"/>
            <w:right w:w="108" w:type="dxa"/>
          </w:tblCellMar>
        </w:tblPrEx>
        <w:trPr>
          <w:trHeight w:val="600"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*1.负压吸引终端（含插头与插座）</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16.00 </w:t>
            </w:r>
          </w:p>
        </w:tc>
      </w:tr>
      <w:tr>
        <w:tblPrEx>
          <w:tblCellMar>
            <w:top w:w="0" w:type="dxa"/>
            <w:left w:w="108" w:type="dxa"/>
            <w:bottom w:w="0" w:type="dxa"/>
            <w:right w:w="108" w:type="dxa"/>
          </w:tblCellMar>
        </w:tblPrEx>
        <w:trPr>
          <w:trHeight w:val="600"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*1.压缩空气终端（含插头与插座）</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8.00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医疗设备带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*1.豪华型铝合金设备带，静电喷塑工艺，设备带内强、 弱电及气体管道应分槽布置，含装饰罩，具体规格由业主定。</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23.40 </w:t>
            </w:r>
          </w:p>
        </w:tc>
      </w:tr>
      <w:tr>
        <w:tblPrEx>
          <w:tblCellMar>
            <w:top w:w="0" w:type="dxa"/>
            <w:left w:w="108" w:type="dxa"/>
            <w:bottom w:w="0" w:type="dxa"/>
            <w:right w:w="108" w:type="dxa"/>
          </w:tblCellMar>
        </w:tblPrEx>
        <w:trPr>
          <w:trHeight w:val="600"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阀门箱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*1.医用阀门箱 三气，O2、V、A安装</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600"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控制屏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*1.数字式压力报警装置 三气，O、V、A安装</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（二）</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三层中心供应室</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φ8×1.0*2.管道进行压力试验*3.管道泄漏性试验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181.10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φ10×1.0*2.管道进行压力试验*3.管道泄漏性试验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14.11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φ12×1.0*2.管道进行压力试验*3.管道泄漏性试验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113.60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φ15×1.0*2.管道进行压力试验*3.管道泄漏性试验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151.70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*1.铜球阀（连活接头）φ8</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*1.铜球阀（连活接头）φ10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*1.铜球阀（连活接头）φ12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*1.铜球阀（连活接头）φ15</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阀门箱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*1.医用阀门箱 三气，O2、V、A安装</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控制屏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*1.数字式压力报警装置 三气，O、V、A安装</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二级稳压箱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*1.压缩空气二级稳压箱</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压力表</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*1.不锈钢压力表</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（三）</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b/>
                <w:bCs/>
                <w:color w:val="auto"/>
                <w:sz w:val="20"/>
                <w:szCs w:val="20"/>
                <w:highlight w:val="none"/>
              </w:rPr>
            </w:pPr>
            <w:r>
              <w:rPr>
                <w:rFonts w:hint="eastAsia" w:ascii="宋体" w:hAnsi="宋体" w:cs="宋体"/>
                <w:b/>
                <w:bCs/>
                <w:color w:val="auto"/>
                <w:kern w:val="0"/>
                <w:sz w:val="20"/>
                <w:szCs w:val="20"/>
                <w:highlight w:val="none"/>
              </w:rPr>
              <w:t>四层手术室</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宋体" w:hAnsi="宋体" w:cs="宋体"/>
                <w:color w:val="auto"/>
                <w:sz w:val="20"/>
                <w:szCs w:val="20"/>
                <w:highlight w:val="none"/>
              </w:rPr>
            </w:pP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宋体" w:hAnsi="宋体" w:cs="宋体"/>
                <w:color w:val="auto"/>
                <w:sz w:val="20"/>
                <w:szCs w:val="20"/>
                <w:highlight w:val="none"/>
              </w:rPr>
            </w:pP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φ10×1.0*2.管道进行压力试验*3.管道泄漏性试验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280.83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φ12×1.0*2.管道进行压力试验*3.管道泄漏性试验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106.55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φ15×1.0*2.管道进行压力试验*3.管道泄漏性试验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150.53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φ22×1.2*2.管道进行压力试验*3.管道泄漏性试验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134.89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低压铜及 铜合金管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*1.脱脂铜管 （硬钎焊）安装  φ40×2.0*2.管道进行压力试验*3.管道泄漏性试验 *4.管道在安装气体终端组件之前应使用干燥、无油的空气或氮气吹扫</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50.33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PVC管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*1.高强度PVC管安装 De20*2.管道进行压力试验*3.管道泄漏性试验</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15.64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PVC管</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*1.高强度PVC管安装 De40*2.管道进行压力试验*3.管道泄漏性试验</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30.34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7"/>
              <w:pageBreakBefore/>
              <w:ind w:firstLine="0" w:firstLineChars="0"/>
              <w:rPr>
                <w:rFonts w:cs="宋体"/>
                <w:color w:val="auto"/>
                <w:sz w:val="18"/>
                <w:szCs w:val="18"/>
                <w:highlight w:val="none"/>
              </w:rPr>
            </w:pPr>
            <w:r>
              <w:rPr>
                <w:rFonts w:hint="eastAsia" w:cs="宋体"/>
                <w:color w:val="auto"/>
                <w:kern w:val="0"/>
                <w:sz w:val="18"/>
                <w:szCs w:val="18"/>
                <w:highlight w:val="none"/>
                <w:lang w:val="en-US"/>
              </w:rPr>
              <w:t>*1.铜球阀（连活接头）φ10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16.00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*1.铜球阀（连活接头）φ12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6.00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*1.铜球阀（连活接头）φ22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*1.氧气终端（含插头与插座）</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*1.负压吸引终端（含插头与插座）</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*1.压缩空气终端（含插头与插座）</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7.00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*1.二氧化碳终端（含插头与插座）</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15</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低压焊接阀门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*1.氮气终端（含插头与插座）</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16</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阀门箱</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*1.医用阀门箱 五气，O2、V、A、N2、CO2安装</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17</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控制屏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*1.数字式压力报警装置 五气，O2、V、A、N2、CO2安装</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18</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汇流排</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*1.全自动氮气汇流排 2+2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19</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汇流排</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*1.全自动二氧化碳汇流排 2+2</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20</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二级稳压箱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*1.氧气二级稳压箱</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21</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二级稳压箱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*1.压缩空气二级稳压箱</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台</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22</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医疗设备带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*1.豪华型铝合金设备带，静电喷塑工艺，设备带内强、 弱电及气体管道应分槽布置，含装饰罩，具体规格由业主定。</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m</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4.80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23</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荧光灯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*1.名称：床头灯(含灯罩）</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*2.规格：LED</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*3.安装形式：设备带上安装</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套</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675"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24</w:t>
            </w:r>
          </w:p>
        </w:tc>
        <w:tc>
          <w:tcPr>
            <w:tcW w:w="28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照明开关 </w:t>
            </w:r>
          </w:p>
        </w:tc>
        <w:tc>
          <w:tcPr>
            <w:tcW w:w="40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*1.名称：单开单控</w:t>
            </w:r>
          </w:p>
          <w:p>
            <w:pPr>
              <w:widowControl/>
              <w:jc w:val="left"/>
              <w:textAlignment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*2.材质：大板86型</w:t>
            </w:r>
          </w:p>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*3.安装方式：设备带上安装</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3.00 </w:t>
            </w:r>
          </w:p>
        </w:tc>
      </w:tr>
      <w:tr>
        <w:tblPrEx>
          <w:tblCellMar>
            <w:top w:w="0" w:type="dxa"/>
            <w:left w:w="108" w:type="dxa"/>
            <w:bottom w:w="0" w:type="dxa"/>
            <w:right w:w="108" w:type="dxa"/>
          </w:tblCellMar>
        </w:tblPrEx>
        <w:trPr>
          <w:trHeight w:val="499" w:hRule="atLeast"/>
        </w:trPr>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25</w:t>
            </w:r>
          </w:p>
        </w:tc>
        <w:tc>
          <w:tcPr>
            <w:tcW w:w="28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流量仪表 </w:t>
            </w:r>
          </w:p>
        </w:tc>
        <w:tc>
          <w:tcPr>
            <w:tcW w:w="4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*1.氧气流量计</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个</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 w:val="18"/>
                <w:szCs w:val="18"/>
                <w:highlight w:val="none"/>
              </w:rPr>
            </w:pPr>
            <w:r>
              <w:rPr>
                <w:rFonts w:hint="eastAsia" w:ascii="宋体" w:hAnsi="宋体" w:cs="宋体"/>
                <w:color w:val="auto"/>
                <w:kern w:val="0"/>
                <w:sz w:val="18"/>
                <w:szCs w:val="18"/>
                <w:highlight w:val="none"/>
              </w:rPr>
              <w:t xml:space="preserve">1.00 </w:t>
            </w:r>
          </w:p>
        </w:tc>
      </w:tr>
    </w:tbl>
    <w:p>
      <w:pPr>
        <w:pStyle w:val="27"/>
        <w:keepNext w:val="0"/>
        <w:keepLines w:val="0"/>
        <w:pageBreakBefore/>
        <w:widowControl w:val="0"/>
        <w:kinsoku/>
        <w:wordWrap/>
        <w:overflowPunct/>
        <w:topLinePunct w:val="0"/>
        <w:autoSpaceDE/>
        <w:autoSpaceDN/>
        <w:bidi w:val="0"/>
        <w:adjustRightInd/>
        <w:snapToGrid/>
        <w:ind w:firstLine="240"/>
        <w:textAlignment w:val="baseline"/>
        <w:outlineLvl w:val="1"/>
        <w:rPr>
          <w:rFonts w:cs="宋体"/>
          <w:color w:val="auto"/>
          <w:sz w:val="24"/>
          <w:highlight w:val="none"/>
          <w:lang w:val="en-US"/>
        </w:rPr>
      </w:pPr>
      <w:bookmarkStart w:id="120" w:name="_Toc11911"/>
      <w:r>
        <w:rPr>
          <w:rFonts w:hint="eastAsia" w:cs="宋体"/>
          <w:color w:val="auto"/>
          <w:sz w:val="24"/>
          <w:highlight w:val="none"/>
        </w:rPr>
        <w:t>附件</w:t>
      </w:r>
      <w:r>
        <w:rPr>
          <w:rFonts w:hint="eastAsia" w:cs="宋体"/>
          <w:color w:val="auto"/>
          <w:sz w:val="24"/>
          <w:highlight w:val="none"/>
          <w:lang w:val="en-US"/>
        </w:rPr>
        <w:t>二十</w:t>
      </w:r>
      <w:r>
        <w:rPr>
          <w:rFonts w:hint="eastAsia" w:cs="宋体"/>
          <w:color w:val="auto"/>
          <w:sz w:val="24"/>
          <w:highlight w:val="none"/>
          <w:lang w:val="en-US" w:eastAsia="zh-CN"/>
        </w:rPr>
        <w:t>五</w:t>
      </w:r>
      <w:r>
        <w:rPr>
          <w:rFonts w:hint="eastAsia" w:cs="宋体"/>
          <w:color w:val="auto"/>
          <w:sz w:val="24"/>
          <w:highlight w:val="none"/>
        </w:rPr>
        <w:t>：</w:t>
      </w:r>
      <w:r>
        <w:rPr>
          <w:rFonts w:hint="eastAsia" w:cs="宋体"/>
          <w:color w:val="auto"/>
          <w:sz w:val="24"/>
          <w:highlight w:val="none"/>
          <w:lang w:val="en-US"/>
        </w:rPr>
        <w:t>图纸</w:t>
      </w:r>
      <w:bookmarkEnd w:id="120"/>
    </w:p>
    <w:p>
      <w:pPr>
        <w:pStyle w:val="27"/>
        <w:ind w:firstLine="0" w:firstLineChars="0"/>
        <w:jc w:val="left"/>
        <w:rPr>
          <w:rFonts w:cs="宋体"/>
          <w:color w:val="auto"/>
          <w:sz w:val="24"/>
          <w:highlight w:val="none"/>
          <w:lang w:val="en-US"/>
        </w:rPr>
      </w:pPr>
      <w:r>
        <w:rPr>
          <w:rFonts w:cs="宋体"/>
          <w:color w:val="auto"/>
          <w:sz w:val="24"/>
          <w:highlight w:val="none"/>
          <w:lang w:val="en-US" w:bidi="ar-SA"/>
        </w:rPr>
        <w:drawing>
          <wp:inline distT="0" distB="0" distL="0" distR="0">
            <wp:extent cx="5976620" cy="4221480"/>
            <wp:effectExtent l="0" t="0" r="508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1480"/>
            <wp:effectExtent l="0" t="0" r="5080" b="762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76620" cy="4221480"/>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rot="10800000">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rot="10800000">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10800000">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rot="10800000">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rot="10800000">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r>
        <w:rPr>
          <w:rFonts w:cs="宋体"/>
          <w:color w:val="auto"/>
          <w:sz w:val="24"/>
          <w:highlight w:val="none"/>
          <w:lang w:val="en-US" w:bidi="ar-SA"/>
        </w:rPr>
        <w:drawing>
          <wp:inline distT="0" distB="0" distL="0" distR="0">
            <wp:extent cx="5976620" cy="4224655"/>
            <wp:effectExtent l="0" t="0" r="5080" b="4445"/>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76620" cy="4224655"/>
                    </a:xfrm>
                    <a:prstGeom prst="rect">
                      <a:avLst/>
                    </a:prstGeom>
                  </pic:spPr>
                </pic:pic>
              </a:graphicData>
            </a:graphic>
          </wp:inline>
        </w:drawing>
      </w:r>
    </w:p>
    <w:p>
      <w:pPr>
        <w:pStyle w:val="27"/>
        <w:ind w:firstLine="240"/>
        <w:rPr>
          <w:rFonts w:cs="宋体"/>
          <w:color w:val="auto"/>
          <w:sz w:val="24"/>
          <w:highlight w:val="none"/>
          <w:lang w:val="en-US"/>
        </w:rPr>
      </w:pPr>
    </w:p>
    <w:p>
      <w:pPr>
        <w:rPr>
          <w:color w:val="auto"/>
          <w:highlight w:val="none"/>
        </w:rPr>
      </w:pPr>
    </w:p>
    <w:p>
      <w:pPr>
        <w:rPr>
          <w:rFonts w:hint="eastAsia"/>
          <w:color w:val="auto"/>
          <w:highlight w:val="none"/>
          <w:lang w:val="en-US" w:eastAsia="zh-CN"/>
        </w:rPr>
      </w:pPr>
    </w:p>
    <w:p>
      <w:pPr>
        <w:rPr>
          <w:rFonts w:hint="eastAsia"/>
          <w:color w:val="auto"/>
          <w:highlight w:val="none"/>
          <w:lang w:val="en-US" w:eastAsia="zh-CN"/>
        </w:rPr>
      </w:pPr>
    </w:p>
    <w:p>
      <w:pPr>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p>
      <w:pPr>
        <w:pStyle w:val="27"/>
        <w:rPr>
          <w:rFonts w:hint="eastAsia" w:ascii="宋体" w:hAnsi="宋体" w:eastAsia="宋体" w:cs="宋体"/>
          <w:b w:val="0"/>
          <w:color w:val="auto"/>
          <w:sz w:val="24"/>
          <w:highlight w:val="none"/>
          <w:lang w:val="en-US" w:eastAsia="zh-CN"/>
        </w:rPr>
      </w:pPr>
    </w:p>
    <w:sectPr>
      <w:headerReference r:id="rId5" w:type="first"/>
      <w:footerReference r:id="rId8" w:type="first"/>
      <w:headerReference r:id="rId4" w:type="default"/>
      <w:footerReference r:id="rId6" w:type="default"/>
      <w:footerReference r:id="rId7" w:type="even"/>
      <w:pgSz w:w="11906" w:h="16838"/>
      <w:pgMar w:top="1020" w:right="1247" w:bottom="1020" w:left="1247" w:header="851" w:footer="907" w:gutter="0"/>
      <w:pgBorders>
        <w:top w:val="none" w:sz="0" w:space="0"/>
        <w:left w:val="none" w:sz="0" w:space="0"/>
        <w:bottom w:val="none" w:sz="0" w:space="0"/>
        <w:right w:val="none" w:sz="0" w:space="0"/>
      </w:pgBorders>
      <w:pgNumType w:fmt="decimal"/>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Helvetica">
    <w:altName w:val="Arial"/>
    <w:panose1 w:val="020B0504020202030204"/>
    <w:charset w:val="00"/>
    <w:family w:val="auto"/>
    <w:pitch w:val="default"/>
    <w:sig w:usb0="00000000" w:usb1="00000000" w:usb2="00000000" w:usb3="00000000" w:csb0="00000093"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MS Mincho">
    <w:altName w:val="Yu Gothic UI"/>
    <w:panose1 w:val="02020609040205080304"/>
    <w:charset w:val="80"/>
    <w:family w:val="moder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4320" w:firstLineChars="2400"/>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88</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88</w:t>
                    </w:r>
                    <w:r>
                      <w:rPr>
                        <w:rFonts w:hint="eastAsia"/>
                        <w:lang w:eastAsia="zh-CN"/>
                      </w:rPr>
                      <w:fldChar w:fldCharType="end"/>
                    </w:r>
                  </w:p>
                </w:txbxContent>
              </v:textbox>
            </v:shape>
          </w:pict>
        </mc:Fallback>
      </mc:AlternateContent>
    </w:r>
    <w:r>
      <w:rPr>
        <w:rFonts w:hint="eastAsia"/>
      </w:rPr>
      <w:t xml:space="preserve">  </w:t>
    </w:r>
    <w:r>
      <w:t xml:space="preserve">   </w:t>
    </w:r>
    <w:r>
      <w:rPr>
        <w:rFonts w:hint="eastAsia"/>
      </w:rPr>
      <w:t xml:space="preserve">                       东阳市鑫盛工程咨询有限公司</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rPr>
        <w:rStyle w:val="25"/>
      </w:rPr>
    </w:pPr>
    <w:r>
      <w:fldChar w:fldCharType="begin"/>
    </w:r>
    <w:r>
      <w:rPr>
        <w:rStyle w:val="25"/>
      </w:rPr>
      <w:instrText xml:space="preserve">PAGE  </w:instrText>
    </w:r>
    <w:r>
      <w:fldChar w:fldCharType="end"/>
    </w:r>
  </w:p>
  <w:p>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rPr>
        <w:rFonts w:hint="eastAsia" w:ascii="宋体" w:hAnsi="宋体" w:eastAsia="宋体" w:cs="宋体"/>
        <w:sz w:val="21"/>
        <w:szCs w:val="21"/>
      </w:rPr>
    </w:pPr>
    <w:r>
      <w:rPr>
        <w:sz w:val="21"/>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pPr>
                      <w:pStyle w:val="1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both"/>
      <w:rPr>
        <w:rFonts w:hint="eastAsia" w:eastAsia="宋体"/>
        <w:sz w:val="16"/>
        <w:szCs w:val="16"/>
        <w:lang w:eastAsia="zh-CN"/>
      </w:rPr>
    </w:pPr>
    <w:r>
      <w:rPr>
        <w:rFonts w:hint="eastAsia"/>
        <w:sz w:val="16"/>
        <w:szCs w:val="16"/>
        <w:lang w:eastAsia="zh-CN"/>
      </w:rPr>
      <w:t>东阳市横店医院公共卫生综合楼百级手术室、供应中心净化系统设备采购及安装项目</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left"/>
      <w:rPr>
        <w:rFonts w:hint="eastAsia" w:eastAsia="宋体"/>
        <w:lang w:eastAsia="zh-CN"/>
      </w:rPr>
    </w:pPr>
    <w:r>
      <w:rPr>
        <w:rFonts w:hint="eastAsia" w:cs="Arial"/>
        <w:color w:val="000000"/>
        <w:lang w:eastAsia="zh-CN"/>
      </w:rPr>
      <w:t>东阳市横店医院公共卫生综合楼百级手术室、供应中心净化系统设备采购及安装项目</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both"/>
      <w:rPr>
        <w:rFonts w:hint="eastAsia" w:eastAsia="宋体" w:cs="Arial"/>
        <w:color w:val="000000"/>
        <w:lang w:eastAsia="zh-CN"/>
      </w:rPr>
    </w:pPr>
    <w:r>
      <w:rPr>
        <w:rFonts w:hint="eastAsia" w:cs="Arial"/>
        <w:color w:val="000000"/>
        <w:lang w:eastAsia="zh-CN"/>
      </w:rPr>
      <w:t>东阳市横店医院公共卫生综合楼百级手术室、供应中心净化系统设备采购及安装项目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D31F57"/>
    <w:multiLevelType w:val="singleLevel"/>
    <w:tmpl w:val="84D31F57"/>
    <w:lvl w:ilvl="0" w:tentative="0">
      <w:start w:val="9"/>
      <w:numFmt w:val="decimal"/>
      <w:suff w:val="nothing"/>
      <w:lvlText w:val="%1、"/>
      <w:lvlJc w:val="left"/>
    </w:lvl>
  </w:abstractNum>
  <w:abstractNum w:abstractNumId="1">
    <w:nsid w:val="BCF42664"/>
    <w:multiLevelType w:val="singleLevel"/>
    <w:tmpl w:val="BCF42664"/>
    <w:lvl w:ilvl="0" w:tentative="0">
      <w:start w:val="1"/>
      <w:numFmt w:val="decimalEnclosedCircleChinese"/>
      <w:suff w:val="nothing"/>
      <w:lvlText w:val="%1　"/>
      <w:lvlJc w:val="left"/>
      <w:pPr>
        <w:ind w:left="0" w:firstLine="400"/>
      </w:pPr>
      <w:rPr>
        <w:rFonts w:hint="eastAsia"/>
      </w:rPr>
    </w:lvl>
  </w:abstractNum>
  <w:abstractNum w:abstractNumId="2">
    <w:nsid w:val="C6D025FC"/>
    <w:multiLevelType w:val="singleLevel"/>
    <w:tmpl w:val="C6D025FC"/>
    <w:lvl w:ilvl="0" w:tentative="0">
      <w:start w:val="1"/>
      <w:numFmt w:val="decimal"/>
      <w:lvlText w:val="%1."/>
      <w:lvlJc w:val="left"/>
      <w:pPr>
        <w:tabs>
          <w:tab w:val="left" w:pos="312"/>
        </w:tabs>
      </w:pPr>
    </w:lvl>
  </w:abstractNum>
  <w:abstractNum w:abstractNumId="3">
    <w:nsid w:val="C873D184"/>
    <w:multiLevelType w:val="singleLevel"/>
    <w:tmpl w:val="C873D184"/>
    <w:lvl w:ilvl="0" w:tentative="0">
      <w:start w:val="1"/>
      <w:numFmt w:val="decimalEnclosedCircleChinese"/>
      <w:suff w:val="nothing"/>
      <w:lvlText w:val="%1　"/>
      <w:lvlJc w:val="left"/>
      <w:pPr>
        <w:ind w:left="0" w:firstLine="400"/>
      </w:pPr>
      <w:rPr>
        <w:rFonts w:hint="eastAsia"/>
      </w:rPr>
    </w:lvl>
  </w:abstractNum>
  <w:abstractNum w:abstractNumId="4">
    <w:nsid w:val="DF372710"/>
    <w:multiLevelType w:val="singleLevel"/>
    <w:tmpl w:val="DF372710"/>
    <w:lvl w:ilvl="0" w:tentative="0">
      <w:start w:val="1"/>
      <w:numFmt w:val="decimalEnclosedCircleChinese"/>
      <w:suff w:val="nothing"/>
      <w:lvlText w:val="%1　"/>
      <w:lvlJc w:val="left"/>
      <w:pPr>
        <w:ind w:left="0" w:firstLine="400"/>
      </w:pPr>
      <w:rPr>
        <w:rFonts w:hint="eastAsia"/>
      </w:rPr>
    </w:lvl>
  </w:abstractNum>
  <w:abstractNum w:abstractNumId="5">
    <w:nsid w:val="F59F8D76"/>
    <w:multiLevelType w:val="singleLevel"/>
    <w:tmpl w:val="F59F8D76"/>
    <w:lvl w:ilvl="0" w:tentative="0">
      <w:start w:val="6"/>
      <w:numFmt w:val="decimal"/>
      <w:lvlText w:val="(%1)"/>
      <w:lvlJc w:val="left"/>
      <w:pPr>
        <w:tabs>
          <w:tab w:val="left" w:pos="312"/>
        </w:tabs>
      </w:pPr>
    </w:lvl>
  </w:abstractNum>
  <w:abstractNum w:abstractNumId="6">
    <w:nsid w:val="FA5E8E8B"/>
    <w:multiLevelType w:val="singleLevel"/>
    <w:tmpl w:val="FA5E8E8B"/>
    <w:lvl w:ilvl="0" w:tentative="0">
      <w:start w:val="1"/>
      <w:numFmt w:val="chineseCounting"/>
      <w:suff w:val="nothing"/>
      <w:lvlText w:val="%1、"/>
      <w:lvlJc w:val="left"/>
      <w:rPr>
        <w:rFonts w:hint="eastAsia"/>
      </w:rPr>
    </w:lvl>
  </w:abstractNum>
  <w:abstractNum w:abstractNumId="7">
    <w:nsid w:val="05F66D0E"/>
    <w:multiLevelType w:val="singleLevel"/>
    <w:tmpl w:val="05F66D0E"/>
    <w:lvl w:ilvl="0" w:tentative="0">
      <w:start w:val="1"/>
      <w:numFmt w:val="decimal"/>
      <w:suff w:val="space"/>
      <w:lvlText w:val="%1)"/>
      <w:lvlJc w:val="left"/>
    </w:lvl>
  </w:abstractNum>
  <w:abstractNum w:abstractNumId="8">
    <w:nsid w:val="0A947599"/>
    <w:multiLevelType w:val="multilevel"/>
    <w:tmpl w:val="0A947599"/>
    <w:lvl w:ilvl="0" w:tentative="0">
      <w:start w:val="1"/>
      <w:numFmt w:val="decimalEnclosedCircle"/>
      <w:lvlText w:val="%1"/>
      <w:lvlJc w:val="left"/>
      <w:pPr>
        <w:ind w:left="420" w:hanging="420"/>
      </w:pPr>
      <w:rPr>
        <w:rFonts w:ascii="宋体" w:hAnsi="宋体" w:eastAsia="宋体" w:cs="Times New Roman"/>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0DA5FFDE"/>
    <w:multiLevelType w:val="singleLevel"/>
    <w:tmpl w:val="0DA5FFDE"/>
    <w:lvl w:ilvl="0" w:tentative="0">
      <w:start w:val="4"/>
      <w:numFmt w:val="decimal"/>
      <w:suff w:val="nothing"/>
      <w:lvlText w:val="%1、"/>
      <w:lvlJc w:val="left"/>
    </w:lvl>
  </w:abstractNum>
  <w:abstractNum w:abstractNumId="10">
    <w:nsid w:val="197B7BF4"/>
    <w:multiLevelType w:val="singleLevel"/>
    <w:tmpl w:val="197B7BF4"/>
    <w:lvl w:ilvl="0" w:tentative="0">
      <w:start w:val="4"/>
      <w:numFmt w:val="chineseCounting"/>
      <w:suff w:val="nothing"/>
      <w:lvlText w:val="（%1）"/>
      <w:lvlJc w:val="left"/>
      <w:rPr>
        <w:rFonts w:hint="eastAsia"/>
      </w:rPr>
    </w:lvl>
  </w:abstractNum>
  <w:abstractNum w:abstractNumId="11">
    <w:nsid w:val="23E1191B"/>
    <w:multiLevelType w:val="multilevel"/>
    <w:tmpl w:val="23E1191B"/>
    <w:lvl w:ilvl="0" w:tentative="0">
      <w:start w:val="1"/>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248712B5"/>
    <w:multiLevelType w:val="singleLevel"/>
    <w:tmpl w:val="248712B5"/>
    <w:lvl w:ilvl="0" w:tentative="0">
      <w:start w:val="3"/>
      <w:numFmt w:val="decimal"/>
      <w:lvlText w:val="%1."/>
      <w:lvlJc w:val="left"/>
      <w:pPr>
        <w:tabs>
          <w:tab w:val="left" w:pos="312"/>
        </w:tabs>
      </w:pPr>
    </w:lvl>
  </w:abstractNum>
  <w:abstractNum w:abstractNumId="13">
    <w:nsid w:val="34F30E8B"/>
    <w:multiLevelType w:val="singleLevel"/>
    <w:tmpl w:val="34F30E8B"/>
    <w:lvl w:ilvl="0" w:tentative="0">
      <w:start w:val="1"/>
      <w:numFmt w:val="decimal"/>
      <w:suff w:val="space"/>
      <w:lvlText w:val="%1)"/>
      <w:lvlJc w:val="left"/>
    </w:lvl>
  </w:abstractNum>
  <w:abstractNum w:abstractNumId="14">
    <w:nsid w:val="4B577ECA"/>
    <w:multiLevelType w:val="multilevel"/>
    <w:tmpl w:val="4B577ECA"/>
    <w:lvl w:ilvl="0" w:tentative="0">
      <w:start w:val="1"/>
      <w:numFmt w:val="decimalEnclosedCircle"/>
      <w:lvlText w:val="%1"/>
      <w:lvlJc w:val="left"/>
      <w:pPr>
        <w:ind w:left="420" w:hanging="420"/>
      </w:pPr>
      <w:rPr>
        <w:rFonts w:ascii="宋体" w:hAnsi="宋体" w:eastAsia="宋体" w:cs="Times New Roman"/>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4EA609E1"/>
    <w:multiLevelType w:val="multilevel"/>
    <w:tmpl w:val="4EA609E1"/>
    <w:lvl w:ilvl="0" w:tentative="0">
      <w:start w:val="1"/>
      <w:numFmt w:val="ideographDigital"/>
      <w:lvlText w:val="(%1)"/>
      <w:lvlJc w:val="left"/>
      <w:pPr>
        <w:tabs>
          <w:tab w:val="left" w:pos="420"/>
        </w:tabs>
        <w:ind w:left="42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
    <w:nsid w:val="4FFA666B"/>
    <w:multiLevelType w:val="multilevel"/>
    <w:tmpl w:val="4FFA666B"/>
    <w:lvl w:ilvl="0" w:tentative="0">
      <w:start w:val="1"/>
      <w:numFmt w:val="decimal"/>
      <w:lvlText w:val="%1．"/>
      <w:lvlJc w:val="left"/>
      <w:pPr>
        <w:tabs>
          <w:tab w:val="left" w:pos="720"/>
        </w:tabs>
        <w:ind w:left="720" w:hanging="363"/>
      </w:pPr>
      <w:rPr>
        <w:rFonts w:hint="eastAsia"/>
        <w:b/>
        <w:i w:val="0"/>
        <w:color w:val="000000"/>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571"/>
        </w:tabs>
        <w:ind w:left="1418" w:hanging="567"/>
      </w:pPr>
      <w:rPr>
        <w:rFonts w:hint="eastAsia"/>
      </w:rPr>
    </w:lvl>
    <w:lvl w:ilvl="3" w:tentative="0">
      <w:start w:val="1"/>
      <w:numFmt w:val="decimal"/>
      <w:lvlText w:val="%1.%2.%3.%4"/>
      <w:lvlJc w:val="left"/>
      <w:pPr>
        <w:tabs>
          <w:tab w:val="left" w:pos="2356"/>
        </w:tabs>
        <w:ind w:left="1984" w:hanging="708"/>
      </w:pPr>
      <w:rPr>
        <w:rFonts w:hint="eastAsia"/>
      </w:rPr>
    </w:lvl>
    <w:lvl w:ilvl="4" w:tentative="0">
      <w:start w:val="1"/>
      <w:numFmt w:val="decimal"/>
      <w:lvlText w:val="%1.%2.%3.%4.%5"/>
      <w:lvlJc w:val="left"/>
      <w:pPr>
        <w:tabs>
          <w:tab w:val="left" w:pos="3141"/>
        </w:tabs>
        <w:ind w:left="2551" w:hanging="850"/>
      </w:pPr>
      <w:rPr>
        <w:rFonts w:hint="eastAsia"/>
      </w:rPr>
    </w:lvl>
    <w:lvl w:ilvl="5" w:tentative="0">
      <w:start w:val="1"/>
      <w:numFmt w:val="decimal"/>
      <w:lvlText w:val="%1.%2.%3.%4.%5.%6"/>
      <w:lvlJc w:val="left"/>
      <w:pPr>
        <w:tabs>
          <w:tab w:val="left" w:pos="3926"/>
        </w:tabs>
        <w:ind w:left="3260" w:hanging="1134"/>
      </w:pPr>
      <w:rPr>
        <w:rFonts w:hint="eastAsia"/>
      </w:rPr>
    </w:lvl>
    <w:lvl w:ilvl="6" w:tentative="0">
      <w:start w:val="1"/>
      <w:numFmt w:val="decimal"/>
      <w:lvlText w:val="%1.%2.%3.%4.%5.%6.%7"/>
      <w:lvlJc w:val="left"/>
      <w:pPr>
        <w:tabs>
          <w:tab w:val="left" w:pos="4711"/>
        </w:tabs>
        <w:ind w:left="3827" w:hanging="1276"/>
      </w:pPr>
      <w:rPr>
        <w:rFonts w:hint="eastAsia"/>
      </w:rPr>
    </w:lvl>
    <w:lvl w:ilvl="7" w:tentative="0">
      <w:start w:val="1"/>
      <w:numFmt w:val="decimal"/>
      <w:lvlText w:val="%1.%2.%3.%4.%5.%6.%7.%8"/>
      <w:lvlJc w:val="left"/>
      <w:pPr>
        <w:tabs>
          <w:tab w:val="left" w:pos="5136"/>
        </w:tabs>
        <w:ind w:left="4394" w:hanging="1418"/>
      </w:pPr>
      <w:rPr>
        <w:rFonts w:hint="eastAsia"/>
      </w:rPr>
    </w:lvl>
    <w:lvl w:ilvl="8" w:tentative="0">
      <w:start w:val="1"/>
      <w:numFmt w:val="decimal"/>
      <w:lvlText w:val="%1.%2.%3.%4.%5.%6.%7.%8.%9"/>
      <w:lvlJc w:val="left"/>
      <w:pPr>
        <w:tabs>
          <w:tab w:val="left" w:pos="5922"/>
        </w:tabs>
        <w:ind w:left="5102" w:hanging="1700"/>
      </w:pPr>
      <w:rPr>
        <w:rFonts w:hint="eastAsia"/>
      </w:rPr>
    </w:lvl>
  </w:abstractNum>
  <w:abstractNum w:abstractNumId="17">
    <w:nsid w:val="5D410D0D"/>
    <w:multiLevelType w:val="singleLevel"/>
    <w:tmpl w:val="5D410D0D"/>
    <w:lvl w:ilvl="0" w:tentative="0">
      <w:start w:val="5"/>
      <w:numFmt w:val="chineseCounting"/>
      <w:suff w:val="space"/>
      <w:lvlText w:val="第%1章"/>
      <w:lvlJc w:val="left"/>
      <w:rPr>
        <w:rFonts w:hint="eastAsia"/>
      </w:rPr>
    </w:lvl>
  </w:abstractNum>
  <w:abstractNum w:abstractNumId="18">
    <w:nsid w:val="61ADA8C3"/>
    <w:multiLevelType w:val="singleLevel"/>
    <w:tmpl w:val="61ADA8C3"/>
    <w:lvl w:ilvl="0" w:tentative="0">
      <w:start w:val="5"/>
      <w:numFmt w:val="chineseCounting"/>
      <w:suff w:val="nothing"/>
      <w:lvlText w:val="%1、"/>
      <w:lvlJc w:val="left"/>
    </w:lvl>
  </w:abstractNum>
  <w:abstractNum w:abstractNumId="19">
    <w:nsid w:val="685F539A"/>
    <w:multiLevelType w:val="multilevel"/>
    <w:tmpl w:val="685F539A"/>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6A352ED1"/>
    <w:multiLevelType w:val="singleLevel"/>
    <w:tmpl w:val="6A352ED1"/>
    <w:lvl w:ilvl="0" w:tentative="0">
      <w:start w:val="1"/>
      <w:numFmt w:val="decimal"/>
      <w:suff w:val="space"/>
      <w:lvlText w:val="%1)"/>
      <w:lvlJc w:val="left"/>
    </w:lvl>
  </w:abstractNum>
  <w:abstractNum w:abstractNumId="21">
    <w:nsid w:val="6AC6957A"/>
    <w:multiLevelType w:val="singleLevel"/>
    <w:tmpl w:val="6AC6957A"/>
    <w:lvl w:ilvl="0" w:tentative="0">
      <w:start w:val="2"/>
      <w:numFmt w:val="decimal"/>
      <w:suff w:val="nothing"/>
      <w:lvlText w:val="%1、"/>
      <w:lvlJc w:val="left"/>
    </w:lvl>
  </w:abstractNum>
  <w:abstractNum w:abstractNumId="22">
    <w:nsid w:val="7E234718"/>
    <w:multiLevelType w:val="multilevel"/>
    <w:tmpl w:val="7E234718"/>
    <w:lvl w:ilvl="0" w:tentative="0">
      <w:start w:val="1"/>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6"/>
  </w:num>
  <w:num w:numId="2">
    <w:abstractNumId w:val="18"/>
  </w:num>
  <w:num w:numId="3">
    <w:abstractNumId w:val="11"/>
  </w:num>
  <w:num w:numId="4">
    <w:abstractNumId w:val="20"/>
  </w:num>
  <w:num w:numId="5">
    <w:abstractNumId w:val="13"/>
  </w:num>
  <w:num w:numId="6">
    <w:abstractNumId w:val="7"/>
  </w:num>
  <w:num w:numId="7">
    <w:abstractNumId w:val="15"/>
  </w:num>
  <w:num w:numId="8">
    <w:abstractNumId w:val="16"/>
  </w:num>
  <w:num w:numId="9">
    <w:abstractNumId w:val="5"/>
  </w:num>
  <w:num w:numId="10">
    <w:abstractNumId w:val="8"/>
  </w:num>
  <w:num w:numId="11">
    <w:abstractNumId w:val="14"/>
  </w:num>
  <w:num w:numId="12">
    <w:abstractNumId w:val="9"/>
  </w:num>
  <w:num w:numId="13">
    <w:abstractNumId w:val="4"/>
  </w:num>
  <w:num w:numId="14">
    <w:abstractNumId w:val="1"/>
  </w:num>
  <w:num w:numId="15">
    <w:abstractNumId w:val="3"/>
  </w:num>
  <w:num w:numId="16">
    <w:abstractNumId w:val="0"/>
  </w:num>
  <w:num w:numId="17">
    <w:abstractNumId w:val="22"/>
  </w:num>
  <w:num w:numId="18">
    <w:abstractNumId w:val="12"/>
  </w:num>
  <w:num w:numId="19">
    <w:abstractNumId w:val="2"/>
  </w:num>
  <w:num w:numId="20">
    <w:abstractNumId w:val="10"/>
  </w:num>
  <w:num w:numId="21">
    <w:abstractNumId w:val="17"/>
  </w:num>
  <w:num w:numId="22">
    <w:abstractNumId w:val="21"/>
  </w:num>
  <w:num w:numId="2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czMTU0Y2Q3ZGQ2MjM4ODU1OTQ2Yzc1MTAwNDdmNTcifQ=="/>
  </w:docVars>
  <w:rsids>
    <w:rsidRoot w:val="22CE71A1"/>
    <w:rsid w:val="00197D4C"/>
    <w:rsid w:val="0058523E"/>
    <w:rsid w:val="009E2CAD"/>
    <w:rsid w:val="00A27D50"/>
    <w:rsid w:val="00CD3FA8"/>
    <w:rsid w:val="00E7430F"/>
    <w:rsid w:val="00FE5DE6"/>
    <w:rsid w:val="0100241C"/>
    <w:rsid w:val="011949CD"/>
    <w:rsid w:val="01E53BA7"/>
    <w:rsid w:val="02326B40"/>
    <w:rsid w:val="02380BEE"/>
    <w:rsid w:val="029F488E"/>
    <w:rsid w:val="02D109A1"/>
    <w:rsid w:val="030C4CA2"/>
    <w:rsid w:val="031422ED"/>
    <w:rsid w:val="037D2A0B"/>
    <w:rsid w:val="03987D91"/>
    <w:rsid w:val="040D00EE"/>
    <w:rsid w:val="045F1833"/>
    <w:rsid w:val="04BA6D01"/>
    <w:rsid w:val="04C3537C"/>
    <w:rsid w:val="04D05CEB"/>
    <w:rsid w:val="05470B0D"/>
    <w:rsid w:val="058A057E"/>
    <w:rsid w:val="059E3794"/>
    <w:rsid w:val="06135E8F"/>
    <w:rsid w:val="061F4EAB"/>
    <w:rsid w:val="064A040C"/>
    <w:rsid w:val="068153A2"/>
    <w:rsid w:val="06BA754B"/>
    <w:rsid w:val="077B5461"/>
    <w:rsid w:val="07E52C9D"/>
    <w:rsid w:val="087645DF"/>
    <w:rsid w:val="08B20D9E"/>
    <w:rsid w:val="09061CDB"/>
    <w:rsid w:val="091268D2"/>
    <w:rsid w:val="09246605"/>
    <w:rsid w:val="09987C7D"/>
    <w:rsid w:val="0A3C54E3"/>
    <w:rsid w:val="0A681BFC"/>
    <w:rsid w:val="0A911130"/>
    <w:rsid w:val="0B0C7351"/>
    <w:rsid w:val="0B2C56BA"/>
    <w:rsid w:val="0B4C2E55"/>
    <w:rsid w:val="0B641591"/>
    <w:rsid w:val="0BE67BA2"/>
    <w:rsid w:val="0C40219C"/>
    <w:rsid w:val="0C834A9C"/>
    <w:rsid w:val="0D9A0C44"/>
    <w:rsid w:val="0DA44383"/>
    <w:rsid w:val="0F56112B"/>
    <w:rsid w:val="104C1484"/>
    <w:rsid w:val="1092045D"/>
    <w:rsid w:val="10B54B94"/>
    <w:rsid w:val="111476CA"/>
    <w:rsid w:val="117619C8"/>
    <w:rsid w:val="11772344"/>
    <w:rsid w:val="11C823E8"/>
    <w:rsid w:val="12672813"/>
    <w:rsid w:val="128E47CA"/>
    <w:rsid w:val="12940635"/>
    <w:rsid w:val="1295698D"/>
    <w:rsid w:val="12D51DCD"/>
    <w:rsid w:val="12DE553C"/>
    <w:rsid w:val="12F17558"/>
    <w:rsid w:val="13825E89"/>
    <w:rsid w:val="143F42F3"/>
    <w:rsid w:val="144A7EAE"/>
    <w:rsid w:val="148F485D"/>
    <w:rsid w:val="15A71CBD"/>
    <w:rsid w:val="15E35017"/>
    <w:rsid w:val="15E74C42"/>
    <w:rsid w:val="1625472E"/>
    <w:rsid w:val="16422358"/>
    <w:rsid w:val="16646293"/>
    <w:rsid w:val="17000E9D"/>
    <w:rsid w:val="174A7092"/>
    <w:rsid w:val="177B05D7"/>
    <w:rsid w:val="179E534A"/>
    <w:rsid w:val="17AF5662"/>
    <w:rsid w:val="18111CA0"/>
    <w:rsid w:val="18395663"/>
    <w:rsid w:val="18581F64"/>
    <w:rsid w:val="18932F7E"/>
    <w:rsid w:val="18AD0F2F"/>
    <w:rsid w:val="18C70EAA"/>
    <w:rsid w:val="191E097B"/>
    <w:rsid w:val="19874772"/>
    <w:rsid w:val="19D76D7C"/>
    <w:rsid w:val="1A310B76"/>
    <w:rsid w:val="1AF851FC"/>
    <w:rsid w:val="1BFB51B3"/>
    <w:rsid w:val="1C5B5A42"/>
    <w:rsid w:val="1D201AB9"/>
    <w:rsid w:val="1DD90004"/>
    <w:rsid w:val="1DF04AAB"/>
    <w:rsid w:val="1E0C1D86"/>
    <w:rsid w:val="1E3022B7"/>
    <w:rsid w:val="1E4D585F"/>
    <w:rsid w:val="1EE610FD"/>
    <w:rsid w:val="1F130784"/>
    <w:rsid w:val="1F1F01BE"/>
    <w:rsid w:val="201C628E"/>
    <w:rsid w:val="20B137AC"/>
    <w:rsid w:val="20C52E37"/>
    <w:rsid w:val="20F50DA4"/>
    <w:rsid w:val="21425423"/>
    <w:rsid w:val="21A8797C"/>
    <w:rsid w:val="21C50BBD"/>
    <w:rsid w:val="21D764F4"/>
    <w:rsid w:val="229D7F0B"/>
    <w:rsid w:val="22BB195B"/>
    <w:rsid w:val="22C73C0A"/>
    <w:rsid w:val="22CE71A1"/>
    <w:rsid w:val="23070620"/>
    <w:rsid w:val="23275843"/>
    <w:rsid w:val="232A26AD"/>
    <w:rsid w:val="233D062B"/>
    <w:rsid w:val="23BA5744"/>
    <w:rsid w:val="23DC1B5F"/>
    <w:rsid w:val="241E2177"/>
    <w:rsid w:val="245E2BBB"/>
    <w:rsid w:val="24917819"/>
    <w:rsid w:val="24D74E25"/>
    <w:rsid w:val="24F862A5"/>
    <w:rsid w:val="250427AB"/>
    <w:rsid w:val="25146AE7"/>
    <w:rsid w:val="25180974"/>
    <w:rsid w:val="25313943"/>
    <w:rsid w:val="259D1DA2"/>
    <w:rsid w:val="25CC204F"/>
    <w:rsid w:val="25D541BA"/>
    <w:rsid w:val="26263565"/>
    <w:rsid w:val="26560AD3"/>
    <w:rsid w:val="26793695"/>
    <w:rsid w:val="26DB60FD"/>
    <w:rsid w:val="273A74E3"/>
    <w:rsid w:val="27C9038D"/>
    <w:rsid w:val="285E4249"/>
    <w:rsid w:val="28615273"/>
    <w:rsid w:val="286D0FD7"/>
    <w:rsid w:val="29547E17"/>
    <w:rsid w:val="29A273A6"/>
    <w:rsid w:val="29B772AF"/>
    <w:rsid w:val="29C7761A"/>
    <w:rsid w:val="29F8727E"/>
    <w:rsid w:val="2A602560"/>
    <w:rsid w:val="2AEC6B2B"/>
    <w:rsid w:val="2B0825F5"/>
    <w:rsid w:val="2B554F69"/>
    <w:rsid w:val="2B99711B"/>
    <w:rsid w:val="2BC05357"/>
    <w:rsid w:val="2C153E60"/>
    <w:rsid w:val="2CA60B22"/>
    <w:rsid w:val="2CA92F00"/>
    <w:rsid w:val="2CBC7140"/>
    <w:rsid w:val="2D6F524F"/>
    <w:rsid w:val="2D802357"/>
    <w:rsid w:val="2DCD71D4"/>
    <w:rsid w:val="2E02359D"/>
    <w:rsid w:val="2E736DC3"/>
    <w:rsid w:val="2EE01941"/>
    <w:rsid w:val="2F0976E6"/>
    <w:rsid w:val="2F234AE5"/>
    <w:rsid w:val="2F7F0C0C"/>
    <w:rsid w:val="300A1092"/>
    <w:rsid w:val="313341CE"/>
    <w:rsid w:val="313B74D9"/>
    <w:rsid w:val="314E2787"/>
    <w:rsid w:val="318E58E2"/>
    <w:rsid w:val="31F0795C"/>
    <w:rsid w:val="323403AB"/>
    <w:rsid w:val="323446FA"/>
    <w:rsid w:val="326F3B9E"/>
    <w:rsid w:val="32C02095"/>
    <w:rsid w:val="32CB5278"/>
    <w:rsid w:val="32D37D6D"/>
    <w:rsid w:val="33545481"/>
    <w:rsid w:val="33997124"/>
    <w:rsid w:val="34340270"/>
    <w:rsid w:val="34732F46"/>
    <w:rsid w:val="34B71D68"/>
    <w:rsid w:val="35E86141"/>
    <w:rsid w:val="35F830E5"/>
    <w:rsid w:val="36086404"/>
    <w:rsid w:val="37EF1A09"/>
    <w:rsid w:val="382532DF"/>
    <w:rsid w:val="3865475F"/>
    <w:rsid w:val="38671772"/>
    <w:rsid w:val="388F5AD6"/>
    <w:rsid w:val="389600D6"/>
    <w:rsid w:val="38E16C72"/>
    <w:rsid w:val="38E51657"/>
    <w:rsid w:val="39087347"/>
    <w:rsid w:val="39511289"/>
    <w:rsid w:val="3959730C"/>
    <w:rsid w:val="395A7B31"/>
    <w:rsid w:val="39FF7C53"/>
    <w:rsid w:val="3A184F1A"/>
    <w:rsid w:val="3A7E3A14"/>
    <w:rsid w:val="3AF31810"/>
    <w:rsid w:val="3B484AF6"/>
    <w:rsid w:val="3B6B7401"/>
    <w:rsid w:val="3BCE5995"/>
    <w:rsid w:val="3D3B03CD"/>
    <w:rsid w:val="3D9038FB"/>
    <w:rsid w:val="3E717806"/>
    <w:rsid w:val="3EC93D4F"/>
    <w:rsid w:val="3F1E5B35"/>
    <w:rsid w:val="3F4D0FE9"/>
    <w:rsid w:val="3FDC6027"/>
    <w:rsid w:val="40527233"/>
    <w:rsid w:val="41742195"/>
    <w:rsid w:val="425D75E3"/>
    <w:rsid w:val="427F0906"/>
    <w:rsid w:val="42AF7C3B"/>
    <w:rsid w:val="434A3D38"/>
    <w:rsid w:val="434D1CD9"/>
    <w:rsid w:val="43A31847"/>
    <w:rsid w:val="43DA6864"/>
    <w:rsid w:val="453F38A4"/>
    <w:rsid w:val="454748B7"/>
    <w:rsid w:val="45A5545E"/>
    <w:rsid w:val="467D0B27"/>
    <w:rsid w:val="46A4018E"/>
    <w:rsid w:val="46EC4E76"/>
    <w:rsid w:val="47215957"/>
    <w:rsid w:val="476B6803"/>
    <w:rsid w:val="48677399"/>
    <w:rsid w:val="495E11C5"/>
    <w:rsid w:val="4A1D0657"/>
    <w:rsid w:val="4A203ECA"/>
    <w:rsid w:val="4A2401D8"/>
    <w:rsid w:val="4A6718D3"/>
    <w:rsid w:val="4A734D89"/>
    <w:rsid w:val="4A765773"/>
    <w:rsid w:val="4AC97C26"/>
    <w:rsid w:val="4B780FA2"/>
    <w:rsid w:val="4BAC0BD3"/>
    <w:rsid w:val="4CB15087"/>
    <w:rsid w:val="4D0B7FC7"/>
    <w:rsid w:val="4D241CFD"/>
    <w:rsid w:val="4D2B4E39"/>
    <w:rsid w:val="4D5C1590"/>
    <w:rsid w:val="4DB7438A"/>
    <w:rsid w:val="4DB76F60"/>
    <w:rsid w:val="4EF120B3"/>
    <w:rsid w:val="4FAC03CC"/>
    <w:rsid w:val="4FC7192C"/>
    <w:rsid w:val="50025F9B"/>
    <w:rsid w:val="5046610C"/>
    <w:rsid w:val="506F28D9"/>
    <w:rsid w:val="508D7BB9"/>
    <w:rsid w:val="519B60BA"/>
    <w:rsid w:val="51FF131A"/>
    <w:rsid w:val="52632F91"/>
    <w:rsid w:val="528D4822"/>
    <w:rsid w:val="52952D55"/>
    <w:rsid w:val="529671F9"/>
    <w:rsid w:val="53400F13"/>
    <w:rsid w:val="53CB18B2"/>
    <w:rsid w:val="5454111A"/>
    <w:rsid w:val="54F77EBC"/>
    <w:rsid w:val="55081B54"/>
    <w:rsid w:val="55FA17C1"/>
    <w:rsid w:val="56336B0D"/>
    <w:rsid w:val="56483890"/>
    <w:rsid w:val="569A4AFE"/>
    <w:rsid w:val="56DC53F6"/>
    <w:rsid w:val="57995095"/>
    <w:rsid w:val="57A30CF9"/>
    <w:rsid w:val="57A35F14"/>
    <w:rsid w:val="57C37C72"/>
    <w:rsid w:val="58852470"/>
    <w:rsid w:val="5A557999"/>
    <w:rsid w:val="5ABF0594"/>
    <w:rsid w:val="5AD92808"/>
    <w:rsid w:val="5B4D2C79"/>
    <w:rsid w:val="5B815756"/>
    <w:rsid w:val="5B9027EE"/>
    <w:rsid w:val="5BE60E8D"/>
    <w:rsid w:val="5BF049B0"/>
    <w:rsid w:val="5BFC4D5E"/>
    <w:rsid w:val="5CE857F6"/>
    <w:rsid w:val="5D35142F"/>
    <w:rsid w:val="5DEF7499"/>
    <w:rsid w:val="5E0019CA"/>
    <w:rsid w:val="5E7741A8"/>
    <w:rsid w:val="5E941919"/>
    <w:rsid w:val="5ED1177B"/>
    <w:rsid w:val="5EE63924"/>
    <w:rsid w:val="5F3A19DD"/>
    <w:rsid w:val="5F3F3DA7"/>
    <w:rsid w:val="5FCB6008"/>
    <w:rsid w:val="601C6864"/>
    <w:rsid w:val="6045351B"/>
    <w:rsid w:val="61135EB8"/>
    <w:rsid w:val="61B24DED"/>
    <w:rsid w:val="61E0345C"/>
    <w:rsid w:val="62C456BC"/>
    <w:rsid w:val="62EE66A6"/>
    <w:rsid w:val="631657EC"/>
    <w:rsid w:val="631B690C"/>
    <w:rsid w:val="634E66CD"/>
    <w:rsid w:val="63A614B8"/>
    <w:rsid w:val="63DC1D65"/>
    <w:rsid w:val="64D21465"/>
    <w:rsid w:val="65E65FB5"/>
    <w:rsid w:val="6639016F"/>
    <w:rsid w:val="66652149"/>
    <w:rsid w:val="66CC2CC9"/>
    <w:rsid w:val="670001AD"/>
    <w:rsid w:val="67065B78"/>
    <w:rsid w:val="6712476F"/>
    <w:rsid w:val="67830108"/>
    <w:rsid w:val="678D417C"/>
    <w:rsid w:val="67D53EC8"/>
    <w:rsid w:val="683E3379"/>
    <w:rsid w:val="68F84811"/>
    <w:rsid w:val="69344C1E"/>
    <w:rsid w:val="69C65089"/>
    <w:rsid w:val="69EA68DE"/>
    <w:rsid w:val="69FF3DA6"/>
    <w:rsid w:val="6A3704CF"/>
    <w:rsid w:val="6A953B9B"/>
    <w:rsid w:val="6A98507A"/>
    <w:rsid w:val="6AD761A9"/>
    <w:rsid w:val="6B2B79C9"/>
    <w:rsid w:val="6B5F01AA"/>
    <w:rsid w:val="6BA545A9"/>
    <w:rsid w:val="6BD44EF8"/>
    <w:rsid w:val="6C1D2EDA"/>
    <w:rsid w:val="6C8D48B2"/>
    <w:rsid w:val="6C8D5339"/>
    <w:rsid w:val="6CAF0CC0"/>
    <w:rsid w:val="6CF2294A"/>
    <w:rsid w:val="6D09076D"/>
    <w:rsid w:val="6D69549E"/>
    <w:rsid w:val="6DDD7F98"/>
    <w:rsid w:val="6DFD489E"/>
    <w:rsid w:val="6E3B3E98"/>
    <w:rsid w:val="6F5B78D4"/>
    <w:rsid w:val="6FC36713"/>
    <w:rsid w:val="70AE1811"/>
    <w:rsid w:val="71030DD2"/>
    <w:rsid w:val="712E63F7"/>
    <w:rsid w:val="713B6CCF"/>
    <w:rsid w:val="714A5A64"/>
    <w:rsid w:val="715B4FA8"/>
    <w:rsid w:val="71954990"/>
    <w:rsid w:val="71D33EC2"/>
    <w:rsid w:val="72017C83"/>
    <w:rsid w:val="726519CA"/>
    <w:rsid w:val="72655E01"/>
    <w:rsid w:val="72947CA5"/>
    <w:rsid w:val="729675CA"/>
    <w:rsid w:val="72D354A8"/>
    <w:rsid w:val="73234524"/>
    <w:rsid w:val="7327134F"/>
    <w:rsid w:val="74B96F49"/>
    <w:rsid w:val="751C24CC"/>
    <w:rsid w:val="75344494"/>
    <w:rsid w:val="758666A6"/>
    <w:rsid w:val="758C1D32"/>
    <w:rsid w:val="75B16EF9"/>
    <w:rsid w:val="75C40F31"/>
    <w:rsid w:val="75C80BC8"/>
    <w:rsid w:val="764B706A"/>
    <w:rsid w:val="76F0487A"/>
    <w:rsid w:val="771450F9"/>
    <w:rsid w:val="774C2801"/>
    <w:rsid w:val="78360B26"/>
    <w:rsid w:val="784C276C"/>
    <w:rsid w:val="78D35A79"/>
    <w:rsid w:val="79321BB6"/>
    <w:rsid w:val="79907C4E"/>
    <w:rsid w:val="799671DA"/>
    <w:rsid w:val="79AA115E"/>
    <w:rsid w:val="79DF0BD6"/>
    <w:rsid w:val="7A5924D4"/>
    <w:rsid w:val="7AB23BF5"/>
    <w:rsid w:val="7AB57C85"/>
    <w:rsid w:val="7AEA25F7"/>
    <w:rsid w:val="7B130B37"/>
    <w:rsid w:val="7B2B5A53"/>
    <w:rsid w:val="7BD1454E"/>
    <w:rsid w:val="7C3A4157"/>
    <w:rsid w:val="7D1978AF"/>
    <w:rsid w:val="7D4C3C39"/>
    <w:rsid w:val="7D675700"/>
    <w:rsid w:val="7D774D25"/>
    <w:rsid w:val="7E0D6324"/>
    <w:rsid w:val="7E276D7B"/>
    <w:rsid w:val="7E327526"/>
    <w:rsid w:val="7E336242"/>
    <w:rsid w:val="7E6831BC"/>
    <w:rsid w:val="7EE8052D"/>
    <w:rsid w:val="7F4223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qFormat="1" w:uiPriority="39"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spacing w:before="340" w:after="330" w:line="578" w:lineRule="auto"/>
      <w:outlineLvl w:val="0"/>
    </w:pPr>
    <w:rPr>
      <w:b/>
      <w:bCs/>
      <w:kern w:val="44"/>
      <w:sz w:val="44"/>
      <w:szCs w:val="44"/>
    </w:rPr>
  </w:style>
  <w:style w:type="paragraph" w:styleId="2">
    <w:name w:val="heading 2"/>
    <w:basedOn w:val="1"/>
    <w:next w:val="1"/>
    <w:qFormat/>
    <w:uiPriority w:val="9"/>
    <w:pPr>
      <w:keepNext/>
      <w:keepLines/>
      <w:spacing w:before="260" w:after="260" w:line="416" w:lineRule="auto"/>
      <w:outlineLvl w:val="1"/>
    </w:pPr>
    <w:rPr>
      <w:rFonts w:ascii="Arial" w:hAnsi="Arial" w:eastAsia="黑体"/>
      <w:b/>
      <w:bCs/>
      <w:sz w:val="32"/>
      <w:szCs w:val="32"/>
    </w:rPr>
  </w:style>
  <w:style w:type="character" w:default="1" w:styleId="24">
    <w:name w:val="Default Paragraph Font"/>
    <w:semiHidden/>
    <w:qFormat/>
    <w:uiPriority w:val="0"/>
  </w:style>
  <w:style w:type="table" w:default="1" w:styleId="22">
    <w:name w:val="Normal Table"/>
    <w:semiHidden/>
    <w:qFormat/>
    <w:uiPriority w:val="0"/>
    <w:tblPr>
      <w:tblCellMar>
        <w:top w:w="0" w:type="dxa"/>
        <w:left w:w="108" w:type="dxa"/>
        <w:bottom w:w="0" w:type="dxa"/>
        <w:right w:w="108" w:type="dxa"/>
      </w:tblCellMar>
    </w:tblPr>
  </w:style>
  <w:style w:type="paragraph" w:styleId="4">
    <w:name w:val="Normal Indent"/>
    <w:basedOn w:val="1"/>
    <w:next w:val="5"/>
    <w:qFormat/>
    <w:uiPriority w:val="0"/>
    <w:pPr>
      <w:ind w:firstLine="420"/>
    </w:pPr>
    <w:rPr>
      <w:szCs w:val="20"/>
    </w:rPr>
  </w:style>
  <w:style w:type="paragraph" w:styleId="5">
    <w:name w:val="Body Text Indent"/>
    <w:basedOn w:val="1"/>
    <w:next w:val="4"/>
    <w:qFormat/>
    <w:uiPriority w:val="0"/>
    <w:pPr>
      <w:spacing w:after="120"/>
      <w:ind w:left="420" w:leftChars="200"/>
    </w:pPr>
  </w:style>
  <w:style w:type="paragraph" w:styleId="6">
    <w:name w:val="Document Map"/>
    <w:basedOn w:val="1"/>
    <w:qFormat/>
    <w:uiPriority w:val="0"/>
    <w:rPr>
      <w:rFonts w:ascii="Helvetica" w:hAnsi="Helvetica"/>
      <w:sz w:val="24"/>
    </w:rPr>
  </w:style>
  <w:style w:type="paragraph" w:styleId="7">
    <w:name w:val="annotation text"/>
    <w:basedOn w:val="1"/>
    <w:qFormat/>
    <w:uiPriority w:val="0"/>
    <w:pPr>
      <w:jc w:val="left"/>
    </w:pPr>
  </w:style>
  <w:style w:type="paragraph" w:styleId="8">
    <w:name w:val="Body Text"/>
    <w:basedOn w:val="1"/>
    <w:next w:val="9"/>
    <w:qFormat/>
    <w:uiPriority w:val="0"/>
    <w:pPr>
      <w:spacing w:after="120"/>
    </w:pPr>
  </w:style>
  <w:style w:type="paragraph" w:styleId="9">
    <w:name w:val="Body Text First Indent"/>
    <w:basedOn w:val="8"/>
    <w:next w:val="10"/>
    <w:unhideWhenUsed/>
    <w:qFormat/>
    <w:uiPriority w:val="99"/>
    <w:pPr>
      <w:spacing w:line="360" w:lineRule="auto"/>
      <w:ind w:firstLine="200" w:firstLineChars="200"/>
    </w:pPr>
    <w:rPr>
      <w:rFonts w:ascii="仿宋_GB2312" w:eastAsia="仿宋_GB2312"/>
      <w:bCs/>
      <w:sz w:val="30"/>
    </w:rPr>
  </w:style>
  <w:style w:type="paragraph" w:styleId="10">
    <w:name w:val="toc 6"/>
    <w:basedOn w:val="1"/>
    <w:next w:val="1"/>
    <w:unhideWhenUsed/>
    <w:qFormat/>
    <w:uiPriority w:val="39"/>
    <w:pPr>
      <w:ind w:left="2100" w:leftChars="1000"/>
    </w:pPr>
  </w:style>
  <w:style w:type="paragraph" w:styleId="11">
    <w:name w:val="List 2"/>
    <w:basedOn w:val="1"/>
    <w:qFormat/>
    <w:uiPriority w:val="0"/>
    <w:pPr>
      <w:ind w:left="100" w:leftChars="200" w:hanging="200" w:hangingChars="200"/>
    </w:pPr>
  </w:style>
  <w:style w:type="paragraph" w:styleId="12">
    <w:name w:val="Plain Text"/>
    <w:basedOn w:val="1"/>
    <w:next w:val="1"/>
    <w:qFormat/>
    <w:uiPriority w:val="0"/>
    <w:rPr>
      <w:sz w:val="24"/>
      <w:szCs w:val="20"/>
    </w:rPr>
  </w:style>
  <w:style w:type="paragraph" w:styleId="13">
    <w:name w:val="Date"/>
    <w:basedOn w:val="1"/>
    <w:next w:val="1"/>
    <w:qFormat/>
    <w:uiPriority w:val="0"/>
    <w:pPr>
      <w:ind w:left="2500" w:leftChars="2500"/>
    </w:pPr>
    <w:rPr>
      <w:rFonts w:eastAsia="楷体_GB2312"/>
      <w:sz w:val="32"/>
      <w:szCs w:val="20"/>
    </w:rPr>
  </w:style>
  <w:style w:type="paragraph" w:styleId="14">
    <w:name w:val="footer"/>
    <w:basedOn w:val="1"/>
    <w:qFormat/>
    <w:uiPriority w:val="99"/>
    <w:pPr>
      <w:tabs>
        <w:tab w:val="center" w:pos="4153"/>
        <w:tab w:val="right" w:pos="8306"/>
      </w:tabs>
      <w:snapToGrid w:val="0"/>
      <w:jc w:val="left"/>
    </w:pPr>
    <w:rPr>
      <w:sz w:val="18"/>
      <w:szCs w:val="18"/>
    </w:rPr>
  </w:style>
  <w:style w:type="paragraph" w:styleId="15">
    <w:name w:val="header"/>
    <w:basedOn w:val="1"/>
    <w:qFormat/>
    <w:uiPriority w:val="99"/>
    <w:pPr>
      <w:pBdr>
        <w:bottom w:val="single" w:color="auto" w:sz="6" w:space="1"/>
      </w:pBdr>
      <w:tabs>
        <w:tab w:val="center" w:pos="4153"/>
        <w:tab w:val="right" w:pos="8306"/>
      </w:tabs>
      <w:snapToGrid w:val="0"/>
      <w:jc w:val="center"/>
    </w:pPr>
    <w:rPr>
      <w:sz w:val="18"/>
      <w:szCs w:val="18"/>
    </w:rPr>
  </w:style>
  <w:style w:type="paragraph" w:styleId="16">
    <w:name w:val="toc 1"/>
    <w:basedOn w:val="1"/>
    <w:next w:val="1"/>
    <w:qFormat/>
    <w:uiPriority w:val="39"/>
  </w:style>
  <w:style w:type="paragraph" w:styleId="17">
    <w:name w:val="Body Text Indent 3"/>
    <w:basedOn w:val="1"/>
    <w:qFormat/>
    <w:uiPriority w:val="0"/>
    <w:pPr>
      <w:ind w:firstLine="435"/>
    </w:pPr>
  </w:style>
  <w:style w:type="paragraph" w:styleId="18">
    <w:name w:val="toc 2"/>
    <w:basedOn w:val="1"/>
    <w:next w:val="1"/>
    <w:qFormat/>
    <w:uiPriority w:val="39"/>
    <w:pPr>
      <w:ind w:left="420" w:leftChars="200"/>
    </w:pPr>
  </w:style>
  <w:style w:type="paragraph" w:styleId="19">
    <w:name w:val="Normal (Web)"/>
    <w:basedOn w:val="1"/>
    <w:unhideWhenUsed/>
    <w:qFormat/>
    <w:uiPriority w:val="0"/>
    <w:pPr>
      <w:widowControl/>
      <w:spacing w:before="240" w:after="240"/>
      <w:jc w:val="left"/>
    </w:pPr>
    <w:rPr>
      <w:rFonts w:ascii="宋体" w:hAnsi="宋体" w:cs="宋体"/>
      <w:kern w:val="0"/>
      <w:sz w:val="24"/>
    </w:rPr>
  </w:style>
  <w:style w:type="paragraph" w:styleId="20">
    <w:name w:val="Title"/>
    <w:basedOn w:val="1"/>
    <w:next w:val="1"/>
    <w:qFormat/>
    <w:uiPriority w:val="0"/>
    <w:pPr>
      <w:widowControl w:val="0"/>
      <w:spacing w:before="240" w:after="60"/>
      <w:jc w:val="center"/>
      <w:outlineLvl w:val="0"/>
    </w:pPr>
    <w:rPr>
      <w:rFonts w:ascii="Cambria" w:hAnsi="Cambria"/>
      <w:b/>
      <w:bCs/>
      <w:kern w:val="2"/>
      <w:sz w:val="32"/>
      <w:szCs w:val="32"/>
    </w:rPr>
  </w:style>
  <w:style w:type="paragraph" w:styleId="21">
    <w:name w:val="Body Text First Indent 2"/>
    <w:basedOn w:val="5"/>
    <w:next w:val="1"/>
    <w:qFormat/>
    <w:uiPriority w:val="0"/>
    <w:pPr>
      <w:autoSpaceDE w:val="0"/>
      <w:autoSpaceDN w:val="0"/>
      <w:adjustRightInd w:val="0"/>
      <w:ind w:firstLine="420" w:firstLineChars="200"/>
      <w:jc w:val="left"/>
    </w:p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page number"/>
    <w:basedOn w:val="24"/>
    <w:qFormat/>
    <w:uiPriority w:val="0"/>
  </w:style>
  <w:style w:type="character" w:styleId="26">
    <w:name w:val="Hyperlink"/>
    <w:qFormat/>
    <w:uiPriority w:val="99"/>
    <w:rPr>
      <w:color w:val="0000FF"/>
      <w:u w:val="single"/>
    </w:rPr>
  </w:style>
  <w:style w:type="paragraph" w:customStyle="1" w:styleId="27">
    <w:name w:val="BodyText1I"/>
    <w:basedOn w:val="28"/>
    <w:qFormat/>
    <w:uiPriority w:val="0"/>
    <w:pPr>
      <w:ind w:firstLine="420" w:firstLineChars="100"/>
      <w:jc w:val="both"/>
      <w:textAlignment w:val="baseline"/>
    </w:pPr>
  </w:style>
  <w:style w:type="paragraph" w:customStyle="1" w:styleId="28">
    <w:name w:val="BodyText"/>
    <w:basedOn w:val="1"/>
    <w:next w:val="29"/>
    <w:qFormat/>
    <w:uiPriority w:val="0"/>
    <w:pPr>
      <w:jc w:val="both"/>
      <w:textAlignment w:val="baseline"/>
    </w:pPr>
    <w:rPr>
      <w:rFonts w:ascii="宋体" w:hAnsi="宋体" w:eastAsia="宋体"/>
      <w:kern w:val="2"/>
      <w:sz w:val="21"/>
      <w:szCs w:val="21"/>
      <w:lang w:val="zh-CN" w:eastAsia="zh-CN" w:bidi="zh-CN"/>
    </w:rPr>
  </w:style>
  <w:style w:type="paragraph" w:customStyle="1" w:styleId="29">
    <w:name w:val="TOC2"/>
    <w:basedOn w:val="1"/>
    <w:next w:val="1"/>
    <w:qFormat/>
    <w:uiPriority w:val="0"/>
    <w:pPr>
      <w:ind w:left="420" w:leftChars="200"/>
      <w:jc w:val="both"/>
      <w:textAlignment w:val="baseline"/>
    </w:pPr>
  </w:style>
  <w:style w:type="paragraph" w:customStyle="1" w:styleId="30">
    <w:name w:val="章正文"/>
    <w:basedOn w:val="1"/>
    <w:qFormat/>
    <w:uiPriority w:val="99"/>
    <w:pPr>
      <w:spacing w:before="156" w:beforeLines="50" w:after="120" w:line="300" w:lineRule="auto"/>
      <w:ind w:firstLine="480"/>
    </w:pPr>
    <w:rPr>
      <w:rFonts w:ascii="Helvetica" w:hAnsi="Helvetica"/>
      <w:kern w:val="0"/>
      <w:sz w:val="24"/>
    </w:rPr>
  </w:style>
  <w:style w:type="paragraph" w:customStyle="1" w:styleId="31">
    <w:name w:val="样式 表格正文 + 两端对齐"/>
    <w:basedOn w:val="1"/>
    <w:next w:val="32"/>
    <w:qFormat/>
    <w:uiPriority w:val="0"/>
    <w:pPr>
      <w:spacing w:line="300" w:lineRule="auto"/>
    </w:pPr>
  </w:style>
  <w:style w:type="paragraph" w:customStyle="1" w:styleId="32">
    <w:name w:val="正文1"/>
    <w:basedOn w:val="6"/>
    <w:next w:val="1"/>
    <w:qFormat/>
    <w:uiPriority w:val="99"/>
    <w:pPr>
      <w:widowControl/>
      <w:overflowPunct w:val="0"/>
      <w:autoSpaceDE w:val="0"/>
      <w:autoSpaceDN w:val="0"/>
      <w:adjustRightInd w:val="0"/>
      <w:spacing w:line="400" w:lineRule="exact"/>
      <w:textAlignment w:val="baseline"/>
    </w:pPr>
    <w:rPr>
      <w:kern w:val="0"/>
      <w:szCs w:val="20"/>
    </w:rPr>
  </w:style>
  <w:style w:type="paragraph" w:customStyle="1" w:styleId="33">
    <w:name w:val="表格文字"/>
    <w:next w:val="8"/>
    <w:qFormat/>
    <w:locked/>
    <w:uiPriority w:val="0"/>
    <w:pPr>
      <w:spacing w:beforeLines="25" w:afterLines="25"/>
      <w:jc w:val="center"/>
    </w:pPr>
    <w:rPr>
      <w:rFonts w:ascii="Times New Roman" w:hAnsi="Times New Roman" w:eastAsia="宋体" w:cs="Times New Roman"/>
      <w:kern w:val="2"/>
      <w:sz w:val="24"/>
      <w:szCs w:val="28"/>
      <w:lang w:val="en-US" w:eastAsia="zh-CN" w:bidi="ar-SA"/>
    </w:rPr>
  </w:style>
  <w:style w:type="paragraph" w:customStyle="1" w:styleId="34">
    <w:name w:val="U_正文2"/>
    <w:basedOn w:val="1"/>
    <w:qFormat/>
    <w:uiPriority w:val="0"/>
    <w:pPr>
      <w:spacing w:beforeLines="10" w:afterLines="10" w:line="300" w:lineRule="auto"/>
    </w:pPr>
    <w:rPr>
      <w:sz w:val="24"/>
      <w:szCs w:val="20"/>
    </w:rPr>
  </w:style>
  <w:style w:type="paragraph" w:customStyle="1" w:styleId="35">
    <w:name w:val="默认段落字体 Para Char Char Char Char Char Char Char Char Char1 Char Char Char Char"/>
    <w:basedOn w:val="1"/>
    <w:qFormat/>
    <w:uiPriority w:val="0"/>
    <w:rPr>
      <w:rFonts w:ascii="Tahoma" w:hAnsi="Tahoma"/>
      <w:sz w:val="24"/>
      <w:szCs w:val="20"/>
    </w:rPr>
  </w:style>
  <w:style w:type="character" w:customStyle="1" w:styleId="36">
    <w:name w:val="font61"/>
    <w:basedOn w:val="24"/>
    <w:qFormat/>
    <w:uiPriority w:val="0"/>
    <w:rPr>
      <w:rFonts w:hint="eastAsia" w:ascii="宋体" w:hAnsi="宋体" w:eastAsia="宋体" w:cs="宋体"/>
      <w:b/>
      <w:bCs/>
      <w:color w:val="000000"/>
      <w:sz w:val="22"/>
      <w:szCs w:val="22"/>
      <w:u w:val="none"/>
    </w:rPr>
  </w:style>
  <w:style w:type="character" w:customStyle="1" w:styleId="37">
    <w:name w:val="font112"/>
    <w:basedOn w:val="24"/>
    <w:qFormat/>
    <w:uiPriority w:val="0"/>
    <w:rPr>
      <w:rFonts w:hint="eastAsia" w:ascii="宋体" w:hAnsi="宋体" w:eastAsia="宋体" w:cs="宋体"/>
      <w:b/>
      <w:bCs/>
      <w:color w:val="000000"/>
      <w:sz w:val="22"/>
      <w:szCs w:val="22"/>
      <w:u w:val="none"/>
    </w:rPr>
  </w:style>
  <w:style w:type="character" w:customStyle="1" w:styleId="38">
    <w:name w:val="font91"/>
    <w:basedOn w:val="24"/>
    <w:qFormat/>
    <w:uiPriority w:val="0"/>
    <w:rPr>
      <w:rFonts w:hint="default" w:ascii="Times New Roman" w:hAnsi="Times New Roman" w:cs="Times New Roman"/>
      <w:color w:val="000000"/>
      <w:sz w:val="22"/>
      <w:szCs w:val="22"/>
      <w:u w:val="none"/>
    </w:rPr>
  </w:style>
  <w:style w:type="character" w:customStyle="1" w:styleId="39">
    <w:name w:val="font121"/>
    <w:basedOn w:val="24"/>
    <w:qFormat/>
    <w:uiPriority w:val="0"/>
    <w:rPr>
      <w:rFonts w:hint="eastAsia" w:ascii="宋体" w:hAnsi="宋体" w:eastAsia="宋体" w:cs="宋体"/>
      <w:color w:val="000000"/>
      <w:sz w:val="22"/>
      <w:szCs w:val="22"/>
      <w:u w:val="none"/>
    </w:rPr>
  </w:style>
  <w:style w:type="character" w:customStyle="1" w:styleId="40">
    <w:name w:val="font01"/>
    <w:basedOn w:val="24"/>
    <w:qFormat/>
    <w:uiPriority w:val="0"/>
    <w:rPr>
      <w:rFonts w:hint="eastAsia" w:ascii="宋体" w:hAnsi="宋体" w:eastAsia="宋体" w:cs="宋体"/>
      <w:color w:val="000000"/>
      <w:sz w:val="22"/>
      <w:szCs w:val="22"/>
      <w:u w:val="none"/>
    </w:rPr>
  </w:style>
  <w:style w:type="character" w:customStyle="1" w:styleId="41">
    <w:name w:val="font81"/>
    <w:basedOn w:val="24"/>
    <w:qFormat/>
    <w:uiPriority w:val="0"/>
    <w:rPr>
      <w:rFonts w:hint="default" w:ascii="Times New Roman" w:hAnsi="Times New Roman" w:cs="Times New Roman"/>
      <w:color w:val="000000"/>
      <w:sz w:val="22"/>
      <w:szCs w:val="22"/>
      <w:u w:val="none"/>
    </w:rPr>
  </w:style>
  <w:style w:type="character" w:customStyle="1" w:styleId="42">
    <w:name w:val="font41"/>
    <w:basedOn w:val="24"/>
    <w:qFormat/>
    <w:uiPriority w:val="0"/>
    <w:rPr>
      <w:rFonts w:hint="default" w:ascii="Times New Roman" w:hAnsi="Times New Roman" w:cs="Times New Roman"/>
      <w:b/>
      <w:bCs/>
      <w:color w:val="000000"/>
      <w:sz w:val="22"/>
      <w:szCs w:val="22"/>
      <w:u w:val="none"/>
    </w:rPr>
  </w:style>
  <w:style w:type="character" w:customStyle="1" w:styleId="43">
    <w:name w:val="font21"/>
    <w:basedOn w:val="24"/>
    <w:qFormat/>
    <w:uiPriority w:val="0"/>
    <w:rPr>
      <w:rFonts w:hint="default" w:ascii="Times New Roman" w:hAnsi="Times New Roman" w:cs="Times New Roman"/>
      <w:b/>
      <w:bCs/>
      <w:color w:val="FF0000"/>
      <w:sz w:val="22"/>
      <w:szCs w:val="22"/>
      <w:u w:val="none"/>
    </w:rPr>
  </w:style>
  <w:style w:type="character" w:customStyle="1" w:styleId="44">
    <w:name w:val="font181"/>
    <w:basedOn w:val="24"/>
    <w:qFormat/>
    <w:uiPriority w:val="0"/>
    <w:rPr>
      <w:rFonts w:hint="eastAsia" w:ascii="宋体" w:hAnsi="宋体" w:eastAsia="宋体" w:cs="宋体"/>
      <w:b/>
      <w:bCs/>
      <w:color w:val="FF0000"/>
      <w:sz w:val="22"/>
      <w:szCs w:val="22"/>
      <w:u w:val="none"/>
    </w:rPr>
  </w:style>
  <w:style w:type="character" w:customStyle="1" w:styleId="45">
    <w:name w:val="font51"/>
    <w:basedOn w:val="24"/>
    <w:qFormat/>
    <w:uiPriority w:val="0"/>
    <w:rPr>
      <w:rFonts w:hint="default" w:ascii="Times New Roman" w:hAnsi="Times New Roman" w:cs="Times New Roman"/>
      <w:b/>
      <w:bCs/>
      <w:color w:val="000000"/>
      <w:sz w:val="22"/>
      <w:szCs w:val="22"/>
      <w:u w:val="none"/>
    </w:rPr>
  </w:style>
  <w:style w:type="character" w:customStyle="1" w:styleId="46">
    <w:name w:val="font141"/>
    <w:basedOn w:val="24"/>
    <w:qFormat/>
    <w:uiPriority w:val="0"/>
    <w:rPr>
      <w:rFonts w:hint="eastAsia" w:ascii="宋体" w:hAnsi="宋体" w:eastAsia="宋体" w:cs="宋体"/>
      <w:b/>
      <w:bCs/>
      <w:color w:val="000000"/>
      <w:sz w:val="22"/>
      <w:szCs w:val="22"/>
      <w:u w:val="none"/>
    </w:rPr>
  </w:style>
  <w:style w:type="character" w:customStyle="1" w:styleId="47">
    <w:name w:val="font71"/>
    <w:basedOn w:val="24"/>
    <w:qFormat/>
    <w:uiPriority w:val="0"/>
    <w:rPr>
      <w:rFonts w:hint="default" w:ascii="Times New Roman" w:hAnsi="Times New Roman" w:cs="Times New Roman"/>
      <w:color w:val="000000"/>
      <w:sz w:val="22"/>
      <w:szCs w:val="22"/>
      <w:u w:val="none"/>
    </w:rPr>
  </w:style>
  <w:style w:type="character" w:customStyle="1" w:styleId="48">
    <w:name w:val="font101"/>
    <w:basedOn w:val="24"/>
    <w:qFormat/>
    <w:uiPriority w:val="0"/>
    <w:rPr>
      <w:rFonts w:hint="eastAsia" w:ascii="宋体" w:hAnsi="宋体" w:eastAsia="宋体" w:cs="宋体"/>
      <w:b/>
      <w:bCs/>
      <w:color w:val="000000"/>
      <w:sz w:val="22"/>
      <w:szCs w:val="22"/>
      <w:u w:val="none"/>
    </w:rPr>
  </w:style>
  <w:style w:type="character" w:customStyle="1" w:styleId="49">
    <w:name w:val="font31"/>
    <w:basedOn w:val="24"/>
    <w:qFormat/>
    <w:uiPriority w:val="0"/>
    <w:rPr>
      <w:rFonts w:hint="eastAsia" w:ascii="宋体" w:hAnsi="宋体" w:eastAsia="宋体" w:cs="宋体"/>
      <w:color w:val="FF0000"/>
      <w:sz w:val="22"/>
      <w:szCs w:val="22"/>
      <w:u w:val="none"/>
    </w:rPr>
  </w:style>
  <w:style w:type="paragraph" w:styleId="50">
    <w:name w:val="No Spacing"/>
    <w:qFormat/>
    <w:uiPriority w:val="1"/>
    <w:rPr>
      <w:rFonts w:ascii="Calibri" w:hAnsi="Calibri" w:eastAsia="MS Mincho" w:cs="Times New Roman"/>
      <w:sz w:val="24"/>
      <w:szCs w:val="24"/>
      <w:lang w:val="en-US" w:eastAsia="en-US" w:bidi="ar-SA"/>
    </w:rPr>
  </w:style>
  <w:style w:type="character" w:customStyle="1" w:styleId="51">
    <w:name w:val="不明显强调1"/>
    <w:qFormat/>
    <w:uiPriority w:val="19"/>
    <w:rPr>
      <w:i/>
      <w:iCs/>
      <w:color w:val="808080"/>
    </w:rPr>
  </w:style>
  <w:style w:type="character" w:customStyle="1" w:styleId="52">
    <w:name w:val="p12"/>
    <w:qFormat/>
    <w:uiPriority w:val="0"/>
  </w:style>
  <w:style w:type="paragraph" w:customStyle="1" w:styleId="53">
    <w:name w:val="Table Paragraph"/>
    <w:basedOn w:val="1"/>
    <w:qFormat/>
    <w:uiPriority w:val="1"/>
    <w:pPr>
      <w:widowControl w:val="0"/>
      <w:autoSpaceDE w:val="0"/>
      <w:autoSpaceDN w:val="0"/>
      <w:adjustRightInd w:val="0"/>
    </w:pPr>
  </w:style>
  <w:style w:type="paragraph" w:customStyle="1" w:styleId="54">
    <w:name w:val="纯文本2"/>
    <w:basedOn w:val="1"/>
    <w:qFormat/>
    <w:uiPriority w:val="0"/>
    <w:pPr>
      <w:adjustRightInd w:val="0"/>
      <w:textAlignment w:val="baseline"/>
    </w:pPr>
    <w:rPr>
      <w:rFonts w:ascii="宋体" w:hAnsi="Courier New" w:eastAsia="楷体_GB2312"/>
      <w:sz w:val="26"/>
      <w:szCs w:val="20"/>
    </w:rPr>
  </w:style>
  <w:style w:type="character" w:customStyle="1" w:styleId="55">
    <w:name w:val="font11"/>
    <w:basedOn w:val="24"/>
    <w:qFormat/>
    <w:uiPriority w:val="0"/>
    <w:rPr>
      <w:rFonts w:hint="eastAsia" w:ascii="宋体" w:hAnsi="宋体" w:eastAsia="宋体" w:cs="宋体"/>
      <w:color w:val="000000"/>
      <w:sz w:val="18"/>
      <w:szCs w:val="18"/>
      <w:u w:val="none"/>
    </w:rPr>
  </w:style>
  <w:style w:type="character" w:customStyle="1" w:styleId="56">
    <w:name w:val="font271"/>
    <w:basedOn w:val="24"/>
    <w:qFormat/>
    <w:uiPriority w:val="0"/>
    <w:rPr>
      <w:rFonts w:ascii="Calibri" w:hAnsi="Calibri" w:cs="Calibri"/>
      <w:color w:val="000000"/>
      <w:sz w:val="18"/>
      <w:szCs w:val="18"/>
      <w:u w:val="none"/>
    </w:rPr>
  </w:style>
  <w:style w:type="character" w:customStyle="1" w:styleId="57">
    <w:name w:val="font281"/>
    <w:basedOn w:val="24"/>
    <w:qFormat/>
    <w:uiPriority w:val="0"/>
    <w:rPr>
      <w:rFonts w:hint="default" w:ascii="Calibri" w:hAnsi="Calibri" w:cs="Calibri"/>
      <w:color w:val="000000"/>
      <w:sz w:val="18"/>
      <w:szCs w:val="18"/>
      <w:u w:val="none"/>
    </w:rPr>
  </w:style>
  <w:style w:type="character" w:customStyle="1" w:styleId="58">
    <w:name w:val="font161"/>
    <w:basedOn w:val="24"/>
    <w:qFormat/>
    <w:uiPriority w:val="0"/>
    <w:rPr>
      <w:rFonts w:hint="eastAsia" w:ascii="宋体" w:hAnsi="宋体" w:eastAsia="宋体" w:cs="宋体"/>
      <w:color w:val="000000"/>
      <w:sz w:val="18"/>
      <w:szCs w:val="18"/>
      <w:u w:val="none"/>
    </w:rPr>
  </w:style>
  <w:style w:type="character" w:customStyle="1" w:styleId="59">
    <w:name w:val="font131"/>
    <w:basedOn w:val="24"/>
    <w:qFormat/>
    <w:uiPriority w:val="0"/>
    <w:rPr>
      <w:rFonts w:hint="eastAsia" w:ascii="宋体" w:hAnsi="宋体" w:eastAsia="宋体" w:cs="宋体"/>
      <w:color w:val="000000"/>
      <w:sz w:val="18"/>
      <w:szCs w:val="18"/>
      <w:u w:val="none"/>
    </w:rPr>
  </w:style>
  <w:style w:type="character" w:customStyle="1" w:styleId="60">
    <w:name w:val="font222"/>
    <w:basedOn w:val="24"/>
    <w:qFormat/>
    <w:uiPriority w:val="0"/>
    <w:rPr>
      <w:rFonts w:ascii="Calibri" w:hAnsi="Calibri" w:cs="Calibri"/>
      <w:color w:val="000000"/>
      <w:sz w:val="18"/>
      <w:szCs w:val="18"/>
      <w:u w:val="none"/>
    </w:rPr>
  </w:style>
  <w:style w:type="character" w:customStyle="1" w:styleId="61">
    <w:name w:val="font151"/>
    <w:basedOn w:val="24"/>
    <w:qFormat/>
    <w:uiPriority w:val="0"/>
    <w:rPr>
      <w:rFonts w:hint="eastAsia" w:ascii="宋体" w:hAnsi="宋体" w:eastAsia="宋体" w:cs="宋体"/>
      <w:color w:val="000000"/>
      <w:sz w:val="18"/>
      <w:szCs w:val="18"/>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90.jpeg"/><Relationship Id="rId98" Type="http://schemas.openxmlformats.org/officeDocument/2006/relationships/image" Target="media/image89.jpeg"/><Relationship Id="rId97" Type="http://schemas.openxmlformats.org/officeDocument/2006/relationships/image" Target="media/image88.jpeg"/><Relationship Id="rId96" Type="http://schemas.openxmlformats.org/officeDocument/2006/relationships/image" Target="media/image87.jpeg"/><Relationship Id="rId95" Type="http://schemas.openxmlformats.org/officeDocument/2006/relationships/image" Target="media/image86.jpeg"/><Relationship Id="rId94" Type="http://schemas.openxmlformats.org/officeDocument/2006/relationships/image" Target="media/image85.jpeg"/><Relationship Id="rId93" Type="http://schemas.openxmlformats.org/officeDocument/2006/relationships/image" Target="media/image84.jpeg"/><Relationship Id="rId92" Type="http://schemas.openxmlformats.org/officeDocument/2006/relationships/image" Target="media/image83.jpeg"/><Relationship Id="rId91" Type="http://schemas.openxmlformats.org/officeDocument/2006/relationships/image" Target="media/image82.jpeg"/><Relationship Id="rId90" Type="http://schemas.openxmlformats.org/officeDocument/2006/relationships/image" Target="media/image81.jpeg"/><Relationship Id="rId9" Type="http://schemas.openxmlformats.org/officeDocument/2006/relationships/theme" Target="theme/theme1.xml"/><Relationship Id="rId89" Type="http://schemas.openxmlformats.org/officeDocument/2006/relationships/image" Target="media/image80.jpeg"/><Relationship Id="rId88" Type="http://schemas.openxmlformats.org/officeDocument/2006/relationships/image" Target="media/image79.jpeg"/><Relationship Id="rId87" Type="http://schemas.openxmlformats.org/officeDocument/2006/relationships/image" Target="media/image78.jpeg"/><Relationship Id="rId86" Type="http://schemas.openxmlformats.org/officeDocument/2006/relationships/image" Target="media/image77.jpeg"/><Relationship Id="rId85" Type="http://schemas.openxmlformats.org/officeDocument/2006/relationships/image" Target="media/image76.jpeg"/><Relationship Id="rId84" Type="http://schemas.openxmlformats.org/officeDocument/2006/relationships/image" Target="media/image75.jpeg"/><Relationship Id="rId83" Type="http://schemas.openxmlformats.org/officeDocument/2006/relationships/image" Target="media/image74.jpeg"/><Relationship Id="rId82" Type="http://schemas.openxmlformats.org/officeDocument/2006/relationships/image" Target="media/image73.jpeg"/><Relationship Id="rId81" Type="http://schemas.openxmlformats.org/officeDocument/2006/relationships/image" Target="media/image72.jpeg"/><Relationship Id="rId80" Type="http://schemas.openxmlformats.org/officeDocument/2006/relationships/image" Target="media/image71.jpeg"/><Relationship Id="rId8" Type="http://schemas.openxmlformats.org/officeDocument/2006/relationships/footer" Target="footer3.xml"/><Relationship Id="rId79" Type="http://schemas.openxmlformats.org/officeDocument/2006/relationships/image" Target="media/image70.jpeg"/><Relationship Id="rId78" Type="http://schemas.openxmlformats.org/officeDocument/2006/relationships/image" Target="media/image69.jpeg"/><Relationship Id="rId77" Type="http://schemas.openxmlformats.org/officeDocument/2006/relationships/image" Target="media/image68.jpeg"/><Relationship Id="rId76" Type="http://schemas.openxmlformats.org/officeDocument/2006/relationships/image" Target="media/image67.jpeg"/><Relationship Id="rId75" Type="http://schemas.openxmlformats.org/officeDocument/2006/relationships/image" Target="media/image66.jpeg"/><Relationship Id="rId74" Type="http://schemas.openxmlformats.org/officeDocument/2006/relationships/image" Target="media/image65.jpeg"/><Relationship Id="rId73" Type="http://schemas.openxmlformats.org/officeDocument/2006/relationships/image" Target="media/image64.jpeg"/><Relationship Id="rId72" Type="http://schemas.openxmlformats.org/officeDocument/2006/relationships/image" Target="media/image63.jpeg"/><Relationship Id="rId71" Type="http://schemas.openxmlformats.org/officeDocument/2006/relationships/image" Target="media/image62.jpeg"/><Relationship Id="rId70" Type="http://schemas.openxmlformats.org/officeDocument/2006/relationships/image" Target="media/image61.jpeg"/><Relationship Id="rId7" Type="http://schemas.openxmlformats.org/officeDocument/2006/relationships/footer" Target="footer2.xml"/><Relationship Id="rId69" Type="http://schemas.openxmlformats.org/officeDocument/2006/relationships/image" Target="media/image60.jpeg"/><Relationship Id="rId68" Type="http://schemas.openxmlformats.org/officeDocument/2006/relationships/image" Target="media/image59.jpeg"/><Relationship Id="rId67" Type="http://schemas.openxmlformats.org/officeDocument/2006/relationships/image" Target="media/image58.jpeg"/><Relationship Id="rId66" Type="http://schemas.openxmlformats.org/officeDocument/2006/relationships/image" Target="media/image57.jpeg"/><Relationship Id="rId65" Type="http://schemas.openxmlformats.org/officeDocument/2006/relationships/image" Target="media/image56.jpeg"/><Relationship Id="rId64" Type="http://schemas.openxmlformats.org/officeDocument/2006/relationships/image" Target="media/image55.jpeg"/><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jpeg"/><Relationship Id="rId6" Type="http://schemas.openxmlformats.org/officeDocument/2006/relationships/footer" Target="footer1.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header" Target="header3.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header" Target="header2.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1" Type="http://schemas.openxmlformats.org/officeDocument/2006/relationships/fontTable" Target="fontTable.xml"/><Relationship Id="rId110" Type="http://schemas.openxmlformats.org/officeDocument/2006/relationships/numbering" Target="numbering.xml"/><Relationship Id="rId11" Type="http://schemas.openxmlformats.org/officeDocument/2006/relationships/image" Target="media/image2.jpeg"/><Relationship Id="rId109" Type="http://schemas.openxmlformats.org/officeDocument/2006/relationships/customXml" Target="../customXml/item1.xml"/><Relationship Id="rId108" Type="http://schemas.openxmlformats.org/officeDocument/2006/relationships/image" Target="media/image99.jpeg"/><Relationship Id="rId107" Type="http://schemas.openxmlformats.org/officeDocument/2006/relationships/image" Target="media/image98.jpeg"/><Relationship Id="rId106" Type="http://schemas.openxmlformats.org/officeDocument/2006/relationships/image" Target="media/image97.jpeg"/><Relationship Id="rId105" Type="http://schemas.openxmlformats.org/officeDocument/2006/relationships/image" Target="media/image96.jpeg"/><Relationship Id="rId104" Type="http://schemas.openxmlformats.org/officeDocument/2006/relationships/image" Target="media/image95.jpeg"/><Relationship Id="rId103" Type="http://schemas.openxmlformats.org/officeDocument/2006/relationships/image" Target="media/image94.jpeg"/><Relationship Id="rId102" Type="http://schemas.openxmlformats.org/officeDocument/2006/relationships/image" Target="media/image93.jpeg"/><Relationship Id="rId101" Type="http://schemas.openxmlformats.org/officeDocument/2006/relationships/image" Target="media/image92.jpeg"/><Relationship Id="rId100" Type="http://schemas.openxmlformats.org/officeDocument/2006/relationships/image" Target="media/image91.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167</Pages>
  <Words>62132</Words>
  <Characters>73814</Characters>
  <Lines>0</Lines>
  <Paragraphs>0</Paragraphs>
  <TotalTime>71</TotalTime>
  <ScaleCrop>false</ScaleCrop>
  <LinksUpToDate>false</LinksUpToDate>
  <CharactersWithSpaces>80907</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2022-05-16T02:04:00Z</dcterms:created>
  <dc:creator>Z&amp;Y</dc:creator>
  <cp:lastModifiedBy>英华</cp:lastModifiedBy>
  <cp:lastPrinted>2022-10-17T02:29:00Z</cp:lastPrinted>
  <dcterms:modified xsi:type="dcterms:W3CDTF">2022-10-17T07:49:31Z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E8579B9587434342A7FA589500F4D1CD</vt:lpwstr>
  </property>
</Properties>
</file>