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3" w:firstLineChars="200"/>
        <w:rPr>
          <w:rFonts w:hint="eastAsia" w:ascii="宋体" w:hAnsi="宋体"/>
          <w:b/>
          <w:sz w:val="42"/>
          <w:szCs w:val="42"/>
        </w:rPr>
      </w:pPr>
      <w:bookmarkStart w:id="9" w:name="_GoBack"/>
      <w:bookmarkEnd w:id="9"/>
      <w:r>
        <w:rPr>
          <w:rFonts w:hint="eastAsia" w:ascii="宋体" w:hAnsi="宋体"/>
          <w:b/>
          <w:sz w:val="42"/>
          <w:szCs w:val="42"/>
        </w:rPr>
        <w:t>金华市公共资源交易中心东阳分中心关于</w:t>
      </w:r>
    </w:p>
    <w:p>
      <w:pPr>
        <w:ind w:firstLine="843" w:firstLineChars="200"/>
        <w:rPr>
          <w:rFonts w:hint="eastAsia" w:ascii="宋体" w:hAnsi="宋体"/>
          <w:sz w:val="72"/>
          <w:szCs w:val="72"/>
        </w:rPr>
      </w:pPr>
      <w:r>
        <w:rPr>
          <w:rFonts w:hint="eastAsia" w:ascii="宋体" w:hAnsi="宋体"/>
          <w:b/>
          <w:sz w:val="42"/>
          <w:szCs w:val="42"/>
        </w:rPr>
        <w:t>东阳市教育网升级改造及运维服务项目</w:t>
      </w:r>
    </w:p>
    <w:p>
      <w:pPr>
        <w:spacing w:before="120" w:beforeLines="50" w:line="360" w:lineRule="auto"/>
        <w:jc w:val="center"/>
        <w:rPr>
          <w:rFonts w:hint="eastAsia" w:ascii="宋体" w:hAnsi="宋体"/>
          <w:sz w:val="72"/>
          <w:szCs w:val="72"/>
        </w:rPr>
      </w:pPr>
    </w:p>
    <w:p>
      <w:pPr>
        <w:snapToGrid w:val="0"/>
        <w:spacing w:before="120" w:beforeLines="50" w:line="360" w:lineRule="auto"/>
        <w:jc w:val="center"/>
        <w:rPr>
          <w:rFonts w:hint="eastAsia" w:ascii="宋体" w:hAnsi="宋体"/>
          <w:sz w:val="30"/>
          <w:szCs w:val="72"/>
        </w:rPr>
      </w:pPr>
      <w:r>
        <w:rPr>
          <w:rFonts w:hint="eastAsia" w:ascii="宋体" w:hAnsi="宋体"/>
          <w:sz w:val="72"/>
          <w:szCs w:val="260"/>
        </w:rPr>
        <w:t>公开招标采购文件</w:t>
      </w:r>
    </w:p>
    <w:p>
      <w:pPr>
        <w:snapToGrid w:val="0"/>
        <w:spacing w:before="120" w:beforeLines="50" w:line="360" w:lineRule="auto"/>
        <w:jc w:val="center"/>
        <w:rPr>
          <w:rFonts w:hint="eastAsia" w:ascii="宋体" w:hAnsi="宋体"/>
          <w:sz w:val="30"/>
          <w:szCs w:val="72"/>
        </w:rPr>
      </w:pPr>
    </w:p>
    <w:p>
      <w:pPr>
        <w:snapToGrid w:val="0"/>
        <w:spacing w:before="120" w:beforeLines="50" w:line="360" w:lineRule="auto"/>
        <w:jc w:val="center"/>
        <w:rPr>
          <w:rFonts w:hint="eastAsia" w:ascii="宋体" w:hAnsi="宋体"/>
          <w:sz w:val="30"/>
          <w:szCs w:val="72"/>
        </w:rPr>
      </w:pPr>
    </w:p>
    <w:p>
      <w:pPr>
        <w:pStyle w:val="24"/>
        <w:snapToGrid w:val="0"/>
        <w:spacing w:before="120" w:after="120" w:line="360" w:lineRule="auto"/>
        <w:rPr>
          <w:rFonts w:hint="eastAsia" w:hAnsi="宋体"/>
          <w:b/>
          <w:bCs/>
          <w:sz w:val="30"/>
          <w:szCs w:val="30"/>
        </w:rPr>
      </w:pPr>
      <w:r>
        <w:rPr>
          <w:rFonts w:hAnsi="宋体"/>
          <w:b/>
          <w:bCs/>
          <w:sz w:val="30"/>
          <w:szCs w:val="30"/>
        </w:rPr>
        <w:t>项目编号：DYCG2020-</w:t>
      </w:r>
      <w:r>
        <w:rPr>
          <w:rFonts w:hint="eastAsia" w:hAnsi="宋体"/>
          <w:b/>
          <w:bCs/>
          <w:sz w:val="30"/>
          <w:szCs w:val="30"/>
        </w:rPr>
        <w:t>C105</w:t>
      </w:r>
    </w:p>
    <w:p>
      <w:pPr>
        <w:pStyle w:val="24"/>
        <w:snapToGrid w:val="0"/>
        <w:spacing w:before="120" w:after="120" w:line="360" w:lineRule="auto"/>
        <w:ind w:left="1494" w:hanging="1494" w:hangingChars="496"/>
        <w:rPr>
          <w:rFonts w:hAnsi="宋体"/>
          <w:b/>
          <w:bCs/>
          <w:sz w:val="30"/>
          <w:szCs w:val="30"/>
        </w:rPr>
      </w:pPr>
      <w:r>
        <w:rPr>
          <w:rFonts w:hint="eastAsia" w:hAnsi="宋体"/>
          <w:b/>
          <w:bCs/>
          <w:sz w:val="30"/>
          <w:szCs w:val="30"/>
        </w:rPr>
        <w:t>项目名称：东阳市教育网升级改造及运维服务项目</w:t>
      </w:r>
    </w:p>
    <w:p>
      <w:pPr>
        <w:pStyle w:val="24"/>
        <w:snapToGrid w:val="0"/>
        <w:spacing w:before="120" w:after="120" w:line="360" w:lineRule="auto"/>
        <w:ind w:left="1494" w:hanging="1494" w:hangingChars="496"/>
        <w:rPr>
          <w:rFonts w:hAnsi="宋体"/>
          <w:b/>
          <w:bCs/>
          <w:sz w:val="30"/>
          <w:szCs w:val="30"/>
        </w:rPr>
      </w:pPr>
      <w:r>
        <w:rPr>
          <w:rFonts w:hAnsi="宋体"/>
          <w:b/>
          <w:bCs/>
          <w:sz w:val="30"/>
          <w:szCs w:val="30"/>
        </w:rPr>
        <w:t>采购单位：</w:t>
      </w:r>
      <w:r>
        <w:rPr>
          <w:rFonts w:hint="eastAsia" w:hAnsi="宋体"/>
          <w:b/>
          <w:bCs/>
          <w:spacing w:val="-20"/>
          <w:sz w:val="30"/>
          <w:szCs w:val="30"/>
        </w:rPr>
        <w:t>东阳市教育局</w:t>
      </w:r>
    </w:p>
    <w:p>
      <w:pPr>
        <w:pStyle w:val="24"/>
        <w:snapToGrid w:val="0"/>
        <w:spacing w:before="120" w:after="120" w:line="360" w:lineRule="auto"/>
        <w:rPr>
          <w:rFonts w:hint="eastAsia" w:hAnsi="宋体"/>
          <w:b/>
          <w:sz w:val="30"/>
          <w:szCs w:val="48"/>
        </w:rPr>
      </w:pPr>
      <w:r>
        <w:rPr>
          <w:rFonts w:hint="eastAsia" w:hAnsi="宋体"/>
          <w:b/>
          <w:bCs/>
          <w:w w:val="95"/>
          <w:sz w:val="30"/>
          <w:szCs w:val="30"/>
        </w:rPr>
        <w:t>招标</w:t>
      </w:r>
      <w:r>
        <w:rPr>
          <w:rFonts w:hAnsi="宋体"/>
          <w:b/>
          <w:bCs/>
          <w:w w:val="95"/>
          <w:sz w:val="30"/>
          <w:szCs w:val="30"/>
        </w:rPr>
        <w:t>机构：</w:t>
      </w:r>
      <w:r>
        <w:rPr>
          <w:rFonts w:hint="eastAsia" w:hAnsi="宋体"/>
          <w:b/>
          <w:sz w:val="30"/>
          <w:szCs w:val="48"/>
        </w:rPr>
        <w:t>金华市公共资源交易</w:t>
      </w:r>
      <w:r>
        <w:rPr>
          <w:rFonts w:hAnsi="宋体"/>
          <w:b/>
          <w:sz w:val="30"/>
          <w:szCs w:val="48"/>
        </w:rPr>
        <w:t>中心东阳分中心</w:t>
      </w:r>
    </w:p>
    <w:p>
      <w:pPr>
        <w:pStyle w:val="24"/>
        <w:snapToGrid w:val="0"/>
        <w:spacing w:before="120" w:after="120" w:line="360" w:lineRule="auto"/>
        <w:rPr>
          <w:rFonts w:hAnsi="宋体"/>
          <w:b/>
          <w:sz w:val="30"/>
          <w:szCs w:val="48"/>
        </w:rPr>
      </w:pPr>
      <w:r>
        <w:rPr>
          <w:rFonts w:hAnsi="宋体"/>
          <w:b/>
          <w:sz w:val="30"/>
          <w:szCs w:val="48"/>
        </w:rPr>
        <w:t xml:space="preserve"> </w:t>
      </w:r>
    </w:p>
    <w:p>
      <w:pPr>
        <w:pStyle w:val="24"/>
        <w:snapToGrid w:val="0"/>
        <w:spacing w:before="120" w:after="120" w:line="360" w:lineRule="auto"/>
        <w:rPr>
          <w:rFonts w:hAnsi="宋体"/>
          <w:b/>
          <w:sz w:val="30"/>
          <w:szCs w:val="48"/>
        </w:rPr>
      </w:pPr>
    </w:p>
    <w:p>
      <w:pPr>
        <w:pStyle w:val="24"/>
        <w:snapToGrid w:val="0"/>
        <w:spacing w:before="120" w:after="120" w:line="360" w:lineRule="auto"/>
        <w:rPr>
          <w:rFonts w:hAnsi="宋体"/>
          <w:b/>
          <w:sz w:val="30"/>
          <w:szCs w:val="48"/>
        </w:rPr>
      </w:pPr>
    </w:p>
    <w:p>
      <w:pPr>
        <w:snapToGrid w:val="0"/>
        <w:spacing w:before="120" w:beforeLines="50" w:line="360" w:lineRule="auto"/>
        <w:ind w:left="384" w:leftChars="183" w:firstLine="4885" w:firstLineChars="1607"/>
        <w:rPr>
          <w:rFonts w:hint="eastAsia" w:ascii="宋体" w:hAnsi="宋体"/>
          <w:b/>
          <w:bCs/>
          <w:w w:val="95"/>
          <w:sz w:val="32"/>
          <w:szCs w:val="32"/>
        </w:rPr>
      </w:pPr>
      <w:r>
        <w:rPr>
          <w:w w:val="95"/>
          <w:sz w:val="32"/>
          <w:szCs w:val="32"/>
        </w:rPr>
        <w:t>2020</w:t>
      </w:r>
      <w:r>
        <w:rPr>
          <w:rFonts w:hint="eastAsia"/>
          <w:w w:val="95"/>
          <w:sz w:val="32"/>
          <w:szCs w:val="32"/>
        </w:rPr>
        <w:t>年12月</w:t>
      </w:r>
      <w:r>
        <w:rPr>
          <w:rFonts w:hint="eastAsia"/>
          <w:w w:val="95"/>
          <w:sz w:val="32"/>
          <w:szCs w:val="32"/>
          <w:lang w:val="en-US" w:eastAsia="zh-CN"/>
        </w:rPr>
        <w:t>31</w:t>
      </w:r>
      <w:r>
        <w:rPr>
          <w:rFonts w:hint="eastAsia"/>
          <w:w w:val="95"/>
          <w:sz w:val="32"/>
          <w:szCs w:val="32"/>
        </w:rPr>
        <w:t>日</w:t>
      </w:r>
    </w:p>
    <w:p>
      <w:pPr>
        <w:pStyle w:val="24"/>
        <w:spacing w:before="120" w:after="120" w:line="360" w:lineRule="auto"/>
        <w:jc w:val="center"/>
        <w:rPr>
          <w:rFonts w:hint="eastAsia" w:ascii="创艺简标宋" w:hAnsi="宋体" w:eastAsia="创艺简标宋"/>
          <w:sz w:val="44"/>
          <w:szCs w:val="44"/>
        </w:rPr>
      </w:pPr>
      <w:r>
        <w:br w:type="page"/>
      </w:r>
      <w:r>
        <w:rPr>
          <w:rFonts w:hint="eastAsia" w:ascii="创艺简标宋" w:hAnsi="宋体" w:eastAsia="创艺简标宋"/>
          <w:sz w:val="44"/>
          <w:szCs w:val="44"/>
        </w:rPr>
        <w:t>目录</w:t>
      </w:r>
    </w:p>
    <w:p>
      <w:pPr>
        <w:numPr>
          <w:ilvl w:val="0"/>
          <w:numId w:val="3"/>
        </w:numPr>
        <w:spacing w:before="120" w:beforeLines="50" w:line="360" w:lineRule="auto"/>
        <w:rPr>
          <w:rFonts w:ascii="宋体" w:hAnsi="宋体"/>
          <w:sz w:val="30"/>
          <w:szCs w:val="20"/>
        </w:rPr>
      </w:pPr>
      <w:r>
        <w:rPr>
          <w:rFonts w:hint="eastAsia" w:ascii="宋体" w:hAnsi="宋体"/>
          <w:sz w:val="30"/>
        </w:rPr>
        <w:t>公开招标采购公告</w:t>
      </w:r>
    </w:p>
    <w:p>
      <w:pPr>
        <w:numPr>
          <w:ilvl w:val="0"/>
          <w:numId w:val="3"/>
        </w:numPr>
        <w:spacing w:before="120" w:beforeLines="50" w:line="360" w:lineRule="auto"/>
        <w:rPr>
          <w:rFonts w:ascii="宋体" w:hAnsi="宋体"/>
          <w:sz w:val="30"/>
          <w:szCs w:val="20"/>
        </w:rPr>
      </w:pPr>
      <w:r>
        <w:rPr>
          <w:rFonts w:hint="eastAsia" w:ascii="宋体" w:hAnsi="宋体"/>
          <w:sz w:val="30"/>
        </w:rPr>
        <w:t>招标需求</w:t>
      </w:r>
    </w:p>
    <w:p>
      <w:pPr>
        <w:numPr>
          <w:ilvl w:val="0"/>
          <w:numId w:val="3"/>
        </w:numPr>
        <w:spacing w:before="120" w:beforeLines="50" w:line="360" w:lineRule="auto"/>
        <w:rPr>
          <w:rFonts w:ascii="宋体" w:hAnsi="宋体"/>
          <w:sz w:val="30"/>
          <w:szCs w:val="20"/>
        </w:rPr>
      </w:pPr>
      <w:r>
        <w:rPr>
          <w:rFonts w:hint="eastAsia" w:ascii="宋体" w:hAnsi="宋体"/>
          <w:sz w:val="30"/>
        </w:rPr>
        <w:t>投标人须知</w:t>
      </w:r>
    </w:p>
    <w:p>
      <w:pPr>
        <w:numPr>
          <w:ilvl w:val="0"/>
          <w:numId w:val="3"/>
        </w:numPr>
        <w:spacing w:before="120" w:beforeLines="50" w:line="360" w:lineRule="auto"/>
        <w:rPr>
          <w:rFonts w:ascii="宋体" w:hAnsi="宋体"/>
          <w:sz w:val="30"/>
          <w:szCs w:val="20"/>
        </w:rPr>
      </w:pPr>
      <w:r>
        <w:rPr>
          <w:rFonts w:hint="eastAsia" w:ascii="宋体" w:hAnsi="宋体"/>
          <w:sz w:val="30"/>
        </w:rPr>
        <w:t>评标办法及评分标准</w:t>
      </w:r>
    </w:p>
    <w:p>
      <w:pPr>
        <w:numPr>
          <w:ilvl w:val="0"/>
          <w:numId w:val="3"/>
        </w:numPr>
        <w:spacing w:before="120" w:beforeLines="50" w:line="360" w:lineRule="auto"/>
        <w:rPr>
          <w:rFonts w:ascii="宋体" w:hAnsi="宋体"/>
          <w:sz w:val="30"/>
          <w:szCs w:val="20"/>
        </w:rPr>
      </w:pPr>
      <w:r>
        <w:rPr>
          <w:rFonts w:hint="eastAsia" w:ascii="宋体" w:hAnsi="宋体"/>
          <w:sz w:val="30"/>
        </w:rPr>
        <w:t>政府采购合同主要条款</w:t>
      </w:r>
    </w:p>
    <w:p>
      <w:pPr>
        <w:numPr>
          <w:ilvl w:val="0"/>
          <w:numId w:val="3"/>
        </w:numPr>
        <w:spacing w:before="120" w:beforeLines="50" w:line="360" w:lineRule="auto"/>
        <w:rPr>
          <w:rFonts w:ascii="宋体" w:hAnsi="宋体"/>
          <w:sz w:val="30"/>
          <w:szCs w:val="20"/>
        </w:rPr>
      </w:pPr>
      <w:r>
        <w:rPr>
          <w:rFonts w:hint="eastAsia" w:ascii="宋体" w:hAnsi="宋体"/>
          <w:sz w:val="30"/>
        </w:rPr>
        <w:t>投标文件格式</w:t>
      </w:r>
    </w:p>
    <w:p>
      <w:pPr>
        <w:pStyle w:val="24"/>
        <w:snapToGrid w:val="0"/>
        <w:spacing w:before="120" w:after="120" w:line="360" w:lineRule="auto"/>
        <w:jc w:val="center"/>
        <w:outlineLvl w:val="0"/>
        <w:rPr>
          <w:rFonts w:hint="eastAsia" w:ascii="黑体" w:hAnsi="宋体" w:eastAsia="黑体"/>
          <w:sz w:val="30"/>
          <w:szCs w:val="30"/>
        </w:rPr>
      </w:pPr>
      <w:r>
        <w:rPr>
          <w:rFonts w:hAnsi="宋体"/>
        </w:rPr>
        <w:br w:type="page"/>
      </w:r>
      <w:r>
        <w:rPr>
          <w:rFonts w:hint="eastAsia" w:ascii="黑体" w:hAnsi="宋体" w:eastAsia="黑体"/>
          <w:sz w:val="30"/>
          <w:szCs w:val="30"/>
        </w:rPr>
        <w:t>第一章公开招标采购公告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cs="宋体"/>
          <w:sz w:val="24"/>
        </w:rPr>
      </w:pPr>
      <w:r>
        <w:rPr>
          <w:rFonts w:hint="eastAsia" w:ascii="宋体" w:hAnsi="宋体" w:cs="宋体"/>
          <w:b/>
          <w:bCs/>
          <w:sz w:val="24"/>
          <w:u w:val="single"/>
        </w:rPr>
        <w:t>东阳市教育网升级改造及运维服务项目（经东阳市财政局临[2020]5847号采购计划确认书批准）</w:t>
      </w:r>
      <w:r>
        <w:rPr>
          <w:rFonts w:hint="eastAsia" w:ascii="宋体" w:hAnsi="宋体" w:cs="宋体"/>
          <w:sz w:val="24"/>
        </w:rPr>
        <w:t>的潜在投标人应在</w:t>
      </w:r>
      <w:r>
        <w:rPr>
          <w:rFonts w:hint="eastAsia" w:ascii="宋体" w:hAnsi="宋体" w:cs="宋体"/>
          <w:sz w:val="24"/>
          <w:u w:val="single"/>
        </w:rPr>
        <w:t>（网址：浙江政府采购网:</w:t>
      </w:r>
      <w:r>
        <w:rPr>
          <w:rFonts w:hint="eastAsia" w:ascii="宋体" w:hAnsi="宋体"/>
          <w:sz w:val="24"/>
          <w:u w:val="single"/>
        </w:rPr>
        <w:t>http://zfcg.czt.zj.gov.cn/</w:t>
      </w:r>
      <w:r>
        <w:rPr>
          <w:rFonts w:hint="eastAsia" w:ascii="宋体" w:hAnsi="宋体" w:cs="宋体"/>
          <w:sz w:val="24"/>
          <w:u w:val="single"/>
        </w:rPr>
        <w:t>、东阳市公共资源交易网:</w:t>
      </w:r>
      <w:r>
        <w:rPr>
          <w:rFonts w:hint="eastAsia" w:ascii="宋体" w:hAnsi="宋体"/>
          <w:sz w:val="24"/>
          <w:u w:val="single"/>
        </w:rPr>
        <w:t>http://ggzyjy.dongyang.gov.cn/</w:t>
      </w:r>
      <w:r>
        <w:rPr>
          <w:rFonts w:hint="eastAsia" w:ascii="宋体" w:hAnsi="宋体" w:cs="宋体"/>
          <w:sz w:val="24"/>
          <w:u w:val="single"/>
        </w:rPr>
        <w:t>）</w:t>
      </w:r>
      <w:r>
        <w:rPr>
          <w:rFonts w:hint="eastAsia" w:ascii="宋体" w:hAnsi="宋体" w:cs="宋体"/>
          <w:sz w:val="24"/>
        </w:rPr>
        <w:t>获取招标文件，并于</w:t>
      </w:r>
      <w:r>
        <w:rPr>
          <w:rFonts w:hint="eastAsia" w:ascii="宋体" w:hAnsi="宋体" w:cs="宋体"/>
          <w:sz w:val="24"/>
          <w:u w:val="single"/>
        </w:rPr>
        <w:t>202</w:t>
      </w:r>
      <w:r>
        <w:rPr>
          <w:rFonts w:hint="eastAsia" w:ascii="宋体" w:hAnsi="宋体" w:cs="宋体"/>
          <w:sz w:val="24"/>
          <w:u w:val="single"/>
          <w:lang w:val="en-US" w:eastAsia="zh-CN"/>
        </w:rPr>
        <w:t>1</w:t>
      </w:r>
      <w:r>
        <w:rPr>
          <w:rFonts w:hint="eastAsia" w:ascii="宋体" w:hAnsi="宋体" w:cs="宋体"/>
          <w:bCs/>
          <w:sz w:val="24"/>
          <w:u w:val="single"/>
        </w:rPr>
        <w:t>年</w:t>
      </w:r>
      <w:r>
        <w:rPr>
          <w:rFonts w:hint="eastAsia" w:ascii="宋体" w:hAnsi="宋体" w:cs="宋体"/>
          <w:bCs/>
          <w:sz w:val="24"/>
          <w:u w:val="single"/>
          <w:lang w:val="en-US" w:eastAsia="zh-CN"/>
        </w:rPr>
        <w:t>1</w:t>
      </w:r>
      <w:r>
        <w:rPr>
          <w:rFonts w:hint="eastAsia" w:ascii="宋体" w:hAnsi="宋体" w:cs="宋体"/>
          <w:bCs/>
          <w:sz w:val="24"/>
          <w:u w:val="single"/>
        </w:rPr>
        <w:t>月</w:t>
      </w:r>
      <w:r>
        <w:rPr>
          <w:rFonts w:hint="eastAsia" w:ascii="宋体" w:hAnsi="宋体" w:cs="宋体"/>
          <w:bCs/>
          <w:sz w:val="24"/>
          <w:u w:val="single"/>
          <w:lang w:val="en-US" w:eastAsia="zh-CN"/>
        </w:rPr>
        <w:t>2</w:t>
      </w:r>
      <w:r>
        <w:rPr>
          <w:rFonts w:hint="eastAsia" w:ascii="宋体" w:hAnsi="宋体" w:cs="宋体"/>
          <w:bCs/>
          <w:sz w:val="24"/>
          <w:u w:val="single"/>
          <w:lang w:val="en-US" w:eastAsia="zh-CN"/>
        </w:rPr>
        <w:t>1</w:t>
      </w:r>
      <w:r>
        <w:rPr>
          <w:rFonts w:hint="eastAsia" w:ascii="宋体" w:hAnsi="宋体" w:cs="宋体"/>
          <w:bCs/>
          <w:sz w:val="24"/>
          <w:u w:val="single"/>
        </w:rPr>
        <w:t>日9点00分（</w:t>
      </w:r>
      <w:r>
        <w:rPr>
          <w:rFonts w:hint="eastAsia" w:ascii="宋体" w:hAnsi="宋体" w:cs="宋体"/>
          <w:bCs/>
          <w:sz w:val="24"/>
        </w:rPr>
        <w:t>北京时间）前递交投标文件</w:t>
      </w:r>
      <w:r>
        <w:rPr>
          <w:rFonts w:hint="eastAsia" w:ascii="宋体" w:hAnsi="宋体" w:cs="宋体"/>
          <w:sz w:val="24"/>
        </w:rPr>
        <w:t>。</w:t>
      </w:r>
    </w:p>
    <w:p>
      <w:pPr>
        <w:snapToGrid w:val="0"/>
        <w:spacing w:line="312" w:lineRule="auto"/>
        <w:ind w:firstLine="480" w:firstLineChars="200"/>
        <w:rPr>
          <w:rFonts w:hint="eastAsia" w:ascii="宋体" w:hAnsi="宋体" w:cs="Arial"/>
          <w:b/>
          <w:bCs/>
          <w:sz w:val="24"/>
        </w:rPr>
      </w:pPr>
      <w:r>
        <w:rPr>
          <w:rFonts w:hint="eastAsia" w:ascii="宋体" w:hAnsi="宋体" w:cs="Arial"/>
          <w:sz w:val="24"/>
        </w:rPr>
        <w:t>一、</w:t>
      </w:r>
      <w:r>
        <w:rPr>
          <w:rFonts w:hint="eastAsia" w:ascii="宋体" w:hAnsi="宋体" w:cs="Arial"/>
          <w:b/>
          <w:bCs/>
          <w:sz w:val="24"/>
        </w:rPr>
        <w:t>基本情况</w:t>
      </w:r>
    </w:p>
    <w:p>
      <w:pPr>
        <w:snapToGrid w:val="0"/>
        <w:spacing w:line="360" w:lineRule="auto"/>
        <w:ind w:firstLine="602" w:firstLineChars="250"/>
        <w:rPr>
          <w:rFonts w:hint="eastAsia" w:ascii="宋体" w:hAnsi="宋体" w:cs="Arial"/>
          <w:sz w:val="24"/>
        </w:rPr>
      </w:pPr>
      <w:r>
        <w:rPr>
          <w:rFonts w:hint="eastAsia" w:ascii="宋体" w:hAnsi="宋体" w:cs="Arial"/>
          <w:b/>
          <w:sz w:val="24"/>
        </w:rPr>
        <w:t>1、项目编号：</w:t>
      </w:r>
      <w:r>
        <w:rPr>
          <w:rFonts w:hint="eastAsia" w:ascii="宋体" w:hAnsi="宋体" w:cs="Arial"/>
          <w:sz w:val="24"/>
        </w:rPr>
        <w:t>DYCG2020-C105</w:t>
      </w:r>
      <w:r>
        <w:rPr>
          <w:rFonts w:ascii="宋体" w:hAnsi="宋体" w:cs="Arial"/>
          <w:sz w:val="24"/>
        </w:rPr>
        <w:t xml:space="preserve"> </w:t>
      </w:r>
    </w:p>
    <w:p>
      <w:pPr>
        <w:snapToGrid w:val="0"/>
        <w:spacing w:line="360" w:lineRule="auto"/>
        <w:ind w:firstLine="602" w:firstLineChars="250"/>
        <w:rPr>
          <w:rFonts w:ascii="宋体" w:hAnsi="宋体" w:cs="Arial"/>
          <w:sz w:val="24"/>
        </w:rPr>
      </w:pPr>
      <w:r>
        <w:rPr>
          <w:rFonts w:hint="eastAsia" w:ascii="宋体" w:hAnsi="宋体" w:cs="Arial"/>
          <w:b/>
          <w:sz w:val="24"/>
        </w:rPr>
        <w:t>2、采购组织类型：</w:t>
      </w:r>
      <w:r>
        <w:rPr>
          <w:rFonts w:hint="eastAsia" w:ascii="宋体" w:hAnsi="宋体" w:cs="Arial"/>
          <w:sz w:val="24"/>
        </w:rPr>
        <w:t>政府集中采购</w:t>
      </w:r>
    </w:p>
    <w:p>
      <w:pPr>
        <w:snapToGrid w:val="0"/>
        <w:spacing w:line="360" w:lineRule="auto"/>
        <w:ind w:firstLine="602" w:firstLineChars="250"/>
        <w:rPr>
          <w:rFonts w:hint="eastAsia" w:ascii="宋体" w:hAnsi="宋体" w:cs="Arial"/>
          <w:sz w:val="24"/>
        </w:rPr>
      </w:pPr>
      <w:r>
        <w:rPr>
          <w:rFonts w:hint="eastAsia" w:ascii="宋体" w:hAnsi="宋体" w:cs="Arial"/>
          <w:b/>
          <w:sz w:val="24"/>
        </w:rPr>
        <w:t>3、采购方式：</w:t>
      </w:r>
      <w:r>
        <w:rPr>
          <w:rFonts w:hint="eastAsia" w:ascii="宋体" w:hAnsi="宋体" w:cs="Arial"/>
          <w:sz w:val="24"/>
        </w:rPr>
        <w:t>公开招标</w:t>
      </w:r>
    </w:p>
    <w:p>
      <w:pPr>
        <w:pStyle w:val="3"/>
        <w:snapToGrid w:val="0"/>
        <w:spacing w:before="0" w:after="0" w:line="360" w:lineRule="auto"/>
        <w:rPr>
          <w:rFonts w:ascii="宋体" w:hAnsi="宋体" w:cs="Arial"/>
          <w:bCs w:val="0"/>
          <w:sz w:val="24"/>
          <w:szCs w:val="24"/>
        </w:rPr>
      </w:pPr>
      <w:r>
        <w:rPr>
          <w:rFonts w:hint="eastAsia" w:ascii="宋体" w:hAnsi="宋体" w:cs="Arial"/>
          <w:b w:val="0"/>
          <w:bCs w:val="0"/>
          <w:sz w:val="24"/>
          <w:szCs w:val="24"/>
        </w:rPr>
        <w:t xml:space="preserve">     </w:t>
      </w:r>
      <w:r>
        <w:rPr>
          <w:rFonts w:hint="eastAsia" w:ascii="宋体" w:hAnsi="宋体" w:cs="Arial"/>
          <w:bCs w:val="0"/>
          <w:sz w:val="24"/>
          <w:szCs w:val="24"/>
        </w:rPr>
        <w:t>4、预算金额：883.7908万元</w:t>
      </w:r>
    </w:p>
    <w:p>
      <w:pPr>
        <w:snapToGrid w:val="0"/>
        <w:spacing w:line="360" w:lineRule="auto"/>
        <w:rPr>
          <w:rFonts w:hint="eastAsia" w:ascii="宋体" w:hAnsi="宋体" w:cs="Arial"/>
          <w:sz w:val="24"/>
          <w:highlight w:val="none"/>
        </w:rPr>
      </w:pPr>
      <w:r>
        <w:rPr>
          <w:rFonts w:hint="eastAsia" w:ascii="宋体" w:hAnsi="宋体" w:cs="Arial"/>
          <w:sz w:val="24"/>
        </w:rPr>
        <w:t xml:space="preserve">    </w:t>
      </w:r>
      <w:r>
        <w:rPr>
          <w:rFonts w:hint="eastAsia" w:ascii="宋体" w:hAnsi="宋体" w:cs="Arial"/>
          <w:b/>
          <w:sz w:val="24"/>
        </w:rPr>
        <w:t xml:space="preserve"> 5、最</w:t>
      </w:r>
      <w:r>
        <w:rPr>
          <w:rFonts w:hint="eastAsia" w:ascii="宋体" w:hAnsi="宋体" w:cs="Arial"/>
          <w:b/>
          <w:sz w:val="24"/>
          <w:highlight w:val="none"/>
        </w:rPr>
        <w:t>高限价：</w:t>
      </w:r>
      <w:r>
        <w:rPr>
          <w:rFonts w:hint="eastAsia" w:ascii="宋体" w:hAnsi="宋体" w:cs="Arial"/>
          <w:sz w:val="24"/>
          <w:highlight w:val="none"/>
        </w:rPr>
        <w:t>850万，分五年支付</w:t>
      </w:r>
    </w:p>
    <w:p>
      <w:pPr>
        <w:pStyle w:val="3"/>
        <w:snapToGrid w:val="0"/>
        <w:spacing w:before="0" w:after="0" w:line="360" w:lineRule="auto"/>
        <w:rPr>
          <w:rFonts w:hint="eastAsia" w:ascii="宋体" w:hAnsi="宋体" w:cs="Arial"/>
          <w:bCs w:val="0"/>
          <w:sz w:val="24"/>
          <w:szCs w:val="24"/>
          <w:highlight w:val="none"/>
        </w:rPr>
      </w:pPr>
      <w:r>
        <w:rPr>
          <w:rFonts w:hint="eastAsia" w:ascii="宋体" w:hAnsi="宋体" w:cs="Arial"/>
          <w:b w:val="0"/>
          <w:bCs w:val="0"/>
          <w:sz w:val="24"/>
          <w:szCs w:val="24"/>
          <w:highlight w:val="none"/>
        </w:rPr>
        <w:t xml:space="preserve">  </w:t>
      </w:r>
      <w:r>
        <w:rPr>
          <w:rFonts w:hint="eastAsia" w:ascii="宋体" w:hAnsi="宋体" w:cs="Arial"/>
          <w:bCs w:val="0"/>
          <w:sz w:val="24"/>
          <w:szCs w:val="24"/>
          <w:highlight w:val="none"/>
        </w:rPr>
        <w:t xml:space="preserve">   6、合同履行期限：</w:t>
      </w:r>
      <w:bookmarkStart w:id="0" w:name="_Hlk42069572"/>
      <w:r>
        <w:rPr>
          <w:rFonts w:hint="eastAsia" w:ascii="宋体" w:hAnsi="宋体" w:cs="Arial"/>
          <w:bCs w:val="0"/>
          <w:sz w:val="24"/>
          <w:szCs w:val="24"/>
          <w:highlight w:val="none"/>
        </w:rPr>
        <w:t xml:space="preserve"> 100日历天</w:t>
      </w:r>
      <w:bookmarkEnd w:id="0"/>
      <w:r>
        <w:rPr>
          <w:rFonts w:hint="eastAsia" w:ascii="宋体" w:hAnsi="宋体" w:cs="Arial"/>
          <w:bCs w:val="0"/>
          <w:sz w:val="24"/>
          <w:szCs w:val="24"/>
          <w:highlight w:val="none"/>
        </w:rPr>
        <w:t>。</w:t>
      </w:r>
    </w:p>
    <w:p>
      <w:pPr>
        <w:snapToGrid w:val="0"/>
        <w:spacing w:line="360" w:lineRule="auto"/>
        <w:rPr>
          <w:rFonts w:hint="eastAsia" w:ascii="宋体" w:hAnsi="宋体" w:cs="Arial"/>
          <w:sz w:val="24"/>
        </w:rPr>
      </w:pPr>
      <w:r>
        <w:rPr>
          <w:rFonts w:hint="eastAsia" w:ascii="宋体" w:hAnsi="宋体" w:cs="Arial"/>
          <w:sz w:val="24"/>
        </w:rPr>
        <w:t xml:space="preserve">  </w:t>
      </w:r>
      <w:r>
        <w:rPr>
          <w:rFonts w:hint="eastAsia" w:ascii="宋体" w:hAnsi="宋体" w:cs="Arial"/>
          <w:b/>
          <w:sz w:val="24"/>
        </w:rPr>
        <w:t xml:space="preserve">   7、联合体投标：</w:t>
      </w:r>
      <w:r>
        <w:rPr>
          <w:rFonts w:hint="eastAsia" w:ascii="宋体" w:hAnsi="宋体" w:cs="Arial"/>
          <w:sz w:val="24"/>
        </w:rPr>
        <w:t>本项目 不 接受联合体投标。</w:t>
      </w:r>
    </w:p>
    <w:p>
      <w:pPr>
        <w:snapToGrid w:val="0"/>
        <w:spacing w:line="360" w:lineRule="auto"/>
        <w:ind w:firstLine="634" w:firstLineChars="263"/>
        <w:rPr>
          <w:rFonts w:hint="eastAsia" w:ascii="宋体" w:hAnsi="宋体"/>
        </w:rPr>
      </w:pPr>
      <w:r>
        <w:rPr>
          <w:rFonts w:hint="eastAsia" w:ascii="宋体" w:hAnsi="宋体" w:cs="Arial"/>
          <w:b/>
          <w:sz w:val="24"/>
        </w:rPr>
        <w:t>8、采购需求：</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128"/>
        <w:gridCol w:w="3147"/>
        <w:gridCol w:w="897"/>
        <w:gridCol w:w="169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645" w:type="dxa"/>
            <w:noWrap/>
            <w:vAlign w:val="center"/>
          </w:tcPr>
          <w:p>
            <w:pPr>
              <w:pStyle w:val="24"/>
              <w:spacing w:before="120" w:after="120" w:line="240" w:lineRule="auto"/>
              <w:jc w:val="center"/>
              <w:rPr>
                <w:b/>
                <w:sz w:val="21"/>
                <w:szCs w:val="21"/>
              </w:rPr>
            </w:pPr>
            <w:r>
              <w:rPr>
                <w:rFonts w:hint="eastAsia"/>
                <w:b/>
                <w:sz w:val="21"/>
                <w:szCs w:val="21"/>
              </w:rPr>
              <w:t>标项</w:t>
            </w:r>
          </w:p>
        </w:tc>
        <w:tc>
          <w:tcPr>
            <w:tcW w:w="2128" w:type="dxa"/>
            <w:noWrap/>
            <w:vAlign w:val="center"/>
          </w:tcPr>
          <w:p>
            <w:pPr>
              <w:pStyle w:val="24"/>
              <w:spacing w:before="120" w:after="120" w:line="240" w:lineRule="auto"/>
              <w:jc w:val="center"/>
              <w:rPr>
                <w:b/>
                <w:sz w:val="21"/>
                <w:szCs w:val="21"/>
              </w:rPr>
            </w:pPr>
            <w:r>
              <w:rPr>
                <w:rFonts w:hint="eastAsia"/>
                <w:b/>
                <w:sz w:val="21"/>
                <w:szCs w:val="21"/>
              </w:rPr>
              <w:t>货物名称</w:t>
            </w:r>
          </w:p>
        </w:tc>
        <w:tc>
          <w:tcPr>
            <w:tcW w:w="3147" w:type="dxa"/>
            <w:noWrap/>
            <w:vAlign w:val="center"/>
          </w:tcPr>
          <w:p>
            <w:pPr>
              <w:pStyle w:val="24"/>
              <w:spacing w:before="120" w:after="120" w:line="240" w:lineRule="auto"/>
              <w:jc w:val="center"/>
              <w:rPr>
                <w:b/>
                <w:sz w:val="21"/>
                <w:szCs w:val="21"/>
              </w:rPr>
            </w:pPr>
            <w:r>
              <w:rPr>
                <w:rFonts w:hint="eastAsia"/>
                <w:b/>
                <w:sz w:val="21"/>
                <w:szCs w:val="21"/>
              </w:rPr>
              <w:t>型号技术规格</w:t>
            </w:r>
          </w:p>
        </w:tc>
        <w:tc>
          <w:tcPr>
            <w:tcW w:w="897" w:type="dxa"/>
            <w:noWrap/>
            <w:vAlign w:val="center"/>
          </w:tcPr>
          <w:p>
            <w:pPr>
              <w:pStyle w:val="24"/>
              <w:spacing w:before="120" w:after="120" w:line="240" w:lineRule="auto"/>
              <w:jc w:val="center"/>
              <w:rPr>
                <w:b/>
                <w:sz w:val="21"/>
                <w:szCs w:val="21"/>
              </w:rPr>
            </w:pPr>
            <w:r>
              <w:rPr>
                <w:rFonts w:hint="eastAsia"/>
                <w:b/>
                <w:sz w:val="21"/>
                <w:szCs w:val="21"/>
              </w:rPr>
              <w:t>数量</w:t>
            </w:r>
          </w:p>
        </w:tc>
        <w:tc>
          <w:tcPr>
            <w:tcW w:w="1695" w:type="dxa"/>
            <w:noWrap/>
            <w:vAlign w:val="center"/>
          </w:tcPr>
          <w:p>
            <w:pPr>
              <w:pStyle w:val="24"/>
              <w:spacing w:before="120" w:after="120" w:line="240" w:lineRule="auto"/>
              <w:jc w:val="center"/>
              <w:rPr>
                <w:b/>
                <w:sz w:val="21"/>
                <w:szCs w:val="21"/>
              </w:rPr>
            </w:pPr>
            <w:r>
              <w:rPr>
                <w:rFonts w:hint="eastAsia"/>
                <w:b/>
                <w:sz w:val="21"/>
                <w:szCs w:val="21"/>
              </w:rPr>
              <w:t>预算价 （万元）</w:t>
            </w:r>
          </w:p>
        </w:tc>
        <w:tc>
          <w:tcPr>
            <w:tcW w:w="1695" w:type="dxa"/>
            <w:noWrap w:val="0"/>
            <w:vAlign w:val="top"/>
          </w:tcPr>
          <w:p>
            <w:pPr>
              <w:pStyle w:val="24"/>
              <w:spacing w:before="120" w:after="120" w:line="240" w:lineRule="auto"/>
              <w:jc w:val="center"/>
              <w:rPr>
                <w:rFonts w:hint="eastAsia"/>
                <w:b/>
                <w:sz w:val="21"/>
                <w:szCs w:val="21"/>
              </w:rPr>
            </w:pPr>
            <w:r>
              <w:rPr>
                <w:rFonts w:hint="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45" w:type="dxa"/>
            <w:noWrap/>
            <w:vAlign w:val="center"/>
          </w:tcPr>
          <w:p>
            <w:pPr>
              <w:pStyle w:val="24"/>
              <w:spacing w:before="120" w:after="120" w:line="240" w:lineRule="auto"/>
              <w:jc w:val="center"/>
              <w:rPr>
                <w:bCs/>
                <w:sz w:val="21"/>
                <w:szCs w:val="21"/>
              </w:rPr>
            </w:pPr>
            <w:r>
              <w:rPr>
                <w:rFonts w:hint="eastAsia"/>
                <w:bCs/>
                <w:sz w:val="21"/>
                <w:szCs w:val="21"/>
              </w:rPr>
              <w:t>1</w:t>
            </w:r>
          </w:p>
        </w:tc>
        <w:tc>
          <w:tcPr>
            <w:tcW w:w="2128" w:type="dxa"/>
            <w:noWrap/>
            <w:vAlign w:val="center"/>
          </w:tcPr>
          <w:p>
            <w:pPr>
              <w:pStyle w:val="24"/>
              <w:spacing w:before="120" w:after="120" w:line="240" w:lineRule="auto"/>
              <w:jc w:val="left"/>
              <w:rPr>
                <w:bCs/>
                <w:szCs w:val="21"/>
              </w:rPr>
            </w:pPr>
            <w:r>
              <w:rPr>
                <w:rFonts w:hint="eastAsia"/>
                <w:bCs/>
                <w:szCs w:val="21"/>
              </w:rPr>
              <w:t>教育网裸光纤链路接入服务</w:t>
            </w:r>
          </w:p>
        </w:tc>
        <w:tc>
          <w:tcPr>
            <w:tcW w:w="3147" w:type="dxa"/>
            <w:noWrap/>
            <w:vAlign w:val="center"/>
          </w:tcPr>
          <w:p>
            <w:pPr>
              <w:pStyle w:val="24"/>
              <w:spacing w:before="120" w:after="120" w:line="240" w:lineRule="auto"/>
              <w:jc w:val="center"/>
              <w:rPr>
                <w:rFonts w:ascii="Times New Roman" w:hAnsi="Times New Roman"/>
                <w:bCs/>
                <w:sz w:val="21"/>
                <w:szCs w:val="21"/>
              </w:rPr>
            </w:pPr>
            <w:r>
              <w:rPr>
                <w:rFonts w:hint="eastAsia" w:ascii="Times New Roman" w:hAnsi="Times New Roman"/>
                <w:bCs/>
                <w:sz w:val="21"/>
                <w:szCs w:val="21"/>
              </w:rPr>
              <w:t>详见第二章“招标需求”</w:t>
            </w:r>
          </w:p>
        </w:tc>
        <w:tc>
          <w:tcPr>
            <w:tcW w:w="897" w:type="dxa"/>
            <w:noWrap/>
            <w:vAlign w:val="center"/>
          </w:tcPr>
          <w:p>
            <w:pPr>
              <w:pStyle w:val="24"/>
              <w:spacing w:before="120" w:after="120" w:line="240" w:lineRule="auto"/>
              <w:jc w:val="center"/>
              <w:rPr>
                <w:rFonts w:ascii="Times New Roman" w:hAnsi="Times New Roman"/>
                <w:bCs/>
                <w:sz w:val="21"/>
                <w:szCs w:val="21"/>
              </w:rPr>
            </w:pPr>
            <w:r>
              <w:rPr>
                <w:rFonts w:hint="eastAsia" w:ascii="Times New Roman" w:hAnsi="Times New Roman"/>
                <w:bCs/>
                <w:sz w:val="21"/>
                <w:szCs w:val="21"/>
              </w:rPr>
              <w:t>一批</w:t>
            </w:r>
          </w:p>
        </w:tc>
        <w:tc>
          <w:tcPr>
            <w:tcW w:w="1695" w:type="dxa"/>
            <w:noWrap/>
            <w:vAlign w:val="center"/>
          </w:tcPr>
          <w:p>
            <w:pPr>
              <w:pStyle w:val="24"/>
              <w:spacing w:before="120" w:after="120" w:line="240" w:lineRule="auto"/>
              <w:jc w:val="center"/>
              <w:rPr>
                <w:rFonts w:ascii="Times New Roman" w:hAnsi="Times New Roman"/>
                <w:bCs/>
                <w:sz w:val="21"/>
                <w:szCs w:val="21"/>
              </w:rPr>
            </w:pPr>
            <w:r>
              <w:rPr>
                <w:rFonts w:hint="eastAsia" w:ascii="Times New Roman" w:hAnsi="Times New Roman"/>
                <w:bCs/>
                <w:sz w:val="21"/>
                <w:szCs w:val="21"/>
              </w:rPr>
              <w:t>883.7908</w:t>
            </w:r>
          </w:p>
        </w:tc>
        <w:tc>
          <w:tcPr>
            <w:tcW w:w="1695" w:type="dxa"/>
            <w:noWrap w:val="0"/>
            <w:vAlign w:val="center"/>
          </w:tcPr>
          <w:p>
            <w:pPr>
              <w:pStyle w:val="24"/>
              <w:spacing w:before="120" w:after="120" w:line="240" w:lineRule="auto"/>
              <w:jc w:val="center"/>
              <w:rPr>
                <w:rFonts w:hint="eastAsia" w:ascii="Times New Roman" w:hAnsi="Times New Roman"/>
                <w:bCs/>
                <w:sz w:val="21"/>
                <w:szCs w:val="21"/>
              </w:rPr>
            </w:pPr>
            <w:r>
              <w:rPr>
                <w:rFonts w:hint="eastAsia" w:ascii="Times New Roman" w:hAnsi="Times New Roman"/>
                <w:bCs/>
                <w:sz w:val="21"/>
                <w:szCs w:val="21"/>
              </w:rPr>
              <w:t>分五年支付</w:t>
            </w:r>
          </w:p>
        </w:tc>
      </w:tr>
    </w:tbl>
    <w:p>
      <w:pPr>
        <w:snapToGrid w:val="0"/>
        <w:spacing w:line="312" w:lineRule="auto"/>
        <w:ind w:firstLine="472" w:firstLineChars="196"/>
        <w:rPr>
          <w:rFonts w:ascii="宋体" w:hAnsi="宋体" w:cs="Arial"/>
          <w:b/>
          <w:bCs/>
          <w:sz w:val="24"/>
          <w:szCs w:val="20"/>
        </w:rPr>
      </w:pPr>
      <w:r>
        <w:rPr>
          <w:rFonts w:hint="eastAsia" w:ascii="宋体" w:hAnsi="宋体" w:cs="Arial"/>
          <w:b/>
          <w:sz w:val="24"/>
        </w:rPr>
        <w:t>二、</w:t>
      </w:r>
      <w:r>
        <w:rPr>
          <w:rFonts w:hint="eastAsia" w:ascii="宋体" w:hAnsi="宋体" w:cs="Arial"/>
          <w:b/>
          <w:bCs/>
          <w:sz w:val="24"/>
        </w:rPr>
        <w:t>申请人的资格要求</w:t>
      </w:r>
    </w:p>
    <w:p>
      <w:pPr>
        <w:snapToGrid w:val="0"/>
        <w:spacing w:line="312" w:lineRule="auto"/>
        <w:ind w:firstLine="480" w:firstLineChars="200"/>
        <w:rPr>
          <w:rFonts w:ascii="宋体" w:hAnsi="宋体" w:cs="Arial"/>
          <w:sz w:val="24"/>
        </w:rPr>
      </w:pPr>
      <w:r>
        <w:rPr>
          <w:rFonts w:ascii="宋体" w:hAnsi="宋体" w:cs="Arial"/>
          <w:sz w:val="24"/>
        </w:rPr>
        <w:t>符合</w:t>
      </w:r>
      <w:r>
        <w:rPr>
          <w:rFonts w:hint="eastAsia" w:ascii="宋体" w:hAnsi="宋体" w:cs="Arial"/>
          <w:sz w:val="24"/>
        </w:rPr>
        <w:t>《中华人民共和国</w:t>
      </w:r>
      <w:r>
        <w:rPr>
          <w:rFonts w:ascii="宋体" w:hAnsi="宋体" w:cs="Arial"/>
          <w:sz w:val="24"/>
        </w:rPr>
        <w:t>政府采购法</w:t>
      </w:r>
      <w:r>
        <w:rPr>
          <w:rFonts w:hint="eastAsia" w:ascii="宋体" w:hAnsi="宋体" w:cs="Arial"/>
          <w:sz w:val="24"/>
        </w:rPr>
        <w:t>》</w:t>
      </w:r>
      <w:r>
        <w:rPr>
          <w:rFonts w:ascii="宋体" w:hAnsi="宋体" w:cs="Arial"/>
          <w:sz w:val="24"/>
        </w:rPr>
        <w:t>第二十二条规定的投标人资格条件</w:t>
      </w:r>
      <w:r>
        <w:rPr>
          <w:rFonts w:hint="eastAsia" w:ascii="宋体" w:hAnsi="宋体" w:cs="Arial"/>
          <w:sz w:val="24"/>
        </w:rPr>
        <w:t>和本公告设定的特定条件。</w:t>
      </w:r>
    </w:p>
    <w:p>
      <w:pPr>
        <w:snapToGrid w:val="0"/>
        <w:spacing w:line="312" w:lineRule="auto"/>
        <w:ind w:firstLine="482" w:firstLineChars="200"/>
        <w:rPr>
          <w:rFonts w:ascii="宋体" w:hAnsi="宋体" w:cs="Arial"/>
          <w:b/>
          <w:bCs/>
          <w:sz w:val="24"/>
        </w:rPr>
      </w:pPr>
      <w:r>
        <w:rPr>
          <w:rFonts w:hint="eastAsia" w:ascii="宋体" w:hAnsi="宋体" w:cs="Arial"/>
          <w:b/>
          <w:bCs/>
          <w:sz w:val="24"/>
        </w:rPr>
        <w:t>（1）《中华人民共和国政府采购法》第二十二条规定的投标人资格条件：</w:t>
      </w:r>
    </w:p>
    <w:p>
      <w:pPr>
        <w:shd w:val="clear" w:color="auto" w:fill="FFFFFF"/>
        <w:snapToGrid w:val="0"/>
        <w:spacing w:line="360" w:lineRule="auto"/>
        <w:ind w:left="479" w:leftChars="228"/>
        <w:rPr>
          <w:rFonts w:hint="eastAsia" w:ascii="宋体" w:hAnsi="宋体" w:cs="Arial"/>
          <w:sz w:val="24"/>
        </w:rPr>
      </w:pPr>
      <w:r>
        <w:rPr>
          <w:rFonts w:hint="eastAsia" w:ascii="宋体" w:hAnsi="宋体" w:cs="Arial"/>
          <w:sz w:val="24"/>
        </w:rPr>
        <w:t xml:space="preserve">A、具有独立承担民事责任的能力； </w:t>
      </w:r>
      <w:r>
        <w:rPr>
          <w:rFonts w:hint="eastAsia" w:ascii="宋体" w:hAnsi="宋体" w:cs="Arial"/>
          <w:sz w:val="24"/>
        </w:rPr>
        <w:br w:type="textWrapping"/>
      </w:r>
      <w:r>
        <w:rPr>
          <w:rFonts w:hint="eastAsia" w:ascii="宋体" w:hAnsi="宋体" w:cs="Arial"/>
          <w:sz w:val="24"/>
        </w:rPr>
        <w:t xml:space="preserve">B、具有良好的商业信誉和健全的财务会计制度； </w:t>
      </w:r>
      <w:r>
        <w:rPr>
          <w:rFonts w:hint="eastAsia" w:ascii="宋体" w:hAnsi="宋体" w:cs="Arial"/>
          <w:sz w:val="24"/>
        </w:rPr>
        <w:br w:type="textWrapping"/>
      </w:r>
      <w:r>
        <w:rPr>
          <w:rFonts w:hint="eastAsia" w:ascii="宋体" w:hAnsi="宋体" w:cs="Arial"/>
          <w:sz w:val="24"/>
        </w:rPr>
        <w:t xml:space="preserve">C、具有履行合同所必需的设备和专业技术能力； </w:t>
      </w:r>
      <w:r>
        <w:rPr>
          <w:rFonts w:hint="eastAsia" w:ascii="宋体" w:hAnsi="宋体" w:cs="Arial"/>
          <w:sz w:val="24"/>
        </w:rPr>
        <w:br w:type="textWrapping"/>
      </w:r>
      <w:r>
        <w:rPr>
          <w:rFonts w:hint="eastAsia" w:ascii="宋体" w:hAnsi="宋体" w:cs="Arial"/>
          <w:sz w:val="24"/>
        </w:rPr>
        <w:t xml:space="preserve">D、有依法缴纳税收和社会保障资金的良好记录； </w:t>
      </w:r>
      <w:r>
        <w:rPr>
          <w:rFonts w:hint="eastAsia" w:ascii="宋体" w:hAnsi="宋体" w:cs="Arial"/>
          <w:sz w:val="24"/>
        </w:rPr>
        <w:br w:type="textWrapping"/>
      </w:r>
      <w:r>
        <w:rPr>
          <w:rFonts w:hint="eastAsia" w:ascii="宋体" w:hAnsi="宋体" w:cs="Arial"/>
          <w:sz w:val="24"/>
        </w:rPr>
        <w:t xml:space="preserve">E、参加政府采购活动前三年内，在经营活动中没有重大违法记录； </w:t>
      </w:r>
      <w:r>
        <w:rPr>
          <w:rFonts w:hint="eastAsia" w:ascii="宋体" w:hAnsi="宋体" w:cs="Arial"/>
          <w:sz w:val="24"/>
        </w:rPr>
        <w:br w:type="textWrapping"/>
      </w:r>
      <w:r>
        <w:rPr>
          <w:rFonts w:hint="eastAsia" w:ascii="宋体" w:hAnsi="宋体" w:cs="Arial"/>
          <w:sz w:val="24"/>
        </w:rPr>
        <w:t>F、法律、行政法规规定的其他条件。</w:t>
      </w:r>
    </w:p>
    <w:p>
      <w:pPr>
        <w:spacing w:line="360" w:lineRule="auto"/>
        <w:ind w:firstLine="241" w:firstLineChars="100"/>
        <w:rPr>
          <w:rFonts w:hint="eastAsia" w:ascii="宋体" w:hAnsi="宋体" w:cs="Arial"/>
          <w:sz w:val="24"/>
        </w:rPr>
      </w:pPr>
      <w:r>
        <w:rPr>
          <w:rFonts w:hint="eastAsia" w:ascii="宋体" w:hAnsi="宋体" w:cs="Arial"/>
          <w:b/>
          <w:sz w:val="24"/>
        </w:rPr>
        <w:t>（2）落实政府采购政策需满足的资格要求：</w:t>
      </w:r>
      <w:r>
        <w:rPr>
          <w:rFonts w:hint="eastAsia" w:ascii="宋体" w:hAnsi="宋体" w:cs="Arial"/>
          <w:sz w:val="24"/>
        </w:rPr>
        <w:t>（本项目不限，所有大中小微型企业均可参加投标，小微企业、监狱企业、残疾人福利性单位依法享受6%价格评审优惠)。</w:t>
      </w:r>
    </w:p>
    <w:p>
      <w:pPr>
        <w:snapToGrid w:val="0"/>
        <w:spacing w:line="312" w:lineRule="auto"/>
        <w:ind w:firstLine="482" w:firstLineChars="200"/>
        <w:rPr>
          <w:rFonts w:ascii="宋体" w:hAnsi="宋体" w:cs="Arial"/>
          <w:sz w:val="24"/>
        </w:rPr>
      </w:pPr>
      <w:r>
        <w:rPr>
          <w:rFonts w:hint="eastAsia" w:ascii="宋体" w:hAnsi="宋体"/>
          <w:b/>
          <w:kern w:val="0"/>
          <w:sz w:val="24"/>
        </w:rPr>
        <w:t>（3）▲投标人的特定条件：</w:t>
      </w:r>
    </w:p>
    <w:p>
      <w:pPr>
        <w:shd w:val="clear" w:color="auto" w:fill="FFFFFF"/>
        <w:snapToGrid w:val="0"/>
        <w:spacing w:line="312" w:lineRule="auto"/>
        <w:ind w:left="479" w:leftChars="228"/>
        <w:rPr>
          <w:rFonts w:ascii="宋体" w:hAnsi="宋体" w:cs="Arial"/>
          <w:sz w:val="24"/>
        </w:rPr>
      </w:pPr>
      <w:r>
        <w:rPr>
          <w:rFonts w:hint="eastAsia" w:ascii="宋体" w:hAnsi="宋体" w:cs="Arial"/>
          <w:sz w:val="24"/>
        </w:rPr>
        <w:t>A、投标人需具有独立法人资格，具有工商注册经营许可。</w:t>
      </w:r>
    </w:p>
    <w:p>
      <w:pPr>
        <w:shd w:val="clear" w:color="auto" w:fill="FFFFFF"/>
        <w:snapToGrid w:val="0"/>
        <w:spacing w:line="312" w:lineRule="auto"/>
        <w:ind w:firstLine="482" w:firstLineChars="200"/>
        <w:rPr>
          <w:rFonts w:hint="eastAsia" w:ascii="宋体" w:hAnsi="宋体"/>
          <w:b/>
          <w:bCs/>
          <w:kern w:val="0"/>
          <w:sz w:val="24"/>
        </w:rPr>
      </w:pPr>
      <w:r>
        <w:rPr>
          <w:rFonts w:hint="eastAsia" w:ascii="宋体" w:hAnsi="宋体"/>
          <w:b/>
          <w:bCs/>
          <w:kern w:val="0"/>
          <w:sz w:val="24"/>
        </w:rPr>
        <w:t>B、</w:t>
      </w:r>
      <w:r>
        <w:rPr>
          <w:rFonts w:hint="eastAsia" w:ascii="宋体" w:hAnsi="宋体"/>
          <w:b/>
          <w:bCs/>
          <w:sz w:val="24"/>
        </w:rPr>
        <w:t>符合《中华人民共和国政府采购法》第二十二条和浙财采监【2013】24号《关于规范政府采购供应商资格设定及资格审查的通知》第六条规定,且未被“信用中国”（www.creditchina.gov.cn）、“中国政府采购网”（www.ccgp.gov.cn）列入失信被执行人</w:t>
      </w:r>
      <w:r>
        <w:rPr>
          <w:rFonts w:hint="eastAsia" w:ascii="宋体" w:hAnsi="宋体"/>
          <w:b/>
          <w:bCs/>
          <w:kern w:val="0"/>
          <w:sz w:val="24"/>
        </w:rPr>
        <w:t>、重大税收违法案件当事人名单、政府采购严重违法失信行为记录名单。</w:t>
      </w:r>
      <w:r>
        <w:rPr>
          <w:rFonts w:hint="eastAsia" w:ascii="宋体" w:hAnsi="宋体"/>
          <w:b/>
          <w:bCs/>
          <w:sz w:val="24"/>
        </w:rPr>
        <w:t>近三年各行政部门处罚的以上两网未记录的其他重大违法记录（以被处罚地“行政处罚适用听证程序较大数额罚款标准”为准），经举报查实的，取消中标资格。</w:t>
      </w:r>
    </w:p>
    <w:p>
      <w:pPr>
        <w:snapToGrid w:val="0"/>
        <w:spacing w:line="312" w:lineRule="auto"/>
        <w:ind w:firstLine="480" w:firstLineChars="200"/>
        <w:rPr>
          <w:rFonts w:ascii="宋体" w:hAnsi="宋体"/>
          <w:kern w:val="0"/>
          <w:sz w:val="24"/>
        </w:rPr>
      </w:pPr>
      <w:r>
        <w:rPr>
          <w:rFonts w:hint="eastAsia" w:ascii="宋体" w:hAnsi="宋体"/>
          <w:kern w:val="0"/>
          <w:sz w:val="24"/>
        </w:rPr>
        <w:t>C、本项目不接受联合体投标。</w:t>
      </w:r>
    </w:p>
    <w:p>
      <w:pPr>
        <w:snapToGrid w:val="0"/>
        <w:spacing w:line="360" w:lineRule="auto"/>
        <w:ind w:left="479" w:leftChars="228"/>
        <w:rPr>
          <w:rFonts w:hint="eastAsia" w:ascii="宋体" w:hAnsi="宋体"/>
          <w:b/>
          <w:bCs/>
          <w:sz w:val="24"/>
        </w:rPr>
      </w:pPr>
      <w:r>
        <w:rPr>
          <w:rStyle w:val="133"/>
          <w:rFonts w:hint="eastAsia" w:ascii="宋体" w:hAnsi="宋体" w:cs="宋体"/>
          <w:sz w:val="24"/>
        </w:rPr>
        <w:t>三、采购文件的获取：</w:t>
      </w:r>
      <w:r>
        <w:rPr>
          <w:rFonts w:hint="eastAsia" w:ascii="宋体" w:hAnsi="宋体"/>
          <w:sz w:val="24"/>
        </w:rPr>
        <w:br w:type="textWrapping"/>
      </w:r>
      <w:r>
        <w:rPr>
          <w:rFonts w:hint="eastAsia" w:ascii="宋体" w:hAnsi="宋体"/>
          <w:b/>
          <w:bCs/>
          <w:sz w:val="24"/>
        </w:rPr>
        <w:t>（1）网上获取：</w:t>
      </w:r>
    </w:p>
    <w:p>
      <w:pPr>
        <w:snapToGrid w:val="0"/>
        <w:spacing w:line="360" w:lineRule="auto"/>
        <w:ind w:left="19" w:leftChars="9" w:firstLine="460" w:firstLineChars="191"/>
        <w:rPr>
          <w:rFonts w:ascii="宋体" w:hAnsi="宋体"/>
          <w:b/>
          <w:kern w:val="0"/>
          <w:sz w:val="24"/>
        </w:rPr>
      </w:pPr>
      <w:r>
        <w:rPr>
          <w:rFonts w:hint="eastAsia" w:ascii="宋体" w:hAnsi="宋体"/>
          <w:b/>
          <w:bCs/>
          <w:sz w:val="24"/>
        </w:rPr>
        <w:t>A、由投标单位通过浙江省政府采购网(</w:t>
      </w:r>
      <w:r>
        <w:rPr>
          <w:rFonts w:hint="eastAsia" w:ascii="宋体" w:hAnsi="宋体"/>
          <w:b/>
          <w:bCs/>
          <w:sz w:val="24"/>
        </w:rPr>
        <w:drawing>
          <wp:inline distT="0" distB="0" distL="114300" distR="114300">
            <wp:extent cx="190500" cy="142875"/>
            <wp:effectExtent l="0" t="0" r="7620" b="9525"/>
            <wp:docPr id="1" name="图片 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60"/>
                    <pic:cNvPicPr>
                      <a:picLocks noChangeAspect="1"/>
                    </pic:cNvPicPr>
                  </pic:nvPicPr>
                  <pic:blipFill>
                    <a:blip r:embed="rId29"/>
                    <a:stretch>
                      <a:fillRect/>
                    </a:stretch>
                  </pic:blipFill>
                  <pic:spPr>
                    <a:xfrm>
                      <a:off x="0" y="0"/>
                      <a:ext cx="190500" cy="142875"/>
                    </a:xfrm>
                    <a:prstGeom prst="rect">
                      <a:avLst/>
                    </a:prstGeom>
                    <a:noFill/>
                    <a:ln>
                      <a:noFill/>
                    </a:ln>
                  </pic:spPr>
                </pic:pic>
              </a:graphicData>
            </a:graphic>
          </wp:inline>
        </w:drawing>
      </w:r>
      <w:r>
        <w:rPr>
          <w:rFonts w:hint="eastAsia" w:ascii="宋体" w:hAnsi="宋体"/>
          <w:b/>
          <w:bCs/>
          <w:sz w:val="24"/>
        </w:rPr>
        <w:t>http://zfcg.czt.zj.gov.cn/)上的登录系统进行获取（首次参加投标的单位应先登录浙江省政府采购网(</w:t>
      </w:r>
      <w:r>
        <w:rPr>
          <w:rFonts w:hint="eastAsia" w:ascii="宋体" w:hAnsi="宋体"/>
          <w:b/>
          <w:bCs/>
          <w:sz w:val="24"/>
        </w:rPr>
        <w:drawing>
          <wp:inline distT="0" distB="0" distL="114300" distR="114300">
            <wp:extent cx="190500" cy="142875"/>
            <wp:effectExtent l="0" t="0" r="7620" b="9525"/>
            <wp:docPr id="2" name="图片 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60"/>
                    <pic:cNvPicPr>
                      <a:picLocks noChangeAspect="1"/>
                    </pic:cNvPicPr>
                  </pic:nvPicPr>
                  <pic:blipFill>
                    <a:blip r:embed="rId29"/>
                    <a:stretch>
                      <a:fillRect/>
                    </a:stretch>
                  </pic:blipFill>
                  <pic:spPr>
                    <a:xfrm>
                      <a:off x="0" y="0"/>
                      <a:ext cx="190500" cy="142875"/>
                    </a:xfrm>
                    <a:prstGeom prst="rect">
                      <a:avLst/>
                    </a:prstGeom>
                    <a:noFill/>
                    <a:ln>
                      <a:noFill/>
                    </a:ln>
                  </pic:spPr>
                </pic:pic>
              </a:graphicData>
            </a:graphic>
          </wp:inline>
        </w:drawing>
      </w:r>
      <w:r>
        <w:rPr>
          <w:rFonts w:hint="eastAsia" w:ascii="宋体" w:hAnsi="宋体"/>
          <w:b/>
          <w:bCs/>
          <w:sz w:val="24"/>
        </w:rPr>
        <w:t>http://zfcg.czt.zj.gov.cn/)进行账户注册，注册完毕待审核成功后方可登录获取，注册咨询电话：400-881-7190；注册流程见网址</w:t>
      </w:r>
      <w:r>
        <w:rPr>
          <w:rFonts w:hint="eastAsia" w:ascii="宋体" w:hAnsi="宋体"/>
          <w:b/>
          <w:bCs/>
          <w:sz w:val="24"/>
        </w:rPr>
        <w:br w:type="textWrapping"/>
      </w:r>
      <w:r>
        <w:rPr>
          <w:rFonts w:hint="eastAsia" w:ascii="宋体" w:hAnsi="宋体"/>
          <w:b/>
          <w:bCs/>
          <w:sz w:val="24"/>
        </w:rPr>
        <w:drawing>
          <wp:inline distT="0" distB="0" distL="114300" distR="114300">
            <wp:extent cx="190500" cy="142875"/>
            <wp:effectExtent l="0" t="0" r="7620" b="9525"/>
            <wp:docPr id="3" name="图片 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60"/>
                    <pic:cNvPicPr>
                      <a:picLocks noChangeAspect="1"/>
                    </pic:cNvPicPr>
                  </pic:nvPicPr>
                  <pic:blipFill>
                    <a:blip r:embed="rId29"/>
                    <a:stretch>
                      <a:fillRect/>
                    </a:stretch>
                  </pic:blipFill>
                  <pic:spPr>
                    <a:xfrm>
                      <a:off x="0" y="0"/>
                      <a:ext cx="190500" cy="142875"/>
                    </a:xfrm>
                    <a:prstGeom prst="rect">
                      <a:avLst/>
                    </a:prstGeom>
                    <a:noFill/>
                    <a:ln>
                      <a:noFill/>
                    </a:ln>
                  </pic:spPr>
                </pic:pic>
              </a:graphicData>
            </a:graphic>
          </wp:inline>
        </w:drawing>
      </w:r>
      <w:r>
        <w:rPr>
          <w:rFonts w:ascii="宋体" w:hAnsi="宋体" w:cs="宋体"/>
          <w:sz w:val="24"/>
        </w:rPr>
        <w:fldChar w:fldCharType="begin"/>
      </w:r>
      <w:r>
        <w:rPr>
          <w:rFonts w:ascii="宋体" w:hAnsi="宋体" w:cs="宋体"/>
          <w:sz w:val="24"/>
        </w:rPr>
        <w:instrText xml:space="preserve"> HYPERLINK "http://zfcg.czt.zj.gov.cn/register/2017-07-24/6728.html?" </w:instrText>
      </w:r>
      <w:r>
        <w:rPr>
          <w:rFonts w:ascii="宋体" w:hAnsi="宋体" w:cs="宋体"/>
          <w:sz w:val="24"/>
        </w:rPr>
        <w:fldChar w:fldCharType="separate"/>
      </w:r>
      <w:r>
        <w:rPr>
          <w:rStyle w:val="49"/>
          <w:rFonts w:ascii="宋体" w:hAnsi="宋体" w:cs="宋体"/>
          <w:sz w:val="24"/>
        </w:rPr>
        <w:t>http://zfcg.czt.zj.gov.cn/register/2017-07-24/6728.html?</w:t>
      </w:r>
      <w:r>
        <w:rPr>
          <w:rFonts w:ascii="宋体" w:hAnsi="宋体" w:cs="宋体"/>
          <w:sz w:val="24"/>
        </w:rPr>
        <w:fldChar w:fldCharType="end"/>
      </w:r>
      <w:r>
        <w:rPr>
          <w:rFonts w:hint="eastAsia" w:ascii="宋体" w:hAnsi="宋体"/>
          <w:b/>
          <w:bCs/>
          <w:sz w:val="24"/>
        </w:rPr>
        <w:t>；）</w:t>
      </w:r>
      <w:r>
        <w:rPr>
          <w:rFonts w:hint="eastAsia" w:ascii="宋体" w:hAnsi="宋体"/>
          <w:sz w:val="24"/>
        </w:rPr>
        <w:br w:type="textWrapping"/>
      </w:r>
      <w:r>
        <w:rPr>
          <w:rFonts w:hint="eastAsia" w:ascii="宋体" w:hAnsi="宋体"/>
          <w:sz w:val="24"/>
        </w:rPr>
        <w:t xml:space="preserve">    B、网上获取截止日期：</w:t>
      </w:r>
      <w:r>
        <w:rPr>
          <w:rFonts w:hint="eastAsia" w:ascii="宋体" w:hAnsi="宋体"/>
          <w:b/>
          <w:bCs/>
          <w:sz w:val="24"/>
          <w:u w:val="single"/>
        </w:rPr>
        <w:t>202</w:t>
      </w:r>
      <w:r>
        <w:rPr>
          <w:rFonts w:hint="eastAsia" w:ascii="宋体" w:hAnsi="宋体"/>
          <w:b/>
          <w:bCs/>
          <w:sz w:val="24"/>
          <w:u w:val="single"/>
          <w:lang w:val="en-US" w:eastAsia="zh-CN"/>
        </w:rPr>
        <w:t>1</w:t>
      </w:r>
      <w:r>
        <w:rPr>
          <w:rFonts w:hint="eastAsia" w:ascii="宋体" w:hAnsi="宋体"/>
          <w:b/>
          <w:bCs/>
          <w:sz w:val="24"/>
          <w:u w:val="single"/>
        </w:rPr>
        <w:t>年</w:t>
      </w:r>
      <w:r>
        <w:rPr>
          <w:rFonts w:hint="eastAsia" w:ascii="宋体" w:hAnsi="宋体"/>
          <w:b/>
          <w:bCs/>
          <w:sz w:val="24"/>
          <w:u w:val="single"/>
          <w:lang w:val="en-US" w:eastAsia="zh-CN"/>
        </w:rPr>
        <w:t>1</w:t>
      </w:r>
      <w:r>
        <w:rPr>
          <w:rFonts w:hint="eastAsia" w:ascii="宋体" w:hAnsi="宋体"/>
          <w:b/>
          <w:bCs/>
          <w:sz w:val="24"/>
          <w:u w:val="single"/>
        </w:rPr>
        <w:t>月</w:t>
      </w:r>
      <w:r>
        <w:rPr>
          <w:rFonts w:hint="eastAsia" w:ascii="宋体" w:hAnsi="宋体"/>
          <w:b/>
          <w:bCs/>
          <w:sz w:val="24"/>
          <w:u w:val="single"/>
          <w:lang w:val="en-US" w:eastAsia="zh-CN"/>
        </w:rPr>
        <w:t>8</w:t>
      </w:r>
      <w:r>
        <w:rPr>
          <w:rFonts w:hint="eastAsia" w:ascii="宋体" w:hAnsi="宋体"/>
          <w:b/>
          <w:bCs/>
          <w:sz w:val="24"/>
          <w:u w:val="single"/>
        </w:rPr>
        <w:t>日17：00时</w:t>
      </w:r>
      <w:r>
        <w:rPr>
          <w:rFonts w:hint="eastAsia" w:ascii="宋体" w:hAnsi="宋体"/>
          <w:sz w:val="24"/>
        </w:rPr>
        <w:t>止；若截止时间后仍欲获取请按以下（3）执行。</w:t>
      </w:r>
      <w:r>
        <w:rPr>
          <w:rFonts w:hint="eastAsia" w:ascii="宋体" w:hAnsi="宋体"/>
          <w:sz w:val="24"/>
        </w:rPr>
        <w:br w:type="textWrapping"/>
      </w:r>
      <w:r>
        <w:rPr>
          <w:rFonts w:hint="eastAsia" w:ascii="宋体" w:hAnsi="宋体"/>
          <w:sz w:val="24"/>
        </w:rPr>
        <w:t xml:space="preserve">    C、网上获取成功后（获取流程：项目采购-获取采购文件—申请获取采购文件），投标单位须按投标确认函的要求进行投标确认（格式见附件18）</w:t>
      </w:r>
      <w:r>
        <w:rPr>
          <w:rFonts w:hint="eastAsia" w:ascii="宋体" w:hAnsi="宋体"/>
          <w:b/>
          <w:color w:val="FF0000"/>
          <w:kern w:val="0"/>
          <w:sz w:val="24"/>
        </w:rPr>
        <w:t>投标确认为依法获取招标文件的方式，未按规定进行投标确认的视为自动放弃投标。</w:t>
      </w:r>
    </w:p>
    <w:p>
      <w:pPr>
        <w:adjustRightInd w:val="0"/>
        <w:snapToGrid w:val="0"/>
        <w:spacing w:line="312" w:lineRule="auto"/>
        <w:ind w:firstLine="482" w:firstLineChars="200"/>
        <w:jc w:val="left"/>
        <w:rPr>
          <w:rFonts w:hint="eastAsia" w:ascii="宋体" w:hAnsi="宋体"/>
          <w:b/>
          <w:bCs/>
          <w:sz w:val="24"/>
        </w:rPr>
      </w:pPr>
      <w:r>
        <w:rPr>
          <w:rFonts w:hint="eastAsia" w:ascii="宋体" w:hAnsi="宋体"/>
          <w:b/>
          <w:bCs/>
          <w:sz w:val="24"/>
        </w:rPr>
        <w:t>（2）</w:t>
      </w:r>
      <w:r>
        <w:rPr>
          <w:rFonts w:hint="eastAsia" w:ascii="宋体" w:hAnsi="宋体"/>
          <w:sz w:val="24"/>
        </w:rPr>
        <w:t>在网上获取截止时间之后至</w:t>
      </w:r>
      <w:r>
        <w:rPr>
          <w:rFonts w:hint="eastAsia" w:ascii="宋体" w:hAnsi="宋体"/>
          <w:b/>
          <w:bCs/>
          <w:sz w:val="24"/>
          <w:u w:val="single"/>
        </w:rPr>
        <w:t>202</w:t>
      </w:r>
      <w:r>
        <w:rPr>
          <w:rFonts w:hint="eastAsia" w:ascii="宋体" w:hAnsi="宋体"/>
          <w:b/>
          <w:bCs/>
          <w:sz w:val="24"/>
          <w:u w:val="single"/>
          <w:lang w:val="en-US" w:eastAsia="zh-CN"/>
        </w:rPr>
        <w:t>1</w:t>
      </w:r>
      <w:r>
        <w:rPr>
          <w:rFonts w:hint="eastAsia" w:ascii="宋体" w:hAnsi="宋体"/>
          <w:b/>
          <w:bCs/>
          <w:sz w:val="24"/>
          <w:u w:val="single"/>
        </w:rPr>
        <w:t>年</w:t>
      </w:r>
      <w:r>
        <w:rPr>
          <w:rFonts w:hint="eastAsia" w:ascii="宋体" w:hAnsi="宋体"/>
          <w:b/>
          <w:bCs/>
          <w:sz w:val="24"/>
          <w:u w:val="single"/>
          <w:lang w:val="en-US" w:eastAsia="zh-CN"/>
        </w:rPr>
        <w:t>1</w:t>
      </w:r>
      <w:r>
        <w:rPr>
          <w:rFonts w:hint="eastAsia" w:ascii="宋体" w:hAnsi="宋体"/>
          <w:b/>
          <w:bCs/>
          <w:sz w:val="24"/>
          <w:u w:val="single"/>
        </w:rPr>
        <w:t>月</w:t>
      </w:r>
      <w:r>
        <w:rPr>
          <w:rFonts w:hint="eastAsia" w:ascii="宋体" w:hAnsi="宋体"/>
          <w:b/>
          <w:bCs/>
          <w:sz w:val="24"/>
          <w:u w:val="single"/>
          <w:lang w:val="en-US" w:eastAsia="zh-CN"/>
        </w:rPr>
        <w:t>2</w:t>
      </w:r>
      <w:r>
        <w:rPr>
          <w:rFonts w:hint="eastAsia" w:ascii="宋体" w:hAnsi="宋体"/>
          <w:b/>
          <w:bCs/>
          <w:sz w:val="24"/>
          <w:u w:val="single"/>
          <w:lang w:val="en-US" w:eastAsia="zh-CN"/>
        </w:rPr>
        <w:t>0</w:t>
      </w:r>
      <w:r>
        <w:rPr>
          <w:rFonts w:hint="eastAsia" w:ascii="宋体" w:hAnsi="宋体"/>
          <w:b/>
          <w:bCs/>
          <w:sz w:val="24"/>
          <w:u w:val="single"/>
        </w:rPr>
        <w:t>日17：00</w:t>
      </w:r>
      <w:r>
        <w:rPr>
          <w:rFonts w:hint="eastAsia" w:ascii="宋体" w:hAnsi="宋体"/>
          <w:sz w:val="24"/>
        </w:rPr>
        <w:t>止，仍允许供应商继续获取采购文件，但在“投标人澄清时间”截止之后获取采购文件的潜在投标人如对采购文件有异议的，金华市公共资源交易中心东阳分中心可不予受理、答复。</w:t>
      </w:r>
      <w:r>
        <w:rPr>
          <w:rFonts w:hint="eastAsia" w:ascii="宋体" w:hAnsi="宋体"/>
          <w:b/>
          <w:bCs/>
          <w:color w:val="000000"/>
          <w:sz w:val="24"/>
        </w:rPr>
        <w:t>网上获取截止时间后获取招标文件的供应商仍须按“（1）网上获取”此款规定进行投标确认。</w:t>
      </w:r>
    </w:p>
    <w:p>
      <w:pPr>
        <w:adjustRightInd w:val="0"/>
        <w:snapToGrid w:val="0"/>
        <w:spacing w:line="312" w:lineRule="auto"/>
        <w:ind w:firstLine="482" w:firstLineChars="200"/>
        <w:jc w:val="left"/>
        <w:rPr>
          <w:rFonts w:hint="eastAsia" w:ascii="宋体" w:hAnsi="宋体"/>
          <w:sz w:val="24"/>
        </w:rPr>
      </w:pPr>
      <w:r>
        <w:rPr>
          <w:rFonts w:hint="eastAsia" w:ascii="宋体" w:hAnsi="宋体"/>
          <w:b/>
          <w:bCs/>
          <w:sz w:val="24"/>
        </w:rPr>
        <w:t>（3）招标文件的获取方式：</w:t>
      </w:r>
      <w:r>
        <w:rPr>
          <w:rFonts w:hint="eastAsia" w:ascii="宋体" w:hAnsi="宋体"/>
          <w:sz w:val="24"/>
        </w:rPr>
        <w:t>招标人不再向投标人提供纸质招标文件，请投标人自行在下列网址下载电子版的招标文件，招标文件不收工本费。</w:t>
      </w:r>
      <w:r>
        <w:rPr>
          <w:rFonts w:hint="eastAsia" w:ascii="宋体" w:hAnsi="宋体"/>
          <w:sz w:val="24"/>
        </w:rPr>
        <w:br w:type="textWrapping"/>
      </w:r>
      <w:r>
        <w:rPr>
          <w:rFonts w:hint="eastAsia" w:ascii="宋体" w:hAnsi="宋体"/>
          <w:sz w:val="24"/>
        </w:rPr>
        <w:t>浙江省政府采购网(</w:t>
      </w:r>
      <w:r>
        <w:rPr>
          <w:rFonts w:hint="eastAsia" w:ascii="宋体" w:hAnsi="宋体"/>
          <w:sz w:val="24"/>
        </w:rPr>
        <w:drawing>
          <wp:inline distT="0" distB="0" distL="114300" distR="114300">
            <wp:extent cx="190500" cy="142875"/>
            <wp:effectExtent l="0" t="0" r="7620" b="952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29"/>
                    <a:stretch>
                      <a:fillRect/>
                    </a:stretch>
                  </pic:blipFill>
                  <pic:spPr>
                    <a:xfrm>
                      <a:off x="0" y="0"/>
                      <a:ext cx="190500" cy="142875"/>
                    </a:xfrm>
                    <a:prstGeom prst="rect">
                      <a:avLst/>
                    </a:prstGeom>
                    <a:noFill/>
                    <a:ln>
                      <a:noFill/>
                    </a:ln>
                  </pic:spPr>
                </pic:pic>
              </a:graphicData>
            </a:graphic>
          </wp:inline>
        </w:drawing>
      </w:r>
      <w:r>
        <w:rPr>
          <w:rFonts w:hint="eastAsia" w:ascii="宋体" w:hAnsi="宋体"/>
          <w:b/>
          <w:bCs/>
          <w:sz w:val="24"/>
        </w:rPr>
        <w:t>http://zfcg.czt.zj.gov.cn/</w:t>
      </w:r>
      <w:r>
        <w:rPr>
          <w:rFonts w:hint="eastAsia" w:ascii="宋体" w:hAnsi="宋体"/>
          <w:sz w:val="24"/>
        </w:rPr>
        <w:t>)；东阳市公共资源交易网(</w:t>
      </w:r>
      <w:r>
        <w:rPr>
          <w:rFonts w:hint="eastAsia" w:ascii="宋体" w:hAnsi="宋体"/>
          <w:sz w:val="24"/>
        </w:rPr>
        <w:drawing>
          <wp:inline distT="0" distB="0" distL="114300" distR="114300">
            <wp:extent cx="190500" cy="142875"/>
            <wp:effectExtent l="0" t="0" r="7620" b="9525"/>
            <wp:docPr id="5"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0"/>
                    <pic:cNvPicPr>
                      <a:picLocks noChangeAspect="1"/>
                    </pic:cNvPicPr>
                  </pic:nvPicPr>
                  <pic:blipFill>
                    <a:blip r:embed="rId29"/>
                    <a:stretch>
                      <a:fillRect/>
                    </a:stretch>
                  </pic:blipFill>
                  <pic:spPr>
                    <a:xfrm>
                      <a:off x="0" y="0"/>
                      <a:ext cx="190500" cy="142875"/>
                    </a:xfrm>
                    <a:prstGeom prst="rect">
                      <a:avLst/>
                    </a:prstGeom>
                    <a:noFill/>
                    <a:ln>
                      <a:noFill/>
                    </a:ln>
                  </pic:spPr>
                </pic:pic>
              </a:graphicData>
            </a:graphic>
          </wp:inline>
        </w:drawing>
      </w:r>
      <w:r>
        <w:rPr>
          <w:rFonts w:hint="eastAsia" w:ascii="宋体" w:hAnsi="宋体"/>
          <w:sz w:val="24"/>
        </w:rPr>
        <w:t>http://ggzyjy.dongyang.gov.cn/)</w:t>
      </w:r>
    </w:p>
    <w:p>
      <w:pPr>
        <w:snapToGrid w:val="0"/>
        <w:spacing w:line="312" w:lineRule="auto"/>
        <w:ind w:firstLine="482" w:firstLineChars="200"/>
        <w:jc w:val="left"/>
        <w:rPr>
          <w:rFonts w:ascii="宋体" w:hAnsi="宋体" w:cs="Arial"/>
          <w:sz w:val="24"/>
        </w:rPr>
      </w:pPr>
      <w:r>
        <w:rPr>
          <w:rFonts w:hint="eastAsia" w:ascii="宋体" w:hAnsi="宋体" w:cs="Arial"/>
          <w:b/>
          <w:bCs/>
          <w:sz w:val="24"/>
        </w:rPr>
        <w:t>四、投标截止时间和地点</w:t>
      </w:r>
      <w:r>
        <w:rPr>
          <w:rFonts w:hint="eastAsia" w:ascii="宋体" w:hAnsi="宋体" w:cs="Arial"/>
          <w:sz w:val="24"/>
        </w:rPr>
        <w:t>：</w:t>
      </w:r>
    </w:p>
    <w:p>
      <w:pPr>
        <w:snapToGrid w:val="0"/>
        <w:spacing w:line="312" w:lineRule="auto"/>
        <w:ind w:firstLine="480" w:firstLineChars="200"/>
        <w:jc w:val="left"/>
        <w:rPr>
          <w:rFonts w:hint="eastAsia" w:ascii="宋体" w:hAnsi="宋体"/>
          <w:sz w:val="24"/>
        </w:rPr>
      </w:pPr>
      <w:r>
        <w:rPr>
          <w:rFonts w:hint="eastAsia" w:ascii="宋体" w:hAnsi="宋体"/>
          <w:sz w:val="24"/>
        </w:rPr>
        <w:t>投标截止时间</w:t>
      </w:r>
      <w:r>
        <w:rPr>
          <w:rFonts w:hint="eastAsia" w:ascii="宋体" w:hAnsi="宋体"/>
          <w:b/>
          <w:bCs/>
          <w:sz w:val="24"/>
          <w:u w:val="single"/>
        </w:rPr>
        <w:t>202</w:t>
      </w:r>
      <w:r>
        <w:rPr>
          <w:rFonts w:hint="eastAsia" w:ascii="宋体" w:hAnsi="宋体"/>
          <w:b/>
          <w:bCs/>
          <w:sz w:val="24"/>
          <w:u w:val="single"/>
          <w:lang w:val="en-US" w:eastAsia="zh-CN"/>
        </w:rPr>
        <w:t>1</w:t>
      </w:r>
      <w:r>
        <w:rPr>
          <w:rFonts w:hint="eastAsia" w:ascii="宋体" w:hAnsi="宋体"/>
          <w:b/>
          <w:bCs/>
          <w:sz w:val="24"/>
          <w:u w:val="single"/>
        </w:rPr>
        <w:t>年</w:t>
      </w:r>
      <w:r>
        <w:rPr>
          <w:rFonts w:hint="eastAsia" w:ascii="宋体" w:hAnsi="宋体"/>
          <w:b/>
          <w:bCs/>
          <w:sz w:val="24"/>
          <w:u w:val="single"/>
          <w:lang w:val="en-US" w:eastAsia="zh-CN"/>
        </w:rPr>
        <w:t>1</w:t>
      </w:r>
      <w:r>
        <w:rPr>
          <w:rFonts w:hint="eastAsia" w:ascii="宋体" w:hAnsi="宋体"/>
          <w:b/>
          <w:bCs/>
          <w:sz w:val="24"/>
          <w:u w:val="single"/>
        </w:rPr>
        <w:t>月</w:t>
      </w:r>
      <w:r>
        <w:rPr>
          <w:rFonts w:hint="eastAsia" w:ascii="宋体" w:hAnsi="宋体"/>
          <w:b/>
          <w:bCs/>
          <w:sz w:val="24"/>
          <w:u w:val="single"/>
          <w:lang w:val="en-US" w:eastAsia="zh-CN"/>
        </w:rPr>
        <w:t>2</w:t>
      </w:r>
      <w:r>
        <w:rPr>
          <w:rFonts w:hint="eastAsia" w:ascii="宋体" w:hAnsi="宋体"/>
          <w:b/>
          <w:bCs/>
          <w:sz w:val="24"/>
          <w:u w:val="single"/>
          <w:lang w:val="en-US" w:eastAsia="zh-CN"/>
        </w:rPr>
        <w:t>1</w:t>
      </w:r>
      <w:r>
        <w:rPr>
          <w:rFonts w:hint="eastAsia" w:ascii="宋体" w:hAnsi="宋体"/>
          <w:b/>
          <w:bCs/>
          <w:sz w:val="24"/>
          <w:u w:val="single"/>
        </w:rPr>
        <w:t>日</w:t>
      </w:r>
      <w:r>
        <w:rPr>
          <w:rFonts w:ascii="宋体" w:hAnsi="宋体"/>
          <w:b/>
          <w:bCs/>
          <w:sz w:val="24"/>
          <w:u w:val="single"/>
        </w:rPr>
        <w:t>09</w:t>
      </w:r>
      <w:r>
        <w:rPr>
          <w:rFonts w:hint="eastAsia" w:ascii="宋体" w:hAnsi="宋体"/>
          <w:b/>
          <w:bCs/>
          <w:sz w:val="24"/>
          <w:u w:val="single"/>
        </w:rPr>
        <w:t>：00</w:t>
      </w:r>
      <w:r>
        <w:rPr>
          <w:rFonts w:hint="eastAsia" w:ascii="宋体" w:hAnsi="宋体"/>
          <w:sz w:val="24"/>
        </w:rPr>
        <w:t>时。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pPr>
        <w:snapToGrid w:val="0"/>
        <w:spacing w:line="312" w:lineRule="auto"/>
        <w:ind w:firstLine="482" w:firstLineChars="200"/>
        <w:jc w:val="left"/>
        <w:rPr>
          <w:rFonts w:hint="eastAsia" w:ascii="宋体" w:hAnsi="宋体"/>
          <w:b/>
          <w:bCs/>
          <w:sz w:val="24"/>
        </w:rPr>
      </w:pPr>
      <w:r>
        <w:rPr>
          <w:rFonts w:hint="eastAsia" w:ascii="宋体" w:hAnsi="宋体"/>
          <w:b/>
          <w:bCs/>
          <w:sz w:val="24"/>
        </w:rPr>
        <w:t>投标人可以在投标截止时间前将电子备份投标文件（经政采云电子交易客户端和CA驱动制作出的后缀名为“bfbs”的加密电子备份投标文件）发送至邮箱：1046387519@qq.com，逾期发送或发错后缀名的备份投标文件将被视为无效；电子备份投标文件的提交不作强制要求。</w:t>
      </w:r>
    </w:p>
    <w:p>
      <w:pPr>
        <w:snapToGrid w:val="0"/>
        <w:spacing w:line="312" w:lineRule="auto"/>
        <w:ind w:firstLine="482" w:firstLineChars="200"/>
        <w:jc w:val="left"/>
        <w:rPr>
          <w:rFonts w:hint="eastAsia" w:ascii="宋体" w:hAnsi="宋体" w:cs="Arial"/>
          <w:b/>
          <w:bCs/>
          <w:sz w:val="24"/>
        </w:rPr>
      </w:pPr>
      <w:r>
        <w:rPr>
          <w:rFonts w:hint="eastAsia" w:ascii="宋体" w:hAnsi="宋体" w:cs="Arial"/>
          <w:b/>
          <w:bCs/>
          <w:sz w:val="24"/>
        </w:rPr>
        <w:t>五、开标时间及地点：</w:t>
      </w:r>
    </w:p>
    <w:p>
      <w:pPr>
        <w:snapToGrid w:val="0"/>
        <w:spacing w:line="380" w:lineRule="exact"/>
        <w:ind w:firstLine="480" w:firstLineChars="200"/>
        <w:rPr>
          <w:rFonts w:hint="eastAsia" w:ascii="宋体" w:hAnsi="宋体" w:cs="Arial"/>
          <w:b/>
          <w:bCs/>
          <w:sz w:val="24"/>
        </w:rPr>
      </w:pPr>
      <w:r>
        <w:rPr>
          <w:rFonts w:hint="eastAsia" w:ascii="宋体" w:hAnsi="宋体"/>
          <w:sz w:val="24"/>
        </w:rPr>
        <w:t>本项目开标时间：</w:t>
      </w:r>
      <w:r>
        <w:rPr>
          <w:rFonts w:hint="eastAsia" w:ascii="宋体" w:hAnsi="宋体"/>
          <w:b/>
          <w:bCs/>
          <w:sz w:val="24"/>
          <w:u w:val="single"/>
        </w:rPr>
        <w:t>202</w:t>
      </w:r>
      <w:r>
        <w:rPr>
          <w:rFonts w:hint="eastAsia" w:ascii="宋体" w:hAnsi="宋体"/>
          <w:b/>
          <w:bCs/>
          <w:sz w:val="24"/>
          <w:u w:val="single"/>
          <w:lang w:val="en-US" w:eastAsia="zh-CN"/>
        </w:rPr>
        <w:t>1</w:t>
      </w:r>
      <w:r>
        <w:rPr>
          <w:rFonts w:hint="eastAsia" w:ascii="宋体" w:hAnsi="宋体"/>
          <w:b/>
          <w:bCs/>
          <w:sz w:val="24"/>
          <w:u w:val="single"/>
        </w:rPr>
        <w:t>年</w:t>
      </w:r>
      <w:r>
        <w:rPr>
          <w:rFonts w:hint="eastAsia" w:ascii="宋体" w:hAnsi="宋体"/>
          <w:b/>
          <w:bCs/>
          <w:sz w:val="24"/>
          <w:u w:val="single"/>
          <w:lang w:val="en-US" w:eastAsia="zh-CN"/>
        </w:rPr>
        <w:t>1</w:t>
      </w:r>
      <w:r>
        <w:rPr>
          <w:rFonts w:hint="eastAsia" w:ascii="宋体" w:hAnsi="宋体"/>
          <w:b/>
          <w:bCs/>
          <w:sz w:val="24"/>
          <w:u w:val="single"/>
        </w:rPr>
        <w:t>月</w:t>
      </w:r>
      <w:r>
        <w:rPr>
          <w:rFonts w:hint="eastAsia" w:ascii="宋体" w:hAnsi="宋体"/>
          <w:b/>
          <w:bCs/>
          <w:sz w:val="24"/>
          <w:u w:val="single"/>
          <w:lang w:val="en-US" w:eastAsia="zh-CN"/>
        </w:rPr>
        <w:t>2</w:t>
      </w:r>
      <w:r>
        <w:rPr>
          <w:rFonts w:hint="eastAsia" w:ascii="宋体" w:hAnsi="宋体"/>
          <w:b/>
          <w:bCs/>
          <w:sz w:val="24"/>
          <w:u w:val="single"/>
          <w:lang w:val="en-US" w:eastAsia="zh-CN"/>
        </w:rPr>
        <w:t>1</w:t>
      </w:r>
      <w:r>
        <w:rPr>
          <w:rFonts w:hint="eastAsia" w:ascii="宋体" w:hAnsi="宋体"/>
          <w:b/>
          <w:bCs/>
          <w:sz w:val="24"/>
          <w:u w:val="single"/>
        </w:rPr>
        <w:t>日</w:t>
      </w:r>
      <w:r>
        <w:rPr>
          <w:rFonts w:ascii="宋体" w:hAnsi="宋体"/>
          <w:b/>
          <w:bCs/>
          <w:sz w:val="24"/>
          <w:u w:val="single"/>
        </w:rPr>
        <w:t>09</w:t>
      </w:r>
      <w:r>
        <w:rPr>
          <w:rFonts w:hint="eastAsia" w:ascii="宋体" w:hAnsi="宋体"/>
          <w:b/>
          <w:bCs/>
          <w:sz w:val="24"/>
          <w:u w:val="single"/>
        </w:rPr>
        <w:t>：00时</w:t>
      </w:r>
      <w:r>
        <w:rPr>
          <w:rFonts w:hint="eastAsia" w:ascii="宋体" w:hAnsi="宋体"/>
          <w:b/>
          <w:bCs/>
          <w:sz w:val="24"/>
        </w:rPr>
        <w:t>。</w:t>
      </w: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w:t>
      </w:r>
      <w:r>
        <w:rPr>
          <w:rFonts w:hint="eastAsia" w:ascii="宋体" w:hAnsi="宋体" w:cs="Arial"/>
          <w:b/>
          <w:bCs/>
          <w:sz w:val="24"/>
        </w:rPr>
        <w:t>内对电子询标函进行澄清、答复。</w:t>
      </w:r>
    </w:p>
    <w:p>
      <w:pPr>
        <w:snapToGrid w:val="0"/>
        <w:spacing w:line="380" w:lineRule="exact"/>
        <w:ind w:firstLine="482" w:firstLineChars="200"/>
        <w:rPr>
          <w:rFonts w:hint="eastAsia" w:ascii="宋体" w:hAnsi="宋体" w:cs="Arial"/>
          <w:b/>
          <w:bCs/>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w:t>
      </w:r>
      <w:r>
        <w:rPr>
          <w:rFonts w:hint="eastAsia" w:ascii="宋体" w:hAnsi="宋体" w:cs="Arial"/>
          <w:b/>
          <w:bCs/>
          <w:color w:val="FF0000"/>
          <w:sz w:val="24"/>
        </w:rPr>
        <w:t>（为防止解密失败，政采云建议采用制作投标文件的电脑进行解密）</w:t>
      </w:r>
      <w:r>
        <w:rPr>
          <w:rFonts w:hint="eastAsia" w:ascii="宋体" w:hAnsi="宋体" w:cs="Arial"/>
          <w:b/>
          <w:bCs/>
          <w:sz w:val="24"/>
        </w:rPr>
        <w:t>，所有投标人在规定的解密时限内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密或解密时限到后，</w:t>
      </w:r>
      <w:r>
        <w:rPr>
          <w:rFonts w:hint="eastAsia" w:ascii="宋体" w:hAnsi="宋体" w:cs="宋体"/>
          <w:b/>
          <w:bCs/>
          <w:sz w:val="24"/>
        </w:rPr>
        <w:t>由</w:t>
      </w:r>
      <w:r>
        <w:rPr>
          <w:rFonts w:ascii="宋体" w:hAnsi="宋体" w:cs="宋体"/>
          <w:b/>
          <w:bCs/>
          <w:sz w:val="24"/>
        </w:rPr>
        <w:t>采购代理机构开启投标文件</w:t>
      </w:r>
      <w:r>
        <w:rPr>
          <w:rFonts w:hint="eastAsia" w:ascii="宋体" w:hAnsi="宋体" w:cs="宋体"/>
          <w:b/>
          <w:bCs/>
          <w:sz w:val="24"/>
        </w:rPr>
        <w:t>。</w:t>
      </w:r>
    </w:p>
    <w:p>
      <w:pPr>
        <w:snapToGrid w:val="0"/>
        <w:spacing w:line="312" w:lineRule="auto"/>
        <w:ind w:firstLine="482" w:firstLineChars="200"/>
        <w:rPr>
          <w:rFonts w:hint="eastAsia" w:ascii="宋体" w:hAnsi="宋体" w:cs="Arial"/>
          <w:strike/>
          <w:sz w:val="24"/>
        </w:rPr>
      </w:pPr>
      <w:r>
        <w:rPr>
          <w:rFonts w:hint="eastAsia" w:ascii="宋体" w:hAnsi="宋体"/>
          <w:b/>
          <w:sz w:val="24"/>
        </w:rPr>
        <w:t>六、开标会议：</w:t>
      </w:r>
    </w:p>
    <w:p>
      <w:pPr>
        <w:snapToGrid w:val="0"/>
        <w:spacing w:line="380" w:lineRule="exact"/>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w:t>
      </w:r>
    </w:p>
    <w:p>
      <w:pPr>
        <w:snapToGrid w:val="0"/>
        <w:spacing w:line="380" w:lineRule="exact"/>
        <w:ind w:firstLine="482" w:firstLineChars="200"/>
        <w:rPr>
          <w:rFonts w:hint="eastAsia"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pPr>
        <w:widowControl/>
        <w:snapToGrid w:val="0"/>
        <w:spacing w:line="380" w:lineRule="exact"/>
        <w:ind w:firstLine="482" w:firstLineChars="200"/>
        <w:jc w:val="left"/>
        <w:rPr>
          <w:rFonts w:hint="eastAsia" w:ascii="宋体" w:hAnsi="宋体"/>
          <w:sz w:val="24"/>
        </w:rPr>
      </w:pPr>
      <w:r>
        <w:rPr>
          <w:rFonts w:hint="eastAsia" w:ascii="宋体" w:hAnsi="宋体"/>
          <w:b/>
          <w:bCs/>
          <w:sz w:val="24"/>
        </w:rPr>
        <w:t>七、</w:t>
      </w:r>
      <w:r>
        <w:rPr>
          <w:rFonts w:hint="eastAsia" w:ascii="宋体" w:hAnsi="宋体" w:cs="Arial"/>
          <w:b/>
          <w:sz w:val="24"/>
        </w:rPr>
        <w:t>投标说明</w:t>
      </w:r>
    </w:p>
    <w:p>
      <w:pPr>
        <w:pStyle w:val="24"/>
        <w:wordWrap w:val="0"/>
        <w:adjustRightInd w:val="0"/>
        <w:snapToGrid w:val="0"/>
        <w:spacing w:before="120" w:after="120" w:line="380" w:lineRule="exact"/>
        <w:ind w:firstLine="482" w:firstLineChars="200"/>
        <w:rPr>
          <w:rFonts w:hint="eastAsia" w:hAnsi="宋体"/>
          <w:b/>
        </w:rPr>
      </w:pPr>
      <w:r>
        <w:rPr>
          <w:rFonts w:hint="eastAsia" w:hAnsi="宋体"/>
          <w:b/>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400-881-7190。</w:t>
      </w:r>
    </w:p>
    <w:p>
      <w:pPr>
        <w:pStyle w:val="24"/>
        <w:wordWrap w:val="0"/>
        <w:adjustRightInd w:val="0"/>
        <w:snapToGrid w:val="0"/>
        <w:spacing w:before="120" w:after="120" w:line="380" w:lineRule="exact"/>
        <w:ind w:firstLine="482" w:firstLineChars="200"/>
        <w:rPr>
          <w:rFonts w:hint="eastAsia" w:hAnsi="宋体"/>
          <w:b/>
        </w:rPr>
      </w:pPr>
      <w:r>
        <w:rPr>
          <w:rFonts w:hint="eastAsia" w:hAnsi="宋体"/>
          <w:b/>
        </w:rPr>
        <w:t>2、各潜在供应商应在开标前完成CA数字证书办理。（办理流程详见</w:t>
      </w:r>
      <w:r>
        <w:rPr>
          <w:rFonts w:hAnsi="宋体" w:cs="宋体"/>
        </w:rPr>
        <w:fldChar w:fldCharType="begin"/>
      </w:r>
      <w:r>
        <w:rPr>
          <w:rFonts w:hAnsi="宋体" w:cs="宋体"/>
        </w:rPr>
        <w:instrText xml:space="preserve"> HYPERLINK "http://zfcg.czt.zj.gov.cn/bidClientTemplate/2019-05-27/12945.html" </w:instrText>
      </w:r>
      <w:r>
        <w:rPr>
          <w:rFonts w:hAnsi="宋体" w:cs="宋体"/>
        </w:rPr>
        <w:fldChar w:fldCharType="separate"/>
      </w:r>
      <w:r>
        <w:rPr>
          <w:rStyle w:val="49"/>
          <w:rFonts w:hAnsi="宋体" w:cs="宋体"/>
          <w:color w:val="auto"/>
        </w:rPr>
        <w:t>http://zfcg.czt.zj.gov.cn/bidClientTemplate/2019-05-27/12945.html</w:t>
      </w:r>
      <w:r>
        <w:rPr>
          <w:rFonts w:hAnsi="宋体" w:cs="宋体"/>
        </w:rPr>
        <w:fldChar w:fldCharType="end"/>
      </w:r>
      <w:r>
        <w:rPr>
          <w:rFonts w:hint="eastAsia" w:hAnsi="宋体"/>
          <w:b/>
        </w:rPr>
        <w:t>）。CA数字证书申请后至办理成功预计需一周左右的时间，请各潜在供应商预留好相应的时间，抓紧办理。</w:t>
      </w:r>
    </w:p>
    <w:p>
      <w:pPr>
        <w:wordWrap w:val="0"/>
        <w:snapToGrid w:val="0"/>
        <w:spacing w:line="380" w:lineRule="exact"/>
        <w:ind w:firstLine="482" w:firstLineChars="200"/>
        <w:rPr>
          <w:rFonts w:hint="eastAsia" w:ascii="宋体" w:hAnsi="宋体"/>
          <w:b/>
          <w:sz w:val="24"/>
        </w:rPr>
      </w:pPr>
      <w:r>
        <w:rPr>
          <w:rFonts w:hint="eastAsia" w:ascii="宋体" w:hAnsi="宋体"/>
          <w:b/>
          <w:sz w:val="24"/>
        </w:rPr>
        <w:t>3、投标人通过政采云平台电子投标工具制作投标文件，电子投标工具请各潜在供应商自行前往浙江省政府采购网下载并安装（下载网址：</w:t>
      </w:r>
      <w:r>
        <w:rPr>
          <w:rFonts w:ascii="宋体" w:hAnsi="宋体" w:cs="宋体"/>
          <w:sz w:val="24"/>
        </w:rPr>
        <w:fldChar w:fldCharType="begin"/>
      </w:r>
      <w:r>
        <w:rPr>
          <w:rFonts w:ascii="宋体" w:hAnsi="宋体" w:cs="宋体"/>
          <w:sz w:val="24"/>
        </w:rPr>
        <w:instrText xml:space="preserve"> HYPERLINK "http://zfcg.czt.zj.gov.cn/bidClientTemplate/2019-05-27/12946.html" </w:instrText>
      </w:r>
      <w:r>
        <w:rPr>
          <w:rFonts w:ascii="宋体" w:hAnsi="宋体" w:cs="宋体"/>
          <w:sz w:val="24"/>
        </w:rPr>
        <w:fldChar w:fldCharType="separate"/>
      </w:r>
      <w:r>
        <w:rPr>
          <w:rStyle w:val="49"/>
          <w:rFonts w:ascii="宋体" w:hAnsi="宋体" w:cs="宋体"/>
          <w:color w:val="auto"/>
          <w:sz w:val="24"/>
        </w:rPr>
        <w:t>http://zfcg.czt.zj.gov.cn/bidClientTemplate/2019-05-27/12946.html</w:t>
      </w:r>
      <w:r>
        <w:rPr>
          <w:rFonts w:ascii="宋体" w:hAnsi="宋体" w:cs="宋体"/>
          <w:sz w:val="24"/>
        </w:rPr>
        <w:fldChar w:fldCharType="end"/>
      </w:r>
      <w:r>
        <w:rPr>
          <w:rFonts w:hint="eastAsia" w:ascii="宋体" w:hAnsi="宋体"/>
          <w:b/>
          <w:sz w:val="24"/>
        </w:rPr>
        <w:t>），电子投标具体的流程文档详见网址：</w:t>
      </w:r>
      <w:r>
        <w:rPr>
          <w:rFonts w:hint="eastAsia" w:ascii="宋体" w:hAnsi="宋体"/>
          <w:b/>
          <w:sz w:val="24"/>
        </w:rPr>
        <w:fldChar w:fldCharType="begin"/>
      </w:r>
      <w:r>
        <w:rPr>
          <w:rFonts w:hint="eastAsia" w:ascii="宋体" w:hAnsi="宋体"/>
          <w:b/>
          <w:sz w:val="24"/>
        </w:rPr>
        <w:instrText xml:space="preserve"> HYPERLINK "https://help.zcygov.cn/web/site_2/2018/12-28/2573.html" </w:instrText>
      </w:r>
      <w:r>
        <w:rPr>
          <w:rFonts w:hint="eastAsia" w:ascii="宋体" w:hAnsi="宋体"/>
          <w:b/>
          <w:sz w:val="24"/>
        </w:rPr>
        <w:fldChar w:fldCharType="separate"/>
      </w:r>
      <w:r>
        <w:rPr>
          <w:rStyle w:val="49"/>
          <w:rFonts w:hint="eastAsia" w:ascii="宋体" w:hAnsi="宋体"/>
          <w:b/>
          <w:color w:val="auto"/>
          <w:sz w:val="24"/>
        </w:rPr>
        <w:t>https://help.zcygov.cn/web/site_2/2018/12-28/2573.html</w:t>
      </w:r>
      <w:r>
        <w:rPr>
          <w:rFonts w:hint="eastAsia" w:ascii="宋体" w:hAnsi="宋体"/>
          <w:b/>
          <w:sz w:val="24"/>
        </w:rPr>
        <w:fldChar w:fldCharType="end"/>
      </w:r>
      <w:r>
        <w:rPr>
          <w:rFonts w:hint="eastAsia" w:ascii="宋体" w:hAnsi="宋体"/>
          <w:b/>
          <w:sz w:val="24"/>
        </w:rPr>
        <w:t>。</w:t>
      </w:r>
      <w:bookmarkStart w:id="1" w:name="_Toc22943"/>
    </w:p>
    <w:p>
      <w:pPr>
        <w:snapToGrid w:val="0"/>
        <w:spacing w:line="380" w:lineRule="exact"/>
        <w:ind w:firstLine="482" w:firstLineChars="200"/>
        <w:rPr>
          <w:rFonts w:hint="eastAsia" w:ascii="宋体" w:hAnsi="宋体" w:cs="宋体"/>
          <w:b/>
          <w:bCs/>
          <w:sz w:val="24"/>
        </w:rPr>
      </w:pPr>
      <w:r>
        <w:rPr>
          <w:rFonts w:hint="eastAsia" w:ascii="宋体" w:hAnsi="宋体" w:cs="宋体"/>
          <w:b/>
          <w:bCs/>
          <w:sz w:val="24"/>
        </w:rPr>
        <w:t>八、其他事项：</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1、公告期限：自本公告发布之日起5个工作日（以公告发布次日开始计算）。</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2、质疑：供应商认为采购文件、采购过程和成交结果使自己的权益受到损害的，可以在知道或者应知其权益受到损害之日起七个工作日内，以书面形式（纸质）一次性向采购代理机构或采购人提出质疑。</w:t>
      </w:r>
    </w:p>
    <w:p>
      <w:pPr>
        <w:pStyle w:val="41"/>
        <w:ind w:left="0" w:leftChars="0" w:firstLine="466"/>
        <w:rPr>
          <w:rFonts w:hAnsi="宋体" w:cs="宋体"/>
          <w:b/>
          <w:bCs/>
          <w:sz w:val="24"/>
        </w:rPr>
      </w:pPr>
      <w:r>
        <w:rPr>
          <w:rFonts w:hint="eastAsia" w:hAnsi="宋体" w:cs="宋体"/>
          <w:b/>
          <w:bCs/>
          <w:sz w:val="24"/>
        </w:rPr>
        <w:t>质疑联系人：马沈良   联系方式：0579-86691729</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供应商应知其权益受到损害之日，是指：</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（1）对可以质疑的采购文件提出质疑的，为获取采购文件之日（采购公告期限届满之日后获取采购文件的为采购公告期限届满之日）。</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（2）对采购过程提出质疑的，为各采购程序环节结束之日。</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（3）对成交结果提出质疑的，为成交结果公告期限届满之日。</w:t>
      </w:r>
    </w:p>
    <w:p>
      <w:pPr>
        <w:snapToGrid w:val="0"/>
        <w:spacing w:line="380" w:lineRule="exact"/>
        <w:ind w:firstLine="482" w:firstLineChars="200"/>
        <w:rPr>
          <w:rFonts w:ascii="宋体" w:hAnsi="宋体" w:cs="宋体"/>
          <w:b/>
          <w:bCs/>
          <w:sz w:val="24"/>
        </w:rPr>
      </w:pPr>
      <w:r>
        <w:rPr>
          <w:rFonts w:hint="eastAsia" w:ascii="宋体" w:hAnsi="宋体" w:cs="宋体"/>
          <w:b/>
          <w:bCs/>
          <w:sz w:val="24"/>
        </w:rPr>
        <w:t>3、本采购项目，中标单位与采购单位签订的政府采购合同适用于政府采购贷款政策，简称“政采贷”，具体内容详见附件20《政府采购支持中小企业信用融资相关事项通知》。</w:t>
      </w:r>
    </w:p>
    <w:p>
      <w:pPr>
        <w:numPr>
          <w:ilvl w:val="0"/>
          <w:numId w:val="4"/>
        </w:numPr>
        <w:snapToGrid w:val="0"/>
        <w:spacing w:line="380" w:lineRule="exact"/>
        <w:outlineLvl w:val="0"/>
        <w:rPr>
          <w:rFonts w:ascii="宋体" w:hAnsi="宋体" w:cs="Arial"/>
          <w:b/>
          <w:sz w:val="24"/>
        </w:rPr>
      </w:pPr>
      <w:r>
        <w:rPr>
          <w:rStyle w:val="116"/>
          <w:rFonts w:hint="eastAsia" w:cs="宋体"/>
          <w:sz w:val="24"/>
          <w:szCs w:val="24"/>
        </w:rPr>
        <w:t>对本次招标提出询问，请按以下方式联系：</w:t>
      </w:r>
      <w:bookmarkEnd w:id="1"/>
    </w:p>
    <w:p>
      <w:pPr>
        <w:tabs>
          <w:tab w:val="right" w:pos="8849"/>
        </w:tabs>
        <w:spacing w:line="380" w:lineRule="exact"/>
        <w:ind w:firstLine="240" w:firstLineChars="100"/>
        <w:rPr>
          <w:rFonts w:hint="eastAsia" w:ascii="宋体" w:hAnsi="宋体"/>
          <w:sz w:val="24"/>
        </w:rPr>
      </w:pPr>
      <w:r>
        <w:rPr>
          <w:rFonts w:hint="eastAsia" w:ascii="宋体" w:hAnsi="宋体"/>
          <w:sz w:val="24"/>
        </w:rPr>
        <w:t>1.采购人信息</w:t>
      </w:r>
    </w:p>
    <w:p>
      <w:pPr>
        <w:tabs>
          <w:tab w:val="right" w:pos="8849"/>
        </w:tabs>
        <w:spacing w:line="380" w:lineRule="exact"/>
        <w:ind w:firstLine="720" w:firstLineChars="300"/>
        <w:rPr>
          <w:rFonts w:hint="eastAsia" w:ascii="宋体" w:hAnsi="宋体"/>
          <w:sz w:val="24"/>
        </w:rPr>
      </w:pPr>
      <w:r>
        <w:rPr>
          <w:rFonts w:hint="eastAsia" w:ascii="宋体" w:hAnsi="宋体"/>
          <w:sz w:val="24"/>
        </w:rPr>
        <w:t>名称：东阳市教育局电化教育馆   联系电话：（王谨仁）0579-8609296</w:t>
      </w:r>
      <w:r>
        <w:rPr>
          <w:rFonts w:ascii="宋体" w:hAnsi="宋体"/>
          <w:sz w:val="24"/>
        </w:rPr>
        <w:t>2</w:t>
      </w:r>
      <w:r>
        <w:rPr>
          <w:rFonts w:hint="eastAsia" w:ascii="宋体" w:hAnsi="宋体"/>
          <w:sz w:val="24"/>
        </w:rPr>
        <w:t xml:space="preserve">   </w:t>
      </w:r>
    </w:p>
    <w:p>
      <w:pPr>
        <w:tabs>
          <w:tab w:val="right" w:pos="8849"/>
        </w:tabs>
        <w:spacing w:line="380" w:lineRule="exact"/>
        <w:ind w:firstLine="720" w:firstLineChars="300"/>
        <w:rPr>
          <w:rFonts w:hint="eastAsia" w:ascii="宋体" w:hAnsi="宋体"/>
          <w:sz w:val="24"/>
        </w:rPr>
      </w:pPr>
      <w:r>
        <w:rPr>
          <w:rFonts w:hint="eastAsia" w:ascii="宋体" w:hAnsi="宋体"/>
          <w:sz w:val="24"/>
        </w:rPr>
        <w:t>联系地址：东阳市吴宁街道城廓南弄33号</w:t>
      </w:r>
    </w:p>
    <w:p>
      <w:pPr>
        <w:tabs>
          <w:tab w:val="right" w:pos="8849"/>
        </w:tabs>
        <w:spacing w:line="380" w:lineRule="exact"/>
        <w:ind w:firstLine="720" w:firstLineChars="300"/>
        <w:rPr>
          <w:rFonts w:hint="eastAsia" w:ascii="宋体" w:hAnsi="宋体"/>
          <w:sz w:val="24"/>
        </w:rPr>
      </w:pPr>
      <w:r>
        <w:rPr>
          <w:rFonts w:hint="eastAsia" w:ascii="宋体" w:hAnsi="宋体"/>
          <w:sz w:val="24"/>
        </w:rPr>
        <w:t>质疑联系人：王谨仁          联系电话：0579-86092962</w:t>
      </w:r>
    </w:p>
    <w:p>
      <w:pPr>
        <w:tabs>
          <w:tab w:val="right" w:pos="8849"/>
        </w:tabs>
        <w:spacing w:line="380" w:lineRule="exact"/>
        <w:ind w:firstLine="240" w:firstLineChars="100"/>
        <w:rPr>
          <w:rFonts w:hint="eastAsia" w:ascii="宋体" w:hAnsi="宋体"/>
          <w:sz w:val="24"/>
        </w:rPr>
      </w:pPr>
      <w:r>
        <w:rPr>
          <w:rFonts w:hint="eastAsia" w:ascii="宋体" w:hAnsi="宋体"/>
          <w:sz w:val="24"/>
        </w:rPr>
        <w:t>2.采购代理机构信息</w:t>
      </w:r>
    </w:p>
    <w:p>
      <w:pPr>
        <w:tabs>
          <w:tab w:val="right" w:pos="8849"/>
        </w:tabs>
        <w:spacing w:line="380" w:lineRule="exact"/>
        <w:ind w:firstLine="720" w:firstLineChars="300"/>
        <w:rPr>
          <w:rFonts w:hint="eastAsia" w:ascii="宋体" w:hAnsi="宋体"/>
          <w:sz w:val="24"/>
        </w:rPr>
      </w:pPr>
      <w:r>
        <w:rPr>
          <w:rFonts w:hint="eastAsia" w:ascii="宋体" w:hAnsi="宋体"/>
          <w:sz w:val="24"/>
        </w:rPr>
        <w:t>名称：金华市公共资源交易中心东阳分中心</w:t>
      </w:r>
    </w:p>
    <w:p>
      <w:pPr>
        <w:tabs>
          <w:tab w:val="right" w:pos="8849"/>
        </w:tabs>
        <w:spacing w:line="380" w:lineRule="exact"/>
        <w:ind w:firstLine="720" w:firstLineChars="300"/>
        <w:rPr>
          <w:rFonts w:hint="eastAsia" w:ascii="宋体" w:hAnsi="宋体"/>
          <w:sz w:val="24"/>
        </w:rPr>
      </w:pPr>
      <w:r>
        <w:rPr>
          <w:rFonts w:hint="eastAsia" w:ascii="宋体" w:hAnsi="宋体"/>
          <w:sz w:val="24"/>
        </w:rPr>
        <w:t xml:space="preserve">联系电话及传真：0579-86691729   </w:t>
      </w:r>
    </w:p>
    <w:p>
      <w:pPr>
        <w:tabs>
          <w:tab w:val="right" w:pos="8849"/>
        </w:tabs>
        <w:spacing w:line="380" w:lineRule="exact"/>
        <w:ind w:firstLine="720" w:firstLineChars="300"/>
        <w:rPr>
          <w:rFonts w:hint="eastAsia" w:ascii="宋体" w:hAnsi="宋体"/>
          <w:sz w:val="24"/>
        </w:rPr>
      </w:pPr>
      <w:r>
        <w:rPr>
          <w:rFonts w:hint="eastAsia" w:ascii="宋体" w:hAnsi="宋体"/>
          <w:sz w:val="24"/>
        </w:rPr>
        <w:t>联系地址：东阳市艺海北路388号（行政服务中心）B幢西区14楼。</w:t>
      </w:r>
    </w:p>
    <w:p>
      <w:pPr>
        <w:tabs>
          <w:tab w:val="right" w:pos="8849"/>
        </w:tabs>
        <w:spacing w:line="380" w:lineRule="exact"/>
        <w:ind w:firstLine="240" w:firstLineChars="100"/>
        <w:rPr>
          <w:rFonts w:hint="eastAsia" w:ascii="宋体" w:hAnsi="宋体"/>
          <w:sz w:val="24"/>
        </w:rPr>
      </w:pPr>
      <w:r>
        <w:rPr>
          <w:rFonts w:hint="eastAsia" w:ascii="宋体" w:hAnsi="宋体"/>
          <w:sz w:val="24"/>
        </w:rPr>
        <w:t>3.项目联系方式</w:t>
      </w:r>
    </w:p>
    <w:p>
      <w:pPr>
        <w:tabs>
          <w:tab w:val="right" w:pos="8849"/>
        </w:tabs>
        <w:spacing w:line="380" w:lineRule="exact"/>
        <w:ind w:firstLine="720" w:firstLineChars="300"/>
        <w:rPr>
          <w:rFonts w:ascii="宋体" w:hAnsi="宋体"/>
          <w:sz w:val="24"/>
        </w:rPr>
      </w:pPr>
      <w:r>
        <w:rPr>
          <w:rFonts w:hint="eastAsia" w:ascii="宋体" w:hAnsi="宋体"/>
          <w:sz w:val="24"/>
        </w:rPr>
        <w:t>项目联系人：何旺东      电话：0579-86691729</w:t>
      </w:r>
    </w:p>
    <w:p>
      <w:pPr>
        <w:tabs>
          <w:tab w:val="right" w:pos="8849"/>
        </w:tabs>
        <w:spacing w:line="380" w:lineRule="exact"/>
        <w:ind w:firstLine="240" w:firstLineChars="100"/>
        <w:rPr>
          <w:rFonts w:hint="eastAsia" w:ascii="宋体" w:hAnsi="宋体"/>
          <w:sz w:val="24"/>
        </w:rPr>
      </w:pPr>
      <w:r>
        <w:rPr>
          <w:rFonts w:hint="eastAsia" w:ascii="宋体" w:hAnsi="宋体"/>
          <w:sz w:val="24"/>
        </w:rPr>
        <w:t>4.政府采购行政监管及投诉受理部门：</w:t>
      </w:r>
    </w:p>
    <w:p>
      <w:pPr>
        <w:tabs>
          <w:tab w:val="right" w:pos="8849"/>
        </w:tabs>
        <w:spacing w:line="380" w:lineRule="exact"/>
        <w:ind w:left="540" w:leftChars="257" w:firstLine="120" w:firstLineChars="50"/>
        <w:rPr>
          <w:rFonts w:hint="eastAsia" w:ascii="宋体" w:hAnsi="宋体"/>
          <w:sz w:val="24"/>
        </w:rPr>
      </w:pPr>
      <w:r>
        <w:rPr>
          <w:rFonts w:hint="eastAsia" w:ascii="宋体" w:hAnsi="宋体"/>
          <w:sz w:val="24"/>
        </w:rPr>
        <w:t>东阳市财政局采购办，     联系地址：东阳市人民北路8号</w:t>
      </w:r>
    </w:p>
    <w:p>
      <w:pPr>
        <w:tabs>
          <w:tab w:val="right" w:pos="8849"/>
        </w:tabs>
        <w:spacing w:line="380" w:lineRule="exact"/>
        <w:ind w:left="540" w:leftChars="257" w:firstLine="120" w:firstLineChars="50"/>
        <w:rPr>
          <w:rFonts w:hint="eastAsia" w:ascii="宋体" w:hAnsi="宋体"/>
          <w:sz w:val="24"/>
        </w:rPr>
      </w:pPr>
      <w:r>
        <w:rPr>
          <w:rFonts w:hint="eastAsia" w:ascii="宋体" w:hAnsi="宋体"/>
          <w:sz w:val="24"/>
        </w:rPr>
        <w:t>联系电话：0579-86662677</w:t>
      </w:r>
    </w:p>
    <w:p>
      <w:pPr>
        <w:tabs>
          <w:tab w:val="right" w:pos="8849"/>
        </w:tabs>
        <w:spacing w:line="380" w:lineRule="exact"/>
        <w:ind w:left="540" w:leftChars="257" w:firstLine="120" w:firstLineChars="50"/>
        <w:rPr>
          <w:rFonts w:hint="eastAsia" w:ascii="宋体" w:hAnsi="宋体"/>
          <w:sz w:val="24"/>
        </w:rPr>
      </w:pPr>
      <w:r>
        <w:rPr>
          <w:rFonts w:hint="eastAsia" w:ascii="宋体" w:hAnsi="宋体"/>
          <w:sz w:val="24"/>
        </w:rPr>
        <w:t>东阳市公共资源交易管理委员会办公室</w:t>
      </w:r>
    </w:p>
    <w:p>
      <w:pPr>
        <w:tabs>
          <w:tab w:val="right" w:pos="8849"/>
        </w:tabs>
        <w:spacing w:line="380" w:lineRule="exact"/>
        <w:ind w:left="540" w:leftChars="257" w:firstLine="120" w:firstLineChars="50"/>
        <w:rPr>
          <w:rFonts w:hint="eastAsia" w:ascii="宋体" w:hAnsi="宋体"/>
          <w:sz w:val="24"/>
        </w:rPr>
      </w:pPr>
      <w:r>
        <w:rPr>
          <w:rFonts w:hint="eastAsia" w:ascii="宋体" w:hAnsi="宋体"/>
          <w:sz w:val="24"/>
        </w:rPr>
        <w:t>联系地址：</w:t>
      </w:r>
      <w:r>
        <w:rPr>
          <w:rFonts w:ascii="宋体" w:hAnsi="宋体"/>
          <w:sz w:val="24"/>
        </w:rPr>
        <w:t xml:space="preserve"> </w:t>
      </w:r>
      <w:r>
        <w:rPr>
          <w:rFonts w:hint="eastAsia" w:ascii="宋体" w:hAnsi="宋体"/>
          <w:sz w:val="24"/>
        </w:rPr>
        <w:t>东阳市行政服务中心（艺海北路</w:t>
      </w:r>
      <w:r>
        <w:rPr>
          <w:rFonts w:ascii="宋体" w:hAnsi="宋体"/>
          <w:sz w:val="24"/>
        </w:rPr>
        <w:t>388</w:t>
      </w:r>
      <w:r>
        <w:rPr>
          <w:rFonts w:hint="eastAsia" w:ascii="宋体" w:hAnsi="宋体"/>
          <w:sz w:val="24"/>
        </w:rPr>
        <w:t>号）</w:t>
      </w:r>
      <w:r>
        <w:rPr>
          <w:rFonts w:ascii="宋体" w:hAnsi="宋体"/>
          <w:sz w:val="24"/>
        </w:rPr>
        <w:t>C</w:t>
      </w:r>
      <w:r>
        <w:rPr>
          <w:rFonts w:hint="eastAsia" w:ascii="宋体" w:hAnsi="宋体"/>
          <w:sz w:val="24"/>
        </w:rPr>
        <w:t>幢</w:t>
      </w:r>
      <w:r>
        <w:rPr>
          <w:rFonts w:ascii="宋体" w:hAnsi="宋体"/>
          <w:sz w:val="24"/>
        </w:rPr>
        <w:t>10</w:t>
      </w:r>
      <w:r>
        <w:rPr>
          <w:rFonts w:hint="eastAsia" w:ascii="宋体" w:hAnsi="宋体"/>
          <w:sz w:val="24"/>
        </w:rPr>
        <w:t>楼督查科</w:t>
      </w:r>
    </w:p>
    <w:p>
      <w:pPr>
        <w:tabs>
          <w:tab w:val="right" w:pos="8849"/>
        </w:tabs>
        <w:spacing w:line="380" w:lineRule="exact"/>
        <w:ind w:left="540" w:leftChars="257" w:firstLine="120" w:firstLineChars="50"/>
        <w:rPr>
          <w:rFonts w:hint="eastAsia" w:ascii="宋体" w:hAnsi="宋体" w:cs="Arial"/>
          <w:b/>
          <w:sz w:val="24"/>
        </w:rPr>
      </w:pPr>
      <w:r>
        <w:rPr>
          <w:rFonts w:hint="eastAsia" w:ascii="宋体" w:hAnsi="宋体"/>
          <w:sz w:val="24"/>
        </w:rPr>
        <w:t>联系电话：</w:t>
      </w:r>
      <w:r>
        <w:rPr>
          <w:rFonts w:ascii="宋体" w:hAnsi="宋体"/>
          <w:sz w:val="24"/>
        </w:rPr>
        <w:t>0579-86691835</w:t>
      </w:r>
    </w:p>
    <w:p>
      <w:pPr>
        <w:snapToGrid w:val="0"/>
        <w:spacing w:line="380" w:lineRule="exact"/>
        <w:ind w:firstLine="4096" w:firstLineChars="1700"/>
        <w:jc w:val="right"/>
        <w:rPr>
          <w:rFonts w:ascii="宋体"/>
          <w:sz w:val="24"/>
        </w:rPr>
      </w:pPr>
      <w:r>
        <w:rPr>
          <w:rFonts w:hint="eastAsia" w:ascii="宋体" w:hAnsi="宋体" w:cs="Arial"/>
          <w:b/>
          <w:sz w:val="24"/>
        </w:rPr>
        <w:t>金华市公共资源交易中心东阳分中心</w:t>
      </w:r>
    </w:p>
    <w:p>
      <w:pPr>
        <w:snapToGrid w:val="0"/>
        <w:spacing w:line="380" w:lineRule="exact"/>
        <w:jc w:val="right"/>
        <w:rPr>
          <w:rFonts w:hint="eastAsia" w:ascii="宋体" w:hAnsi="宋体"/>
          <w:sz w:val="24"/>
        </w:rPr>
      </w:pPr>
      <w:r>
        <w:rPr>
          <w:rFonts w:ascii="宋体" w:hAnsi="宋体"/>
          <w:sz w:val="24"/>
        </w:rPr>
        <w:t xml:space="preserve">                                          </w:t>
      </w:r>
      <w:r>
        <w:rPr>
          <w:rFonts w:hint="eastAsia" w:ascii="宋体" w:hAnsi="宋体"/>
          <w:sz w:val="24"/>
        </w:rPr>
        <w:t>2020年12月</w:t>
      </w:r>
      <w:r>
        <w:rPr>
          <w:rFonts w:hint="eastAsia" w:ascii="宋体" w:hAnsi="宋体"/>
          <w:sz w:val="24"/>
          <w:lang w:val="en-US" w:eastAsia="zh-CN"/>
        </w:rPr>
        <w:t>31</w:t>
      </w:r>
      <w:r>
        <w:rPr>
          <w:rFonts w:hint="eastAsia" w:ascii="宋体" w:hAnsi="宋体"/>
          <w:sz w:val="24"/>
        </w:rPr>
        <w:t>日</w:t>
      </w:r>
    </w:p>
    <w:p>
      <w:pPr>
        <w:snapToGrid w:val="0"/>
        <w:spacing w:line="312" w:lineRule="auto"/>
        <w:ind w:left="238"/>
        <w:rPr>
          <w:rFonts w:ascii="黑体" w:hAnsi="宋体" w:eastAsia="黑体"/>
          <w:sz w:val="30"/>
          <w:szCs w:val="30"/>
        </w:rPr>
      </w:pPr>
      <w:r>
        <w:rPr>
          <w:rFonts w:ascii="宋体" w:hAnsi="宋体" w:cs="Arial"/>
          <w:b/>
          <w:bCs/>
          <w:sz w:val="24"/>
        </w:rPr>
        <w:br w:type="page"/>
      </w:r>
    </w:p>
    <w:p>
      <w:pPr>
        <w:spacing w:line="360" w:lineRule="auto"/>
        <w:ind w:firstLine="3600" w:firstLineChars="1200"/>
        <w:rPr>
          <w:rFonts w:hint="eastAsia" w:ascii="黑体" w:hAnsi="宋体" w:eastAsia="黑体"/>
          <w:color w:val="000000"/>
          <w:sz w:val="30"/>
          <w:szCs w:val="30"/>
        </w:rPr>
      </w:pPr>
      <w:r>
        <w:rPr>
          <w:rFonts w:hint="eastAsia" w:ascii="黑体" w:hAnsi="宋体" w:eastAsia="黑体"/>
          <w:color w:val="000000"/>
          <w:sz w:val="30"/>
          <w:szCs w:val="30"/>
        </w:rPr>
        <w:t>第二章招标需求</w:t>
      </w:r>
    </w:p>
    <w:p>
      <w:pPr>
        <w:pStyle w:val="2"/>
        <w:spacing w:before="0" w:after="0" w:line="240" w:lineRule="auto"/>
        <w:rPr>
          <w:rFonts w:ascii="黑体" w:hAnsi="宋体" w:eastAsia="黑体"/>
          <w:color w:val="000000"/>
          <w:sz w:val="30"/>
          <w:szCs w:val="30"/>
        </w:rPr>
      </w:pPr>
      <w:r>
        <w:rPr>
          <w:rFonts w:hint="eastAsia" w:ascii="黑体" w:hAnsi="宋体" w:eastAsia="黑体"/>
          <w:color w:val="000000"/>
          <w:sz w:val="30"/>
          <w:szCs w:val="30"/>
        </w:rPr>
        <w:t>标一：采购内容及技术要求</w:t>
      </w:r>
    </w:p>
    <w:tbl>
      <w:tblPr>
        <w:tblStyle w:val="42"/>
        <w:tblW w:w="0" w:type="auto"/>
        <w:jc w:val="center"/>
        <w:tblLayout w:type="fixed"/>
        <w:tblCellMar>
          <w:top w:w="15" w:type="dxa"/>
          <w:left w:w="15" w:type="dxa"/>
          <w:bottom w:w="15" w:type="dxa"/>
          <w:right w:w="15" w:type="dxa"/>
        </w:tblCellMar>
      </w:tblPr>
      <w:tblGrid>
        <w:gridCol w:w="630"/>
        <w:gridCol w:w="3054"/>
        <w:gridCol w:w="2096"/>
        <w:gridCol w:w="701"/>
        <w:gridCol w:w="1106"/>
        <w:gridCol w:w="1052"/>
      </w:tblGrid>
      <w:tr>
        <w:tblPrEx>
          <w:tblCellMar>
            <w:top w:w="15" w:type="dxa"/>
            <w:left w:w="15" w:type="dxa"/>
            <w:bottom w:w="15" w:type="dxa"/>
            <w:right w:w="15" w:type="dxa"/>
          </w:tblCellMar>
        </w:tblPrEx>
        <w:trPr>
          <w:trHeight w:val="858" w:hRule="atLeast"/>
          <w:jc w:val="center"/>
        </w:trPr>
        <w:tc>
          <w:tcPr>
            <w:tcW w:w="63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b/>
                <w:bCs/>
                <w:color w:val="000000"/>
              </w:rPr>
            </w:pPr>
            <w:r>
              <w:rPr>
                <w:rFonts w:hint="eastAsia" w:ascii="宋体" w:hAnsi="宋体" w:cs="宋体"/>
                <w:b/>
                <w:bCs/>
                <w:color w:val="000000"/>
                <w:kern w:val="0"/>
              </w:rPr>
              <w:t>序号</w:t>
            </w:r>
          </w:p>
        </w:tc>
        <w:tc>
          <w:tcPr>
            <w:tcW w:w="305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b/>
                <w:bCs/>
                <w:color w:val="000000"/>
                <w:kern w:val="0"/>
              </w:rPr>
            </w:pPr>
            <w:r>
              <w:rPr>
                <w:rFonts w:hint="eastAsia" w:ascii="宋体" w:hAnsi="宋体" w:cs="宋体"/>
                <w:b/>
                <w:bCs/>
                <w:color w:val="000000"/>
                <w:kern w:val="0"/>
              </w:rPr>
              <w:t>服务内容</w:t>
            </w:r>
          </w:p>
        </w:tc>
        <w:tc>
          <w:tcPr>
            <w:tcW w:w="209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b/>
                <w:bCs/>
                <w:color w:val="000000"/>
                <w:kern w:val="0"/>
              </w:rPr>
            </w:pPr>
            <w:r>
              <w:rPr>
                <w:rFonts w:hint="eastAsia" w:ascii="宋体" w:hAnsi="宋体" w:cs="宋体"/>
                <w:b/>
                <w:bCs/>
                <w:color w:val="000000"/>
                <w:kern w:val="0"/>
              </w:rPr>
              <w:t>基本要求</w:t>
            </w:r>
          </w:p>
        </w:tc>
        <w:tc>
          <w:tcPr>
            <w:tcW w:w="70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b/>
                <w:bCs/>
                <w:color w:val="000000"/>
                <w:kern w:val="0"/>
              </w:rPr>
            </w:pPr>
            <w:r>
              <w:rPr>
                <w:rFonts w:hint="eastAsia" w:ascii="宋体" w:hAnsi="宋体" w:cs="宋体"/>
                <w:b/>
                <w:bCs/>
                <w:color w:val="000000"/>
                <w:kern w:val="0"/>
              </w:rPr>
              <w:t>单位</w:t>
            </w:r>
          </w:p>
        </w:tc>
        <w:tc>
          <w:tcPr>
            <w:tcW w:w="110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b/>
                <w:bCs/>
                <w:color w:val="000000"/>
              </w:rPr>
            </w:pPr>
            <w:r>
              <w:rPr>
                <w:rFonts w:hint="eastAsia" w:ascii="宋体" w:hAnsi="宋体" w:cs="宋体"/>
                <w:b/>
                <w:bCs/>
                <w:color w:val="000000"/>
                <w:kern w:val="0"/>
              </w:rPr>
              <w:t>接入学校数</w:t>
            </w:r>
          </w:p>
        </w:tc>
        <w:tc>
          <w:tcPr>
            <w:tcW w:w="105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b/>
                <w:bCs/>
                <w:color w:val="000000"/>
                <w:kern w:val="0"/>
              </w:rPr>
            </w:pPr>
            <w:r>
              <w:rPr>
                <w:rFonts w:hint="eastAsia" w:ascii="宋体" w:hAnsi="宋体" w:cs="宋体"/>
                <w:b/>
                <w:bCs/>
                <w:color w:val="000000"/>
              </w:rPr>
              <w:t>服务年限</w:t>
            </w:r>
          </w:p>
        </w:tc>
      </w:tr>
      <w:tr>
        <w:tblPrEx>
          <w:tblCellMar>
            <w:top w:w="15" w:type="dxa"/>
            <w:left w:w="15" w:type="dxa"/>
            <w:bottom w:w="15" w:type="dxa"/>
            <w:right w:w="15" w:type="dxa"/>
          </w:tblCellMar>
        </w:tblPrEx>
        <w:trPr>
          <w:trHeight w:val="581"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color w:val="000000"/>
              </w:rPr>
            </w:pPr>
            <w:r>
              <w:rPr>
                <w:rFonts w:ascii="宋体" w:hAnsi="宋体" w:cs="宋体"/>
                <w:color w:val="000000"/>
                <w:kern w:val="0"/>
              </w:rPr>
              <w:t>1</w:t>
            </w:r>
          </w:p>
        </w:tc>
        <w:tc>
          <w:tcPr>
            <w:tcW w:w="3054"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ascii="宋体" w:hAnsi="宋体" w:cs="宋体"/>
                <w:color w:val="000000"/>
                <w:sz w:val="24"/>
                <w:lang w:val="zh-CN"/>
              </w:rPr>
              <w:t>教育网裸</w:t>
            </w:r>
            <w:r>
              <w:rPr>
                <w:rFonts w:hint="eastAsia" w:cs="宋体"/>
                <w:color w:val="000000"/>
                <w:sz w:val="24"/>
              </w:rPr>
              <w:t>光纤链路接入</w:t>
            </w:r>
            <w:r>
              <w:rPr>
                <w:rFonts w:hint="eastAsia" w:ascii="宋体" w:hAnsi="宋体" w:cs="宋体"/>
                <w:color w:val="000000"/>
                <w:sz w:val="24"/>
                <w:lang w:val="zh-CN"/>
              </w:rPr>
              <w:t>服务</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4"/>
              </w:rPr>
            </w:pPr>
            <w:r>
              <w:rPr>
                <w:rFonts w:hint="eastAsia" w:ascii="宋体" w:hAnsi="宋体" w:cs="宋体"/>
                <w:color w:val="000000"/>
                <w:sz w:val="24"/>
                <w:lang w:val="zh-CN"/>
              </w:rPr>
              <w:t>详见具体服务需求</w:t>
            </w:r>
          </w:p>
        </w:tc>
        <w:tc>
          <w:tcPr>
            <w:tcW w:w="70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s="宋体"/>
                <w:color w:val="000000"/>
                <w:sz w:val="24"/>
              </w:rPr>
              <w:t>批</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rPr>
            </w:pPr>
            <w:r>
              <w:rPr>
                <w:color w:val="000000"/>
                <w:sz w:val="24"/>
              </w:rPr>
              <w:t>1</w:t>
            </w:r>
            <w:r>
              <w:rPr>
                <w:rFonts w:hint="eastAsia"/>
                <w:color w:val="000000"/>
                <w:sz w:val="24"/>
                <w:lang w:val="en-US" w:eastAsia="zh-CN"/>
              </w:rPr>
              <w:t>7</w:t>
            </w:r>
            <w:r>
              <w:rPr>
                <w:color w:val="000000"/>
                <w:sz w:val="24"/>
              </w:rPr>
              <w:t>0</w:t>
            </w:r>
            <w:r>
              <w:rPr>
                <w:rFonts w:hint="eastAsia"/>
                <w:color w:val="000000"/>
                <w:sz w:val="24"/>
              </w:rPr>
              <w:t>余所</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color w:val="000000"/>
                <w:kern w:val="0"/>
              </w:rPr>
            </w:pPr>
            <w:r>
              <w:rPr>
                <w:rFonts w:hint="eastAsia" w:ascii="宋体" w:hAnsi="宋体" w:cs="宋体"/>
                <w:color w:val="000000"/>
                <w:kern w:val="0"/>
              </w:rPr>
              <w:t>五年</w:t>
            </w:r>
          </w:p>
        </w:tc>
      </w:tr>
    </w:tbl>
    <w:p>
      <w:pPr>
        <w:spacing w:line="336" w:lineRule="auto"/>
        <w:rPr>
          <w:rFonts w:ascii="宋体" w:hAnsi="宋体"/>
          <w:b/>
          <w:color w:val="000000"/>
          <w:sz w:val="24"/>
        </w:rPr>
      </w:pPr>
    </w:p>
    <w:p>
      <w:pPr>
        <w:keepNext/>
        <w:keepLines/>
        <w:tabs>
          <w:tab w:val="left" w:pos="1080"/>
        </w:tabs>
        <w:spacing w:line="360" w:lineRule="auto"/>
        <w:outlineLvl w:val="1"/>
        <w:rPr>
          <w:rFonts w:ascii="宋体"/>
          <w:b/>
          <w:bCs/>
          <w:kern w:val="24"/>
          <w:sz w:val="32"/>
          <w:szCs w:val="32"/>
        </w:rPr>
      </w:pPr>
      <w:r>
        <w:rPr>
          <w:rFonts w:hint="eastAsia" w:ascii="宋体" w:hAnsi="宋体" w:cs="宋体"/>
          <w:b/>
          <w:bCs/>
          <w:kern w:val="24"/>
          <w:sz w:val="32"/>
          <w:szCs w:val="32"/>
        </w:rPr>
        <w:t>一、项目整体介绍</w:t>
      </w:r>
    </w:p>
    <w:p>
      <w:pPr>
        <w:spacing w:line="360" w:lineRule="auto"/>
        <w:ind w:firstLine="480" w:firstLineChars="200"/>
        <w:rPr>
          <w:rFonts w:hint="eastAsia" w:ascii="宋体" w:hAnsi="宋体" w:cs="宋体"/>
          <w:sz w:val="24"/>
          <w:highlight w:val="none"/>
        </w:rPr>
      </w:pPr>
      <w:r>
        <w:rPr>
          <w:rFonts w:hint="eastAsia" w:ascii="宋体" w:hAnsi="宋体" w:cs="宋体"/>
          <w:sz w:val="24"/>
        </w:rPr>
        <w:t>东阳教育所管辖</w:t>
      </w:r>
      <w:r>
        <w:rPr>
          <w:rFonts w:hint="eastAsia" w:ascii="宋体" w:hAnsi="宋体" w:cs="宋体"/>
          <w:sz w:val="24"/>
          <w:highlight w:val="none"/>
        </w:rPr>
        <w:t>的1</w:t>
      </w:r>
      <w:r>
        <w:rPr>
          <w:rFonts w:hint="eastAsia" w:ascii="宋体" w:hAnsi="宋体" w:cs="宋体"/>
          <w:sz w:val="24"/>
          <w:highlight w:val="none"/>
          <w:lang w:val="en-US" w:eastAsia="zh-CN"/>
        </w:rPr>
        <w:t>7</w:t>
      </w:r>
      <w:r>
        <w:rPr>
          <w:rFonts w:hint="eastAsia" w:ascii="宋体" w:hAnsi="宋体" w:cs="宋体"/>
          <w:sz w:val="24"/>
          <w:highlight w:val="none"/>
        </w:rPr>
        <w:t>0余所学校（</w:t>
      </w:r>
      <w:r>
        <w:rPr>
          <w:rFonts w:hint="eastAsia" w:ascii="宋体" w:hAnsi="宋体" w:cs="宋体"/>
          <w:sz w:val="24"/>
        </w:rPr>
        <w:t>单</w:t>
      </w:r>
      <w:r>
        <w:rPr>
          <w:rFonts w:hint="eastAsia" w:ascii="宋体" w:hAnsi="宋体" w:cs="宋体"/>
          <w:sz w:val="24"/>
          <w:highlight w:val="none"/>
        </w:rPr>
        <w:t>位）通过万兆汇聚与东</w:t>
      </w:r>
      <w:r>
        <w:rPr>
          <w:rFonts w:hint="eastAsia" w:ascii="宋体" w:hAnsi="宋体" w:cs="宋体"/>
          <w:sz w:val="24"/>
        </w:rPr>
        <w:t>阳市教育城域网网络中心相连，通过电信及浙江省计算机教育专网出口访问internet与浙江省教育计算机专网，形成一个东阳市范围内统一出口、统一管理、统一审计的高可控、高速度的东阳市教育城域计算机物理专网。</w:t>
      </w:r>
    </w:p>
    <w:p>
      <w:pPr>
        <w:spacing w:line="360" w:lineRule="auto"/>
        <w:ind w:firstLine="480"/>
        <w:rPr>
          <w:rFonts w:hint="eastAsia" w:ascii="宋体" w:hAnsi="宋体" w:cs="宋体"/>
          <w:sz w:val="24"/>
        </w:rPr>
      </w:pPr>
      <w:r>
        <w:rPr>
          <w:rFonts w:hint="eastAsia" w:ascii="宋体" w:hAnsi="宋体" w:cs="宋体"/>
          <w:sz w:val="24"/>
          <w:highlight w:val="none"/>
        </w:rPr>
        <w:t>目前东阳教育网分别在城区或乡镇部署8个汇聚点，将教育城域网所涉及的1</w:t>
      </w:r>
      <w:r>
        <w:rPr>
          <w:rFonts w:hint="eastAsia" w:ascii="宋体" w:hAnsi="宋体" w:cs="宋体"/>
          <w:sz w:val="24"/>
          <w:highlight w:val="none"/>
          <w:lang w:val="en-US" w:eastAsia="zh-CN"/>
        </w:rPr>
        <w:t>7</w:t>
      </w:r>
      <w:r>
        <w:rPr>
          <w:rFonts w:hint="eastAsia" w:ascii="宋体" w:hAnsi="宋体" w:cs="宋体"/>
          <w:sz w:val="24"/>
          <w:highlight w:val="none"/>
        </w:rPr>
        <w:t>0多</w:t>
      </w:r>
      <w:r>
        <w:rPr>
          <w:rFonts w:hint="eastAsia" w:ascii="宋体" w:hAnsi="宋体" w:cs="宋体"/>
          <w:sz w:val="24"/>
        </w:rPr>
        <w:t>所学校与教育局网络中心连接起来，形成一个东阳市范围内的逻辑局域网。</w:t>
      </w:r>
    </w:p>
    <w:p>
      <w:pPr>
        <w:spacing w:line="360" w:lineRule="auto"/>
        <w:ind w:firstLine="420"/>
        <w:rPr>
          <w:rFonts w:hint="eastAsia" w:ascii="宋体" w:hAnsi="宋体" w:cs="宋体"/>
          <w:sz w:val="24"/>
        </w:rPr>
      </w:pPr>
      <w:r>
        <w:rPr>
          <w:rFonts w:hint="eastAsia" w:ascii="宋体" w:hAnsi="宋体" w:cs="宋体"/>
          <w:sz w:val="24"/>
        </w:rPr>
        <w:t>东阳市教育网城域网核心设备使用已超过5年，需要更新；核心机房到汇聚设备，再到学校接入点设备，大部分设备只有千兆接口，随着PAD教学模式兴起，千兆网络带宽渐渐成为瓶颈，影响部分学校需要实现同步课堂等新业务、新功能。另外</w:t>
      </w:r>
      <w:r>
        <w:rPr>
          <w:rFonts w:hint="eastAsia" w:ascii="宋体" w:hAnsi="宋体" w:cs="宋体"/>
          <w:sz w:val="24"/>
          <w:szCs w:val="20"/>
        </w:rPr>
        <w:t>缺乏安全监管手段，对网络中存在的大规模攻击行为，无法得到预警，因此需要加强网络整体运行维护，加大人员投入，定期提供运行分析报告，做到早发现早解决，确保网络可靠运行。</w:t>
      </w:r>
    </w:p>
    <w:p>
      <w:pPr>
        <w:spacing w:line="360" w:lineRule="auto"/>
        <w:ind w:firstLine="424" w:firstLineChars="177"/>
        <w:rPr>
          <w:rFonts w:hint="eastAsia" w:ascii="宋体" w:hAnsi="宋体" w:cs="宋体"/>
          <w:sz w:val="24"/>
        </w:rPr>
      </w:pPr>
      <w:r>
        <w:rPr>
          <w:rFonts w:hint="eastAsia" w:ascii="宋体" w:hAnsi="宋体" w:cs="宋体"/>
          <w:sz w:val="24"/>
        </w:rPr>
        <w:t>浙江省教育厅关于印发《浙江省教育信息化“十三五”发展规划》的通知，东阳教育局根据省教育厅文件精神，对东阳教育城域网进行升级改造，要求骨干出口带宽，实现全网万兆以上互联，各学校上联链路升级为万兆。</w:t>
      </w:r>
    </w:p>
    <w:p>
      <w:pPr>
        <w:spacing w:line="360" w:lineRule="auto"/>
        <w:ind w:firstLine="424" w:firstLineChars="177"/>
        <w:rPr>
          <w:rFonts w:hint="eastAsia" w:ascii="宋体" w:hAnsi="宋体" w:cs="宋体"/>
          <w:sz w:val="24"/>
        </w:rPr>
      </w:pPr>
      <w:r>
        <w:rPr>
          <w:rFonts w:hint="eastAsia" w:ascii="宋体" w:hAnsi="宋体" w:cs="宋体"/>
          <w:sz w:val="24"/>
        </w:rPr>
        <w:t>东阳市教育城域网网络拓扑图</w:t>
      </w:r>
    </w:p>
    <w:p>
      <w:pPr>
        <w:spacing w:line="360" w:lineRule="auto"/>
        <w:ind w:firstLine="424" w:firstLineChars="177"/>
        <w:rPr>
          <w:rFonts w:hint="eastAsia"/>
          <w:sz w:val="24"/>
        </w:rPr>
      </w:pPr>
      <w:r>
        <w:rPr>
          <w:rFonts w:ascii="宋体" w:hAnsi="宋体"/>
          <w:sz w:val="24"/>
          <w:lang/>
        </w:rPr>
        <w:drawing>
          <wp:inline distT="0" distB="0" distL="114300" distR="114300">
            <wp:extent cx="5969000" cy="4471670"/>
            <wp:effectExtent l="0" t="0" r="5080" b="8890"/>
            <wp:docPr id="6" name="图片 1" descr="城域网拓扑图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城域网拓扑图副本"/>
                    <pic:cNvPicPr>
                      <a:picLocks noChangeAspect="1"/>
                    </pic:cNvPicPr>
                  </pic:nvPicPr>
                  <pic:blipFill>
                    <a:blip r:embed="rId30"/>
                    <a:stretch>
                      <a:fillRect/>
                    </a:stretch>
                  </pic:blipFill>
                  <pic:spPr>
                    <a:xfrm>
                      <a:off x="0" y="0"/>
                      <a:ext cx="5969000" cy="4471670"/>
                    </a:xfrm>
                    <a:prstGeom prst="rect">
                      <a:avLst/>
                    </a:prstGeom>
                    <a:noFill/>
                    <a:ln>
                      <a:noFill/>
                    </a:ln>
                  </pic:spPr>
                </pic:pic>
              </a:graphicData>
            </a:graphic>
          </wp:inline>
        </w:drawing>
      </w:r>
    </w:p>
    <w:p>
      <w:pPr>
        <w:keepNext/>
        <w:keepLines/>
        <w:tabs>
          <w:tab w:val="left" w:pos="1080"/>
        </w:tabs>
        <w:spacing w:line="360" w:lineRule="auto"/>
        <w:outlineLvl w:val="1"/>
        <w:rPr>
          <w:rFonts w:ascii="宋体"/>
          <w:b/>
          <w:bCs/>
          <w:kern w:val="24"/>
          <w:sz w:val="32"/>
          <w:szCs w:val="32"/>
        </w:rPr>
      </w:pPr>
      <w:r>
        <w:rPr>
          <w:rFonts w:hint="eastAsia" w:ascii="宋体" w:hAnsi="宋体" w:cs="宋体"/>
          <w:b/>
          <w:bCs/>
          <w:kern w:val="24"/>
          <w:sz w:val="32"/>
          <w:szCs w:val="32"/>
        </w:rPr>
        <w:t>二、安全要求</w:t>
      </w:r>
    </w:p>
    <w:p>
      <w:pPr>
        <w:autoSpaceDE w:val="0"/>
        <w:autoSpaceDN w:val="0"/>
        <w:adjustRightInd w:val="0"/>
        <w:spacing w:line="360" w:lineRule="auto"/>
        <w:ind w:firstLine="480" w:firstLineChars="200"/>
        <w:jc w:val="left"/>
        <w:rPr>
          <w:kern w:val="0"/>
          <w:sz w:val="24"/>
        </w:rPr>
      </w:pPr>
      <w:r>
        <w:rPr>
          <w:rFonts w:hint="eastAsia" w:cs="宋体"/>
          <w:kern w:val="0"/>
          <w:sz w:val="24"/>
        </w:rPr>
        <w:t>东阳市教育网的安全建设应参考国家教育网的相关标准《国家教育网安全等级保护基本要求》和《信息安全技术</w:t>
      </w:r>
      <w:r>
        <w:rPr>
          <w:kern w:val="0"/>
          <w:sz w:val="24"/>
        </w:rPr>
        <w:t xml:space="preserve"> </w:t>
      </w:r>
      <w:r>
        <w:rPr>
          <w:rFonts w:hint="eastAsia" w:cs="宋体"/>
          <w:kern w:val="0"/>
          <w:sz w:val="24"/>
        </w:rPr>
        <w:t>网络安全监测基本要求与实施指南》。</w:t>
      </w:r>
    </w:p>
    <w:p>
      <w:pPr>
        <w:autoSpaceDE w:val="0"/>
        <w:autoSpaceDN w:val="0"/>
        <w:adjustRightInd w:val="0"/>
        <w:spacing w:line="360" w:lineRule="auto"/>
        <w:ind w:firstLine="480" w:firstLineChars="200"/>
        <w:jc w:val="left"/>
        <w:rPr>
          <w:sz w:val="24"/>
        </w:rPr>
      </w:pPr>
      <w:r>
        <w:rPr>
          <w:rFonts w:hint="eastAsia" w:cs="宋体"/>
          <w:sz w:val="24"/>
        </w:rPr>
        <w:t>东阳市教育城域网应能够在统一安全策略下防护网络免受外部有组织的团体、拥有较为丰富资源的威胁源发起的恶意攻击，能够及时发现安全漏洞和安全事件。在网络遭到损害后，能够较快恢复绝大部分功能。通过部署安全系统、集中管控审计系统、日志审计系统实现安全管理。</w:t>
      </w:r>
      <w:r>
        <w:rPr>
          <w:sz w:val="24"/>
        </w:rPr>
        <w:t xml:space="preserve"> </w:t>
      </w:r>
    </w:p>
    <w:p>
      <w:pPr>
        <w:autoSpaceDE w:val="0"/>
        <w:autoSpaceDN w:val="0"/>
        <w:adjustRightInd w:val="0"/>
        <w:spacing w:line="360" w:lineRule="auto"/>
        <w:ind w:firstLine="480" w:firstLineChars="200"/>
        <w:jc w:val="left"/>
        <w:rPr>
          <w:sz w:val="24"/>
        </w:rPr>
      </w:pPr>
      <w:r>
        <w:rPr>
          <w:rFonts w:hint="eastAsia" w:cs="宋体"/>
          <w:sz w:val="24"/>
        </w:rPr>
        <w:t>实现教育网网络以及各平台、基础支撑系统的安全事件监测、运维监测、上网行为监测、流量监测。综合利用日志管理、风险管理、审计等安全管理功能，采取多种手段和安全管理规范，对网络设备、安全设备、基础支撑系统等</w:t>
      </w:r>
      <w:r>
        <w:rPr>
          <w:sz w:val="24"/>
        </w:rPr>
        <w:t>IT</w:t>
      </w:r>
      <w:r>
        <w:rPr>
          <w:rFonts w:hint="eastAsia" w:cs="宋体"/>
          <w:sz w:val="24"/>
        </w:rPr>
        <w:t>资源实现实时安全监测和趋势分析。</w:t>
      </w:r>
    </w:p>
    <w:p>
      <w:pPr>
        <w:keepNext/>
        <w:keepLines/>
        <w:tabs>
          <w:tab w:val="left" w:pos="1080"/>
        </w:tabs>
        <w:spacing w:line="360" w:lineRule="auto"/>
        <w:outlineLvl w:val="1"/>
        <w:rPr>
          <w:rFonts w:ascii="宋体"/>
          <w:b/>
          <w:bCs/>
          <w:kern w:val="24"/>
          <w:sz w:val="32"/>
          <w:szCs w:val="32"/>
        </w:rPr>
      </w:pPr>
      <w:r>
        <w:rPr>
          <w:rFonts w:hint="eastAsia" w:ascii="宋体" w:hAnsi="宋体" w:cs="宋体"/>
          <w:b/>
          <w:bCs/>
          <w:kern w:val="24"/>
          <w:sz w:val="32"/>
          <w:szCs w:val="32"/>
        </w:rPr>
        <w:t>三、网络服务要求</w:t>
      </w:r>
    </w:p>
    <w:p>
      <w:pPr>
        <w:spacing w:line="360" w:lineRule="auto"/>
        <w:ind w:firstLine="480" w:firstLineChars="200"/>
        <w:jc w:val="left"/>
        <w:rPr>
          <w:rFonts w:hint="eastAsia" w:ascii="宋体" w:hAnsi="宋体" w:cs="宋体"/>
          <w:sz w:val="24"/>
        </w:rPr>
      </w:pPr>
      <w:r>
        <w:rPr>
          <w:rFonts w:hint="eastAsia" w:ascii="宋体" w:hAnsi="宋体" w:cs="宋体"/>
          <w:sz w:val="24"/>
        </w:rPr>
        <w:t>该项目线路实际带宽务必满足各大中小学校的业务使用要求，同时支持后期网络扩容及专线提速的平滑升级，主要指标：</w:t>
      </w:r>
    </w:p>
    <w:p>
      <w:pPr>
        <w:overflowPunct w:val="0"/>
        <w:autoSpaceDE w:val="0"/>
        <w:autoSpaceDN w:val="0"/>
        <w:adjustRightInd w:val="0"/>
        <w:spacing w:line="360" w:lineRule="auto"/>
        <w:ind w:firstLine="240" w:firstLineChars="100"/>
        <w:textAlignment w:val="baseline"/>
        <w:rPr>
          <w:rFonts w:hint="eastAsia" w:ascii="宋体" w:hAnsi="宋体" w:cs="宋体"/>
          <w:sz w:val="24"/>
        </w:rPr>
      </w:pPr>
      <w:r>
        <w:rPr>
          <w:rFonts w:hint="eastAsia" w:ascii="宋体" w:hAnsi="宋体" w:cs="宋体"/>
          <w:sz w:val="24"/>
        </w:rPr>
        <w:t>1、▲服务要求</w:t>
      </w:r>
    </w:p>
    <w:p>
      <w:pPr>
        <w:overflowPunct w:val="0"/>
        <w:autoSpaceDE w:val="0"/>
        <w:autoSpaceDN w:val="0"/>
        <w:adjustRightInd w:val="0"/>
        <w:spacing w:line="360" w:lineRule="auto"/>
        <w:ind w:firstLine="480" w:firstLineChars="200"/>
        <w:textAlignment w:val="baseline"/>
        <w:rPr>
          <w:rFonts w:hint="eastAsia" w:ascii="宋体" w:hAnsi="宋体" w:cs="宋体"/>
          <w:sz w:val="24"/>
        </w:rPr>
      </w:pPr>
      <w:r>
        <w:rPr>
          <w:rFonts w:hint="eastAsia" w:ascii="宋体" w:hAnsi="宋体" w:cs="宋体"/>
          <w:sz w:val="24"/>
        </w:rPr>
        <w:t>（1）出口能根据用户需求，实现双物理出口冗余部署。</w:t>
      </w:r>
    </w:p>
    <w:p>
      <w:pPr>
        <w:overflowPunct w:val="0"/>
        <w:autoSpaceDE w:val="0"/>
        <w:autoSpaceDN w:val="0"/>
        <w:adjustRightInd w:val="0"/>
        <w:spacing w:line="360" w:lineRule="auto"/>
        <w:ind w:firstLine="480" w:firstLineChars="200"/>
        <w:textAlignment w:val="baseline"/>
        <w:rPr>
          <w:rFonts w:hint="eastAsia" w:ascii="宋体" w:hAnsi="宋体" w:cs="宋体"/>
          <w:sz w:val="24"/>
        </w:rPr>
      </w:pPr>
      <w:r>
        <w:rPr>
          <w:rFonts w:hint="eastAsia" w:ascii="宋体" w:hAnsi="宋体" w:cs="宋体"/>
          <w:sz w:val="24"/>
        </w:rPr>
        <w:t>（2）部署2个核心，8个一级汇聚设备，每个汇聚点分别通过万兆上联到2台核心，实现链路冗余备份功能。偏远地区可设不多于6个二级汇聚设备，每个二级汇聚万兆上联到一级汇聚，设备利旧。</w:t>
      </w:r>
    </w:p>
    <w:p>
      <w:pPr>
        <w:overflowPunct w:val="0"/>
        <w:autoSpaceDE w:val="0"/>
        <w:autoSpaceDN w:val="0"/>
        <w:adjustRightInd w:val="0"/>
        <w:spacing w:line="360" w:lineRule="auto"/>
        <w:ind w:firstLine="480" w:firstLineChars="200"/>
        <w:textAlignment w:val="baseline"/>
        <w:rPr>
          <w:rFonts w:hint="eastAsia" w:ascii="宋体" w:hAnsi="宋体" w:cs="宋体"/>
          <w:sz w:val="24"/>
        </w:rPr>
      </w:pPr>
      <w:r>
        <w:rPr>
          <w:rFonts w:hint="eastAsia" w:ascii="宋体" w:hAnsi="宋体" w:cs="宋体"/>
          <w:sz w:val="24"/>
        </w:rPr>
        <w:t>（3）教育城域网具备上网审计、行为管理能力；以上设备均需支持万兆。</w:t>
      </w:r>
    </w:p>
    <w:p>
      <w:pPr>
        <w:overflowPunct w:val="0"/>
        <w:autoSpaceDE w:val="0"/>
        <w:autoSpaceDN w:val="0"/>
        <w:adjustRightInd w:val="0"/>
        <w:spacing w:line="360" w:lineRule="auto"/>
        <w:ind w:firstLine="480" w:firstLineChars="200"/>
        <w:textAlignment w:val="baseline"/>
        <w:rPr>
          <w:rFonts w:hint="eastAsia" w:ascii="宋体" w:hAnsi="宋体" w:cs="宋体"/>
          <w:sz w:val="24"/>
        </w:rPr>
      </w:pPr>
      <w:r>
        <w:rPr>
          <w:rFonts w:hint="eastAsia" w:ascii="宋体" w:hAnsi="宋体" w:cs="宋体"/>
          <w:sz w:val="24"/>
        </w:rPr>
        <w:t>（4）网络出口需要满足浙江省教育计算机网的技术规范与要求，并完成与浙江省教育专网的对接。另外，网络出口需要提供万兆光路连到东阳政务外网，实现教育网访问政务网的需求，万兆光路连接校园监控专网。</w:t>
      </w:r>
    </w:p>
    <w:p>
      <w:pPr>
        <w:overflowPunct w:val="0"/>
        <w:autoSpaceDE w:val="0"/>
        <w:autoSpaceDN w:val="0"/>
        <w:adjustRightInd w:val="0"/>
        <w:spacing w:line="360" w:lineRule="auto"/>
        <w:ind w:firstLine="480" w:firstLineChars="200"/>
        <w:textAlignment w:val="baseline"/>
        <w:rPr>
          <w:rFonts w:hint="eastAsia" w:ascii="宋体" w:hAnsi="宋体" w:cs="宋体"/>
          <w:sz w:val="24"/>
        </w:rPr>
      </w:pPr>
      <w:r>
        <w:rPr>
          <w:rFonts w:hint="eastAsia" w:ascii="宋体" w:hAnsi="宋体" w:cs="宋体"/>
          <w:sz w:val="24"/>
        </w:rPr>
        <w:t>（5）项目包含学校出口交换机安装、万兆上行的割接集成服务。</w:t>
      </w:r>
    </w:p>
    <w:p>
      <w:pPr>
        <w:overflowPunct w:val="0"/>
        <w:autoSpaceDE w:val="0"/>
        <w:autoSpaceDN w:val="0"/>
        <w:adjustRightInd w:val="0"/>
        <w:spacing w:line="360" w:lineRule="auto"/>
        <w:ind w:firstLine="480" w:firstLineChars="200"/>
        <w:textAlignment w:val="baseline"/>
        <w:rPr>
          <w:rFonts w:hint="eastAsia" w:ascii="宋体" w:hAnsi="宋体" w:cs="宋体"/>
          <w:sz w:val="24"/>
        </w:rPr>
      </w:pPr>
      <w:r>
        <w:rPr>
          <w:rFonts w:hint="eastAsia" w:ascii="宋体" w:hAnsi="宋体" w:cs="宋体"/>
          <w:sz w:val="24"/>
        </w:rPr>
        <w:t>（6）为满足各项服务要求，配备设备配置及性能应不低于参考设备清单。</w:t>
      </w:r>
    </w:p>
    <w:p>
      <w:pPr>
        <w:overflowPunct w:val="0"/>
        <w:autoSpaceDE w:val="0"/>
        <w:autoSpaceDN w:val="0"/>
        <w:adjustRightInd w:val="0"/>
        <w:spacing w:line="360" w:lineRule="auto"/>
        <w:ind w:firstLine="480" w:firstLineChars="200"/>
        <w:textAlignment w:val="baseline"/>
        <w:rPr>
          <w:rFonts w:hint="eastAsia" w:ascii="宋体" w:hAnsi="宋体" w:cs="宋体"/>
          <w:sz w:val="24"/>
        </w:rPr>
      </w:pPr>
      <w:r>
        <w:rPr>
          <w:rFonts w:hint="eastAsia" w:ascii="宋体" w:hAnsi="宋体" w:cs="宋体"/>
          <w:sz w:val="24"/>
        </w:rPr>
        <w:t>（7）采集主要设备（包括出口防火墙、核心交换机、上网行为管理、态势感知平台）的日志储存不少于180天。</w:t>
      </w:r>
    </w:p>
    <w:p>
      <w:pPr>
        <w:autoSpaceDE w:val="0"/>
        <w:autoSpaceDN w:val="0"/>
        <w:adjustRightInd w:val="0"/>
        <w:spacing w:line="360" w:lineRule="auto"/>
        <w:ind w:firstLine="465"/>
        <w:jc w:val="left"/>
        <w:rPr>
          <w:rFonts w:hint="eastAsia" w:ascii="宋体" w:hAnsi="宋体" w:cs="宋体"/>
          <w:color w:val="auto"/>
          <w:sz w:val="24"/>
          <w:highlight w:val="none"/>
        </w:rPr>
      </w:pPr>
      <w:r>
        <w:rPr>
          <w:rFonts w:hint="eastAsia" w:ascii="宋体" w:hAnsi="宋体" w:cs="宋体"/>
          <w:sz w:val="24"/>
        </w:rPr>
        <w:t>（8）</w:t>
      </w:r>
      <w:r>
        <w:rPr>
          <w:rFonts w:hint="eastAsia" w:ascii="宋体" w:hAnsi="宋体" w:cs="宋体"/>
          <w:color w:val="auto"/>
          <w:sz w:val="24"/>
          <w:highlight w:val="none"/>
        </w:rPr>
        <w:t>提供的设备及链路仅供东阳市教育城域网使用，不承载其他业务。</w:t>
      </w:r>
    </w:p>
    <w:p>
      <w:pPr>
        <w:autoSpaceDE w:val="0"/>
        <w:autoSpaceDN w:val="0"/>
        <w:adjustRightInd w:val="0"/>
        <w:spacing w:line="360" w:lineRule="auto"/>
        <w:ind w:firstLine="465"/>
        <w:jc w:val="left"/>
        <w:rPr>
          <w:rFonts w:hint="eastAsia" w:ascii="宋体" w:hAnsi="宋体" w:cs="宋体"/>
          <w:color w:val="auto"/>
          <w:sz w:val="24"/>
          <w:highlight w:val="none"/>
        </w:rPr>
      </w:pPr>
      <w:r>
        <w:rPr>
          <w:rFonts w:hint="eastAsia" w:ascii="宋体" w:hAnsi="宋体" w:cs="宋体"/>
          <w:color w:val="auto"/>
          <w:sz w:val="24"/>
          <w:highlight w:val="none"/>
        </w:rPr>
        <w:t>（9）中标单位须提供2处教育城域网核心设备机房（主备机房），提供教育网专用IDC机房机柜（不少于7个）并设置冗余，用于布放教育网相关网络设备，专用机柜（利旧）不得放置非教育网设备。放置在中标单位处的教育网设备所产生的电费、空调、运维费等由中标单位承担。</w:t>
      </w:r>
    </w:p>
    <w:p>
      <w:pPr>
        <w:autoSpaceDE w:val="0"/>
        <w:autoSpaceDN w:val="0"/>
        <w:adjustRightInd w:val="0"/>
        <w:spacing w:line="360" w:lineRule="auto"/>
        <w:ind w:firstLine="465"/>
        <w:jc w:val="left"/>
        <w:rPr>
          <w:rFonts w:hint="eastAsia" w:ascii="宋体" w:hAnsi="宋体" w:cs="宋体"/>
          <w:color w:val="auto"/>
          <w:sz w:val="24"/>
          <w:highlight w:val="none"/>
        </w:rPr>
      </w:pPr>
      <w:r>
        <w:rPr>
          <w:rFonts w:hint="eastAsia" w:ascii="宋体" w:hAnsi="宋体" w:cs="宋体"/>
          <w:sz w:val="24"/>
        </w:rPr>
        <w:t>（10）在运营商核心机房支持其他运营商光缆接入，并允许其他运营商电路接入教育网相关核心</w:t>
      </w:r>
      <w:r>
        <w:rPr>
          <w:rFonts w:hint="eastAsia" w:ascii="宋体" w:hAnsi="宋体" w:cs="宋体"/>
          <w:color w:val="auto"/>
          <w:sz w:val="24"/>
          <w:highlight w:val="none"/>
        </w:rPr>
        <w:t>或出口设备。</w:t>
      </w:r>
    </w:p>
    <w:p>
      <w:pPr>
        <w:autoSpaceDE w:val="0"/>
        <w:autoSpaceDN w:val="0"/>
        <w:adjustRightInd w:val="0"/>
        <w:spacing w:line="360" w:lineRule="auto"/>
        <w:ind w:firstLine="580" w:firstLineChars="242"/>
        <w:jc w:val="left"/>
        <w:rPr>
          <w:rFonts w:hint="eastAsia" w:ascii="宋体" w:hAnsi="宋体" w:cs="宋体"/>
          <w:color w:val="auto"/>
          <w:sz w:val="24"/>
          <w:highlight w:val="none"/>
        </w:rPr>
      </w:pPr>
      <w:r>
        <w:rPr>
          <w:rFonts w:hint="eastAsia" w:ascii="宋体" w:hAnsi="宋体" w:cs="宋体"/>
          <w:color w:val="auto"/>
          <w:sz w:val="24"/>
          <w:highlight w:val="none"/>
        </w:rPr>
        <w:t>(11) 每季出运行维护报告，说明线路和网络设备整体运行情况，攻击和不安全因素等疑难分析及应对措施。单次出现重大业务应用故障需提供独立事件报告。</w:t>
      </w:r>
    </w:p>
    <w:p>
      <w:pPr>
        <w:autoSpaceDE w:val="0"/>
        <w:autoSpaceDN w:val="0"/>
        <w:adjustRightInd w:val="0"/>
        <w:spacing w:line="360" w:lineRule="auto"/>
        <w:ind w:firstLine="465"/>
        <w:jc w:val="left"/>
        <w:rPr>
          <w:rFonts w:hint="eastAsia" w:ascii="宋体" w:hAnsi="宋体" w:cs="宋体"/>
          <w:color w:val="auto"/>
          <w:sz w:val="24"/>
          <w:highlight w:val="none"/>
        </w:rPr>
      </w:pPr>
      <w:r>
        <w:rPr>
          <w:rFonts w:hint="eastAsia" w:ascii="宋体" w:hAnsi="宋体" w:cs="宋体"/>
          <w:color w:val="auto"/>
          <w:sz w:val="24"/>
          <w:highlight w:val="none"/>
        </w:rPr>
        <w:t>（12）配合做好东阳教育城域网与东阳教育云数据中心相互高效访问的配置工作。</w:t>
      </w:r>
    </w:p>
    <w:p>
      <w:pPr>
        <w:overflowPunct w:val="0"/>
        <w:autoSpaceDE w:val="0"/>
        <w:autoSpaceDN w:val="0"/>
        <w:adjustRightInd w:val="0"/>
        <w:spacing w:line="360" w:lineRule="auto"/>
        <w:ind w:firstLine="240" w:firstLineChars="100"/>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、网络运行指标</w:t>
      </w:r>
    </w:p>
    <w:p>
      <w:pPr>
        <w:numPr>
          <w:ilvl w:val="0"/>
          <w:numId w:val="5"/>
        </w:numPr>
        <w:autoSpaceDE w:val="0"/>
        <w:autoSpaceDN w:val="0"/>
        <w:adjustRightInd w:val="0"/>
        <w:spacing w:line="360" w:lineRule="auto"/>
        <w:jc w:val="left"/>
        <w:rPr>
          <w:rFonts w:hint="eastAsia" w:ascii="宋体" w:hAnsi="宋体" w:cs="宋体"/>
          <w:kern w:val="0"/>
          <w:sz w:val="24"/>
        </w:rPr>
      </w:pPr>
      <w:r>
        <w:rPr>
          <w:rFonts w:hint="eastAsia" w:ascii="宋体" w:hAnsi="宋体" w:cs="宋体"/>
          <w:kern w:val="0"/>
          <w:sz w:val="24"/>
        </w:rPr>
        <w:t>实际带宽可用率大于95%；</w:t>
      </w:r>
    </w:p>
    <w:p>
      <w:pPr>
        <w:numPr>
          <w:ilvl w:val="0"/>
          <w:numId w:val="5"/>
        </w:numPr>
        <w:autoSpaceDE w:val="0"/>
        <w:autoSpaceDN w:val="0"/>
        <w:adjustRightInd w:val="0"/>
        <w:spacing w:line="360" w:lineRule="auto"/>
        <w:jc w:val="left"/>
        <w:rPr>
          <w:rFonts w:hint="eastAsia" w:ascii="宋体" w:hAnsi="宋体" w:cs="宋体"/>
          <w:kern w:val="0"/>
          <w:sz w:val="24"/>
        </w:rPr>
      </w:pPr>
      <w:r>
        <w:rPr>
          <w:rFonts w:hint="eastAsia" w:ascii="宋体" w:hAnsi="宋体" w:cs="宋体"/>
          <w:kern w:val="0"/>
          <w:sz w:val="24"/>
        </w:rPr>
        <w:t>光纤专线线路时延≤50ms；</w:t>
      </w:r>
    </w:p>
    <w:p>
      <w:pPr>
        <w:numPr>
          <w:ilvl w:val="0"/>
          <w:numId w:val="5"/>
        </w:numPr>
        <w:autoSpaceDE w:val="0"/>
        <w:autoSpaceDN w:val="0"/>
        <w:adjustRightInd w:val="0"/>
        <w:spacing w:line="360" w:lineRule="auto"/>
        <w:jc w:val="left"/>
        <w:rPr>
          <w:rFonts w:hint="eastAsia" w:ascii="宋体" w:hAnsi="宋体" w:cs="宋体"/>
          <w:kern w:val="0"/>
          <w:sz w:val="24"/>
        </w:rPr>
      </w:pPr>
      <w:r>
        <w:rPr>
          <w:rFonts w:hint="eastAsia" w:ascii="宋体" w:hAnsi="宋体" w:cs="宋体"/>
          <w:kern w:val="0"/>
          <w:sz w:val="24"/>
        </w:rPr>
        <w:t>丢包率≤0.1%</w:t>
      </w:r>
    </w:p>
    <w:p>
      <w:pPr>
        <w:numPr>
          <w:ilvl w:val="0"/>
          <w:numId w:val="6"/>
        </w:numPr>
        <w:autoSpaceDE w:val="0"/>
        <w:autoSpaceDN w:val="0"/>
        <w:adjustRightInd w:val="0"/>
        <w:spacing w:line="360" w:lineRule="auto"/>
        <w:ind w:left="284"/>
        <w:jc w:val="left"/>
        <w:rPr>
          <w:rFonts w:hint="eastAsia" w:ascii="宋体" w:hAnsi="宋体" w:cs="宋体"/>
          <w:kern w:val="0"/>
          <w:sz w:val="24"/>
        </w:rPr>
      </w:pPr>
      <w:r>
        <w:rPr>
          <w:rFonts w:hint="eastAsia" w:ascii="宋体" w:hAnsi="宋体" w:cs="宋体"/>
          <w:sz w:val="24"/>
        </w:rPr>
        <w:t>线路质量要求</w:t>
      </w:r>
    </w:p>
    <w:p>
      <w:pPr>
        <w:autoSpaceDE w:val="0"/>
        <w:autoSpaceDN w:val="0"/>
        <w:adjustRightInd w:val="0"/>
        <w:spacing w:line="360" w:lineRule="auto"/>
        <w:ind w:firstLine="600" w:firstLineChars="250"/>
        <w:rPr>
          <w:rFonts w:hint="eastAsia" w:ascii="宋体" w:hAnsi="宋体" w:cs="宋体"/>
          <w:sz w:val="24"/>
        </w:rPr>
      </w:pPr>
      <w:r>
        <w:rPr>
          <w:rFonts w:hint="eastAsia" w:ascii="宋体" w:hAnsi="宋体" w:cs="宋体"/>
          <w:sz w:val="24"/>
        </w:rPr>
        <w:t>提供的线路质量应符合工信部颁布的《电信服务标准》的电信业务质量要求，即长期运行基本无瞬时中断现象。</w:t>
      </w:r>
    </w:p>
    <w:p>
      <w:pPr>
        <w:numPr>
          <w:ilvl w:val="0"/>
          <w:numId w:val="6"/>
        </w:numPr>
        <w:autoSpaceDE w:val="0"/>
        <w:autoSpaceDN w:val="0"/>
        <w:adjustRightInd w:val="0"/>
        <w:spacing w:line="360" w:lineRule="auto"/>
        <w:ind w:left="284"/>
        <w:jc w:val="left"/>
        <w:rPr>
          <w:rFonts w:hint="eastAsia" w:ascii="宋体" w:hAnsi="宋体" w:cs="宋体"/>
          <w:color w:val="auto"/>
          <w:sz w:val="24"/>
          <w:highlight w:val="none"/>
        </w:rPr>
      </w:pPr>
      <w:r>
        <w:rPr>
          <w:rFonts w:hint="eastAsia" w:ascii="宋体" w:hAnsi="宋体" w:cs="宋体"/>
          <w:sz w:val="24"/>
          <w:highlight w:val="none"/>
        </w:rPr>
        <w:t>▲</w:t>
      </w:r>
      <w:r>
        <w:rPr>
          <w:rFonts w:hint="eastAsia" w:ascii="宋体" w:hAnsi="宋体" w:cs="宋体"/>
          <w:sz w:val="24"/>
        </w:rPr>
        <w:t>投入设备</w:t>
      </w:r>
      <w:r>
        <w:rPr>
          <w:rFonts w:hint="eastAsia" w:ascii="宋体" w:hAnsi="宋体" w:cs="宋体"/>
          <w:color w:val="auto"/>
          <w:sz w:val="24"/>
          <w:highlight w:val="none"/>
        </w:rPr>
        <w:t>清单及配件</w:t>
      </w:r>
    </w:p>
    <w:tbl>
      <w:tblPr>
        <w:tblStyle w:val="4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4252"/>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pPr>
              <w:autoSpaceDE w:val="0"/>
              <w:autoSpaceDN w:val="0"/>
              <w:adjustRightInd w:val="0"/>
              <w:rPr>
                <w:rFonts w:hint="eastAsia" w:ascii="宋体" w:hAnsi="宋体" w:cs="宋体"/>
                <w:color w:val="auto"/>
                <w:sz w:val="24"/>
                <w:highlight w:val="none"/>
              </w:rPr>
            </w:pPr>
            <w:r>
              <w:rPr>
                <w:rFonts w:hint="eastAsia" w:ascii="宋体" w:hAnsi="宋体" w:cs="宋体"/>
                <w:color w:val="auto"/>
                <w:sz w:val="24"/>
                <w:highlight w:val="none"/>
              </w:rPr>
              <w:t>序号</w:t>
            </w:r>
          </w:p>
        </w:tc>
        <w:tc>
          <w:tcPr>
            <w:tcW w:w="1985" w:type="dxa"/>
            <w:noWrap w:val="0"/>
            <w:vAlign w:val="top"/>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产品名称</w:t>
            </w:r>
          </w:p>
        </w:tc>
        <w:tc>
          <w:tcPr>
            <w:tcW w:w="4252" w:type="dxa"/>
            <w:noWrap w:val="0"/>
            <w:vAlign w:val="top"/>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配置</w:t>
            </w:r>
          </w:p>
        </w:tc>
        <w:tc>
          <w:tcPr>
            <w:tcW w:w="1134" w:type="dxa"/>
            <w:noWrap w:val="0"/>
            <w:vAlign w:val="top"/>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276" w:type="dxa"/>
            <w:noWrap w:val="0"/>
            <w:vAlign w:val="top"/>
          </w:tcPr>
          <w:p>
            <w:pPr>
              <w:autoSpaceDE w:val="0"/>
              <w:autoSpaceDN w:val="0"/>
              <w:adjustRightInd w:val="0"/>
              <w:rPr>
                <w:rFonts w:hint="eastAsia" w:ascii="宋体" w:hAnsi="宋体" w:cs="宋体"/>
                <w:color w:val="auto"/>
                <w:sz w:val="24"/>
                <w:highlight w:val="none"/>
              </w:rPr>
            </w:pPr>
            <w:r>
              <w:rPr>
                <w:rFonts w:hint="eastAsia" w:ascii="宋体" w:hAnsi="宋体" w:cs="宋体"/>
                <w:color w:val="auto"/>
                <w:sz w:val="24"/>
                <w:highlight w:val="none"/>
              </w:rPr>
              <w:t>安装地点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7"/>
              </w:numPr>
              <w:autoSpaceDE w:val="0"/>
              <w:autoSpaceDN w:val="0"/>
              <w:adjustRightInd w:val="0"/>
              <w:jc w:val="center"/>
              <w:rPr>
                <w:rFonts w:hint="eastAsia" w:ascii="宋体" w:hAnsi="宋体" w:cs="宋体"/>
                <w:color w:val="auto"/>
                <w:sz w:val="24"/>
                <w:highlight w:val="none"/>
              </w:rPr>
            </w:pPr>
          </w:p>
        </w:tc>
        <w:tc>
          <w:tcPr>
            <w:tcW w:w="1985" w:type="dxa"/>
            <w:vMerge w:val="restart"/>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态势感知系统</w:t>
            </w:r>
          </w:p>
        </w:tc>
        <w:tc>
          <w:tcPr>
            <w:tcW w:w="4252" w:type="dxa"/>
            <w:noWrap w:val="0"/>
            <w:vAlign w:val="top"/>
          </w:tcPr>
          <w:p>
            <w:pPr>
              <w:pStyle w:val="127"/>
              <w:widowControl w:val="0"/>
              <w:tabs>
                <w:tab w:val="left" w:pos="644"/>
                <w:tab w:val="left" w:pos="1200"/>
              </w:tabs>
              <w:autoSpaceDE w:val="0"/>
              <w:autoSpaceDN w:val="0"/>
              <w:adjustRightInd w:val="0"/>
              <w:spacing w:after="0" w:line="240" w:lineRule="auto"/>
              <w:ind w:lef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详见“教育网络大数据平台参数指标”</w:t>
            </w:r>
          </w:p>
          <w:p>
            <w:pPr>
              <w:autoSpaceDE w:val="0"/>
              <w:autoSpaceDN w:val="0"/>
              <w:adjustRightInd w:val="0"/>
              <w:jc w:val="left"/>
              <w:rPr>
                <w:rFonts w:hint="eastAsia" w:ascii="宋体" w:hAnsi="宋体" w:cs="宋体"/>
                <w:color w:val="auto"/>
                <w:sz w:val="24"/>
                <w:highlight w:val="none"/>
              </w:rPr>
            </w:pPr>
          </w:p>
        </w:tc>
        <w:tc>
          <w:tcPr>
            <w:tcW w:w="1134" w:type="dxa"/>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1套</w:t>
            </w:r>
          </w:p>
        </w:tc>
        <w:tc>
          <w:tcPr>
            <w:tcW w:w="1276" w:type="dxa"/>
            <w:noWrap w:val="0"/>
            <w:vAlign w:val="top"/>
          </w:tcPr>
          <w:p>
            <w:pPr>
              <w:autoSpaceDE w:val="0"/>
              <w:autoSpaceDN w:val="0"/>
              <w:adjustRightInd w:val="0"/>
              <w:rPr>
                <w:rFonts w:hint="eastAsia" w:ascii="宋体" w:hAnsi="宋体" w:cs="宋体"/>
                <w:color w:val="auto"/>
                <w:sz w:val="24"/>
                <w:highlight w:val="none"/>
              </w:rPr>
            </w:pPr>
            <w:r>
              <w:rPr>
                <w:rFonts w:hint="eastAsia" w:ascii="宋体" w:hAnsi="宋体" w:cs="宋体"/>
                <w:color w:val="auto"/>
                <w:sz w:val="24"/>
                <w:highlight w:val="none"/>
              </w:rPr>
              <w:t>运营商机房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7"/>
              </w:numPr>
              <w:autoSpaceDE w:val="0"/>
              <w:autoSpaceDN w:val="0"/>
              <w:adjustRightInd w:val="0"/>
              <w:jc w:val="center"/>
              <w:rPr>
                <w:rFonts w:hint="eastAsia" w:ascii="宋体" w:hAnsi="宋体" w:cs="宋体"/>
                <w:color w:val="auto"/>
                <w:sz w:val="24"/>
                <w:highlight w:val="none"/>
              </w:rPr>
            </w:pPr>
          </w:p>
        </w:tc>
        <w:tc>
          <w:tcPr>
            <w:tcW w:w="1985" w:type="dxa"/>
            <w:vMerge w:val="continue"/>
            <w:noWrap w:val="0"/>
            <w:vAlign w:val="center"/>
          </w:tcPr>
          <w:p>
            <w:pPr>
              <w:autoSpaceDE w:val="0"/>
              <w:autoSpaceDN w:val="0"/>
              <w:adjustRightInd w:val="0"/>
              <w:jc w:val="center"/>
              <w:rPr>
                <w:rFonts w:hint="eastAsia" w:ascii="宋体" w:hAnsi="宋体" w:cs="宋体"/>
                <w:color w:val="auto"/>
                <w:sz w:val="24"/>
                <w:highlight w:val="none"/>
              </w:rPr>
            </w:pPr>
          </w:p>
        </w:tc>
        <w:tc>
          <w:tcPr>
            <w:tcW w:w="4252" w:type="dxa"/>
            <w:noWrap w:val="0"/>
            <w:vAlign w:val="top"/>
          </w:tcPr>
          <w:p>
            <w:pPr>
              <w:autoSpaceDE w:val="0"/>
              <w:autoSpaceDN w:val="0"/>
              <w:adjustRightInd w:val="0"/>
              <w:jc w:val="left"/>
              <w:rPr>
                <w:rFonts w:hint="eastAsia" w:ascii="宋体" w:hAnsi="宋体" w:cs="宋体"/>
                <w:color w:val="auto"/>
                <w:sz w:val="24"/>
                <w:highlight w:val="none"/>
              </w:rPr>
            </w:pPr>
            <w:r>
              <w:rPr>
                <w:rFonts w:hint="eastAsia" w:ascii="宋体" w:hAnsi="宋体" w:cs="宋体"/>
                <w:color w:val="auto"/>
                <w:sz w:val="24"/>
                <w:highlight w:val="none"/>
              </w:rPr>
              <w:t>详见“网络流量探针参数指标”，与大数据平台同一品牌</w:t>
            </w:r>
          </w:p>
        </w:tc>
        <w:tc>
          <w:tcPr>
            <w:tcW w:w="1134" w:type="dxa"/>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1台</w:t>
            </w:r>
          </w:p>
        </w:tc>
        <w:tc>
          <w:tcPr>
            <w:tcW w:w="1276" w:type="dxa"/>
            <w:noWrap w:val="0"/>
            <w:vAlign w:val="top"/>
          </w:tcPr>
          <w:p>
            <w:pPr>
              <w:autoSpaceDE w:val="0"/>
              <w:autoSpaceDN w:val="0"/>
              <w:adjustRightInd w:val="0"/>
              <w:rPr>
                <w:rFonts w:hint="eastAsia" w:ascii="宋体" w:hAnsi="宋体" w:cs="宋体"/>
                <w:color w:val="auto"/>
                <w:sz w:val="24"/>
                <w:highlight w:val="none"/>
              </w:rPr>
            </w:pPr>
            <w:r>
              <w:rPr>
                <w:rFonts w:hint="eastAsia" w:ascii="宋体" w:hAnsi="宋体" w:cs="宋体"/>
                <w:color w:val="auto"/>
                <w:sz w:val="24"/>
                <w:highlight w:val="none"/>
              </w:rPr>
              <w:t>运营商机房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7"/>
              </w:numPr>
              <w:autoSpaceDE w:val="0"/>
              <w:autoSpaceDN w:val="0"/>
              <w:adjustRightInd w:val="0"/>
              <w:jc w:val="center"/>
              <w:rPr>
                <w:rFonts w:hint="eastAsia" w:ascii="宋体" w:hAnsi="宋体" w:cs="宋体"/>
                <w:color w:val="auto"/>
                <w:sz w:val="24"/>
                <w:highlight w:val="none"/>
              </w:rPr>
            </w:pPr>
          </w:p>
        </w:tc>
        <w:tc>
          <w:tcPr>
            <w:tcW w:w="1985" w:type="dxa"/>
            <w:vMerge w:val="continue"/>
            <w:noWrap w:val="0"/>
            <w:vAlign w:val="center"/>
          </w:tcPr>
          <w:p>
            <w:pPr>
              <w:autoSpaceDE w:val="0"/>
              <w:autoSpaceDN w:val="0"/>
              <w:adjustRightInd w:val="0"/>
              <w:jc w:val="center"/>
              <w:rPr>
                <w:rFonts w:hint="eastAsia" w:ascii="宋体" w:hAnsi="宋体" w:cs="宋体"/>
                <w:color w:val="auto"/>
                <w:sz w:val="24"/>
                <w:highlight w:val="none"/>
              </w:rPr>
            </w:pPr>
          </w:p>
        </w:tc>
        <w:tc>
          <w:tcPr>
            <w:tcW w:w="4252" w:type="dxa"/>
            <w:noWrap w:val="0"/>
            <w:vAlign w:val="top"/>
          </w:tcPr>
          <w:p>
            <w:pPr>
              <w:pStyle w:val="127"/>
              <w:widowControl w:val="0"/>
              <w:tabs>
                <w:tab w:val="left" w:pos="644"/>
                <w:tab w:val="left" w:pos="1200"/>
              </w:tabs>
              <w:autoSpaceDE w:val="0"/>
              <w:autoSpaceDN w:val="0"/>
              <w:adjustRightInd w:val="0"/>
              <w:spacing w:after="0" w:line="240" w:lineRule="auto"/>
              <w:ind w:lef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详见“ 综合日志审计参数指标”， 与大数据平台同一品牌</w:t>
            </w:r>
          </w:p>
        </w:tc>
        <w:tc>
          <w:tcPr>
            <w:tcW w:w="1134" w:type="dxa"/>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1台</w:t>
            </w:r>
          </w:p>
        </w:tc>
        <w:tc>
          <w:tcPr>
            <w:tcW w:w="1276" w:type="dxa"/>
            <w:noWrap w:val="0"/>
            <w:vAlign w:val="top"/>
          </w:tcPr>
          <w:p>
            <w:pPr>
              <w:autoSpaceDE w:val="0"/>
              <w:autoSpaceDN w:val="0"/>
              <w:adjustRightInd w:val="0"/>
              <w:rPr>
                <w:rFonts w:hint="eastAsia" w:ascii="宋体" w:hAnsi="宋体" w:cs="宋体"/>
                <w:color w:val="auto"/>
                <w:sz w:val="24"/>
                <w:highlight w:val="none"/>
              </w:rPr>
            </w:pPr>
            <w:r>
              <w:rPr>
                <w:rFonts w:hint="eastAsia" w:ascii="宋体" w:hAnsi="宋体" w:cs="宋体"/>
                <w:color w:val="auto"/>
                <w:sz w:val="24"/>
                <w:highlight w:val="none"/>
              </w:rPr>
              <w:t>运营商机房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7"/>
              </w:numPr>
              <w:autoSpaceDE w:val="0"/>
              <w:autoSpaceDN w:val="0"/>
              <w:adjustRightInd w:val="0"/>
              <w:jc w:val="center"/>
              <w:rPr>
                <w:rFonts w:hint="eastAsia" w:ascii="宋体" w:hAnsi="宋体" w:cs="宋体"/>
                <w:color w:val="auto"/>
                <w:sz w:val="24"/>
                <w:highlight w:val="none"/>
              </w:rPr>
            </w:pPr>
          </w:p>
        </w:tc>
        <w:tc>
          <w:tcPr>
            <w:tcW w:w="1985" w:type="dxa"/>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万兆上网行为管理设备</w:t>
            </w:r>
          </w:p>
        </w:tc>
        <w:tc>
          <w:tcPr>
            <w:tcW w:w="4252" w:type="dxa"/>
            <w:noWrap w:val="0"/>
            <w:vAlign w:val="top"/>
          </w:tcPr>
          <w:p>
            <w:pPr>
              <w:autoSpaceDE w:val="0"/>
              <w:autoSpaceDN w:val="0"/>
              <w:adjustRightInd w:val="0"/>
              <w:jc w:val="left"/>
              <w:rPr>
                <w:rFonts w:hint="eastAsia" w:ascii="宋体" w:hAnsi="宋体" w:cs="宋体"/>
                <w:color w:val="auto"/>
                <w:sz w:val="24"/>
                <w:highlight w:val="none"/>
              </w:rPr>
            </w:pPr>
            <w:r>
              <w:rPr>
                <w:rFonts w:hint="eastAsia" w:ascii="宋体" w:hAnsi="宋体" w:cs="宋体"/>
                <w:color w:val="auto"/>
                <w:sz w:val="24"/>
                <w:highlight w:val="none"/>
              </w:rPr>
              <w:t>详见“万兆上网行为管理设备参数指标”</w:t>
            </w:r>
          </w:p>
        </w:tc>
        <w:tc>
          <w:tcPr>
            <w:tcW w:w="1134" w:type="dxa"/>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2台</w:t>
            </w:r>
          </w:p>
        </w:tc>
        <w:tc>
          <w:tcPr>
            <w:tcW w:w="1276" w:type="dxa"/>
            <w:noWrap w:val="0"/>
            <w:vAlign w:val="top"/>
          </w:tcPr>
          <w:p>
            <w:pPr>
              <w:autoSpaceDE w:val="0"/>
              <w:autoSpaceDN w:val="0"/>
              <w:adjustRightInd w:val="0"/>
              <w:rPr>
                <w:rFonts w:hint="eastAsia" w:ascii="宋体" w:hAnsi="宋体" w:cs="宋体"/>
                <w:color w:val="auto"/>
                <w:sz w:val="24"/>
                <w:highlight w:val="none"/>
              </w:rPr>
            </w:pPr>
            <w:r>
              <w:rPr>
                <w:rFonts w:hint="eastAsia" w:ascii="宋体" w:hAnsi="宋体" w:cs="宋体"/>
                <w:color w:val="auto"/>
                <w:sz w:val="24"/>
                <w:highlight w:val="none"/>
              </w:rPr>
              <w:t>运营商机房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7"/>
              </w:numPr>
              <w:autoSpaceDE w:val="0"/>
              <w:autoSpaceDN w:val="0"/>
              <w:adjustRightInd w:val="0"/>
              <w:jc w:val="center"/>
              <w:rPr>
                <w:rFonts w:hint="eastAsia" w:ascii="宋体" w:hAnsi="宋体" w:cs="宋体"/>
                <w:color w:val="auto"/>
                <w:sz w:val="24"/>
                <w:highlight w:val="none"/>
              </w:rPr>
            </w:pPr>
          </w:p>
        </w:tc>
        <w:tc>
          <w:tcPr>
            <w:tcW w:w="1985" w:type="dxa"/>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核心交换机</w:t>
            </w:r>
          </w:p>
        </w:tc>
        <w:tc>
          <w:tcPr>
            <w:tcW w:w="4252" w:type="dxa"/>
            <w:noWrap w:val="0"/>
            <w:vAlign w:val="top"/>
          </w:tcPr>
          <w:p>
            <w:pPr>
              <w:autoSpaceDE w:val="0"/>
              <w:autoSpaceDN w:val="0"/>
              <w:adjustRightInd w:val="0"/>
              <w:jc w:val="left"/>
              <w:rPr>
                <w:rFonts w:hint="eastAsia" w:ascii="宋体" w:hAnsi="宋体" w:cs="宋体"/>
                <w:color w:val="auto"/>
                <w:sz w:val="24"/>
                <w:highlight w:val="none"/>
              </w:rPr>
            </w:pPr>
            <w:r>
              <w:rPr>
                <w:rFonts w:hint="eastAsia" w:ascii="宋体" w:hAnsi="宋体" w:cs="宋体"/>
                <w:color w:val="auto"/>
                <w:sz w:val="24"/>
                <w:highlight w:val="none"/>
              </w:rPr>
              <w:t>详见“核心交换机参数指标”</w:t>
            </w:r>
          </w:p>
        </w:tc>
        <w:tc>
          <w:tcPr>
            <w:tcW w:w="1134" w:type="dxa"/>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2台</w:t>
            </w:r>
          </w:p>
        </w:tc>
        <w:tc>
          <w:tcPr>
            <w:tcW w:w="1276" w:type="dxa"/>
            <w:noWrap w:val="0"/>
            <w:vAlign w:val="top"/>
          </w:tcPr>
          <w:p>
            <w:pPr>
              <w:autoSpaceDE w:val="0"/>
              <w:autoSpaceDN w:val="0"/>
              <w:adjustRightInd w:val="0"/>
              <w:rPr>
                <w:rFonts w:hint="eastAsia" w:ascii="宋体" w:hAnsi="宋体" w:cs="宋体"/>
                <w:color w:val="auto"/>
                <w:sz w:val="24"/>
                <w:highlight w:val="none"/>
              </w:rPr>
            </w:pPr>
            <w:r>
              <w:rPr>
                <w:rFonts w:hint="eastAsia" w:ascii="宋体" w:hAnsi="宋体" w:cs="宋体"/>
                <w:color w:val="auto"/>
                <w:sz w:val="24"/>
                <w:highlight w:val="none"/>
              </w:rPr>
              <w:t>运营商机房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7"/>
              </w:numPr>
              <w:autoSpaceDE w:val="0"/>
              <w:autoSpaceDN w:val="0"/>
              <w:adjustRightInd w:val="0"/>
              <w:jc w:val="center"/>
              <w:rPr>
                <w:rFonts w:hint="eastAsia" w:ascii="宋体" w:hAnsi="宋体" w:cs="宋体"/>
                <w:color w:val="auto"/>
                <w:sz w:val="24"/>
                <w:highlight w:val="none"/>
              </w:rPr>
            </w:pPr>
          </w:p>
        </w:tc>
        <w:tc>
          <w:tcPr>
            <w:tcW w:w="1985" w:type="dxa"/>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汇聚交换机</w:t>
            </w:r>
          </w:p>
        </w:tc>
        <w:tc>
          <w:tcPr>
            <w:tcW w:w="4252" w:type="dxa"/>
            <w:noWrap w:val="0"/>
            <w:vAlign w:val="top"/>
          </w:tcPr>
          <w:p>
            <w:pPr>
              <w:autoSpaceDE w:val="0"/>
              <w:autoSpaceDN w:val="0"/>
              <w:adjustRightInd w:val="0"/>
              <w:jc w:val="left"/>
              <w:rPr>
                <w:rFonts w:hint="eastAsia" w:ascii="宋体" w:hAnsi="宋体" w:cs="宋体"/>
                <w:color w:val="auto"/>
                <w:sz w:val="24"/>
                <w:highlight w:val="none"/>
              </w:rPr>
            </w:pPr>
            <w:r>
              <w:rPr>
                <w:rFonts w:hint="eastAsia" w:ascii="宋体" w:hAnsi="宋体" w:cs="宋体"/>
                <w:color w:val="auto"/>
                <w:sz w:val="24"/>
                <w:highlight w:val="none"/>
              </w:rPr>
              <w:t>详见“汇聚交换机参数指标”，与核心交换机同一品牌</w:t>
            </w:r>
          </w:p>
        </w:tc>
        <w:tc>
          <w:tcPr>
            <w:tcW w:w="1134" w:type="dxa"/>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8台</w:t>
            </w:r>
          </w:p>
        </w:tc>
        <w:tc>
          <w:tcPr>
            <w:tcW w:w="1276" w:type="dxa"/>
            <w:noWrap w:val="0"/>
            <w:vAlign w:val="top"/>
          </w:tcPr>
          <w:p>
            <w:pPr>
              <w:autoSpaceDE w:val="0"/>
              <w:autoSpaceDN w:val="0"/>
              <w:adjustRightInd w:val="0"/>
              <w:rPr>
                <w:rFonts w:hint="eastAsia" w:ascii="宋体" w:hAnsi="宋体" w:cs="宋体"/>
                <w:color w:val="auto"/>
                <w:sz w:val="24"/>
                <w:highlight w:val="none"/>
              </w:rPr>
            </w:pPr>
            <w:r>
              <w:rPr>
                <w:rFonts w:hint="eastAsia" w:ascii="宋体" w:hAnsi="宋体" w:cs="宋体"/>
                <w:color w:val="auto"/>
                <w:sz w:val="24"/>
                <w:highlight w:val="none"/>
              </w:rPr>
              <w:t>运营商机房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7"/>
              </w:numPr>
              <w:autoSpaceDE w:val="0"/>
              <w:autoSpaceDN w:val="0"/>
              <w:adjustRightInd w:val="0"/>
              <w:jc w:val="center"/>
              <w:rPr>
                <w:rFonts w:hint="eastAsia" w:ascii="宋体" w:hAnsi="宋体" w:cs="宋体"/>
                <w:color w:val="auto"/>
                <w:sz w:val="24"/>
                <w:highlight w:val="none"/>
              </w:rPr>
            </w:pPr>
          </w:p>
        </w:tc>
        <w:tc>
          <w:tcPr>
            <w:tcW w:w="1985" w:type="dxa"/>
            <w:noWrap w:val="0"/>
            <w:vAlign w:val="center"/>
          </w:tcPr>
          <w:p>
            <w:pP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rPr>
              <w:t>学校出口交</w:t>
            </w:r>
            <w:r>
              <w:rPr>
                <w:rFonts w:hint="eastAsia" w:ascii="宋体" w:hAnsi="宋体" w:cs="宋体"/>
                <w:color w:val="auto"/>
                <w:kern w:val="0"/>
                <w:sz w:val="24"/>
                <w:highlight w:val="none"/>
              </w:rPr>
              <w:t>换机1</w:t>
            </w:r>
            <w:r>
              <w:rPr>
                <w:rFonts w:hint="eastAsia" w:ascii="宋体" w:hAnsi="宋体" w:cs="宋体"/>
                <w:color w:val="auto"/>
                <w:sz w:val="24"/>
                <w:highlight w:val="none"/>
              </w:rPr>
              <w:t xml:space="preserve"> </w:t>
            </w:r>
          </w:p>
        </w:tc>
        <w:tc>
          <w:tcPr>
            <w:tcW w:w="4252" w:type="dxa"/>
            <w:noWrap w:val="0"/>
            <w:vAlign w:val="top"/>
          </w:tcPr>
          <w:p>
            <w:pPr>
              <w:widowControl/>
              <w:jc w:val="left"/>
              <w:rPr>
                <w:rFonts w:hint="eastAsia" w:ascii="宋体" w:hAnsi="宋体" w:cs="宋体"/>
                <w:color w:val="auto"/>
                <w:sz w:val="24"/>
                <w:highlight w:val="none"/>
              </w:rPr>
            </w:pPr>
            <w:r>
              <w:rPr>
                <w:rFonts w:hint="eastAsia" w:ascii="宋体" w:hAnsi="宋体" w:cs="宋体"/>
                <w:color w:val="auto"/>
                <w:sz w:val="24"/>
                <w:highlight w:val="none"/>
              </w:rPr>
              <w:t>详见“学校出口交</w:t>
            </w:r>
            <w:r>
              <w:rPr>
                <w:rFonts w:hint="eastAsia" w:ascii="宋体" w:hAnsi="宋体" w:cs="宋体"/>
                <w:color w:val="auto"/>
                <w:kern w:val="0"/>
                <w:sz w:val="24"/>
                <w:highlight w:val="none"/>
              </w:rPr>
              <w:t>换机1</w:t>
            </w:r>
            <w:r>
              <w:rPr>
                <w:rFonts w:hint="eastAsia" w:ascii="宋体" w:hAnsi="宋体" w:cs="宋体"/>
                <w:color w:val="auto"/>
                <w:sz w:val="24"/>
                <w:highlight w:val="none"/>
              </w:rPr>
              <w:t>参数指标”，与核心交换机同一品牌</w:t>
            </w:r>
          </w:p>
        </w:tc>
        <w:tc>
          <w:tcPr>
            <w:tcW w:w="1134" w:type="dxa"/>
            <w:noWrap w:val="0"/>
            <w:vAlign w:val="center"/>
          </w:tcPr>
          <w:p>
            <w:pPr>
              <w:widowControl/>
              <w:jc w:val="center"/>
              <w:rPr>
                <w:rFonts w:hint="eastAsia" w:ascii="宋体" w:hAnsi="宋体" w:cs="宋体"/>
                <w:color w:val="auto"/>
                <w:sz w:val="24"/>
                <w:highlight w:val="none"/>
              </w:rPr>
            </w:pPr>
            <w:r>
              <w:rPr>
                <w:rFonts w:hint="eastAsia" w:ascii="宋体" w:hAnsi="宋体" w:cs="宋体"/>
                <w:color w:val="auto"/>
                <w:sz w:val="24"/>
                <w:highlight w:val="none"/>
              </w:rPr>
              <w:t>30台</w:t>
            </w:r>
          </w:p>
        </w:tc>
        <w:tc>
          <w:tcPr>
            <w:tcW w:w="1276" w:type="dxa"/>
            <w:noWrap w:val="0"/>
            <w:vAlign w:val="top"/>
          </w:tcPr>
          <w:p>
            <w:pPr>
              <w:widowControl/>
              <w:jc w:val="left"/>
              <w:rPr>
                <w:rFonts w:hint="eastAsia" w:ascii="宋体" w:hAnsi="宋体" w:cs="宋体"/>
                <w:color w:val="auto"/>
                <w:sz w:val="24"/>
                <w:highlight w:val="none"/>
              </w:rPr>
            </w:pPr>
            <w:r>
              <w:rPr>
                <w:rFonts w:hint="eastAsia" w:ascii="宋体" w:hAnsi="宋体" w:cs="宋体"/>
                <w:color w:val="auto"/>
                <w:sz w:val="24"/>
                <w:highlight w:val="none"/>
              </w:rPr>
              <w:t>学校处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7"/>
              </w:numPr>
              <w:autoSpaceDE w:val="0"/>
              <w:autoSpaceDN w:val="0"/>
              <w:adjustRightInd w:val="0"/>
              <w:rPr>
                <w:rFonts w:hint="eastAsia" w:ascii="宋体" w:hAnsi="宋体" w:cs="宋体"/>
                <w:color w:val="auto"/>
                <w:sz w:val="24"/>
                <w:highlight w:val="none"/>
              </w:rPr>
            </w:pPr>
          </w:p>
        </w:tc>
        <w:tc>
          <w:tcPr>
            <w:tcW w:w="1985" w:type="dxa"/>
            <w:noWrap w:val="0"/>
            <w:vAlign w:val="center"/>
          </w:tcPr>
          <w:p>
            <w:pPr>
              <w:widowControl/>
              <w:jc w:val="center"/>
              <w:rPr>
                <w:rFonts w:hint="eastAsia" w:ascii="宋体" w:hAnsi="宋体" w:cs="宋体"/>
                <w:color w:val="auto"/>
                <w:sz w:val="24"/>
                <w:highlight w:val="none"/>
              </w:rPr>
            </w:pPr>
            <w:r>
              <w:rPr>
                <w:rFonts w:hint="eastAsia" w:ascii="宋体" w:hAnsi="宋体" w:cs="宋体"/>
                <w:color w:val="auto"/>
                <w:sz w:val="24"/>
                <w:highlight w:val="none"/>
              </w:rPr>
              <w:t xml:space="preserve">学校出口交换机2 </w:t>
            </w:r>
          </w:p>
        </w:tc>
        <w:tc>
          <w:tcPr>
            <w:tcW w:w="4252" w:type="dxa"/>
            <w:noWrap w:val="0"/>
            <w:vAlign w:val="top"/>
          </w:tcPr>
          <w:p>
            <w:pPr>
              <w:widowControl/>
              <w:jc w:val="left"/>
              <w:rPr>
                <w:rFonts w:hint="eastAsia" w:ascii="宋体" w:hAnsi="宋体" w:cs="宋体"/>
                <w:color w:val="auto"/>
                <w:sz w:val="24"/>
                <w:highlight w:val="none"/>
              </w:rPr>
            </w:pPr>
            <w:r>
              <w:rPr>
                <w:rFonts w:hint="eastAsia" w:ascii="宋体" w:hAnsi="宋体" w:cs="宋体"/>
                <w:color w:val="auto"/>
                <w:sz w:val="24"/>
                <w:highlight w:val="none"/>
              </w:rPr>
              <w:t>详见“学校出口交</w:t>
            </w:r>
            <w:r>
              <w:rPr>
                <w:rFonts w:hint="eastAsia" w:ascii="宋体" w:hAnsi="宋体" w:cs="宋体"/>
                <w:color w:val="auto"/>
                <w:kern w:val="0"/>
                <w:sz w:val="24"/>
                <w:highlight w:val="none"/>
              </w:rPr>
              <w:t>换机2</w:t>
            </w:r>
            <w:r>
              <w:rPr>
                <w:rFonts w:hint="eastAsia" w:ascii="宋体" w:hAnsi="宋体" w:cs="宋体"/>
                <w:color w:val="auto"/>
                <w:sz w:val="24"/>
                <w:highlight w:val="none"/>
              </w:rPr>
              <w:t>参数指标”，与核心交换机同一品牌</w:t>
            </w:r>
          </w:p>
        </w:tc>
        <w:tc>
          <w:tcPr>
            <w:tcW w:w="1134" w:type="dxa"/>
            <w:noWrap w:val="0"/>
            <w:vAlign w:val="center"/>
          </w:tcPr>
          <w:p>
            <w:pPr>
              <w:widowControl/>
              <w:jc w:val="center"/>
              <w:rPr>
                <w:rFonts w:hint="eastAsia" w:ascii="宋体" w:hAnsi="宋体" w:cs="宋体"/>
                <w:color w:val="auto"/>
                <w:sz w:val="24"/>
                <w:highlight w:val="none"/>
              </w:rPr>
            </w:pPr>
            <w:r>
              <w:rPr>
                <w:rFonts w:hint="eastAsia" w:ascii="宋体" w:hAnsi="宋体" w:cs="宋体"/>
                <w:color w:val="auto"/>
                <w:sz w:val="24"/>
                <w:highlight w:val="none"/>
              </w:rPr>
              <w:t>50台</w:t>
            </w:r>
          </w:p>
        </w:tc>
        <w:tc>
          <w:tcPr>
            <w:tcW w:w="1276" w:type="dxa"/>
            <w:noWrap w:val="0"/>
            <w:vAlign w:val="top"/>
          </w:tcPr>
          <w:p>
            <w:pPr>
              <w:widowControl/>
              <w:jc w:val="left"/>
              <w:rPr>
                <w:rFonts w:hint="eastAsia" w:ascii="宋体" w:hAnsi="宋体" w:cs="宋体"/>
                <w:color w:val="auto"/>
                <w:sz w:val="24"/>
                <w:highlight w:val="none"/>
              </w:rPr>
            </w:pPr>
            <w:r>
              <w:rPr>
                <w:rFonts w:hint="eastAsia" w:ascii="宋体" w:hAnsi="宋体" w:cs="宋体"/>
                <w:color w:val="auto"/>
                <w:sz w:val="24"/>
                <w:highlight w:val="none"/>
              </w:rPr>
              <w:t>学校处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7"/>
              </w:numPr>
              <w:autoSpaceDE w:val="0"/>
              <w:autoSpaceDN w:val="0"/>
              <w:adjustRightInd w:val="0"/>
              <w:rPr>
                <w:rFonts w:hint="eastAsia" w:ascii="宋体" w:hAnsi="宋体" w:cs="宋体"/>
                <w:color w:val="auto"/>
                <w:sz w:val="24"/>
                <w:highlight w:val="none"/>
              </w:rPr>
            </w:pPr>
          </w:p>
        </w:tc>
        <w:tc>
          <w:tcPr>
            <w:tcW w:w="1985" w:type="dxa"/>
            <w:noWrap w:val="0"/>
            <w:vAlign w:val="center"/>
          </w:tcPr>
          <w:p>
            <w:pPr>
              <w:widowControl/>
              <w:jc w:val="center"/>
              <w:rPr>
                <w:rFonts w:hint="eastAsia" w:ascii="宋体" w:hAnsi="宋体" w:cs="宋体"/>
                <w:color w:val="auto"/>
                <w:sz w:val="24"/>
                <w:highlight w:val="none"/>
              </w:rPr>
            </w:pPr>
            <w:r>
              <w:rPr>
                <w:rFonts w:hint="eastAsia" w:ascii="宋体" w:hAnsi="宋体" w:cs="宋体"/>
                <w:color w:val="auto"/>
                <w:sz w:val="24"/>
                <w:highlight w:val="none"/>
              </w:rPr>
              <w:t>学校出口交换机3</w:t>
            </w:r>
          </w:p>
        </w:tc>
        <w:tc>
          <w:tcPr>
            <w:tcW w:w="4252" w:type="dxa"/>
            <w:noWrap w:val="0"/>
            <w:vAlign w:val="top"/>
          </w:tcPr>
          <w:p>
            <w:pPr>
              <w:widowControl/>
              <w:jc w:val="left"/>
              <w:rPr>
                <w:rFonts w:hint="eastAsia" w:ascii="宋体" w:hAnsi="宋体" w:cs="宋体"/>
                <w:color w:val="auto"/>
                <w:sz w:val="24"/>
                <w:highlight w:val="none"/>
              </w:rPr>
            </w:pPr>
            <w:r>
              <w:rPr>
                <w:rFonts w:hint="eastAsia" w:ascii="宋体" w:hAnsi="宋体" w:cs="宋体"/>
                <w:color w:val="auto"/>
                <w:sz w:val="24"/>
                <w:highlight w:val="none"/>
              </w:rPr>
              <w:t>详见“学校出口交</w:t>
            </w:r>
            <w:r>
              <w:rPr>
                <w:rFonts w:hint="eastAsia" w:ascii="宋体" w:hAnsi="宋体" w:cs="宋体"/>
                <w:color w:val="auto"/>
                <w:kern w:val="0"/>
                <w:sz w:val="24"/>
                <w:highlight w:val="none"/>
              </w:rPr>
              <w:t>换机3</w:t>
            </w:r>
            <w:r>
              <w:rPr>
                <w:rFonts w:hint="eastAsia" w:ascii="宋体" w:hAnsi="宋体" w:cs="宋体"/>
                <w:color w:val="auto"/>
                <w:sz w:val="24"/>
                <w:highlight w:val="none"/>
              </w:rPr>
              <w:t>参数指标”，与核心交换机同一品牌</w:t>
            </w:r>
          </w:p>
        </w:tc>
        <w:tc>
          <w:tcPr>
            <w:tcW w:w="1134" w:type="dxa"/>
            <w:noWrap w:val="0"/>
            <w:vAlign w:val="center"/>
          </w:tcPr>
          <w:p>
            <w:pPr>
              <w:widowControl/>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台</w:t>
            </w:r>
          </w:p>
        </w:tc>
        <w:tc>
          <w:tcPr>
            <w:tcW w:w="1276" w:type="dxa"/>
            <w:noWrap w:val="0"/>
            <w:vAlign w:val="top"/>
          </w:tcPr>
          <w:p>
            <w:pPr>
              <w:widowControl/>
              <w:jc w:val="left"/>
              <w:rPr>
                <w:rFonts w:hint="eastAsia" w:ascii="宋体" w:hAnsi="宋体" w:cs="宋体"/>
                <w:color w:val="auto"/>
                <w:sz w:val="24"/>
                <w:highlight w:val="none"/>
              </w:rPr>
            </w:pPr>
            <w:r>
              <w:rPr>
                <w:rFonts w:hint="eastAsia" w:ascii="宋体" w:hAnsi="宋体" w:cs="宋体"/>
                <w:color w:val="auto"/>
                <w:sz w:val="24"/>
                <w:highlight w:val="none"/>
              </w:rPr>
              <w:t>学校处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7"/>
              </w:numPr>
              <w:autoSpaceDE w:val="0"/>
              <w:autoSpaceDN w:val="0"/>
              <w:adjustRightInd w:val="0"/>
              <w:rPr>
                <w:rFonts w:hint="eastAsia" w:ascii="宋体" w:hAnsi="宋体" w:cs="宋体"/>
                <w:color w:val="auto"/>
                <w:sz w:val="24"/>
                <w:highlight w:val="none"/>
              </w:rPr>
            </w:pPr>
          </w:p>
        </w:tc>
        <w:tc>
          <w:tcPr>
            <w:tcW w:w="1985" w:type="dxa"/>
            <w:noWrap w:val="0"/>
            <w:vAlign w:val="center"/>
          </w:tcPr>
          <w:p>
            <w:pPr>
              <w:widowControl/>
              <w:jc w:val="center"/>
              <w:rPr>
                <w:rFonts w:hint="eastAsia" w:ascii="宋体" w:hAnsi="宋体" w:cs="宋体"/>
                <w:color w:val="auto"/>
                <w:sz w:val="24"/>
                <w:highlight w:val="none"/>
              </w:rPr>
            </w:pPr>
            <w:r>
              <w:rPr>
                <w:rFonts w:hint="eastAsia" w:ascii="宋体" w:hAnsi="宋体" w:cs="宋体"/>
                <w:color w:val="auto"/>
                <w:sz w:val="24"/>
                <w:highlight w:val="none"/>
              </w:rPr>
              <w:t>万兆光模块</w:t>
            </w:r>
          </w:p>
        </w:tc>
        <w:tc>
          <w:tcPr>
            <w:tcW w:w="4252" w:type="dxa"/>
            <w:noWrap w:val="0"/>
            <w:vAlign w:val="top"/>
          </w:tcPr>
          <w:p>
            <w:pPr>
              <w:widowControl/>
              <w:jc w:val="left"/>
              <w:rPr>
                <w:rFonts w:hint="eastAsia" w:ascii="宋体" w:hAnsi="宋体" w:cs="宋体"/>
                <w:color w:val="auto"/>
                <w:sz w:val="24"/>
                <w:highlight w:val="none"/>
              </w:rPr>
            </w:pPr>
            <w:r>
              <w:rPr>
                <w:rFonts w:hint="eastAsia" w:ascii="宋体" w:hAnsi="宋体" w:cs="宋体"/>
                <w:color w:val="auto"/>
                <w:sz w:val="24"/>
                <w:highlight w:val="none"/>
              </w:rPr>
              <w:t>满足项目互联到校且有冗余，具体模块（10km/40km）按实际配置需要，与核心交换机同一品牌</w:t>
            </w:r>
          </w:p>
        </w:tc>
        <w:tc>
          <w:tcPr>
            <w:tcW w:w="1134" w:type="dxa"/>
            <w:noWrap w:val="0"/>
            <w:vAlign w:val="center"/>
          </w:tcPr>
          <w:p>
            <w:pPr>
              <w:widowControl/>
              <w:jc w:val="center"/>
              <w:rPr>
                <w:rFonts w:hint="eastAsia" w:ascii="宋体" w:hAnsi="宋体" w:cs="宋体"/>
                <w:color w:val="auto"/>
                <w:sz w:val="24"/>
                <w:highlight w:val="none"/>
              </w:rPr>
            </w:pPr>
            <w:r>
              <w:rPr>
                <w:rFonts w:hint="eastAsia" w:ascii="宋体" w:hAnsi="宋体" w:cs="宋体"/>
                <w:color w:val="auto"/>
                <w:sz w:val="24"/>
                <w:highlight w:val="none"/>
              </w:rPr>
              <w:t>1批</w:t>
            </w:r>
          </w:p>
        </w:tc>
        <w:tc>
          <w:tcPr>
            <w:tcW w:w="1276" w:type="dxa"/>
            <w:noWrap w:val="0"/>
            <w:vAlign w:val="top"/>
          </w:tcPr>
          <w:p>
            <w:pPr>
              <w:widowControl/>
              <w:ind w:firstLine="480" w:firstLineChars="20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7"/>
              </w:numPr>
              <w:autoSpaceDE w:val="0"/>
              <w:autoSpaceDN w:val="0"/>
              <w:adjustRightInd w:val="0"/>
              <w:rPr>
                <w:rFonts w:hint="eastAsia" w:ascii="宋体" w:hAnsi="宋体" w:cs="宋体"/>
                <w:color w:val="auto"/>
                <w:sz w:val="24"/>
                <w:highlight w:val="none"/>
              </w:rPr>
            </w:pPr>
          </w:p>
        </w:tc>
        <w:tc>
          <w:tcPr>
            <w:tcW w:w="1985" w:type="dxa"/>
            <w:noWrap w:val="0"/>
            <w:vAlign w:val="center"/>
          </w:tcPr>
          <w:p>
            <w:pPr>
              <w:widowControl/>
              <w:jc w:val="center"/>
              <w:rPr>
                <w:rFonts w:hint="eastAsia" w:ascii="宋体" w:hAnsi="宋体" w:cs="宋体"/>
                <w:color w:val="auto"/>
                <w:sz w:val="24"/>
                <w:highlight w:val="none"/>
              </w:rPr>
            </w:pPr>
            <w:r>
              <w:rPr>
                <w:rFonts w:hint="eastAsia" w:ascii="宋体" w:hAnsi="宋体" w:cs="宋体"/>
                <w:b/>
                <w:color w:val="auto"/>
                <w:sz w:val="24"/>
                <w:highlight w:val="none"/>
              </w:rPr>
              <w:t>万兆光纤链路</w:t>
            </w:r>
          </w:p>
        </w:tc>
        <w:tc>
          <w:tcPr>
            <w:tcW w:w="4252" w:type="dxa"/>
            <w:noWrap w:val="0"/>
            <w:vAlign w:val="center"/>
          </w:tcPr>
          <w:p>
            <w:pPr>
              <w:widowControl/>
              <w:jc w:val="left"/>
              <w:rPr>
                <w:rFonts w:hint="eastAsia" w:ascii="宋体" w:hAnsi="宋体" w:cs="宋体"/>
                <w:color w:val="auto"/>
                <w:sz w:val="24"/>
                <w:highlight w:val="none"/>
              </w:rPr>
            </w:pPr>
            <w:r>
              <w:rPr>
                <w:rFonts w:hint="eastAsia" w:ascii="宋体" w:hAnsi="宋体" w:cs="宋体"/>
                <w:color w:val="auto"/>
                <w:sz w:val="24"/>
                <w:highlight w:val="none"/>
              </w:rPr>
              <w:t>万兆裸光纤链路物理专网学校接入汇聚层，包含两端万兆光模块</w:t>
            </w:r>
          </w:p>
        </w:tc>
        <w:tc>
          <w:tcPr>
            <w:tcW w:w="1134" w:type="dxa"/>
            <w:noWrap w:val="0"/>
            <w:vAlign w:val="center"/>
          </w:tcPr>
          <w:p>
            <w:pPr>
              <w:widowControl/>
              <w:jc w:val="center"/>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0条</w:t>
            </w:r>
          </w:p>
        </w:tc>
        <w:tc>
          <w:tcPr>
            <w:tcW w:w="1276" w:type="dxa"/>
            <w:noWrap w:val="0"/>
            <w:vAlign w:val="top"/>
          </w:tcPr>
          <w:p>
            <w:pPr>
              <w:widowControl/>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含10条冗余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7"/>
              </w:numPr>
              <w:autoSpaceDE w:val="0"/>
              <w:autoSpaceDN w:val="0"/>
              <w:adjustRightInd w:val="0"/>
              <w:rPr>
                <w:rFonts w:hint="eastAsia" w:ascii="宋体" w:hAnsi="宋体" w:cs="宋体"/>
                <w:color w:val="auto"/>
                <w:sz w:val="24"/>
                <w:highlight w:val="none"/>
              </w:rPr>
            </w:pPr>
          </w:p>
        </w:tc>
        <w:tc>
          <w:tcPr>
            <w:tcW w:w="1985" w:type="dxa"/>
            <w:noWrap w:val="0"/>
            <w:vAlign w:val="center"/>
          </w:tcPr>
          <w:p>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利旧设备维护</w:t>
            </w:r>
          </w:p>
        </w:tc>
        <w:tc>
          <w:tcPr>
            <w:tcW w:w="4252" w:type="dxa"/>
            <w:noWrap w:val="0"/>
            <w:vAlign w:val="center"/>
          </w:tcPr>
          <w:p>
            <w:pPr>
              <w:widowControl/>
              <w:jc w:val="left"/>
              <w:rPr>
                <w:rFonts w:hint="eastAsia" w:ascii="宋体" w:hAnsi="宋体" w:cs="宋体"/>
                <w:color w:val="auto"/>
                <w:sz w:val="24"/>
                <w:highlight w:val="none"/>
              </w:rPr>
            </w:pPr>
            <w:r>
              <w:rPr>
                <w:rFonts w:hint="eastAsia" w:ascii="宋体" w:hAnsi="宋体" w:cs="宋体"/>
                <w:color w:val="auto"/>
                <w:sz w:val="24"/>
                <w:highlight w:val="none"/>
              </w:rPr>
              <w:t>原防火墙、UPS等原教育城域网设备维护服务费（若原设备不能满足使用，须提供不低于原设备技术参数要求</w:t>
            </w:r>
            <w:r>
              <w:rPr>
                <w:rFonts w:hint="eastAsia" w:ascii="宋体" w:hAnsi="宋体" w:cs="宋体"/>
                <w:color w:val="auto"/>
                <w:sz w:val="24"/>
                <w:highlight w:val="none"/>
                <w:lang w:val="en-US" w:eastAsia="zh-CN"/>
              </w:rPr>
              <w:t>且满足万兆需求</w:t>
            </w:r>
            <w:r>
              <w:rPr>
                <w:rFonts w:hint="eastAsia" w:ascii="宋体" w:hAnsi="宋体" w:cs="宋体"/>
                <w:color w:val="auto"/>
                <w:sz w:val="24"/>
                <w:highlight w:val="none"/>
              </w:rPr>
              <w:t>的设备），机柜搬迁及运维费。</w:t>
            </w:r>
          </w:p>
        </w:tc>
        <w:tc>
          <w:tcPr>
            <w:tcW w:w="1134" w:type="dxa"/>
            <w:noWrap w:val="0"/>
            <w:vAlign w:val="center"/>
          </w:tcPr>
          <w:p>
            <w:pPr>
              <w:widowControl/>
              <w:jc w:val="center"/>
              <w:rPr>
                <w:rFonts w:hint="eastAsia" w:ascii="宋体" w:hAnsi="宋体" w:cs="宋体"/>
                <w:color w:val="auto"/>
                <w:sz w:val="24"/>
                <w:highlight w:val="none"/>
              </w:rPr>
            </w:pPr>
            <w:r>
              <w:rPr>
                <w:rFonts w:hint="eastAsia" w:ascii="宋体" w:hAnsi="宋体" w:cs="宋体"/>
                <w:color w:val="auto"/>
                <w:sz w:val="24"/>
                <w:highlight w:val="none"/>
              </w:rPr>
              <w:t>1项</w:t>
            </w:r>
          </w:p>
        </w:tc>
        <w:tc>
          <w:tcPr>
            <w:tcW w:w="1276" w:type="dxa"/>
            <w:noWrap w:val="0"/>
            <w:vAlign w:val="top"/>
          </w:tcPr>
          <w:p>
            <w:pPr>
              <w:widowControl/>
              <w:ind w:firstLine="480" w:firstLineChars="20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7"/>
              </w:numPr>
              <w:autoSpaceDE w:val="0"/>
              <w:autoSpaceDN w:val="0"/>
              <w:adjustRightInd w:val="0"/>
              <w:rPr>
                <w:rFonts w:hint="eastAsia" w:ascii="宋体" w:hAnsi="宋体" w:cs="宋体"/>
                <w:color w:val="auto"/>
                <w:sz w:val="24"/>
                <w:highlight w:val="none"/>
              </w:rPr>
            </w:pPr>
          </w:p>
        </w:tc>
        <w:tc>
          <w:tcPr>
            <w:tcW w:w="1985" w:type="dxa"/>
            <w:noWrap w:val="0"/>
            <w:vAlign w:val="center"/>
          </w:tcPr>
          <w:p>
            <w:pPr>
              <w:widowControl/>
              <w:jc w:val="center"/>
              <w:rPr>
                <w:rFonts w:hint="eastAsia" w:ascii="宋体" w:hAnsi="宋体" w:cs="宋体"/>
                <w:b/>
                <w:color w:val="auto"/>
                <w:sz w:val="24"/>
                <w:highlight w:val="none"/>
              </w:rPr>
            </w:pPr>
            <w:r>
              <w:rPr>
                <w:rFonts w:hint="eastAsia" w:ascii="宋体" w:hAnsi="宋体" w:cs="宋体"/>
                <w:bCs/>
                <w:color w:val="auto"/>
                <w:sz w:val="24"/>
                <w:highlight w:val="none"/>
              </w:rPr>
              <w:t>教育城域网互联网出口</w:t>
            </w:r>
          </w:p>
        </w:tc>
        <w:tc>
          <w:tcPr>
            <w:tcW w:w="4252" w:type="dxa"/>
            <w:noWrap w:val="0"/>
            <w:vAlign w:val="center"/>
          </w:tcPr>
          <w:p>
            <w:pPr>
              <w:widowControl/>
              <w:jc w:val="left"/>
              <w:rPr>
                <w:rFonts w:hint="eastAsia" w:ascii="宋体" w:hAnsi="宋体" w:cs="宋体"/>
                <w:color w:val="auto"/>
                <w:sz w:val="24"/>
                <w:highlight w:val="none"/>
              </w:rPr>
            </w:pPr>
            <w:r>
              <w:rPr>
                <w:rFonts w:hint="eastAsia" w:ascii="宋体" w:hAnsi="宋体" w:cs="宋体"/>
                <w:color w:val="auto"/>
                <w:sz w:val="24"/>
                <w:highlight w:val="none"/>
              </w:rPr>
              <w:t>提供不少2G的</w:t>
            </w:r>
            <w:r>
              <w:rPr>
                <w:rFonts w:hint="eastAsia" w:ascii="宋体" w:hAnsi="宋体" w:cs="宋体"/>
                <w:bCs/>
                <w:color w:val="auto"/>
                <w:sz w:val="24"/>
                <w:highlight w:val="none"/>
              </w:rPr>
              <w:t>教育城域网互联网出口链路及</w:t>
            </w:r>
            <w:r>
              <w:rPr>
                <w:rFonts w:hint="eastAsia" w:ascii="宋体" w:hAnsi="宋体" w:cs="宋体"/>
                <w:color w:val="auto"/>
                <w:sz w:val="24"/>
                <w:highlight w:val="none"/>
              </w:rPr>
              <w:t>128个公网IP</w:t>
            </w:r>
          </w:p>
        </w:tc>
        <w:tc>
          <w:tcPr>
            <w:tcW w:w="1134" w:type="dxa"/>
            <w:noWrap w:val="0"/>
            <w:vAlign w:val="center"/>
          </w:tcPr>
          <w:p>
            <w:pPr>
              <w:widowControl/>
              <w:jc w:val="center"/>
              <w:rPr>
                <w:rFonts w:hint="eastAsia" w:ascii="宋体" w:hAnsi="宋体" w:cs="宋体"/>
                <w:color w:val="auto"/>
                <w:sz w:val="24"/>
                <w:highlight w:val="none"/>
              </w:rPr>
            </w:pPr>
            <w:r>
              <w:rPr>
                <w:rFonts w:hint="eastAsia" w:ascii="宋体" w:hAnsi="宋体" w:cs="宋体"/>
                <w:color w:val="auto"/>
                <w:sz w:val="24"/>
                <w:highlight w:val="none"/>
              </w:rPr>
              <w:t>1项</w:t>
            </w:r>
          </w:p>
        </w:tc>
        <w:tc>
          <w:tcPr>
            <w:tcW w:w="1276" w:type="dxa"/>
            <w:noWrap w:val="0"/>
            <w:vAlign w:val="top"/>
          </w:tcPr>
          <w:p>
            <w:pPr>
              <w:widowControl/>
              <w:ind w:firstLine="480" w:firstLineChars="20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0" w:type="dxa"/>
            <w:gridSpan w:val="4"/>
            <w:noWrap w:val="0"/>
            <w:vAlign w:val="center"/>
          </w:tcPr>
          <w:p>
            <w:pPr>
              <w:widowControl/>
              <w:rPr>
                <w:rFonts w:hint="eastAsia" w:ascii="宋体" w:hAnsi="宋体" w:cs="宋体"/>
                <w:color w:val="auto"/>
                <w:sz w:val="24"/>
                <w:highlight w:val="none"/>
              </w:rPr>
            </w:pPr>
            <w:r>
              <w:rPr>
                <w:rFonts w:hint="eastAsia" w:ascii="宋体" w:hAnsi="宋体" w:cs="宋体"/>
                <w:color w:val="auto"/>
                <w:sz w:val="24"/>
                <w:highlight w:val="none"/>
              </w:rPr>
              <w:t>▲以上所有产品均须支持IPv4/IPv6功能双栈运行，包含授权。</w:t>
            </w:r>
          </w:p>
        </w:tc>
        <w:tc>
          <w:tcPr>
            <w:tcW w:w="1276" w:type="dxa"/>
            <w:noWrap w:val="0"/>
            <w:vAlign w:val="top"/>
          </w:tcPr>
          <w:p>
            <w:pPr>
              <w:widowControl/>
              <w:ind w:firstLine="480" w:firstLineChars="200"/>
              <w:rPr>
                <w:rFonts w:hint="eastAsia" w:ascii="宋体" w:hAnsi="宋体" w:cs="宋体"/>
                <w:color w:val="auto"/>
                <w:sz w:val="24"/>
                <w:highlight w:val="none"/>
              </w:rPr>
            </w:pPr>
          </w:p>
        </w:tc>
      </w:tr>
    </w:tbl>
    <w:p>
      <w:pPr>
        <w:rPr>
          <w:rFonts w:hint="eastAsia" w:ascii="宋体" w:hAnsi="宋体" w:cs="宋体"/>
          <w:sz w:val="24"/>
        </w:rPr>
      </w:pPr>
    </w:p>
    <w:p>
      <w:pPr>
        <w:numPr>
          <w:ilvl w:val="2"/>
          <w:numId w:val="8"/>
        </w:numPr>
        <w:tabs>
          <w:tab w:val="left" w:pos="644"/>
        </w:tabs>
        <w:autoSpaceDE w:val="0"/>
        <w:autoSpaceDN w:val="0"/>
        <w:adjustRightInd w:val="0"/>
        <w:spacing w:line="360" w:lineRule="auto"/>
        <w:rPr>
          <w:rFonts w:hint="eastAsia" w:ascii="宋体" w:hAnsi="宋体" w:cs="宋体"/>
          <w:sz w:val="24"/>
        </w:rPr>
      </w:pPr>
      <w:r>
        <w:rPr>
          <w:rFonts w:hint="eastAsia" w:ascii="宋体" w:hAnsi="宋体" w:cs="宋体"/>
          <w:sz w:val="24"/>
        </w:rPr>
        <w:t>教育网络大数据平台参数指标</w:t>
      </w:r>
    </w:p>
    <w:tbl>
      <w:tblPr>
        <w:tblStyle w:val="42"/>
        <w:tblW w:w="10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559"/>
        <w:gridCol w:w="7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924" w:type="dxa"/>
            <w:gridSpan w:val="2"/>
            <w:shd w:val="clear" w:color="auto" w:fill="D9D9D9"/>
            <w:noWrap w:val="0"/>
            <w:vAlign w:val="center"/>
          </w:tcPr>
          <w:p>
            <w:pPr>
              <w:jc w:val="center"/>
              <w:rPr>
                <w:rFonts w:hint="eastAsia" w:ascii="宋体" w:hAnsi="宋体" w:cs="宋体"/>
                <w:b/>
                <w:bCs/>
                <w:sz w:val="24"/>
              </w:rPr>
            </w:pPr>
            <w:r>
              <w:rPr>
                <w:rFonts w:hint="eastAsia" w:ascii="宋体" w:hAnsi="宋体" w:cs="宋体"/>
                <w:b/>
                <w:bCs/>
                <w:sz w:val="24"/>
              </w:rPr>
              <w:t>指标项</w:t>
            </w:r>
          </w:p>
        </w:tc>
        <w:tc>
          <w:tcPr>
            <w:tcW w:w="7260" w:type="dxa"/>
            <w:shd w:val="clear" w:color="auto" w:fill="D9D9D9"/>
            <w:noWrap w:val="0"/>
            <w:vAlign w:val="center"/>
          </w:tcPr>
          <w:p>
            <w:pPr>
              <w:jc w:val="center"/>
              <w:rPr>
                <w:rFonts w:hint="eastAsia" w:ascii="宋体" w:hAnsi="宋体" w:cs="宋体"/>
                <w:b/>
                <w:bCs/>
                <w:sz w:val="24"/>
              </w:rPr>
            </w:pPr>
            <w:r>
              <w:rPr>
                <w:rFonts w:hint="eastAsia" w:ascii="宋体" w:hAnsi="宋体" w:cs="宋体"/>
                <w:b/>
                <w:bCs/>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restart"/>
            <w:noWrap w:val="0"/>
            <w:vAlign w:val="center"/>
          </w:tcPr>
          <w:p>
            <w:pPr>
              <w:jc w:val="center"/>
              <w:rPr>
                <w:rFonts w:hint="eastAsia" w:ascii="宋体" w:hAnsi="宋体" w:cs="宋体"/>
                <w:sz w:val="24"/>
              </w:rPr>
            </w:pPr>
            <w:r>
              <w:rPr>
                <w:rFonts w:hint="eastAsia" w:ascii="宋体" w:hAnsi="宋体" w:cs="宋体"/>
                <w:sz w:val="24"/>
              </w:rPr>
              <w:t>基本配置</w:t>
            </w:r>
          </w:p>
        </w:tc>
        <w:tc>
          <w:tcPr>
            <w:tcW w:w="1559" w:type="dxa"/>
            <w:noWrap w:val="0"/>
            <w:vAlign w:val="center"/>
          </w:tcPr>
          <w:p>
            <w:pPr>
              <w:jc w:val="center"/>
              <w:rPr>
                <w:rFonts w:hint="eastAsia" w:ascii="宋体" w:hAnsi="宋体" w:cs="宋体"/>
                <w:sz w:val="24"/>
              </w:rPr>
            </w:pPr>
            <w:r>
              <w:rPr>
                <w:rFonts w:hint="eastAsia" w:ascii="宋体" w:hAnsi="宋体" w:cs="宋体"/>
                <w:sz w:val="24"/>
              </w:rPr>
              <w:t>性能规格</w:t>
            </w:r>
          </w:p>
          <w:p>
            <w:pPr>
              <w:jc w:val="center"/>
              <w:rPr>
                <w:rFonts w:hint="eastAsia" w:ascii="宋体" w:hAnsi="宋体" w:cs="宋体"/>
                <w:sz w:val="24"/>
              </w:rPr>
            </w:pPr>
            <w:r>
              <w:rPr>
                <w:rFonts w:hint="eastAsia" w:ascii="宋体" w:hAnsi="宋体" w:cs="宋体"/>
                <w:sz w:val="24"/>
              </w:rPr>
              <w:t>（单台）</w:t>
            </w:r>
          </w:p>
        </w:tc>
        <w:tc>
          <w:tcPr>
            <w:tcW w:w="7260" w:type="dxa"/>
            <w:noWrap w:val="0"/>
            <w:vAlign w:val="top"/>
          </w:tcPr>
          <w:p>
            <w:pPr>
              <w:numPr>
                <w:ilvl w:val="0"/>
                <w:numId w:val="9"/>
              </w:numPr>
              <w:rPr>
                <w:rFonts w:hint="eastAsia" w:ascii="宋体" w:hAnsi="宋体" w:cs="宋体"/>
                <w:sz w:val="24"/>
              </w:rPr>
            </w:pPr>
            <w:r>
              <w:rPr>
                <w:rFonts w:hint="eastAsia" w:ascii="宋体" w:hAnsi="宋体" w:cs="宋体"/>
                <w:sz w:val="24"/>
              </w:rPr>
              <w:t>数据采集和处理性能≥10000EPS，每条数据大小&gt;1KB；</w:t>
            </w:r>
          </w:p>
          <w:p>
            <w:pPr>
              <w:numPr>
                <w:ilvl w:val="0"/>
                <w:numId w:val="9"/>
              </w:numPr>
              <w:rPr>
                <w:rFonts w:hint="eastAsia" w:ascii="宋体" w:hAnsi="宋体" w:cs="宋体"/>
                <w:sz w:val="24"/>
              </w:rPr>
            </w:pPr>
            <w:r>
              <w:rPr>
                <w:rFonts w:hint="eastAsia" w:ascii="宋体" w:hAnsi="宋体" w:cs="宋体"/>
                <w:sz w:val="24"/>
              </w:rPr>
              <w:t>10亿数据关键字查询结果响应时间&lt;2秒。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continue"/>
            <w:noWrap w:val="0"/>
            <w:vAlign w:val="center"/>
          </w:tcPr>
          <w:p>
            <w:pPr>
              <w:jc w:val="center"/>
              <w:rPr>
                <w:rFonts w:hint="eastAsia" w:ascii="宋体" w:hAnsi="宋体" w:cs="宋体"/>
                <w:sz w:val="24"/>
              </w:rPr>
            </w:pPr>
          </w:p>
        </w:tc>
        <w:tc>
          <w:tcPr>
            <w:tcW w:w="1559" w:type="dxa"/>
            <w:noWrap w:val="0"/>
            <w:vAlign w:val="center"/>
          </w:tcPr>
          <w:p>
            <w:pPr>
              <w:jc w:val="center"/>
              <w:rPr>
                <w:rFonts w:hint="eastAsia" w:ascii="宋体" w:hAnsi="宋体" w:cs="宋体"/>
                <w:sz w:val="24"/>
              </w:rPr>
            </w:pPr>
            <w:r>
              <w:rPr>
                <w:rFonts w:hint="eastAsia" w:ascii="宋体" w:hAnsi="宋体" w:cs="宋体"/>
                <w:sz w:val="24"/>
              </w:rPr>
              <w:t>数据接入</w:t>
            </w:r>
          </w:p>
        </w:tc>
        <w:tc>
          <w:tcPr>
            <w:tcW w:w="7260" w:type="dxa"/>
            <w:noWrap w:val="0"/>
            <w:vAlign w:val="top"/>
          </w:tcPr>
          <w:p>
            <w:pPr>
              <w:numPr>
                <w:ilvl w:val="0"/>
                <w:numId w:val="10"/>
              </w:numPr>
              <w:rPr>
                <w:rFonts w:hint="eastAsia" w:ascii="宋体" w:hAnsi="宋体" w:cs="宋体"/>
                <w:sz w:val="24"/>
              </w:rPr>
            </w:pPr>
            <w:r>
              <w:rPr>
                <w:rFonts w:hint="eastAsia" w:ascii="宋体" w:hAnsi="宋体" w:cs="宋体"/>
                <w:sz w:val="24"/>
              </w:rPr>
              <w:t>支持通过多种类型的安全、泛安全类数据接入采集，应包括但不限于设备日志数据、流量数据、弱点漏洞数据、系统性能数据、威胁情报数据、资产人员数据；</w:t>
            </w:r>
          </w:p>
          <w:p>
            <w:pPr>
              <w:numPr>
                <w:ilvl w:val="0"/>
                <w:numId w:val="10"/>
              </w:numPr>
              <w:rPr>
                <w:rFonts w:hint="eastAsia" w:ascii="宋体" w:hAnsi="宋体" w:cs="宋体"/>
                <w:sz w:val="24"/>
              </w:rPr>
            </w:pPr>
            <w:r>
              <w:rPr>
                <w:rFonts w:hint="eastAsia" w:ascii="宋体" w:hAnsi="宋体" w:cs="宋体"/>
                <w:sz w:val="24"/>
              </w:rPr>
              <w:t>支持通过流量采集设备采集接入全流量数据，包含流量中的请求包和返回包等信息，并可在数据检索中体现包信息；</w:t>
            </w:r>
          </w:p>
          <w:p>
            <w:pPr>
              <w:numPr>
                <w:ilvl w:val="0"/>
                <w:numId w:val="10"/>
              </w:numPr>
              <w:rPr>
                <w:rFonts w:hint="eastAsia" w:ascii="宋体" w:hAnsi="宋体" w:cs="宋体"/>
                <w:sz w:val="24"/>
              </w:rPr>
            </w:pPr>
            <w:r>
              <w:rPr>
                <w:rFonts w:hint="eastAsia" w:ascii="宋体" w:hAnsi="宋体" w:cs="宋体"/>
                <w:sz w:val="24"/>
              </w:rPr>
              <w:t>支持接入文本格式、CVS等格式的文件数据，可通过模板文件的填写导入实现资产数据的导入和管理；</w:t>
            </w:r>
          </w:p>
          <w:p>
            <w:pPr>
              <w:numPr>
                <w:ilvl w:val="0"/>
                <w:numId w:val="10"/>
              </w:numPr>
              <w:rPr>
                <w:rFonts w:hint="eastAsia" w:ascii="宋体" w:hAnsi="宋体" w:cs="宋体"/>
                <w:sz w:val="24"/>
              </w:rPr>
            </w:pPr>
            <w:r>
              <w:rPr>
                <w:rFonts w:hint="eastAsia" w:ascii="宋体" w:hAnsi="宋体" w:cs="宋体"/>
                <w:sz w:val="24"/>
              </w:rPr>
              <w:t>支持通过云端对接、本地导入或手动编辑的方式，接入威胁情报数据。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restart"/>
            <w:noWrap w:val="0"/>
            <w:vAlign w:val="center"/>
          </w:tcPr>
          <w:p>
            <w:pPr>
              <w:jc w:val="center"/>
              <w:rPr>
                <w:rFonts w:hint="eastAsia" w:ascii="宋体" w:hAnsi="宋体" w:cs="宋体"/>
                <w:sz w:val="24"/>
              </w:rPr>
            </w:pPr>
            <w:r>
              <w:rPr>
                <w:rFonts w:hint="eastAsia" w:ascii="宋体" w:hAnsi="宋体" w:cs="宋体"/>
                <w:sz w:val="24"/>
              </w:rPr>
              <w:t>安全分析能力</w:t>
            </w:r>
          </w:p>
        </w:tc>
        <w:tc>
          <w:tcPr>
            <w:tcW w:w="1559" w:type="dxa"/>
            <w:noWrap w:val="0"/>
            <w:vAlign w:val="center"/>
          </w:tcPr>
          <w:p>
            <w:pPr>
              <w:jc w:val="center"/>
              <w:rPr>
                <w:rFonts w:hint="eastAsia" w:ascii="宋体" w:hAnsi="宋体" w:cs="宋体"/>
                <w:sz w:val="24"/>
              </w:rPr>
            </w:pPr>
            <w:r>
              <w:rPr>
                <w:rFonts w:hint="eastAsia" w:ascii="宋体" w:hAnsi="宋体" w:cs="宋体"/>
                <w:sz w:val="24"/>
              </w:rPr>
              <w:t>安全分析模型</w:t>
            </w:r>
          </w:p>
        </w:tc>
        <w:tc>
          <w:tcPr>
            <w:tcW w:w="7260" w:type="dxa"/>
            <w:noWrap w:val="0"/>
            <w:vAlign w:val="top"/>
          </w:tcPr>
          <w:p>
            <w:pPr>
              <w:numPr>
                <w:ilvl w:val="0"/>
                <w:numId w:val="11"/>
              </w:numPr>
              <w:rPr>
                <w:rStyle w:val="49"/>
                <w:rFonts w:hint="eastAsia" w:ascii="宋体" w:hAnsi="宋体" w:cs="宋体"/>
                <w:sz w:val="24"/>
              </w:rPr>
            </w:pPr>
            <w:r>
              <w:rPr>
                <w:rFonts w:hint="eastAsia" w:ascii="宋体" w:hAnsi="宋体" w:cs="宋体"/>
                <w:sz w:val="24"/>
              </w:rPr>
              <w:t>平台应内置包括规则模型、关联模型、统计模型、情报模型、离线模型等在内的≥5大类安全分析模型；</w:t>
            </w:r>
            <w:r>
              <w:rPr>
                <w:rStyle w:val="49"/>
                <w:rFonts w:hint="eastAsia" w:ascii="宋体" w:hAnsi="宋体" w:cs="宋体"/>
                <w:sz w:val="24"/>
              </w:rPr>
              <w:t xml:space="preserve"> </w:t>
            </w:r>
          </w:p>
          <w:p>
            <w:pPr>
              <w:numPr>
                <w:ilvl w:val="0"/>
                <w:numId w:val="11"/>
              </w:numPr>
              <w:rPr>
                <w:rFonts w:hint="eastAsia" w:ascii="宋体" w:hAnsi="宋体" w:cs="宋体"/>
                <w:sz w:val="24"/>
              </w:rPr>
            </w:pPr>
            <w:r>
              <w:rPr>
                <w:rFonts w:hint="eastAsia" w:ascii="宋体" w:hAnsi="宋体" w:cs="宋体"/>
                <w:sz w:val="24"/>
              </w:rPr>
              <w:t xml:space="preserve">安全分析模型支持自定义创建，可通过字段映射、静态值、模板、表达式等多种方式自由定义分析模型的告警名称、威胁等级、告警类型、攻击链、可选字段、告警描述、处置建议等内容；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continue"/>
            <w:noWrap w:val="0"/>
            <w:vAlign w:val="center"/>
          </w:tcPr>
          <w:p>
            <w:pPr>
              <w:jc w:val="center"/>
              <w:rPr>
                <w:rFonts w:hint="eastAsia" w:ascii="宋体" w:hAnsi="宋体" w:cs="宋体"/>
                <w:sz w:val="24"/>
              </w:rPr>
            </w:pPr>
          </w:p>
        </w:tc>
        <w:tc>
          <w:tcPr>
            <w:tcW w:w="1559" w:type="dxa"/>
            <w:noWrap w:val="0"/>
            <w:vAlign w:val="center"/>
          </w:tcPr>
          <w:p>
            <w:pPr>
              <w:jc w:val="center"/>
              <w:rPr>
                <w:rFonts w:hint="eastAsia" w:ascii="宋体" w:hAnsi="宋体" w:cs="宋体"/>
                <w:sz w:val="24"/>
              </w:rPr>
            </w:pPr>
            <w:r>
              <w:rPr>
                <w:rFonts w:hint="eastAsia" w:ascii="宋体" w:hAnsi="宋体" w:cs="宋体"/>
                <w:sz w:val="24"/>
              </w:rPr>
              <w:t>自动化响应编排</w:t>
            </w:r>
          </w:p>
        </w:tc>
        <w:tc>
          <w:tcPr>
            <w:tcW w:w="7260" w:type="dxa"/>
            <w:noWrap w:val="0"/>
            <w:vAlign w:val="top"/>
          </w:tcPr>
          <w:p>
            <w:pPr>
              <w:numPr>
                <w:ilvl w:val="0"/>
                <w:numId w:val="12"/>
              </w:numPr>
              <w:rPr>
                <w:rFonts w:hint="eastAsia" w:ascii="宋体" w:hAnsi="宋体" w:cs="宋体"/>
                <w:sz w:val="24"/>
              </w:rPr>
            </w:pPr>
            <w:r>
              <w:rPr>
                <w:rFonts w:hint="eastAsia" w:ascii="宋体" w:hAnsi="宋体" w:cs="宋体"/>
                <w:sz w:val="24"/>
              </w:rPr>
              <w:t>支持前端拖拽式交互设计安全风险分析研判策略和联动响应剧本，支持多种策略编排动作，包括但不限于数据源、分析组件、处置响应等，可自动判断策略编排是否合理并弹窗提示</w:t>
            </w:r>
            <w:r>
              <w:rPr>
                <w:rFonts w:hint="eastAsia" w:ascii="宋体" w:hAnsi="宋体" w:cs="宋体"/>
                <w:sz w:val="24"/>
              </w:rPr>
              <w:fldChar w:fldCharType="begin"/>
            </w:r>
            <w:r>
              <w:rPr>
                <w:rFonts w:hint="eastAsia" w:ascii="宋体" w:hAnsi="宋体" w:cs="宋体"/>
                <w:sz w:val="24"/>
              </w:rPr>
              <w:instrText xml:space="preserve"> HYPERLINK  \l "证明材料36" </w:instrText>
            </w:r>
            <w:r>
              <w:rPr>
                <w:rFonts w:hint="eastAsia" w:ascii="宋体" w:hAnsi="宋体" w:cs="宋体"/>
                <w:sz w:val="24"/>
              </w:rPr>
              <w:fldChar w:fldCharType="separate"/>
            </w:r>
          </w:p>
          <w:p>
            <w:pPr>
              <w:numPr>
                <w:ilvl w:val="0"/>
                <w:numId w:val="12"/>
              </w:numPr>
              <w:rPr>
                <w:rFonts w:hint="eastAsia" w:ascii="宋体" w:hAnsi="宋体" w:cs="宋体"/>
                <w:sz w:val="24"/>
              </w:rPr>
            </w:pPr>
            <w:r>
              <w:rPr>
                <w:rFonts w:hint="eastAsia" w:ascii="宋体" w:hAnsi="宋体" w:cs="宋体"/>
                <w:sz w:val="24"/>
              </w:rPr>
              <w:fldChar w:fldCharType="end"/>
            </w:r>
            <w:r>
              <w:rPr>
                <w:rFonts w:hint="eastAsia" w:ascii="宋体" w:hAnsi="宋体" w:cs="宋体"/>
                <w:sz w:val="24"/>
              </w:rPr>
              <w:t>支持通过任务看板查看自动响应任务的数量、状态、运行趋势；可查询并追踪每条自动化响应任务的运行阶段查看详细信息，任务执行过程中可加入安管人员控制环节，通过邮件、短信方式将告警和分析报告推送到对应用户。</w:t>
            </w:r>
          </w:p>
          <w:p>
            <w:pPr>
              <w:numPr>
                <w:ilvl w:val="0"/>
                <w:numId w:val="12"/>
              </w:numPr>
              <w:rPr>
                <w:rFonts w:hint="eastAsia" w:ascii="宋体" w:hAnsi="宋体" w:cs="宋体"/>
                <w:sz w:val="24"/>
              </w:rPr>
            </w:pPr>
            <w:r>
              <w:rPr>
                <w:rFonts w:hint="eastAsia" w:ascii="宋体" w:hAnsi="宋体" w:cs="宋体"/>
                <w:sz w:val="24"/>
              </w:rPr>
              <w:t xml:space="preserve">支持与不同品牌的网关类安全产品进行联动防护，防护策略支持设置每次阻断不同时长生效时间，时间设置包括10分钟，30分钟，6小时，24小时，72小时，永久阻断；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continue"/>
            <w:noWrap w:val="0"/>
            <w:vAlign w:val="center"/>
          </w:tcPr>
          <w:p>
            <w:pPr>
              <w:jc w:val="center"/>
              <w:rPr>
                <w:rFonts w:hint="eastAsia" w:ascii="宋体" w:hAnsi="宋体" w:cs="宋体"/>
                <w:sz w:val="24"/>
              </w:rPr>
            </w:pPr>
          </w:p>
        </w:tc>
        <w:tc>
          <w:tcPr>
            <w:tcW w:w="1559" w:type="dxa"/>
            <w:noWrap w:val="0"/>
            <w:vAlign w:val="center"/>
          </w:tcPr>
          <w:p>
            <w:pPr>
              <w:jc w:val="center"/>
              <w:rPr>
                <w:rFonts w:hint="eastAsia" w:ascii="宋体" w:hAnsi="宋体" w:cs="宋体"/>
                <w:sz w:val="24"/>
              </w:rPr>
            </w:pPr>
            <w:r>
              <w:rPr>
                <w:rFonts w:hint="eastAsia" w:ascii="宋体" w:hAnsi="宋体" w:cs="宋体"/>
                <w:sz w:val="24"/>
              </w:rPr>
              <w:t>AI高级分析</w:t>
            </w:r>
          </w:p>
        </w:tc>
        <w:tc>
          <w:tcPr>
            <w:tcW w:w="7260" w:type="dxa"/>
            <w:noWrap w:val="0"/>
            <w:vAlign w:val="top"/>
          </w:tcPr>
          <w:p>
            <w:pPr>
              <w:numPr>
                <w:ilvl w:val="0"/>
                <w:numId w:val="13"/>
              </w:numPr>
              <w:rPr>
                <w:rFonts w:hint="eastAsia" w:ascii="宋体" w:hAnsi="宋体" w:cs="宋体"/>
                <w:sz w:val="24"/>
              </w:rPr>
            </w:pPr>
            <w:r>
              <w:rPr>
                <w:rFonts w:hint="eastAsia" w:ascii="宋体" w:hAnsi="宋体" w:cs="宋体"/>
                <w:sz w:val="24"/>
              </w:rPr>
              <w:t xml:space="preserve">平台内置不少于8种机器学习分析场景模型，可检测发现勒索挖矿告警数异常、安全设备日志数异常、网络会话数异常、域名请求数异常等特定场景条件下的安全态势异常； </w:t>
            </w:r>
          </w:p>
          <w:p>
            <w:pPr>
              <w:numPr>
                <w:ilvl w:val="0"/>
                <w:numId w:val="13"/>
              </w:numPr>
              <w:rPr>
                <w:rFonts w:hint="eastAsia" w:ascii="宋体" w:hAnsi="宋体" w:cs="宋体"/>
                <w:sz w:val="24"/>
              </w:rPr>
            </w:pPr>
            <w:r>
              <w:rPr>
                <w:rFonts w:hint="eastAsia" w:ascii="宋体" w:hAnsi="宋体" w:cs="宋体"/>
                <w:sz w:val="24"/>
              </w:rPr>
              <w:t>支持自定义部署AI机器学习模型，允许用户选用的高级机器学习算法不少于4种，通过输入任意指标类数据进行模型训练，发现异常行为并生成安全事件与告警，辅助用户发现潜在的安全风险</w:t>
            </w:r>
          </w:p>
          <w:p>
            <w:pPr>
              <w:numPr>
                <w:ilvl w:val="0"/>
                <w:numId w:val="13"/>
              </w:numPr>
              <w:rPr>
                <w:rFonts w:hint="eastAsia" w:ascii="宋体" w:hAnsi="宋体" w:cs="宋体"/>
                <w:sz w:val="24"/>
              </w:rPr>
            </w:pPr>
            <w:r>
              <w:rPr>
                <w:rFonts w:hint="eastAsia" w:ascii="宋体" w:hAnsi="宋体" w:cs="宋体"/>
                <w:sz w:val="24"/>
              </w:rPr>
              <w:t>支持时间序列、UEBA、Bayes、随机森林等长周期高级机器学习算法（需提供国家权威机构证明材料）；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continue"/>
            <w:noWrap w:val="0"/>
            <w:vAlign w:val="center"/>
          </w:tcPr>
          <w:p>
            <w:pPr>
              <w:jc w:val="center"/>
              <w:rPr>
                <w:rFonts w:hint="eastAsia" w:ascii="宋体" w:hAnsi="宋体" w:cs="宋体"/>
                <w:sz w:val="24"/>
              </w:rPr>
            </w:pPr>
          </w:p>
        </w:tc>
        <w:tc>
          <w:tcPr>
            <w:tcW w:w="1559" w:type="dxa"/>
            <w:noWrap w:val="0"/>
            <w:vAlign w:val="center"/>
          </w:tcPr>
          <w:p>
            <w:pPr>
              <w:jc w:val="center"/>
              <w:rPr>
                <w:rFonts w:hint="eastAsia" w:ascii="宋体" w:hAnsi="宋体" w:cs="宋体"/>
                <w:sz w:val="24"/>
              </w:rPr>
            </w:pPr>
            <w:r>
              <w:rPr>
                <w:rFonts w:hint="eastAsia" w:ascii="宋体" w:hAnsi="宋体" w:cs="宋体"/>
                <w:sz w:val="24"/>
              </w:rPr>
              <w:t>网络实体分析画像</w:t>
            </w:r>
          </w:p>
        </w:tc>
        <w:tc>
          <w:tcPr>
            <w:tcW w:w="7260" w:type="dxa"/>
            <w:noWrap w:val="0"/>
            <w:vAlign w:val="top"/>
          </w:tcPr>
          <w:p>
            <w:pPr>
              <w:numPr>
                <w:ilvl w:val="0"/>
                <w:numId w:val="14"/>
              </w:numPr>
              <w:rPr>
                <w:rFonts w:hint="eastAsia" w:ascii="宋体" w:hAnsi="宋体" w:cs="宋体"/>
                <w:sz w:val="24"/>
              </w:rPr>
            </w:pPr>
            <w:r>
              <w:rPr>
                <w:rFonts w:hint="eastAsia" w:ascii="宋体" w:hAnsi="宋体" w:cs="宋体"/>
                <w:sz w:val="24"/>
              </w:rPr>
              <w:t>实现实体间网络互访关系的多级钻取，支持通过端口、协议、异常访问类型过滤关联关系，支持通过一键溯源进行威胁关系的自动拓展</w:t>
            </w:r>
          </w:p>
          <w:p>
            <w:pPr>
              <w:numPr>
                <w:ilvl w:val="0"/>
                <w:numId w:val="14"/>
              </w:numPr>
              <w:rPr>
                <w:rFonts w:hint="eastAsia" w:ascii="宋体" w:hAnsi="宋体" w:cs="宋体"/>
                <w:sz w:val="24"/>
              </w:rPr>
            </w:pPr>
            <w:r>
              <w:rPr>
                <w:rFonts w:hint="eastAsia" w:ascii="宋体" w:hAnsi="宋体" w:cs="宋体"/>
                <w:sz w:val="24"/>
              </w:rPr>
              <w:t>支持与终端检测类产品对接，查看主机进程、软件版本、漏洞病毒情况。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restart"/>
            <w:noWrap w:val="0"/>
            <w:vAlign w:val="center"/>
          </w:tcPr>
          <w:p>
            <w:pPr>
              <w:jc w:val="center"/>
              <w:rPr>
                <w:rFonts w:hint="eastAsia" w:ascii="宋体" w:hAnsi="宋体" w:cs="宋体"/>
                <w:sz w:val="24"/>
              </w:rPr>
            </w:pPr>
            <w:r>
              <w:rPr>
                <w:rFonts w:hint="eastAsia" w:ascii="宋体" w:hAnsi="宋体" w:cs="宋体"/>
                <w:sz w:val="24"/>
              </w:rPr>
              <w:t>调查取证</w:t>
            </w:r>
          </w:p>
        </w:tc>
        <w:tc>
          <w:tcPr>
            <w:tcW w:w="1559" w:type="dxa"/>
            <w:noWrap w:val="0"/>
            <w:vAlign w:val="center"/>
          </w:tcPr>
          <w:p>
            <w:pPr>
              <w:jc w:val="center"/>
              <w:rPr>
                <w:rFonts w:hint="eastAsia" w:ascii="宋体" w:hAnsi="宋体" w:cs="宋体"/>
                <w:sz w:val="24"/>
              </w:rPr>
            </w:pPr>
            <w:r>
              <w:rPr>
                <w:rFonts w:hint="eastAsia" w:ascii="宋体" w:hAnsi="宋体" w:cs="宋体"/>
                <w:sz w:val="24"/>
              </w:rPr>
              <w:t>场景化分析</w:t>
            </w:r>
          </w:p>
        </w:tc>
        <w:tc>
          <w:tcPr>
            <w:tcW w:w="7260" w:type="dxa"/>
            <w:noWrap w:val="0"/>
            <w:vAlign w:val="top"/>
          </w:tcPr>
          <w:p>
            <w:pPr>
              <w:numPr>
                <w:ilvl w:val="0"/>
                <w:numId w:val="15"/>
              </w:numPr>
              <w:rPr>
                <w:rFonts w:hint="eastAsia" w:ascii="宋体" w:hAnsi="宋体" w:cs="宋体"/>
                <w:sz w:val="24"/>
              </w:rPr>
            </w:pPr>
            <w:r>
              <w:rPr>
                <w:rFonts w:hint="eastAsia" w:ascii="宋体" w:hAnsi="宋体" w:cs="宋体"/>
                <w:sz w:val="24"/>
              </w:rPr>
              <w:t>支持暴力破解、Web攻击、恶意程序、端口扫描等内置安全分析场景，基于场景特性进行默认条件的数据聚合分析，支持至少3个任意字段的快速聚合分析，聚合后的所有数据均支持快速统计分析，展示统计排序信息，支持分析结果导出。</w:t>
            </w:r>
          </w:p>
          <w:p>
            <w:pPr>
              <w:numPr>
                <w:ilvl w:val="0"/>
                <w:numId w:val="15"/>
              </w:numPr>
              <w:rPr>
                <w:rFonts w:hint="eastAsia" w:ascii="宋体" w:hAnsi="宋体" w:cs="宋体"/>
                <w:sz w:val="24"/>
              </w:rPr>
            </w:pPr>
            <w:r>
              <w:rPr>
                <w:rFonts w:hint="eastAsia" w:ascii="宋体" w:hAnsi="宋体" w:cs="宋体"/>
                <w:sz w:val="24"/>
              </w:rPr>
              <w:t>支持自定义场景安全分析，可对安全告警的任意字段进行聚合分析，支持的聚合的字段不少于300个，支持分析结果导出</w:t>
            </w:r>
          </w:p>
          <w:p>
            <w:pPr>
              <w:numPr>
                <w:ilvl w:val="0"/>
                <w:numId w:val="15"/>
              </w:numPr>
              <w:rPr>
                <w:rFonts w:hint="eastAsia" w:ascii="宋体" w:hAnsi="宋体" w:cs="宋体"/>
                <w:sz w:val="24"/>
              </w:rPr>
            </w:pPr>
            <w:r>
              <w:rPr>
                <w:rFonts w:hint="eastAsia" w:ascii="宋体" w:hAnsi="宋体" w:cs="宋体"/>
                <w:sz w:val="24"/>
              </w:rPr>
              <w:t>支持智能检索语句分析，支持检索语句的中英文、拼音智能联想，支持逻辑运算符与字段值的自动提示补全；检索语句支持快速保存，历史检索语句快速导入；检索语句可直接发布成实时分析模型，对实时数据进行分析与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continue"/>
            <w:noWrap w:val="0"/>
            <w:vAlign w:val="center"/>
          </w:tcPr>
          <w:p>
            <w:pPr>
              <w:jc w:val="center"/>
              <w:rPr>
                <w:rFonts w:hint="eastAsia" w:ascii="宋体" w:hAnsi="宋体" w:cs="宋体"/>
                <w:sz w:val="24"/>
              </w:rPr>
            </w:pPr>
          </w:p>
        </w:tc>
        <w:tc>
          <w:tcPr>
            <w:tcW w:w="1559" w:type="dxa"/>
            <w:noWrap w:val="0"/>
            <w:vAlign w:val="center"/>
          </w:tcPr>
          <w:p>
            <w:pPr>
              <w:jc w:val="center"/>
              <w:rPr>
                <w:rFonts w:hint="eastAsia" w:ascii="宋体" w:hAnsi="宋体" w:cs="宋体"/>
                <w:sz w:val="24"/>
              </w:rPr>
            </w:pPr>
            <w:r>
              <w:rPr>
                <w:rFonts w:hint="eastAsia" w:ascii="宋体" w:hAnsi="宋体" w:cs="宋体"/>
                <w:sz w:val="24"/>
              </w:rPr>
              <w:t>取证分析</w:t>
            </w:r>
          </w:p>
        </w:tc>
        <w:tc>
          <w:tcPr>
            <w:tcW w:w="7260" w:type="dxa"/>
            <w:noWrap w:val="0"/>
            <w:vAlign w:val="top"/>
          </w:tcPr>
          <w:p>
            <w:pPr>
              <w:numPr>
                <w:ilvl w:val="0"/>
                <w:numId w:val="16"/>
              </w:numPr>
              <w:rPr>
                <w:rFonts w:hint="eastAsia" w:ascii="宋体" w:hAnsi="宋体" w:cs="宋体"/>
                <w:sz w:val="24"/>
              </w:rPr>
            </w:pPr>
            <w:r>
              <w:rPr>
                <w:rFonts w:hint="eastAsia" w:ascii="宋体" w:hAnsi="宋体" w:cs="宋体"/>
                <w:sz w:val="24"/>
              </w:rPr>
              <w:t>支持调查场景的四维自定义攻击流向图取证，攻击趋势取证、攻击链分布取证、和实体信息取证，展示攻击者和受害者的威胁情报与资产信息，可联动会话详情，点击查看不同溯源维度的会话详情，通过请求头，payload等详情字段定位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restart"/>
            <w:noWrap w:val="0"/>
            <w:vAlign w:val="center"/>
          </w:tcPr>
          <w:p>
            <w:pPr>
              <w:jc w:val="center"/>
              <w:rPr>
                <w:rFonts w:hint="eastAsia" w:ascii="宋体" w:hAnsi="宋体" w:cs="宋体"/>
                <w:sz w:val="24"/>
              </w:rPr>
            </w:pPr>
            <w:r>
              <w:rPr>
                <w:rFonts w:hint="eastAsia" w:ascii="宋体" w:hAnsi="宋体" w:cs="宋体"/>
                <w:sz w:val="24"/>
              </w:rPr>
              <w:t>可视化安全分析</w:t>
            </w:r>
          </w:p>
        </w:tc>
        <w:tc>
          <w:tcPr>
            <w:tcW w:w="1559" w:type="dxa"/>
            <w:noWrap w:val="0"/>
            <w:vAlign w:val="center"/>
          </w:tcPr>
          <w:p>
            <w:pPr>
              <w:jc w:val="center"/>
              <w:rPr>
                <w:rFonts w:hint="eastAsia" w:ascii="宋体" w:hAnsi="宋体" w:cs="宋体"/>
                <w:sz w:val="24"/>
              </w:rPr>
            </w:pPr>
            <w:r>
              <w:rPr>
                <w:rFonts w:hint="eastAsia" w:ascii="宋体" w:hAnsi="宋体" w:cs="宋体"/>
                <w:sz w:val="24"/>
              </w:rPr>
              <w:t>安全态势可视化</w:t>
            </w:r>
          </w:p>
        </w:tc>
        <w:tc>
          <w:tcPr>
            <w:tcW w:w="7260" w:type="dxa"/>
            <w:noWrap w:val="0"/>
            <w:vAlign w:val="top"/>
          </w:tcPr>
          <w:p>
            <w:pPr>
              <w:numPr>
                <w:ilvl w:val="0"/>
                <w:numId w:val="17"/>
              </w:numPr>
              <w:rPr>
                <w:rFonts w:hint="eastAsia" w:ascii="宋体" w:hAnsi="宋体" w:cs="宋体"/>
                <w:sz w:val="24"/>
              </w:rPr>
            </w:pPr>
            <w:r>
              <w:rPr>
                <w:rFonts w:hint="eastAsia" w:ascii="宋体" w:hAnsi="宋体" w:cs="宋体"/>
                <w:sz w:val="24"/>
              </w:rPr>
              <w:t xml:space="preserve">支持安全态势的可视化呈现，以大屏的方式从攻击事件、资产安全、追踪溯源、运行监测、重保方案等多个维度进行可视化展示，提供不少于10块大屏展示界面 </w:t>
            </w:r>
          </w:p>
          <w:p>
            <w:pPr>
              <w:numPr>
                <w:ilvl w:val="0"/>
                <w:numId w:val="17"/>
              </w:numPr>
              <w:rPr>
                <w:rFonts w:hint="eastAsia" w:ascii="宋体" w:hAnsi="宋体" w:cs="宋体"/>
                <w:sz w:val="24"/>
              </w:rPr>
            </w:pPr>
            <w:r>
              <w:rPr>
                <w:rFonts w:hint="eastAsia" w:ascii="宋体" w:hAnsi="宋体" w:cs="宋体"/>
                <w:sz w:val="24"/>
              </w:rPr>
              <w:t>支持立体、平面、球面等多种维度的网络实体关系透视，可在大屏上展示不同实体的标签属性，包括但不限于DNS服务器、监管单位、邮件服务器、黑客组织、WEB服务器等。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continue"/>
            <w:noWrap w:val="0"/>
            <w:vAlign w:val="center"/>
          </w:tcPr>
          <w:p>
            <w:pPr>
              <w:jc w:val="center"/>
              <w:rPr>
                <w:rFonts w:hint="eastAsia" w:ascii="宋体" w:hAnsi="宋体" w:cs="宋体"/>
                <w:sz w:val="24"/>
              </w:rPr>
            </w:pPr>
          </w:p>
        </w:tc>
        <w:tc>
          <w:tcPr>
            <w:tcW w:w="1559" w:type="dxa"/>
            <w:noWrap w:val="0"/>
            <w:vAlign w:val="center"/>
          </w:tcPr>
          <w:p>
            <w:pPr>
              <w:jc w:val="center"/>
              <w:rPr>
                <w:rFonts w:hint="eastAsia" w:ascii="宋体" w:hAnsi="宋体" w:cs="宋体"/>
                <w:sz w:val="24"/>
              </w:rPr>
            </w:pPr>
            <w:r>
              <w:rPr>
                <w:rFonts w:hint="eastAsia" w:ascii="宋体" w:hAnsi="宋体" w:cs="宋体"/>
                <w:sz w:val="24"/>
              </w:rPr>
              <w:t>仪表盘</w:t>
            </w:r>
          </w:p>
        </w:tc>
        <w:tc>
          <w:tcPr>
            <w:tcW w:w="7260" w:type="dxa"/>
            <w:noWrap w:val="0"/>
            <w:vAlign w:val="top"/>
          </w:tcPr>
          <w:p>
            <w:pPr>
              <w:numPr>
                <w:ilvl w:val="0"/>
                <w:numId w:val="18"/>
              </w:numPr>
              <w:jc w:val="left"/>
              <w:rPr>
                <w:rFonts w:hint="eastAsia" w:ascii="宋体" w:hAnsi="宋体" w:cs="宋体"/>
                <w:sz w:val="24"/>
              </w:rPr>
            </w:pPr>
            <w:r>
              <w:rPr>
                <w:rFonts w:hint="eastAsia" w:ascii="宋体" w:hAnsi="宋体" w:cs="宋体"/>
                <w:sz w:val="24"/>
              </w:rPr>
              <w:t>支持可视化图表类型≥15种，包括但不限于时序图、饼图、柱状图等；</w:t>
            </w:r>
          </w:p>
          <w:p>
            <w:pPr>
              <w:numPr>
                <w:ilvl w:val="0"/>
                <w:numId w:val="18"/>
              </w:numPr>
              <w:jc w:val="left"/>
              <w:rPr>
                <w:rFonts w:hint="eastAsia" w:ascii="宋体" w:hAnsi="宋体" w:cs="宋体"/>
                <w:sz w:val="24"/>
              </w:rPr>
            </w:pPr>
            <w:r>
              <w:rPr>
                <w:rFonts w:hint="eastAsia" w:ascii="宋体" w:hAnsi="宋体" w:cs="宋体"/>
                <w:sz w:val="24"/>
              </w:rPr>
              <w:t>统计类图表支持展示升序或降序的TOP5到TOP100，可针对数据中任意字段的计数、平均值、求和、最大值、最小值、唯一值等≥5种算子的统计结果配置可视化图表。</w:t>
            </w:r>
          </w:p>
          <w:p>
            <w:pPr>
              <w:numPr>
                <w:ilvl w:val="0"/>
                <w:numId w:val="18"/>
              </w:numPr>
              <w:jc w:val="left"/>
              <w:rPr>
                <w:rFonts w:hint="eastAsia" w:ascii="宋体" w:hAnsi="宋体" w:cs="宋体"/>
                <w:sz w:val="24"/>
              </w:rPr>
            </w:pPr>
            <w:r>
              <w:rPr>
                <w:rFonts w:hint="eastAsia" w:ascii="宋体" w:hAnsi="宋体" w:cs="宋体"/>
                <w:sz w:val="24"/>
              </w:rPr>
              <w:t>可视化图表可通过拖拽配置组装成仪表盘，仪表盘不少于7种布局类型，仪表盘展示时支持时间范围自定义选择。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restart"/>
            <w:noWrap w:val="0"/>
            <w:vAlign w:val="center"/>
          </w:tcPr>
          <w:p>
            <w:pPr>
              <w:jc w:val="center"/>
              <w:rPr>
                <w:rFonts w:hint="eastAsia" w:ascii="宋体" w:hAnsi="宋体" w:cs="宋体"/>
                <w:sz w:val="24"/>
              </w:rPr>
            </w:pPr>
            <w:r>
              <w:rPr>
                <w:rFonts w:hint="eastAsia" w:ascii="宋体" w:hAnsi="宋体" w:cs="宋体"/>
                <w:sz w:val="24"/>
              </w:rPr>
              <w:t>安全应用和运营</w:t>
            </w:r>
          </w:p>
        </w:tc>
        <w:tc>
          <w:tcPr>
            <w:tcW w:w="1559" w:type="dxa"/>
            <w:noWrap w:val="0"/>
            <w:vAlign w:val="center"/>
          </w:tcPr>
          <w:p>
            <w:pPr>
              <w:jc w:val="center"/>
              <w:rPr>
                <w:rFonts w:hint="eastAsia" w:ascii="宋体" w:hAnsi="宋体" w:cs="宋体"/>
                <w:sz w:val="24"/>
              </w:rPr>
            </w:pPr>
            <w:r>
              <w:rPr>
                <w:rFonts w:hint="eastAsia" w:ascii="宋体" w:hAnsi="宋体" w:cs="宋体"/>
                <w:sz w:val="24"/>
              </w:rPr>
              <w:t>安全运营门户</w:t>
            </w:r>
          </w:p>
        </w:tc>
        <w:tc>
          <w:tcPr>
            <w:tcW w:w="7260" w:type="dxa"/>
            <w:noWrap w:val="0"/>
            <w:vAlign w:val="top"/>
          </w:tcPr>
          <w:p>
            <w:pPr>
              <w:numPr>
                <w:ilvl w:val="0"/>
                <w:numId w:val="19"/>
              </w:numPr>
              <w:rPr>
                <w:rFonts w:hint="eastAsia" w:ascii="宋体" w:hAnsi="宋体" w:cs="宋体"/>
                <w:sz w:val="24"/>
              </w:rPr>
            </w:pPr>
            <w:r>
              <w:rPr>
                <w:rFonts w:hint="eastAsia" w:ascii="宋体" w:hAnsi="宋体" w:cs="宋体"/>
                <w:sz w:val="24"/>
              </w:rPr>
              <w:t>平台应具有统一的安全运营门户，作为多个安全态势分析与感知功能的统一入口，集成态势感知、威胁狩猎、通报预警、异常监测、运行监测等多个功能模块，实现平台内部业务、数据、服务、资源的无缝整合与集成；</w:t>
            </w:r>
          </w:p>
          <w:p>
            <w:pPr>
              <w:numPr>
                <w:ilvl w:val="0"/>
                <w:numId w:val="19"/>
              </w:numPr>
              <w:rPr>
                <w:rFonts w:hint="eastAsia" w:ascii="宋体" w:hAnsi="宋体" w:cs="宋体"/>
                <w:sz w:val="24"/>
              </w:rPr>
            </w:pPr>
            <w:r>
              <w:rPr>
                <w:rFonts w:hint="eastAsia" w:ascii="宋体" w:hAnsi="宋体" w:cs="宋体"/>
                <w:sz w:val="24"/>
              </w:rPr>
              <w:t>支持每个用户配置个人专属的统一门户，可配置项包括门户名称、应用名称、应用图标等。</w:t>
            </w:r>
          </w:p>
          <w:p>
            <w:pPr>
              <w:numPr>
                <w:ilvl w:val="0"/>
                <w:numId w:val="19"/>
              </w:numPr>
              <w:rPr>
                <w:rFonts w:hint="eastAsia" w:ascii="宋体" w:hAnsi="宋体" w:cs="宋体"/>
                <w:sz w:val="24"/>
              </w:rPr>
            </w:pPr>
            <w:r>
              <w:rPr>
                <w:rFonts w:hint="eastAsia" w:ascii="宋体" w:hAnsi="宋体" w:cs="宋体"/>
                <w:sz w:val="24"/>
              </w:rPr>
              <w:t>统一门户应支持与第三方产品集成，一键跳转至产品功能界面。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continue"/>
            <w:noWrap w:val="0"/>
            <w:vAlign w:val="center"/>
          </w:tcPr>
          <w:p>
            <w:pPr>
              <w:jc w:val="center"/>
              <w:rPr>
                <w:rFonts w:hint="eastAsia" w:ascii="宋体" w:hAnsi="宋体" w:cs="宋体"/>
                <w:sz w:val="24"/>
              </w:rPr>
            </w:pPr>
          </w:p>
        </w:tc>
        <w:tc>
          <w:tcPr>
            <w:tcW w:w="1559" w:type="dxa"/>
            <w:noWrap w:val="0"/>
            <w:vAlign w:val="center"/>
          </w:tcPr>
          <w:p>
            <w:pPr>
              <w:jc w:val="center"/>
              <w:rPr>
                <w:rFonts w:hint="eastAsia" w:ascii="宋体" w:hAnsi="宋体" w:cs="宋体"/>
                <w:sz w:val="24"/>
              </w:rPr>
            </w:pPr>
            <w:r>
              <w:rPr>
                <w:rFonts w:hint="eastAsia" w:ascii="宋体" w:hAnsi="宋体" w:cs="宋体"/>
                <w:sz w:val="24"/>
              </w:rPr>
              <w:t>智能检索</w:t>
            </w:r>
          </w:p>
        </w:tc>
        <w:tc>
          <w:tcPr>
            <w:tcW w:w="7260" w:type="dxa"/>
            <w:noWrap w:val="0"/>
            <w:vAlign w:val="top"/>
          </w:tcPr>
          <w:p>
            <w:pPr>
              <w:numPr>
                <w:ilvl w:val="0"/>
                <w:numId w:val="20"/>
              </w:numPr>
              <w:rPr>
                <w:rFonts w:hint="eastAsia" w:ascii="宋体" w:hAnsi="宋体" w:cs="宋体"/>
                <w:sz w:val="24"/>
              </w:rPr>
            </w:pPr>
            <w:r>
              <w:rPr>
                <w:rFonts w:hint="eastAsia" w:ascii="宋体" w:hAnsi="宋体" w:cs="宋体"/>
                <w:sz w:val="24"/>
              </w:rPr>
              <w:t>支持对原始日志数据、安全告警数据进行分类检索，从检索结果可关联威胁情报和资产信息并一键跳转；</w:t>
            </w:r>
          </w:p>
          <w:p>
            <w:pPr>
              <w:numPr>
                <w:ilvl w:val="0"/>
                <w:numId w:val="20"/>
              </w:numPr>
              <w:rPr>
                <w:rFonts w:hint="eastAsia" w:ascii="宋体" w:hAnsi="宋体" w:cs="宋体"/>
                <w:sz w:val="24"/>
              </w:rPr>
            </w:pPr>
            <w:r>
              <w:rPr>
                <w:rFonts w:hint="eastAsia" w:ascii="宋体" w:hAnsi="宋体" w:cs="宋体"/>
                <w:sz w:val="24"/>
              </w:rPr>
              <w:t>支持不少于10000条检索结果导出，导出内容字段可自定义选择，支持excel或CSV格式。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continue"/>
            <w:noWrap w:val="0"/>
            <w:vAlign w:val="center"/>
          </w:tcPr>
          <w:p>
            <w:pPr>
              <w:jc w:val="center"/>
              <w:rPr>
                <w:rFonts w:hint="eastAsia" w:ascii="宋体" w:hAnsi="宋体" w:cs="宋体"/>
                <w:sz w:val="24"/>
              </w:rPr>
            </w:pPr>
          </w:p>
        </w:tc>
        <w:tc>
          <w:tcPr>
            <w:tcW w:w="1559" w:type="dxa"/>
            <w:noWrap w:val="0"/>
            <w:vAlign w:val="center"/>
          </w:tcPr>
          <w:p>
            <w:pPr>
              <w:jc w:val="center"/>
              <w:rPr>
                <w:rFonts w:hint="eastAsia" w:ascii="宋体" w:hAnsi="宋体" w:cs="宋体"/>
                <w:sz w:val="24"/>
              </w:rPr>
            </w:pPr>
            <w:r>
              <w:rPr>
                <w:rFonts w:hint="eastAsia" w:ascii="宋体" w:hAnsi="宋体" w:cs="宋体"/>
                <w:sz w:val="24"/>
              </w:rPr>
              <w:t>威胁情报</w:t>
            </w:r>
          </w:p>
        </w:tc>
        <w:tc>
          <w:tcPr>
            <w:tcW w:w="7260" w:type="dxa"/>
            <w:noWrap w:val="0"/>
            <w:vAlign w:val="top"/>
          </w:tcPr>
          <w:p>
            <w:pPr>
              <w:numPr>
                <w:ilvl w:val="0"/>
                <w:numId w:val="21"/>
              </w:numPr>
              <w:rPr>
                <w:rFonts w:hint="eastAsia" w:ascii="宋体" w:hAnsi="宋体" w:cs="宋体"/>
                <w:sz w:val="24"/>
              </w:rPr>
            </w:pPr>
            <w:r>
              <w:rPr>
                <w:rFonts w:hint="eastAsia" w:ascii="宋体" w:hAnsi="宋体" w:cs="宋体"/>
                <w:sz w:val="24"/>
              </w:rPr>
              <w:t>支持通过离线导入或手动编辑添加的方式，形成本地威胁情报，允许用户自建行业情报库，并实现情报库的增删改查、导入、导出功能；</w:t>
            </w:r>
          </w:p>
          <w:p>
            <w:pPr>
              <w:numPr>
                <w:ilvl w:val="0"/>
                <w:numId w:val="21"/>
              </w:numPr>
              <w:rPr>
                <w:rFonts w:hint="eastAsia" w:ascii="宋体" w:hAnsi="宋体" w:cs="宋体"/>
                <w:sz w:val="24"/>
              </w:rPr>
            </w:pPr>
            <w:r>
              <w:rPr>
                <w:rFonts w:hint="eastAsia" w:ascii="宋体" w:hAnsi="宋体" w:cs="宋体"/>
                <w:sz w:val="24"/>
              </w:rPr>
              <w:t>支持查看情报源中有效情报数量、最近更新时间、今日更新情报数量；</w:t>
            </w:r>
          </w:p>
          <w:p>
            <w:pPr>
              <w:numPr>
                <w:ilvl w:val="0"/>
                <w:numId w:val="21"/>
              </w:numPr>
              <w:rPr>
                <w:rFonts w:hint="eastAsia" w:ascii="宋体" w:hAnsi="宋体" w:cs="宋体"/>
                <w:sz w:val="24"/>
              </w:rPr>
            </w:pPr>
            <w:r>
              <w:rPr>
                <w:rFonts w:hint="eastAsia" w:ascii="宋体" w:hAnsi="宋体" w:cs="宋体"/>
                <w:sz w:val="24"/>
              </w:rPr>
              <w:t>情报查询支持通过IOC同时跨越多个情报源查询，结果汇总展示；</w:t>
            </w:r>
          </w:p>
          <w:p>
            <w:pPr>
              <w:numPr>
                <w:ilvl w:val="0"/>
                <w:numId w:val="21"/>
              </w:numPr>
              <w:rPr>
                <w:rFonts w:hint="eastAsia" w:ascii="宋体" w:hAnsi="宋体" w:cs="宋体"/>
                <w:sz w:val="24"/>
              </w:rPr>
            </w:pPr>
            <w:r>
              <w:rPr>
                <w:rFonts w:hint="eastAsia" w:ascii="宋体" w:hAnsi="宋体" w:cs="宋体"/>
                <w:sz w:val="24"/>
              </w:rPr>
              <w:t>碰撞情报IOC支持通过情报源、IOC类型、标签、置信度等多维度进行碰撞分析，内置威胁情报条数不少于400万条。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continue"/>
            <w:noWrap w:val="0"/>
            <w:vAlign w:val="center"/>
          </w:tcPr>
          <w:p>
            <w:pPr>
              <w:jc w:val="center"/>
              <w:rPr>
                <w:rFonts w:hint="eastAsia" w:ascii="宋体" w:hAnsi="宋体" w:cs="宋体"/>
                <w:sz w:val="24"/>
              </w:rPr>
            </w:pPr>
          </w:p>
        </w:tc>
        <w:tc>
          <w:tcPr>
            <w:tcW w:w="1559" w:type="dxa"/>
            <w:noWrap w:val="0"/>
            <w:vAlign w:val="center"/>
          </w:tcPr>
          <w:p>
            <w:pPr>
              <w:jc w:val="center"/>
              <w:rPr>
                <w:rFonts w:hint="eastAsia" w:ascii="宋体" w:hAnsi="宋体" w:cs="宋体"/>
                <w:sz w:val="24"/>
              </w:rPr>
            </w:pPr>
            <w:r>
              <w:rPr>
                <w:rFonts w:hint="eastAsia" w:ascii="宋体" w:hAnsi="宋体" w:cs="宋体"/>
                <w:sz w:val="24"/>
              </w:rPr>
              <w:t>资产管理</w:t>
            </w:r>
          </w:p>
        </w:tc>
        <w:tc>
          <w:tcPr>
            <w:tcW w:w="7260" w:type="dxa"/>
            <w:noWrap w:val="0"/>
            <w:vAlign w:val="top"/>
          </w:tcPr>
          <w:p>
            <w:pPr>
              <w:numPr>
                <w:ilvl w:val="0"/>
                <w:numId w:val="22"/>
              </w:numPr>
              <w:rPr>
                <w:rFonts w:hint="eastAsia" w:ascii="宋体" w:hAnsi="宋体" w:cs="宋体"/>
                <w:sz w:val="24"/>
              </w:rPr>
            </w:pPr>
            <w:r>
              <w:rPr>
                <w:rFonts w:hint="eastAsia" w:ascii="宋体" w:hAnsi="宋体" w:cs="宋体"/>
                <w:sz w:val="24"/>
              </w:rPr>
              <w:t>支持通过流量无侵入式自动发现资产，支持发现终端、Web服务器、DNS服务器、邮件服务器、FTP文件服务器等类型≥5种，其中web服务器支持自动识别服务域名和服务站点名称</w:t>
            </w:r>
          </w:p>
          <w:p>
            <w:pPr>
              <w:numPr>
                <w:ilvl w:val="0"/>
                <w:numId w:val="22"/>
              </w:numPr>
              <w:rPr>
                <w:rFonts w:hint="eastAsia" w:ascii="宋体" w:hAnsi="宋体" w:cs="宋体"/>
                <w:sz w:val="24"/>
              </w:rPr>
            </w:pPr>
            <w:r>
              <w:rPr>
                <w:rFonts w:hint="eastAsia" w:ascii="宋体" w:hAnsi="宋体" w:cs="宋体"/>
                <w:sz w:val="24"/>
              </w:rPr>
              <w:t>支持资产信息的全量导入导出；</w:t>
            </w:r>
          </w:p>
          <w:p>
            <w:pPr>
              <w:numPr>
                <w:ilvl w:val="0"/>
                <w:numId w:val="22"/>
              </w:numPr>
              <w:rPr>
                <w:rFonts w:hint="eastAsia" w:ascii="宋体" w:hAnsi="宋体" w:cs="宋体"/>
                <w:sz w:val="24"/>
              </w:rPr>
            </w:pPr>
            <w:r>
              <w:rPr>
                <w:rFonts w:hint="eastAsia" w:ascii="宋体" w:hAnsi="宋体" w:cs="宋体"/>
                <w:sz w:val="24"/>
              </w:rPr>
              <w:t xml:space="preserve">支持一键访问安全设备的管理界面、监控大屏、设备日志、处置联动记录；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continue"/>
            <w:noWrap w:val="0"/>
            <w:vAlign w:val="center"/>
          </w:tcPr>
          <w:p>
            <w:pPr>
              <w:jc w:val="center"/>
              <w:rPr>
                <w:rFonts w:hint="eastAsia" w:ascii="宋体" w:hAnsi="宋体" w:cs="宋体"/>
                <w:sz w:val="24"/>
              </w:rPr>
            </w:pPr>
          </w:p>
        </w:tc>
        <w:tc>
          <w:tcPr>
            <w:tcW w:w="1559" w:type="dxa"/>
            <w:noWrap w:val="0"/>
            <w:vAlign w:val="center"/>
          </w:tcPr>
          <w:p>
            <w:pPr>
              <w:jc w:val="center"/>
              <w:rPr>
                <w:rFonts w:hint="eastAsia" w:ascii="宋体" w:hAnsi="宋体" w:cs="宋体"/>
                <w:sz w:val="24"/>
              </w:rPr>
            </w:pPr>
            <w:r>
              <w:rPr>
                <w:rFonts w:hint="eastAsia" w:ascii="宋体" w:hAnsi="宋体" w:cs="宋体"/>
                <w:sz w:val="24"/>
              </w:rPr>
              <w:t>业务拓扑监控</w:t>
            </w:r>
          </w:p>
        </w:tc>
        <w:tc>
          <w:tcPr>
            <w:tcW w:w="7260" w:type="dxa"/>
            <w:noWrap w:val="0"/>
            <w:vAlign w:val="top"/>
          </w:tcPr>
          <w:p>
            <w:pPr>
              <w:numPr>
                <w:ilvl w:val="0"/>
                <w:numId w:val="23"/>
              </w:numPr>
              <w:rPr>
                <w:rFonts w:hint="eastAsia" w:ascii="宋体" w:hAnsi="宋体" w:cs="宋体"/>
                <w:sz w:val="24"/>
              </w:rPr>
            </w:pPr>
            <w:r>
              <w:rPr>
                <w:rFonts w:hint="eastAsia" w:ascii="宋体" w:hAnsi="宋体" w:cs="宋体"/>
                <w:sz w:val="24"/>
              </w:rPr>
              <w:t>支持拓扑图的增加、修改、删除、导入、导出，支持创建&gt;50个业务或网络拓扑，支持建立平面拓扑和3D拓扑；</w:t>
            </w:r>
          </w:p>
          <w:p>
            <w:pPr>
              <w:numPr>
                <w:ilvl w:val="0"/>
                <w:numId w:val="23"/>
              </w:numPr>
              <w:rPr>
                <w:rFonts w:hint="eastAsia" w:ascii="宋体" w:hAnsi="宋体" w:cs="宋体"/>
                <w:sz w:val="24"/>
              </w:rPr>
            </w:pPr>
            <w:r>
              <w:rPr>
                <w:rFonts w:hint="eastAsia" w:ascii="宋体" w:hAnsi="宋体" w:cs="宋体"/>
                <w:sz w:val="24"/>
              </w:rPr>
              <w:t>支持监控安全域、Web业务系统、服务器、终端、安全设备等至少5种网络实体类型；</w:t>
            </w:r>
          </w:p>
          <w:p>
            <w:pPr>
              <w:numPr>
                <w:ilvl w:val="0"/>
                <w:numId w:val="23"/>
              </w:numPr>
              <w:rPr>
                <w:rFonts w:hint="eastAsia" w:ascii="宋体" w:hAnsi="宋体" w:cs="宋体"/>
                <w:sz w:val="24"/>
              </w:rPr>
            </w:pPr>
            <w:r>
              <w:rPr>
                <w:rFonts w:hint="eastAsia" w:ascii="宋体" w:hAnsi="宋体" w:cs="宋体"/>
                <w:sz w:val="24"/>
              </w:rPr>
              <w:t>支持在拓扑图上一键点击跳转查询相应网络实体的安全日志。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continue"/>
            <w:noWrap w:val="0"/>
            <w:vAlign w:val="center"/>
          </w:tcPr>
          <w:p>
            <w:pPr>
              <w:jc w:val="center"/>
              <w:rPr>
                <w:rFonts w:hint="eastAsia" w:ascii="宋体" w:hAnsi="宋体" w:cs="宋体"/>
                <w:sz w:val="24"/>
              </w:rPr>
            </w:pPr>
          </w:p>
        </w:tc>
        <w:tc>
          <w:tcPr>
            <w:tcW w:w="1559" w:type="dxa"/>
            <w:noWrap w:val="0"/>
            <w:vAlign w:val="center"/>
          </w:tcPr>
          <w:p>
            <w:pPr>
              <w:jc w:val="center"/>
              <w:rPr>
                <w:rFonts w:hint="eastAsia" w:ascii="宋体" w:hAnsi="宋体" w:cs="宋体"/>
                <w:sz w:val="24"/>
              </w:rPr>
            </w:pPr>
            <w:r>
              <w:rPr>
                <w:rFonts w:hint="eastAsia" w:ascii="宋体" w:hAnsi="宋体" w:cs="宋体"/>
                <w:sz w:val="24"/>
              </w:rPr>
              <w:t>安全运营</w:t>
            </w:r>
          </w:p>
        </w:tc>
        <w:tc>
          <w:tcPr>
            <w:tcW w:w="7260" w:type="dxa"/>
            <w:noWrap w:val="0"/>
            <w:vAlign w:val="top"/>
          </w:tcPr>
          <w:p>
            <w:pPr>
              <w:numPr>
                <w:ilvl w:val="0"/>
                <w:numId w:val="24"/>
              </w:numPr>
              <w:rPr>
                <w:rFonts w:hint="eastAsia" w:ascii="宋体" w:hAnsi="宋体" w:cs="宋体"/>
                <w:sz w:val="24"/>
              </w:rPr>
            </w:pPr>
            <w:r>
              <w:rPr>
                <w:rFonts w:hint="eastAsia" w:ascii="宋体" w:hAnsi="宋体" w:cs="宋体"/>
                <w:sz w:val="24"/>
              </w:rPr>
              <w:t>支持统一的安全运营工作台，在工作台可以集中查看当前用户的待办工单、最新通报预警状态</w:t>
            </w:r>
          </w:p>
          <w:p>
            <w:pPr>
              <w:numPr>
                <w:ilvl w:val="0"/>
                <w:numId w:val="24"/>
              </w:numPr>
              <w:rPr>
                <w:rFonts w:hint="eastAsia" w:ascii="宋体" w:hAnsi="宋体" w:cs="宋体"/>
                <w:sz w:val="24"/>
              </w:rPr>
            </w:pPr>
            <w:r>
              <w:rPr>
                <w:rFonts w:hint="eastAsia" w:ascii="宋体" w:hAnsi="宋体" w:cs="宋体"/>
                <w:sz w:val="24"/>
              </w:rPr>
              <w:t>工单详情与备注支持多种内容格式，包括但不限于文字、图片、超链接、表格、代码片段、附件等类型；</w:t>
            </w:r>
          </w:p>
          <w:p>
            <w:pPr>
              <w:numPr>
                <w:ilvl w:val="0"/>
                <w:numId w:val="24"/>
              </w:numPr>
              <w:rPr>
                <w:rFonts w:hint="eastAsia" w:ascii="宋体" w:hAnsi="宋体" w:cs="宋体"/>
                <w:sz w:val="24"/>
              </w:rPr>
            </w:pPr>
            <w:r>
              <w:rPr>
                <w:rFonts w:hint="eastAsia" w:ascii="宋体" w:hAnsi="宋体" w:cs="宋体"/>
                <w:sz w:val="24"/>
              </w:rPr>
              <w:t xml:space="preserve">支持工单举证信息一键溯源，工单处置人员可以直接定位到工单关联的原始信息进行查看； </w:t>
            </w:r>
          </w:p>
          <w:p>
            <w:pPr>
              <w:numPr>
                <w:ilvl w:val="0"/>
                <w:numId w:val="24"/>
              </w:numPr>
              <w:rPr>
                <w:rFonts w:hint="eastAsia" w:ascii="宋体" w:hAnsi="宋体" w:cs="宋体"/>
                <w:sz w:val="24"/>
              </w:rPr>
            </w:pPr>
            <w:r>
              <w:rPr>
                <w:rFonts w:hint="eastAsia" w:ascii="宋体" w:hAnsi="宋体" w:cs="宋体"/>
                <w:sz w:val="24"/>
              </w:rPr>
              <w:t>支持将预警信息直接转为内部通报，支持将通报内容作为工单定向指派。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restart"/>
            <w:noWrap w:val="0"/>
            <w:vAlign w:val="center"/>
          </w:tcPr>
          <w:p>
            <w:pPr>
              <w:rPr>
                <w:rFonts w:hint="eastAsia" w:ascii="宋体" w:hAnsi="宋体" w:cs="宋体"/>
                <w:sz w:val="24"/>
              </w:rPr>
            </w:pPr>
            <w:r>
              <w:rPr>
                <w:rFonts w:hint="eastAsia" w:ascii="宋体" w:hAnsi="宋体" w:cs="宋体"/>
                <w:sz w:val="24"/>
              </w:rPr>
              <w:t>系统管理</w:t>
            </w:r>
          </w:p>
        </w:tc>
        <w:tc>
          <w:tcPr>
            <w:tcW w:w="1559" w:type="dxa"/>
            <w:noWrap w:val="0"/>
            <w:vAlign w:val="center"/>
          </w:tcPr>
          <w:p>
            <w:pPr>
              <w:jc w:val="center"/>
              <w:rPr>
                <w:rFonts w:hint="eastAsia" w:ascii="宋体" w:hAnsi="宋体" w:cs="宋体"/>
                <w:sz w:val="24"/>
              </w:rPr>
            </w:pPr>
            <w:r>
              <w:rPr>
                <w:rFonts w:hint="eastAsia" w:ascii="宋体" w:hAnsi="宋体" w:cs="宋体"/>
                <w:sz w:val="24"/>
              </w:rPr>
              <w:t>一站式运维</w:t>
            </w:r>
          </w:p>
        </w:tc>
        <w:tc>
          <w:tcPr>
            <w:tcW w:w="7260" w:type="dxa"/>
            <w:noWrap w:val="0"/>
            <w:vAlign w:val="top"/>
          </w:tcPr>
          <w:p>
            <w:pPr>
              <w:numPr>
                <w:ilvl w:val="0"/>
                <w:numId w:val="25"/>
              </w:numPr>
              <w:rPr>
                <w:rFonts w:hint="eastAsia" w:ascii="宋体" w:hAnsi="宋体" w:cs="宋体"/>
                <w:sz w:val="24"/>
              </w:rPr>
            </w:pPr>
            <w:r>
              <w:rPr>
                <w:rFonts w:hint="eastAsia" w:ascii="宋体" w:hAnsi="宋体" w:cs="宋体"/>
                <w:sz w:val="24"/>
              </w:rPr>
              <w:t>支持大数据平台本身的计算、存储资源利用率监控；</w:t>
            </w:r>
          </w:p>
          <w:p>
            <w:pPr>
              <w:numPr>
                <w:ilvl w:val="0"/>
                <w:numId w:val="25"/>
              </w:numPr>
              <w:rPr>
                <w:rFonts w:hint="eastAsia" w:ascii="宋体" w:hAnsi="宋体" w:cs="宋体"/>
                <w:sz w:val="24"/>
              </w:rPr>
            </w:pPr>
            <w:r>
              <w:rPr>
                <w:rFonts w:hint="eastAsia" w:ascii="宋体" w:hAnsi="宋体" w:cs="宋体"/>
                <w:sz w:val="24"/>
              </w:rPr>
              <w:t>支持数据集与数据索引健康度监控；</w:t>
            </w:r>
          </w:p>
          <w:p>
            <w:pPr>
              <w:numPr>
                <w:ilvl w:val="0"/>
                <w:numId w:val="25"/>
              </w:numPr>
              <w:rPr>
                <w:rFonts w:hint="eastAsia" w:ascii="宋体" w:hAnsi="宋体" w:cs="宋体"/>
                <w:sz w:val="24"/>
              </w:rPr>
            </w:pPr>
            <w:r>
              <w:rPr>
                <w:rFonts w:hint="eastAsia" w:ascii="宋体" w:hAnsi="宋体" w:cs="宋体"/>
                <w:sz w:val="24"/>
              </w:rPr>
              <w:t>支持对平台各组件运行健康状态的集中监控</w:t>
            </w:r>
          </w:p>
          <w:p>
            <w:pPr>
              <w:numPr>
                <w:ilvl w:val="0"/>
                <w:numId w:val="25"/>
              </w:numPr>
              <w:rPr>
                <w:rStyle w:val="49"/>
                <w:rFonts w:hint="eastAsia" w:ascii="宋体" w:hAnsi="宋体" w:cs="宋体"/>
                <w:sz w:val="24"/>
              </w:rPr>
            </w:pPr>
            <w:r>
              <w:rPr>
                <w:rFonts w:hint="eastAsia" w:ascii="宋体" w:hAnsi="宋体" w:cs="宋体"/>
                <w:sz w:val="24"/>
              </w:rPr>
              <w:t>支持平台运行状态告警，运行监测引擎可独立于安全分析引擎工作，展示运维告警趋势、分布等</w:t>
            </w:r>
          </w:p>
          <w:p>
            <w:pPr>
              <w:numPr>
                <w:ilvl w:val="0"/>
                <w:numId w:val="25"/>
              </w:numPr>
              <w:rPr>
                <w:rFonts w:hint="eastAsia" w:ascii="宋体" w:hAnsi="宋体" w:cs="宋体"/>
                <w:sz w:val="24"/>
              </w:rPr>
            </w:pPr>
            <w:r>
              <w:rPr>
                <w:rFonts w:hint="eastAsia" w:ascii="宋体" w:hAnsi="宋体" w:cs="宋体"/>
                <w:sz w:val="24"/>
              </w:rPr>
              <w:t>支持大数据平台一键巡检，一键检查项包含但不限于数据健康、探针健康检查、大数据集群健康、Elasticsearch健康、实时流计算引擎健康、管理服务健康、服务器节点健康等多种维度检查，并能提供处置建议，一键导出各类服务的故障日志，包括但不限于Elasticsearch、Logstash、Ka**a、实时计算引擎、操作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Merge w:val="continue"/>
            <w:noWrap w:val="0"/>
            <w:vAlign w:val="center"/>
          </w:tcPr>
          <w:p>
            <w:pPr>
              <w:rPr>
                <w:rFonts w:hint="eastAsia" w:ascii="宋体" w:hAnsi="宋体" w:cs="宋体"/>
                <w:sz w:val="24"/>
              </w:rPr>
            </w:pPr>
          </w:p>
        </w:tc>
        <w:tc>
          <w:tcPr>
            <w:tcW w:w="1559" w:type="dxa"/>
            <w:noWrap w:val="0"/>
            <w:vAlign w:val="center"/>
          </w:tcPr>
          <w:p>
            <w:pPr>
              <w:jc w:val="center"/>
              <w:rPr>
                <w:rFonts w:hint="eastAsia" w:ascii="宋体" w:hAnsi="宋体" w:cs="宋体"/>
                <w:sz w:val="24"/>
              </w:rPr>
            </w:pPr>
            <w:r>
              <w:rPr>
                <w:rFonts w:hint="eastAsia" w:ascii="宋体" w:hAnsi="宋体" w:cs="宋体"/>
                <w:sz w:val="24"/>
              </w:rPr>
              <w:t>用户管理</w:t>
            </w:r>
          </w:p>
        </w:tc>
        <w:tc>
          <w:tcPr>
            <w:tcW w:w="7260" w:type="dxa"/>
            <w:noWrap w:val="0"/>
            <w:vAlign w:val="top"/>
          </w:tcPr>
          <w:p>
            <w:pPr>
              <w:numPr>
                <w:ilvl w:val="0"/>
                <w:numId w:val="26"/>
              </w:numPr>
              <w:rPr>
                <w:rFonts w:hint="eastAsia" w:ascii="宋体" w:hAnsi="宋体" w:cs="宋体"/>
                <w:sz w:val="24"/>
              </w:rPr>
            </w:pPr>
            <w:r>
              <w:rPr>
                <w:rFonts w:hint="eastAsia" w:ascii="宋体" w:hAnsi="宋体" w:cs="宋体"/>
                <w:sz w:val="24"/>
              </w:rPr>
              <w:t>提供三权分立的用户管理能力：配置员、用户管理员、审计员相互独立，支持根据对象属性自定义划分系统管理角色和一般用户角色，按照数据和功能分级灵活设置用户权限。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4" w:type="dxa"/>
            <w:gridSpan w:val="2"/>
            <w:noWrap w:val="0"/>
            <w:vAlign w:val="center"/>
          </w:tcPr>
          <w:p>
            <w:pPr>
              <w:jc w:val="center"/>
              <w:rPr>
                <w:rFonts w:hint="eastAsia" w:ascii="宋体" w:hAnsi="宋体" w:cs="宋体"/>
                <w:sz w:val="24"/>
              </w:rPr>
            </w:pPr>
            <w:r>
              <w:rPr>
                <w:rFonts w:hint="eastAsia" w:ascii="宋体" w:hAnsi="宋体" w:cs="宋体"/>
                <w:sz w:val="24"/>
              </w:rPr>
              <w:t>资质要求</w:t>
            </w:r>
          </w:p>
        </w:tc>
        <w:tc>
          <w:tcPr>
            <w:tcW w:w="7260" w:type="dxa"/>
            <w:noWrap w:val="0"/>
            <w:vAlign w:val="top"/>
          </w:tcPr>
          <w:p>
            <w:pPr>
              <w:rPr>
                <w:rFonts w:hint="eastAsia" w:ascii="宋体" w:hAnsi="宋体" w:cs="宋体"/>
                <w:sz w:val="24"/>
              </w:rPr>
            </w:pPr>
            <w:r>
              <w:rPr>
                <w:rFonts w:hint="eastAsia" w:ascii="宋体" w:hAnsi="宋体" w:cs="宋体"/>
                <w:sz w:val="24"/>
              </w:rPr>
              <w:t>原厂商应具有专业的大数据安全分析团队和云安全团队，需提供至少3份由中国信息安全测评中心认证的CISP-BDSA（大数据安全分析师）资质证书（需提供相关证明材料）；</w:t>
            </w:r>
          </w:p>
        </w:tc>
      </w:tr>
    </w:tbl>
    <w:p>
      <w:pPr>
        <w:autoSpaceDE w:val="0"/>
        <w:autoSpaceDN w:val="0"/>
        <w:adjustRightInd w:val="0"/>
        <w:spacing w:line="360" w:lineRule="auto"/>
        <w:ind w:left="1200"/>
        <w:rPr>
          <w:rFonts w:hint="eastAsia" w:ascii="宋体" w:hAnsi="宋体" w:cs="宋体"/>
          <w:sz w:val="24"/>
        </w:rPr>
      </w:pPr>
    </w:p>
    <w:p>
      <w:pPr>
        <w:numPr>
          <w:ilvl w:val="2"/>
          <w:numId w:val="8"/>
        </w:numPr>
        <w:tabs>
          <w:tab w:val="left" w:pos="644"/>
        </w:tabs>
        <w:autoSpaceDE w:val="0"/>
        <w:autoSpaceDN w:val="0"/>
        <w:adjustRightInd w:val="0"/>
        <w:spacing w:line="360" w:lineRule="auto"/>
        <w:rPr>
          <w:rFonts w:hint="eastAsia" w:ascii="宋体" w:hAnsi="宋体" w:cs="宋体"/>
          <w:sz w:val="24"/>
        </w:rPr>
      </w:pPr>
      <w:r>
        <w:rPr>
          <w:rFonts w:hint="eastAsia" w:ascii="宋体" w:hAnsi="宋体" w:cs="宋体"/>
          <w:sz w:val="24"/>
        </w:rPr>
        <w:t>网络流量探针参数指标</w:t>
      </w:r>
    </w:p>
    <w:tbl>
      <w:tblPr>
        <w:tblStyle w:val="42"/>
        <w:tblW w:w="10311" w:type="dxa"/>
        <w:jc w:val="center"/>
        <w:tblLayout w:type="fixed"/>
        <w:tblCellMar>
          <w:top w:w="0" w:type="dxa"/>
          <w:left w:w="108" w:type="dxa"/>
          <w:bottom w:w="0" w:type="dxa"/>
          <w:right w:w="108" w:type="dxa"/>
        </w:tblCellMar>
      </w:tblPr>
      <w:tblGrid>
        <w:gridCol w:w="1349"/>
        <w:gridCol w:w="1420"/>
        <w:gridCol w:w="7542"/>
      </w:tblGrid>
      <w:tr>
        <w:tblPrEx>
          <w:tblCellMar>
            <w:top w:w="0" w:type="dxa"/>
            <w:left w:w="108" w:type="dxa"/>
            <w:bottom w:w="0" w:type="dxa"/>
            <w:right w:w="108" w:type="dxa"/>
          </w:tblCellMar>
        </w:tblPrEx>
        <w:trPr>
          <w:jc w:val="center"/>
        </w:trPr>
        <w:tc>
          <w:tcPr>
            <w:tcW w:w="2769" w:type="dxa"/>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指标项</w:t>
            </w:r>
          </w:p>
        </w:tc>
        <w:tc>
          <w:tcPr>
            <w:tcW w:w="754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指标要求</w:t>
            </w:r>
          </w:p>
        </w:tc>
      </w:tr>
      <w:tr>
        <w:tblPrEx>
          <w:tblCellMar>
            <w:top w:w="0" w:type="dxa"/>
            <w:left w:w="108" w:type="dxa"/>
            <w:bottom w:w="0" w:type="dxa"/>
            <w:right w:w="108" w:type="dxa"/>
          </w:tblCellMar>
        </w:tblPrEx>
        <w:trPr>
          <w:jc w:val="center"/>
        </w:trPr>
        <w:tc>
          <w:tcPr>
            <w:tcW w:w="1349"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硬件规格</w:t>
            </w:r>
          </w:p>
        </w:tc>
        <w:tc>
          <w:tcPr>
            <w:tcW w:w="1420" w:type="dxa"/>
            <w:tcBorders>
              <w:top w:val="single" w:color="auto" w:sz="4" w:space="0"/>
              <w:left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硬件外形</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软硬一体化2U标准机架式设备</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电源</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1+1冗余电源</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CPU</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10核心20线程*2</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硬盘容量</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2T*2，带RAID1，可用磁盘空间不小于2T</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内存</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128G</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接口数量</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sz w:val="24"/>
              </w:rPr>
              <w:t>管理口包括Console*1,USB*2,千兆RJ45网口*2；业务口包括千兆业务口RJ45网口*4，千兆业务SFP光口*4（标配千兆多模光模块*2），万兆SFP光口*2（标配万兆多模光模块*2）</w:t>
            </w:r>
          </w:p>
        </w:tc>
      </w:tr>
      <w:tr>
        <w:tblPrEx>
          <w:tblCellMar>
            <w:top w:w="0" w:type="dxa"/>
            <w:left w:w="108" w:type="dxa"/>
            <w:bottom w:w="0" w:type="dxa"/>
            <w:right w:w="108" w:type="dxa"/>
          </w:tblCellMar>
        </w:tblPrEx>
        <w:trPr>
          <w:jc w:val="center"/>
        </w:trPr>
        <w:tc>
          <w:tcPr>
            <w:tcW w:w="1349"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kern w:val="0"/>
                <w:sz w:val="24"/>
              </w:rPr>
              <w:t>吞吐率</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kern w:val="0"/>
                <w:sz w:val="24"/>
              </w:rPr>
              <w:t>6Gbps</w:t>
            </w:r>
          </w:p>
        </w:tc>
      </w:tr>
      <w:tr>
        <w:tblPrEx>
          <w:tblCellMar>
            <w:top w:w="0" w:type="dxa"/>
            <w:left w:w="108" w:type="dxa"/>
            <w:bottom w:w="0" w:type="dxa"/>
            <w:right w:w="108" w:type="dxa"/>
          </w:tblCellMar>
        </w:tblPrEx>
        <w:trPr>
          <w:jc w:val="center"/>
        </w:trPr>
        <w:tc>
          <w:tcPr>
            <w:tcW w:w="1349"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攻击检测</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全流量检测</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支持全流量检测，可根据需求打开或关闭全流量检测功能</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IPv4&amp;IPv6网络</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支持IPv4和IPv6网络环境下的部署，可同时对IPv4和IPv6网络流量分析检测</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审计协议</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kern w:val="0"/>
                <w:sz w:val="24"/>
              </w:rPr>
              <w:t>支持解析HTTP、FTP、SMTP、POP3、SMB、IMAP、DNS、Mysql、MSSQL、Oracle、HTTPS、SMTPS、POP3S、IMAPS等协议报文（HTTPS、SMTPS、POP3S、IMAPS加密协议解析需要导入服务器私钥证书），并提供审计协议类型的端口号配置，可根据需要变更端口号；</w:t>
            </w:r>
          </w:p>
          <w:p>
            <w:pPr>
              <w:rPr>
                <w:rFonts w:hint="eastAsia" w:ascii="宋体" w:hAnsi="宋体" w:cs="宋体"/>
                <w:kern w:val="0"/>
                <w:sz w:val="24"/>
              </w:rPr>
            </w:pPr>
            <w:r>
              <w:rPr>
                <w:rFonts w:hint="eastAsia" w:ascii="宋体" w:hAnsi="宋体" w:cs="宋体"/>
                <w:kern w:val="0"/>
                <w:sz w:val="24"/>
              </w:rPr>
              <w:t>支持识别QQ、WEB、LDAP、FTP、TELNET、邮件等登录行为；</w:t>
            </w:r>
          </w:p>
          <w:p>
            <w:pPr>
              <w:rPr>
                <w:rFonts w:hint="eastAsia" w:ascii="宋体" w:hAnsi="宋体" w:cs="宋体"/>
                <w:kern w:val="0"/>
                <w:sz w:val="24"/>
              </w:rPr>
            </w:pPr>
            <w:r>
              <w:rPr>
                <w:rFonts w:hint="eastAsia" w:ascii="宋体" w:hAnsi="宋体" w:cs="宋体"/>
                <w:kern w:val="0"/>
                <w:sz w:val="24"/>
              </w:rPr>
              <w:t>支持VLAN、VXLAN、MPLS、GRE等网络流量的解析检测</w:t>
            </w:r>
          </w:p>
          <w:p>
            <w:pPr>
              <w:rPr>
                <w:rFonts w:hint="eastAsia" w:ascii="宋体" w:hAnsi="宋体" w:cs="宋体"/>
                <w:kern w:val="0"/>
                <w:sz w:val="24"/>
              </w:rPr>
            </w:pPr>
            <w:r>
              <w:rPr>
                <w:rFonts w:hint="eastAsia" w:ascii="宋体" w:hAnsi="宋体" w:cs="宋体"/>
                <w:kern w:val="0"/>
                <w:sz w:val="24"/>
              </w:rPr>
              <w:t>支持对2800多种应用流量数据进行统计，包含但不限于QQ、VPN等各种应用</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协议自动识别</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支持非标端口下的常规协议自动识别、解析和威胁检测功能，包括HTTP/FTP/IMAP/SMTP/POP3/SSL/SMB/RDP等；可自定义是否启用该功能</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全流量审计</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sz w:val="24"/>
              </w:rPr>
              <w:t>对2-7层的原始流量深度解析，包括全流量审计、风险日志、会话应用识别、会话应用流量统计、传输层流量统计、应用层流量统计等。</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检测风险类别</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检测WEB攻击、恶意文件攻击、远程控制、WEB后门访问、发件人欺骗、邮件头欺骗、邮件钓鱼、邮件恶意链接、DGA域名请求、SMB远程溢出攻击、WEB行为分析、非法数据传输、弱口令、隧道通信、暴力破解、挖矿、恶意工具利用、密码明文形式传播、漏洞利用、ARP欺骗、扫描行为等风险</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弱口令风险检测</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支持对HTTP、IMAP、SMTP、POP3、Telnet、FTP等协议的弱口令检测</w:t>
            </w:r>
          </w:p>
          <w:p>
            <w:pPr>
              <w:rPr>
                <w:rFonts w:hint="eastAsia" w:ascii="宋体" w:hAnsi="宋体" w:cs="宋体"/>
                <w:sz w:val="24"/>
              </w:rPr>
            </w:pPr>
            <w:r>
              <w:rPr>
                <w:rFonts w:hint="eastAsia" w:ascii="宋体" w:hAnsi="宋体" w:cs="宋体"/>
                <w:sz w:val="24"/>
              </w:rPr>
              <w:t>支持自定义弱口令规则配置（最短口令长度、最少字符类型数），自定义新增弱密码及其检测类型</w:t>
            </w:r>
          </w:p>
          <w:p>
            <w:pPr>
              <w:rPr>
                <w:rFonts w:hint="eastAsia" w:ascii="宋体" w:hAnsi="宋体" w:cs="宋体"/>
                <w:sz w:val="24"/>
              </w:rPr>
            </w:pPr>
            <w:r>
              <w:rPr>
                <w:rFonts w:hint="eastAsia" w:ascii="宋体" w:hAnsi="宋体" w:cs="宋体"/>
                <w:sz w:val="24"/>
              </w:rPr>
              <w:t>支持对HTTP协议请求头中用户认证弱口令、对JSON格式(逗号分割和冒号区分键值)的用户信息提取和弱口令、明文口令和MD5加密口令碰撞的弱口令、BASE64加密口令的弱口令等进行检测</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WEB登录</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支持自定义HTTP登录行为关键字，包括用户名和密码</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暴力破解检测</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支持HTTP、SMB、SMTP、IMAP、POP3、FTP、TELNET、RADMIN、SSH、RDP等协议的暴力破解，能识别出尝试登录次数、账户信息、爆破成功与否的攻击状态。</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密码明文形式传播</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支持HTTP协议的明文密码泄露行为检测，能识别出登录页面URL、账户和明文密码</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端口/IP过滤配置</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支持端口过滤配置，对指定端口的网络流量不做分析检测；支持IP过滤配置，对指定IP或IP对的网络流量不做分析检测，可通过批量导入、导出等方式完成IP过滤的配置</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主机威胁分析</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支持对内网主机进行主机威胁分析，详细展示具体的威胁等级、威胁次数、攻击开始时间、攻击结束时间、威胁性指数统计等</w:t>
            </w:r>
          </w:p>
          <w:p>
            <w:pPr>
              <w:rPr>
                <w:rFonts w:hint="eastAsia" w:ascii="宋体" w:hAnsi="宋体" w:cs="宋体"/>
                <w:sz w:val="24"/>
              </w:rPr>
            </w:pPr>
            <w:r>
              <w:rPr>
                <w:rFonts w:hint="eastAsia" w:ascii="宋体" w:hAnsi="宋体" w:cs="宋体"/>
                <w:kern w:val="0"/>
                <w:sz w:val="24"/>
              </w:rPr>
              <w:t>可按攻击链阶段（弱点探测、渗透入侵、获取权限、命令与控制、数据盗取）详细展示主机相关事件数量</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可根据不同威胁指数的主机实现攻击溯源和攻击过程的可视化分析</w:t>
            </w:r>
          </w:p>
          <w:p>
            <w:pPr>
              <w:rPr>
                <w:rFonts w:hint="eastAsia" w:ascii="宋体" w:hAnsi="宋体" w:cs="宋体"/>
                <w:sz w:val="24"/>
              </w:rPr>
            </w:pPr>
            <w:r>
              <w:rPr>
                <w:rFonts w:hint="eastAsia" w:ascii="宋体" w:hAnsi="宋体" w:cs="宋体"/>
                <w:sz w:val="24"/>
              </w:rPr>
              <w:t>支持攻击路径可视化，直观展示攻击过程和扩散过程，可呈现从外向内、从内向外和内部之间的攻击事件</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kern w:val="0"/>
                <w:sz w:val="24"/>
              </w:rPr>
              <w:t>可通过攻击源、攻击目的对攻击路线进行统计，包括攻击的行为、告警，并以直观的图形化形式展示</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攻击者视角分析</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sz w:val="24"/>
              </w:rPr>
              <w:t>可基于该页面，快速获悉攻击者IP、攻击手段和攻击资产，并支持导出攻击者列表，便于威胁分析人员快速应对和处置</w:t>
            </w:r>
          </w:p>
        </w:tc>
      </w:tr>
      <w:tr>
        <w:tblPrEx>
          <w:tblCellMar>
            <w:top w:w="0" w:type="dxa"/>
            <w:left w:w="108" w:type="dxa"/>
            <w:bottom w:w="0" w:type="dxa"/>
            <w:right w:w="108" w:type="dxa"/>
          </w:tblCellMar>
        </w:tblPrEx>
        <w:trPr>
          <w:jc w:val="center"/>
        </w:trPr>
        <w:tc>
          <w:tcPr>
            <w:tcW w:w="1349"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WEB攻击检测</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协议解析</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 HTTP、HTTPS协议解析，检测WEB攻击</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双向审计</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支持双向审计，对请求和响应都进行审计</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攻击检测</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支持SQL注入、命令注入、跨站脚本、代码注入、协议错误攻击检测</w:t>
            </w:r>
          </w:p>
          <w:p>
            <w:pPr>
              <w:rPr>
                <w:rFonts w:hint="eastAsia" w:ascii="宋体" w:hAnsi="宋体" w:cs="宋体"/>
                <w:sz w:val="24"/>
              </w:rPr>
            </w:pPr>
            <w:r>
              <w:rPr>
                <w:rFonts w:hint="eastAsia" w:ascii="宋体" w:hAnsi="宋体" w:cs="宋体"/>
                <w:sz w:val="24"/>
              </w:rPr>
              <w:t>支持通过智能语义分析引擎，增强对XSS跨站脚本和SQL注入攻击进行检测</w:t>
            </w:r>
          </w:p>
          <w:p>
            <w:pPr>
              <w:rPr>
                <w:rFonts w:hint="eastAsia" w:ascii="宋体" w:hAnsi="宋体" w:cs="宋体"/>
                <w:sz w:val="24"/>
              </w:rPr>
            </w:pPr>
            <w:r>
              <w:rPr>
                <w:rFonts w:hint="eastAsia" w:ascii="宋体" w:hAnsi="宋体" w:cs="宋体"/>
                <w:sz w:val="24"/>
              </w:rPr>
              <w:t>支持通过智能语义分析引擎，检测jsp脚本文件上传</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WEBSHELL检测</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支持WEBSHELL检测，可检测访问webshell的行为，包含具体对应的URL、返回码、返回数据包内容等，可显示一句话类webshell后门是否植入成功</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自定义规则</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kern w:val="0"/>
                <w:sz w:val="24"/>
              </w:rPr>
              <w:t>支持根据规则类型、协议、源IP/端口、目的IP/端口、流量方向、流量状态、风险等级、阈值、Flowbits、规则内容等自定义审计规则</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动态分析</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自动关联行为分析的详细展现，包含SQL注入取数据、表单破解、XSS测试、目录穿越读取文件、多人访问Webshell、APT攻击等。</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场景化分析</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支持场景化的分析能力，对发现的告警进行二次关联，支持对勒索病毒、网站后门、邮件APT攻击等事件进行预警。</w:t>
            </w:r>
          </w:p>
        </w:tc>
      </w:tr>
      <w:tr>
        <w:tblPrEx>
          <w:tblCellMar>
            <w:top w:w="0" w:type="dxa"/>
            <w:left w:w="108" w:type="dxa"/>
            <w:bottom w:w="0" w:type="dxa"/>
            <w:right w:w="108" w:type="dxa"/>
          </w:tblCellMar>
        </w:tblPrEx>
        <w:trPr>
          <w:jc w:val="center"/>
        </w:trPr>
        <w:tc>
          <w:tcPr>
            <w:tcW w:w="1349"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DNS协议分析</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具备DNS协议分析能力，发现受感染主机、危害程度、被感染病毒类型、回连C&amp;C域名、DNS返回详情、恶意主机明细等行为。</w:t>
            </w:r>
          </w:p>
        </w:tc>
      </w:tr>
      <w:tr>
        <w:tblPrEx>
          <w:tblCellMar>
            <w:top w:w="0" w:type="dxa"/>
            <w:left w:w="108" w:type="dxa"/>
            <w:bottom w:w="0" w:type="dxa"/>
            <w:right w:w="108" w:type="dxa"/>
          </w:tblCellMar>
        </w:tblPrEx>
        <w:trPr>
          <w:jc w:val="center"/>
        </w:trPr>
        <w:tc>
          <w:tcPr>
            <w:tcW w:w="1349"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Mail攻击检测</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协议解析</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支持解析webmail、SMTP、POP3、IMAP、SMTPS、POP3S、IMAPS（加密协议需要导入服务器私钥证书）类型报文</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Webmail攻击检测</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支持基于webmail攻击类型检测，包括sql注入、跨站、命令注入等攻击检测</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社工类攻击检测</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对社工类攻击进行检测，检测内容包括：邮件头欺骗、邮件发件人欺骗、邮件钓鱼欺骗、邮件恶意链接</w:t>
            </w:r>
          </w:p>
        </w:tc>
      </w:tr>
      <w:tr>
        <w:tblPrEx>
          <w:tblCellMar>
            <w:top w:w="0" w:type="dxa"/>
            <w:left w:w="108" w:type="dxa"/>
            <w:bottom w:w="0" w:type="dxa"/>
            <w:right w:w="108" w:type="dxa"/>
          </w:tblCellMar>
        </w:tblPrEx>
        <w:trPr>
          <w:jc w:val="center"/>
        </w:trPr>
        <w:tc>
          <w:tcPr>
            <w:tcW w:w="1349"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恶意附件检测</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支持邮件恶意附件行为检测</w:t>
            </w:r>
          </w:p>
        </w:tc>
      </w:tr>
      <w:tr>
        <w:tblPrEx>
          <w:tblCellMar>
            <w:top w:w="0" w:type="dxa"/>
            <w:left w:w="108" w:type="dxa"/>
            <w:bottom w:w="0" w:type="dxa"/>
            <w:right w:w="108" w:type="dxa"/>
          </w:tblCellMar>
        </w:tblPrEx>
        <w:trPr>
          <w:jc w:val="center"/>
        </w:trPr>
        <w:tc>
          <w:tcPr>
            <w:tcW w:w="1349"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文件攻击检测</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解析协议</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 HTTP、FTP、SMB、SMTP、POP3、IMAP、NFS、TFTP、HTTPS、SMTPS、POP3S、IMAPS（加密协议需要导入服务器私钥证书）等协议传输文件检测</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文件类型</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支持doc, xls, ppt, swf, pdf, rar, zip, rar, exe, vbs, scr、ps1、elf等多种文件解析</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文件分析</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rPr>
            </w:pPr>
            <w:r>
              <w:rPr>
                <w:rFonts w:hint="eastAsia" w:ascii="宋体" w:hAnsi="宋体" w:cs="宋体"/>
                <w:kern w:val="0"/>
                <w:sz w:val="24"/>
              </w:rPr>
              <w:t>支持自定义上传文件样本进行威胁分析</w:t>
            </w:r>
          </w:p>
          <w:p>
            <w:pPr>
              <w:rPr>
                <w:rFonts w:hint="eastAsia" w:ascii="宋体" w:hAnsi="宋体" w:cs="宋体"/>
                <w:sz w:val="24"/>
              </w:rPr>
            </w:pPr>
            <w:r>
              <w:rPr>
                <w:rFonts w:hint="eastAsia" w:ascii="宋体" w:hAnsi="宋体" w:cs="宋体"/>
                <w:kern w:val="0"/>
                <w:sz w:val="24"/>
              </w:rPr>
              <w:t>支持批量上传文件</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Shellcode检测</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通过分析文件中的二进制代码，找到文件溢出攻击的代码，并能找到APT攻击中的0day攻击</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动态沙箱检测</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动态执行可疑文件，分析代码的注册表、进程、网络、文件等行为，分析其安全风险</w:t>
            </w:r>
          </w:p>
          <w:p>
            <w:pPr>
              <w:rPr>
                <w:rFonts w:hint="eastAsia" w:ascii="宋体" w:hAnsi="宋体" w:cs="宋体"/>
                <w:sz w:val="24"/>
              </w:rPr>
            </w:pPr>
            <w:r>
              <w:rPr>
                <w:rFonts w:hint="eastAsia" w:ascii="宋体" w:hAnsi="宋体" w:cs="宋体"/>
                <w:sz w:val="24"/>
              </w:rPr>
              <w:t>对文件关键行为进行截图</w:t>
            </w:r>
          </w:p>
          <w:p>
            <w:pPr>
              <w:rPr>
                <w:rFonts w:hint="eastAsia" w:ascii="宋体" w:hAnsi="宋体" w:cs="宋体"/>
                <w:sz w:val="24"/>
              </w:rPr>
            </w:pPr>
            <w:r>
              <w:rPr>
                <w:rFonts w:hint="eastAsia" w:ascii="宋体" w:hAnsi="宋体" w:cs="宋体"/>
                <w:sz w:val="24"/>
              </w:rPr>
              <w:t>可展示具体文件的行为，包括所有的注册表行为、进程行为、互斥量、返回结果、返回值等信息</w:t>
            </w:r>
          </w:p>
          <w:p>
            <w:pPr>
              <w:rPr>
                <w:rFonts w:hint="eastAsia" w:ascii="宋体" w:hAnsi="宋体" w:cs="宋体"/>
                <w:sz w:val="24"/>
              </w:rPr>
            </w:pPr>
            <w:r>
              <w:rPr>
                <w:rFonts w:hint="eastAsia" w:ascii="宋体" w:hAnsi="宋体" w:cs="宋体"/>
                <w:sz w:val="24"/>
              </w:rPr>
              <w:t>可显示文件运行过程中企图访问的IP、域名，以及域名及对应的IP</w:t>
            </w:r>
          </w:p>
          <w:p>
            <w:pPr>
              <w:rPr>
                <w:rFonts w:hint="eastAsia" w:ascii="宋体" w:hAnsi="宋体" w:cs="宋体"/>
                <w:sz w:val="24"/>
              </w:rPr>
            </w:pPr>
            <w:r>
              <w:rPr>
                <w:rFonts w:hint="eastAsia" w:ascii="宋体" w:hAnsi="宋体" w:cs="宋体"/>
                <w:sz w:val="24"/>
              </w:rPr>
              <w:t>支持沙箱逃逸检测，当恶意文件进行逃逸尝试，在沙箱报告中进行体现采用多并发沙箱检测技术，集成主流的操作系统winXP、win7、win10、linux等多种检测环境，拥有多项自主研发技术和专利。结合平台内置反病毒引擎和静态分析技术对恶意特征文件、文件漏洞、未知威胁等深度关联分析</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子文件扫描</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对文件内部嵌入的子文件可进行二次扫描，分析安全性</w:t>
            </w:r>
          </w:p>
        </w:tc>
      </w:tr>
      <w:tr>
        <w:tblPrEx>
          <w:tblCellMar>
            <w:top w:w="0" w:type="dxa"/>
            <w:left w:w="108" w:type="dxa"/>
            <w:bottom w:w="0" w:type="dxa"/>
            <w:right w:w="108" w:type="dxa"/>
          </w:tblCellMar>
        </w:tblPrEx>
        <w:trPr>
          <w:jc w:val="center"/>
        </w:trPr>
        <w:tc>
          <w:tcPr>
            <w:tcW w:w="1349"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管理功能</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资产识别和管理</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对流量中的IP地址、端口等进行统计，快速识别未登记资产。可基于特定应用或服务对内部资产进行梳理（系统类型、IP、域名、端口等），查看资产端口暴露情况，特别是以非标端口提供的服务情况；可深入识别运行在资产上的中间件、应用、技术架构的详细情况（类型、版本、服务名称等）</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widowControl/>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一键登录排错</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支持一键登录排错平台，对系统进行深度配置和排错，支持一键检测故障、配置核对、表分区检查、表检测、信息收集等功能。</w:t>
            </w:r>
          </w:p>
        </w:tc>
      </w:tr>
      <w:tr>
        <w:tblPrEx>
          <w:tblCellMar>
            <w:top w:w="0" w:type="dxa"/>
            <w:left w:w="108" w:type="dxa"/>
            <w:bottom w:w="0" w:type="dxa"/>
            <w:right w:w="108" w:type="dxa"/>
          </w:tblCellMar>
        </w:tblPrEx>
        <w:trPr>
          <w:jc w:val="center"/>
        </w:trPr>
        <w:tc>
          <w:tcPr>
            <w:tcW w:w="1349"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数据外送至第三方平台</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具备数据外送至第三方平台的能力，支持以KA**A、FTP、SYSLOG数据接口输出审计信息、风险信息、会话应用识别信息、会话应用流量统计信息、传输层流量统计、应用层统计信息和登录行为统计信息</w:t>
            </w:r>
          </w:p>
          <w:p>
            <w:pPr>
              <w:rPr>
                <w:rFonts w:hint="eastAsia" w:ascii="宋体" w:hAnsi="宋体" w:cs="宋体"/>
                <w:sz w:val="24"/>
              </w:rPr>
            </w:pPr>
            <w:r>
              <w:rPr>
                <w:rFonts w:hint="eastAsia" w:ascii="宋体" w:hAnsi="宋体" w:cs="宋体"/>
                <w:sz w:val="24"/>
              </w:rPr>
              <w:t>支持元数据按照服务器配置、发送配置、发送情况进行设置。KA**A发送配置可以按照发送状态、主题、服务器列表、服务器响应、服务器版本、是否需要压缩、json格式设置。支持字段名称禁用和启用进行配置</w:t>
            </w:r>
          </w:p>
        </w:tc>
      </w:tr>
      <w:tr>
        <w:tblPrEx>
          <w:tblCellMar>
            <w:top w:w="0" w:type="dxa"/>
            <w:left w:w="108" w:type="dxa"/>
            <w:bottom w:w="0" w:type="dxa"/>
            <w:right w:w="108" w:type="dxa"/>
          </w:tblCellMar>
        </w:tblPrEx>
        <w:trPr>
          <w:jc w:val="center"/>
        </w:trPr>
        <w:tc>
          <w:tcPr>
            <w:tcW w:w="1349"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日志报表</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告警与报表</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支持ka**a、短信、邮件、syslog、ftp、钉钉等告警方式</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widowControl/>
              <w:rPr>
                <w:rFonts w:hint="eastAsia" w:ascii="宋体" w:hAnsi="宋体" w:cs="宋体"/>
                <w:sz w:val="24"/>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支持对ka**a、syslog发送的风险信息进行AES加密传输</w:t>
            </w:r>
          </w:p>
        </w:tc>
      </w:tr>
      <w:tr>
        <w:tblPrEx>
          <w:tblCellMar>
            <w:top w:w="0" w:type="dxa"/>
            <w:left w:w="108" w:type="dxa"/>
            <w:bottom w:w="0" w:type="dxa"/>
            <w:right w:w="108" w:type="dxa"/>
          </w:tblCellMar>
        </w:tblPrEx>
        <w:trPr>
          <w:jc w:val="center"/>
        </w:trPr>
        <w:tc>
          <w:tcPr>
            <w:tcW w:w="1349" w:type="dxa"/>
            <w:vMerge w:val="continue"/>
            <w:tcBorders>
              <w:left w:val="single" w:color="auto" w:sz="4" w:space="0"/>
              <w:right w:val="single" w:color="auto" w:sz="4" w:space="0"/>
            </w:tcBorders>
            <w:noWrap w:val="0"/>
            <w:vAlign w:val="center"/>
          </w:tcPr>
          <w:p>
            <w:pPr>
              <w:widowControl/>
              <w:rPr>
                <w:rFonts w:hint="eastAsia" w:ascii="宋体" w:hAnsi="宋体" w:cs="宋体"/>
                <w:sz w:val="24"/>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 xml:space="preserve">支持同时发送多人、单条发送、发送统计等高级告警功能； </w:t>
            </w:r>
          </w:p>
        </w:tc>
      </w:tr>
      <w:tr>
        <w:tblPrEx>
          <w:tblCellMar>
            <w:top w:w="0" w:type="dxa"/>
            <w:left w:w="108" w:type="dxa"/>
            <w:bottom w:w="0" w:type="dxa"/>
            <w:right w:w="108" w:type="dxa"/>
          </w:tblCellMar>
        </w:tblPrEx>
        <w:trPr>
          <w:jc w:val="center"/>
        </w:trPr>
        <w:tc>
          <w:tcPr>
            <w:tcW w:w="1349"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日志数据管理</w:t>
            </w:r>
          </w:p>
        </w:tc>
        <w:tc>
          <w:tcPr>
            <w:tcW w:w="7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审计数据保留策略应至少满足天数和百分比两个控制参数，支持web界面可配置，且恢复数据不影响正常的审计功能。对审计日志可自动备份并加密，必须导入设备才能进行恢复查看，并可自动释放磁盘空间。</w:t>
            </w:r>
          </w:p>
        </w:tc>
      </w:tr>
    </w:tbl>
    <w:p>
      <w:pPr>
        <w:autoSpaceDE w:val="0"/>
        <w:autoSpaceDN w:val="0"/>
        <w:adjustRightInd w:val="0"/>
        <w:spacing w:line="360" w:lineRule="auto"/>
        <w:rPr>
          <w:rFonts w:hint="eastAsia" w:ascii="宋体" w:hAnsi="宋体" w:cs="宋体"/>
          <w:sz w:val="24"/>
        </w:rPr>
      </w:pPr>
    </w:p>
    <w:p>
      <w:pPr>
        <w:autoSpaceDE w:val="0"/>
        <w:autoSpaceDN w:val="0"/>
        <w:adjustRightInd w:val="0"/>
        <w:spacing w:line="360" w:lineRule="auto"/>
        <w:rPr>
          <w:rFonts w:hint="eastAsia" w:ascii="宋体" w:hAnsi="宋体" w:cs="宋体"/>
          <w:sz w:val="24"/>
        </w:rPr>
      </w:pPr>
    </w:p>
    <w:p>
      <w:pPr>
        <w:tabs>
          <w:tab w:val="left" w:pos="644"/>
          <w:tab w:val="left" w:pos="1200"/>
        </w:tabs>
        <w:autoSpaceDE w:val="0"/>
        <w:autoSpaceDN w:val="0"/>
        <w:adjustRightInd w:val="0"/>
        <w:spacing w:line="360" w:lineRule="auto"/>
        <w:ind w:left="709"/>
        <w:rPr>
          <w:rFonts w:hint="eastAsia" w:ascii="宋体" w:hAnsi="宋体" w:cs="宋体"/>
          <w:color w:val="000000"/>
          <w:sz w:val="24"/>
        </w:rPr>
      </w:pPr>
      <w:r>
        <w:rPr>
          <w:rFonts w:hint="eastAsia" w:ascii="宋体" w:hAnsi="宋体" w:cs="宋体"/>
          <w:sz w:val="24"/>
        </w:rPr>
        <w:t>3、</w:t>
      </w:r>
      <w:r>
        <w:rPr>
          <w:rFonts w:hint="eastAsia" w:ascii="宋体" w:hAnsi="宋体" w:cs="宋体"/>
          <w:color w:val="000000"/>
          <w:sz w:val="24"/>
        </w:rPr>
        <w:t>万兆上网行为管理设备参数指标</w:t>
      </w:r>
    </w:p>
    <w:tbl>
      <w:tblPr>
        <w:tblStyle w:val="42"/>
        <w:tblW w:w="9873"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45"/>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242" w:type="dxa"/>
            <w:noWrap w:val="0"/>
            <w:vAlign w:val="center"/>
          </w:tcPr>
          <w:p>
            <w:pPr>
              <w:rPr>
                <w:rFonts w:hint="eastAsia" w:ascii="宋体" w:hAnsi="宋体" w:cs="宋体"/>
                <w:color w:val="000000"/>
                <w:kern w:val="0"/>
                <w:sz w:val="24"/>
              </w:rPr>
            </w:pPr>
            <w:r>
              <w:rPr>
                <w:rFonts w:hint="eastAsia" w:ascii="宋体" w:hAnsi="宋体" w:cs="宋体"/>
                <w:color w:val="000000"/>
                <w:kern w:val="0"/>
                <w:sz w:val="24"/>
              </w:rPr>
              <w:t>项目</w:t>
            </w: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指标</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具体功能要求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42" w:type="dxa"/>
            <w:vMerge w:val="restart"/>
            <w:noWrap w:val="0"/>
            <w:vAlign w:val="center"/>
          </w:tcPr>
          <w:p>
            <w:pPr>
              <w:rPr>
                <w:rFonts w:hint="eastAsia" w:ascii="宋体" w:hAnsi="宋体" w:cs="宋体"/>
                <w:color w:val="000000"/>
                <w:kern w:val="0"/>
                <w:sz w:val="24"/>
              </w:rPr>
            </w:pPr>
            <w:r>
              <w:rPr>
                <w:rFonts w:hint="eastAsia" w:ascii="宋体" w:hAnsi="宋体" w:cs="宋体"/>
                <w:color w:val="000000"/>
                <w:kern w:val="0"/>
                <w:sz w:val="24"/>
              </w:rPr>
              <w:t>硬件规格</w:t>
            </w: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带宽性能</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≥18Gb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吞吐量</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≥35Gb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并发会话数</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≥16,000,000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用户规模</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≥150000人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设备接口</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4个千兆电口；4个千兆光口；6个万兆光口；1个RJ45串口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硬盘</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1TB SATA硬盘+64G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BYPASS</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电源</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尺寸</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标准2U架构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42" w:type="dxa"/>
            <w:vMerge w:val="restart"/>
            <w:noWrap w:val="0"/>
            <w:vAlign w:val="center"/>
          </w:tcPr>
          <w:p>
            <w:pPr>
              <w:rPr>
                <w:rFonts w:hint="eastAsia" w:ascii="宋体" w:hAnsi="宋体" w:cs="宋体"/>
                <w:color w:val="000000"/>
                <w:kern w:val="0"/>
                <w:sz w:val="24"/>
              </w:rPr>
            </w:pPr>
            <w:r>
              <w:rPr>
                <w:rFonts w:hint="eastAsia" w:ascii="宋体" w:hAnsi="宋体" w:cs="宋体"/>
                <w:color w:val="000000"/>
                <w:kern w:val="0"/>
                <w:sz w:val="24"/>
              </w:rPr>
              <w:t>部署方式</w:t>
            </w:r>
          </w:p>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网关模式</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支持网关模式部署，支持NAT、路由转发、DHCP、GRE、OSPF等路由功能；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多主模式</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必须支持两台及两台以上设备同时做主机的部署模式；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虚拟化模式</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支持基于虚拟化平台的软件版本，支持的虚拟平台包括：VMware、深信服超融合等虚拟化平台。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242" w:type="dxa"/>
            <w:vMerge w:val="restart"/>
            <w:noWrap w:val="0"/>
            <w:vAlign w:val="center"/>
          </w:tcPr>
          <w:p>
            <w:pPr>
              <w:rPr>
                <w:rFonts w:hint="eastAsia" w:ascii="宋体" w:hAnsi="宋体" w:cs="宋体"/>
                <w:color w:val="000000"/>
                <w:kern w:val="0"/>
                <w:sz w:val="24"/>
              </w:rPr>
            </w:pPr>
            <w:r>
              <w:rPr>
                <w:rFonts w:hint="eastAsia" w:ascii="宋体" w:hAnsi="宋体" w:cs="宋体"/>
                <w:color w:val="000000"/>
                <w:kern w:val="0"/>
                <w:sz w:val="24"/>
              </w:rPr>
              <w:t>网关管理</w:t>
            </w: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管理界面</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支持SSL加密WEB方式、SSH命令行方式管理设备；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链路负载</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 xml:space="preserve">为了提高出口多链路利用率，要求支持按剩余带宽、带宽比例、平均分配、前面优先的方式进行多链路负载。支持使用VPN做专线备份，支持链路故障检测；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242" w:type="dxa"/>
            <w:noWrap w:val="0"/>
            <w:vAlign w:val="center"/>
          </w:tcPr>
          <w:p>
            <w:pPr>
              <w:rPr>
                <w:rFonts w:hint="eastAsia" w:ascii="宋体" w:hAnsi="宋体" w:cs="宋体"/>
                <w:color w:val="000000"/>
                <w:kern w:val="0"/>
                <w:sz w:val="24"/>
              </w:rPr>
            </w:pPr>
            <w:r>
              <w:rPr>
                <w:rFonts w:hint="eastAsia" w:ascii="宋体" w:hAnsi="宋体" w:cs="宋体"/>
                <w:color w:val="000000"/>
                <w:kern w:val="0"/>
                <w:sz w:val="24"/>
              </w:rPr>
              <w:t>接入认证</w:t>
            </w: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多种认证方式</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1.支持触发式WEB认证，支持用户名密码认证、IP和mac认证、短信认证、二维码认证、单点登录认证等多种认证方式；</w:t>
            </w:r>
          </w:p>
          <w:p>
            <w:pPr>
              <w:rPr>
                <w:rFonts w:hint="eastAsia" w:ascii="宋体" w:hAnsi="宋体" w:cs="宋体"/>
                <w:color w:val="000000"/>
                <w:kern w:val="0"/>
                <w:sz w:val="24"/>
              </w:rPr>
            </w:pPr>
            <w:r>
              <w:rPr>
                <w:rFonts w:hint="eastAsia" w:ascii="宋体" w:hAnsi="宋体" w:cs="宋体"/>
                <w:color w:val="000000"/>
                <w:kern w:val="0"/>
                <w:sz w:val="24"/>
              </w:rPr>
              <w:t>2.用户身份源：支持对接多种用户源，包含内置账户、AD域用户、LDAP服务器用户验证、RADIUS服务器、数据库服务器、POP3服务器、第三方认证系统等；</w:t>
            </w:r>
          </w:p>
          <w:p>
            <w:pPr>
              <w:rPr>
                <w:rFonts w:hint="eastAsia" w:ascii="宋体" w:hAnsi="宋体" w:cs="宋体"/>
                <w:color w:val="000000"/>
                <w:kern w:val="0"/>
                <w:sz w:val="24"/>
              </w:rPr>
            </w:pPr>
            <w:r>
              <w:rPr>
                <w:rFonts w:hint="eastAsia" w:ascii="宋体" w:hAnsi="宋体" w:cs="宋体"/>
                <w:color w:val="000000"/>
                <w:kern w:val="0"/>
                <w:sz w:val="24"/>
              </w:rPr>
              <w:t>3.支持基于802.1x的接入认证。</w:t>
            </w:r>
          </w:p>
          <w:p>
            <w:pPr>
              <w:rPr>
                <w:rFonts w:hint="eastAsia" w:ascii="宋体" w:hAnsi="宋体" w:cs="宋体"/>
                <w:color w:val="000000"/>
                <w:kern w:val="0"/>
                <w:sz w:val="24"/>
              </w:rPr>
            </w:pPr>
            <w:r>
              <w:rPr>
                <w:rFonts w:hint="eastAsia" w:ascii="宋体" w:hAnsi="宋体" w:cs="宋体"/>
                <w:color w:val="000000"/>
                <w:kern w:val="0"/>
                <w:sz w:val="24"/>
              </w:rPr>
              <w:t>4.满足东阳教育网要求的各种认证方式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242" w:type="dxa"/>
            <w:vMerge w:val="restart"/>
            <w:noWrap w:val="0"/>
            <w:vAlign w:val="center"/>
          </w:tcPr>
          <w:p>
            <w:pPr>
              <w:rPr>
                <w:rFonts w:hint="eastAsia" w:ascii="宋体" w:hAnsi="宋体" w:cs="宋体"/>
                <w:color w:val="000000"/>
                <w:kern w:val="0"/>
                <w:sz w:val="24"/>
              </w:rPr>
            </w:pPr>
            <w:r>
              <w:rPr>
                <w:rFonts w:hint="eastAsia" w:ascii="宋体" w:hAnsi="宋体" w:cs="宋体"/>
                <w:color w:val="000000"/>
                <w:kern w:val="0"/>
                <w:sz w:val="24"/>
              </w:rPr>
              <w:t>实时监控</w:t>
            </w: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首页可视化分析展示</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 xml:space="preserve">支持首页分析显示接入用户人数、终端类型、认证方式；带宽质量分析、实时流量排名；泄密风险、违规访问、共享上网等行为风险情况；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Web访问质量检测</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针对内网用户的web访问质量进行检测，对整体网络提供清晰的整体网络质量评级，支持以列表形式展示访问质量差的用户名单，支持对单用户进行定向web访问质量检测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center"/>
          </w:tcPr>
          <w:p>
            <w:pPr>
              <w:rPr>
                <w:rFonts w:hint="eastAsia" w:ascii="宋体" w:hAnsi="宋体" w:cs="宋体"/>
                <w:color w:val="000000"/>
                <w:kern w:val="0"/>
                <w:sz w:val="24"/>
              </w:rPr>
            </w:pPr>
            <w:r>
              <w:rPr>
                <w:rFonts w:hint="eastAsia" w:ascii="宋体" w:hAnsi="宋体" w:cs="宋体"/>
                <w:color w:val="000000"/>
                <w:kern w:val="0"/>
                <w:sz w:val="24"/>
              </w:rPr>
              <w:t>支持网络故障排查</w:t>
            </w:r>
          </w:p>
        </w:tc>
        <w:tc>
          <w:tcPr>
            <w:tcW w:w="7186" w:type="dxa"/>
            <w:noWrap w:val="0"/>
            <w:vAlign w:val="bottom"/>
          </w:tcPr>
          <w:p>
            <w:pPr>
              <w:rPr>
                <w:rFonts w:hint="eastAsia" w:ascii="宋体" w:hAnsi="宋体" w:cs="宋体"/>
                <w:color w:val="000000"/>
                <w:kern w:val="0"/>
                <w:sz w:val="24"/>
              </w:rPr>
            </w:pPr>
            <w:r>
              <w:rPr>
                <w:rFonts w:hint="eastAsia" w:ascii="宋体" w:hAnsi="宋体" w:cs="宋体"/>
                <w:color w:val="000000"/>
                <w:kern w:val="0"/>
                <w:sz w:val="24"/>
              </w:rPr>
              <w:t xml:space="preserve">支持PPS异常、丢包异常、ARP异常、内网DOS攻击等异常情况实时监测，显示每日异常事件个数及情况；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center"/>
          </w:tcPr>
          <w:p>
            <w:pPr>
              <w:rPr>
                <w:rFonts w:hint="eastAsia" w:ascii="宋体" w:hAnsi="宋体" w:cs="宋体"/>
                <w:color w:val="000000"/>
                <w:kern w:val="0"/>
                <w:sz w:val="24"/>
              </w:rPr>
            </w:pPr>
            <w:r>
              <w:rPr>
                <w:rFonts w:hint="eastAsia" w:ascii="宋体" w:hAnsi="宋体" w:cs="宋体"/>
                <w:color w:val="000000"/>
                <w:kern w:val="0"/>
                <w:sz w:val="24"/>
              </w:rPr>
              <w:t>支持权限策略故障排查</w:t>
            </w:r>
          </w:p>
        </w:tc>
        <w:tc>
          <w:tcPr>
            <w:tcW w:w="7186" w:type="dxa"/>
            <w:noWrap w:val="0"/>
            <w:vAlign w:val="bottom"/>
          </w:tcPr>
          <w:p>
            <w:pPr>
              <w:rPr>
                <w:rFonts w:hint="eastAsia" w:ascii="宋体" w:hAnsi="宋体" w:cs="宋体"/>
                <w:color w:val="000000"/>
                <w:kern w:val="0"/>
                <w:sz w:val="24"/>
              </w:rPr>
            </w:pPr>
            <w:r>
              <w:rPr>
                <w:rFonts w:hint="eastAsia" w:ascii="宋体" w:hAnsi="宋体" w:cs="宋体"/>
                <w:color w:val="000000"/>
                <w:kern w:val="0"/>
                <w:sz w:val="24"/>
              </w:rPr>
              <w:t xml:space="preserve">支持针对上网权限策略进行检测分析，查看各个应用是否匹配相关策略；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center"/>
          </w:tcPr>
          <w:p>
            <w:pPr>
              <w:rPr>
                <w:rFonts w:hint="eastAsia" w:ascii="宋体" w:hAnsi="宋体" w:cs="宋体"/>
                <w:color w:val="000000"/>
                <w:kern w:val="0"/>
                <w:sz w:val="24"/>
              </w:rPr>
            </w:pPr>
            <w:r>
              <w:rPr>
                <w:rFonts w:hint="eastAsia" w:ascii="宋体" w:hAnsi="宋体" w:cs="宋体"/>
                <w:color w:val="000000"/>
                <w:kern w:val="0"/>
                <w:sz w:val="24"/>
              </w:rPr>
              <w:t>用户认证故障排查</w:t>
            </w:r>
          </w:p>
        </w:tc>
        <w:tc>
          <w:tcPr>
            <w:tcW w:w="7186" w:type="dxa"/>
            <w:noWrap w:val="0"/>
            <w:vAlign w:val="bottom"/>
          </w:tcPr>
          <w:p>
            <w:pPr>
              <w:rPr>
                <w:rFonts w:hint="eastAsia" w:ascii="宋体" w:hAnsi="宋体" w:cs="宋体"/>
                <w:color w:val="000000"/>
                <w:kern w:val="0"/>
                <w:sz w:val="24"/>
              </w:rPr>
            </w:pPr>
            <w:r>
              <w:rPr>
                <w:rFonts w:hint="eastAsia" w:ascii="宋体" w:hAnsi="宋体" w:cs="宋体"/>
                <w:color w:val="000000"/>
                <w:kern w:val="0"/>
                <w:sz w:val="24"/>
              </w:rPr>
              <w:t xml:space="preserve">支持针对用户认证的故障进行分析，给出错误详情以及处置建议；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242" w:type="dxa"/>
            <w:vMerge w:val="restart"/>
            <w:noWrap w:val="0"/>
            <w:vAlign w:val="center"/>
          </w:tcPr>
          <w:p>
            <w:pPr>
              <w:rPr>
                <w:rFonts w:hint="eastAsia" w:ascii="宋体" w:hAnsi="宋体" w:cs="宋体"/>
                <w:color w:val="000000"/>
                <w:kern w:val="0"/>
                <w:sz w:val="24"/>
              </w:rPr>
            </w:pPr>
            <w:r>
              <w:rPr>
                <w:rFonts w:hint="eastAsia" w:ascii="宋体" w:hAnsi="宋体" w:cs="宋体"/>
                <w:color w:val="000000"/>
                <w:kern w:val="0"/>
                <w:sz w:val="24"/>
              </w:rPr>
              <w:t>用户管理</w:t>
            </w: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终端管理</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1.支持图形化查看当前内网IP使用情况，帮助管理员减少人工维护IP表的工作量；</w:t>
            </w:r>
          </w:p>
          <w:p>
            <w:pPr>
              <w:rPr>
                <w:rFonts w:hint="eastAsia" w:ascii="宋体" w:hAnsi="宋体" w:cs="宋体"/>
                <w:color w:val="000000"/>
                <w:kern w:val="0"/>
                <w:sz w:val="24"/>
              </w:rPr>
            </w:pPr>
            <w:r>
              <w:rPr>
                <w:rFonts w:hint="eastAsia" w:ascii="宋体" w:hAnsi="宋体" w:cs="宋体"/>
                <w:color w:val="000000"/>
                <w:kern w:val="0"/>
                <w:sz w:val="24"/>
              </w:rPr>
              <w:t>2.对网络接入的终端进行可视化管理，展示终端详细信息、在线状态等 ；</w:t>
            </w:r>
          </w:p>
          <w:p>
            <w:pPr>
              <w:rPr>
                <w:rFonts w:hint="eastAsia" w:ascii="宋体" w:hAnsi="宋体" w:cs="宋体"/>
                <w:color w:val="000000"/>
                <w:kern w:val="0"/>
                <w:sz w:val="24"/>
              </w:rPr>
            </w:pPr>
            <w:r>
              <w:rPr>
                <w:rFonts w:hint="eastAsia" w:ascii="宋体" w:hAnsi="宋体" w:cs="宋体"/>
                <w:color w:val="000000"/>
                <w:kern w:val="0"/>
                <w:sz w:val="24"/>
              </w:rPr>
              <w:t>3.支持查看终端类型，以及终端详细信息（厂商，系统，端口等）；</w:t>
            </w:r>
          </w:p>
          <w:p>
            <w:pPr>
              <w:rPr>
                <w:rFonts w:hint="eastAsia" w:ascii="宋体" w:hAnsi="宋体" w:cs="宋体"/>
                <w:color w:val="000000"/>
                <w:kern w:val="0"/>
                <w:sz w:val="24"/>
              </w:rPr>
            </w:pPr>
            <w:r>
              <w:rPr>
                <w:rFonts w:hint="eastAsia" w:ascii="宋体" w:hAnsi="宋体" w:cs="宋体"/>
                <w:color w:val="000000"/>
                <w:kern w:val="0"/>
                <w:sz w:val="24"/>
              </w:rPr>
              <w:t>4.支持查看终端类型分布。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noWrap w:val="0"/>
            <w:vAlign w:val="top"/>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二维码认证</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支持二维码认证，管理员扫描访客的二维码后对其网络访问授权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242" w:type="dxa"/>
            <w:vMerge w:val="continue"/>
            <w:noWrap w:val="0"/>
            <w:vAlign w:val="top"/>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用户密码强度</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 xml:space="preserve">可对用户密码强度进行限制，如设置用户密码不能等于用户名、新密码不能与旧密码相同、可设置密码最小长度、可设置密码必须包括数字或字母或特殊字符；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42" w:type="dxa"/>
            <w:vMerge w:val="restart"/>
            <w:noWrap w:val="0"/>
            <w:vAlign w:val="center"/>
          </w:tcPr>
          <w:p>
            <w:pPr>
              <w:rPr>
                <w:rFonts w:hint="eastAsia" w:ascii="宋体" w:hAnsi="宋体" w:cs="宋体"/>
                <w:color w:val="000000"/>
                <w:kern w:val="0"/>
                <w:sz w:val="24"/>
              </w:rPr>
            </w:pPr>
            <w:r>
              <w:rPr>
                <w:rFonts w:hint="eastAsia" w:ascii="宋体" w:hAnsi="宋体" w:cs="宋体"/>
                <w:color w:val="000000"/>
                <w:kern w:val="0"/>
                <w:sz w:val="24"/>
              </w:rPr>
              <w:t>应用管理</w:t>
            </w: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应用控制</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设备内置应用识别规则库</w:t>
            </w:r>
            <w:bookmarkStart w:id="2" w:name="OLE_LINK2"/>
            <w:bookmarkStart w:id="3" w:name="OLE_LINK1"/>
            <w:r>
              <w:rPr>
                <w:rFonts w:hint="eastAsia" w:ascii="宋体" w:hAnsi="宋体" w:cs="宋体"/>
                <w:color w:val="000000"/>
                <w:kern w:val="0"/>
                <w:sz w:val="24"/>
              </w:rPr>
              <w:t>，支持超过10000条应用规则数，支持超过6000种以上的应用，1000种以上移动应用，并保持每两个星期更新一次，保证应用识别的准确率</w:t>
            </w:r>
            <w:bookmarkEnd w:id="2"/>
            <w:bookmarkEnd w:id="3"/>
            <w:r>
              <w:rPr>
                <w:rFonts w:hint="eastAsia" w:ascii="宋体" w:hAnsi="宋体"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SSL加密内容审计和过滤</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针对SSL加密的网站、论坛发帖、web邮箱的内容进行关键字过滤和内容审计；</w:t>
            </w:r>
          </w:p>
          <w:p>
            <w:pPr>
              <w:rPr>
                <w:rFonts w:hint="eastAsia" w:ascii="宋体" w:hAnsi="宋体" w:cs="宋体"/>
                <w:color w:val="000000"/>
                <w:kern w:val="0"/>
                <w:sz w:val="24"/>
              </w:rPr>
            </w:pPr>
            <w:r>
              <w:rPr>
                <w:rFonts w:hint="eastAsia" w:ascii="宋体" w:hAnsi="宋体" w:cs="宋体"/>
                <w:color w:val="000000"/>
                <w:kern w:val="0"/>
                <w:sz w:val="24"/>
              </w:rPr>
              <w:t>支持SSL硬件加速卡解密，从而可提高SSL全流量解密性能；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应用细分控制</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1.能够对新浪微博、腾讯微博、网易微博等进行细分控制，如：登录、浏览、发微博、上传附件等。</w:t>
            </w:r>
          </w:p>
          <w:p>
            <w:pPr>
              <w:rPr>
                <w:rFonts w:hint="eastAsia" w:ascii="宋体" w:hAnsi="宋体" w:cs="宋体"/>
                <w:color w:val="000000"/>
                <w:kern w:val="0"/>
                <w:sz w:val="24"/>
              </w:rPr>
            </w:pPr>
            <w:r>
              <w:rPr>
                <w:rFonts w:hint="eastAsia" w:ascii="宋体" w:hAnsi="宋体" w:cs="宋体"/>
                <w:color w:val="000000"/>
                <w:kern w:val="0"/>
                <w:sz w:val="24"/>
              </w:rPr>
              <w:t xml:space="preserve">2.能够对teamview、QQ远程桌面等远程控制应用做细分控制，如：接受对方远程控制；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SSL加密网页内容识别</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识别并过滤SSL加密的钓鱼网站、非法网站等；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邮件地址过滤</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支持根据源地址和目的地址过滤外发邮件；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42" w:type="dxa"/>
            <w:vMerge w:val="restart"/>
            <w:noWrap w:val="0"/>
            <w:vAlign w:val="center"/>
          </w:tcPr>
          <w:p>
            <w:pPr>
              <w:rPr>
                <w:rFonts w:hint="eastAsia" w:ascii="宋体" w:hAnsi="宋体" w:cs="宋体"/>
                <w:color w:val="000000"/>
                <w:kern w:val="0"/>
                <w:sz w:val="24"/>
              </w:rPr>
            </w:pPr>
            <w:r>
              <w:rPr>
                <w:rFonts w:hint="eastAsia" w:ascii="宋体" w:hAnsi="宋体" w:cs="宋体"/>
                <w:color w:val="000000"/>
                <w:kern w:val="0"/>
                <w:sz w:val="24"/>
              </w:rPr>
              <w:t>流量控制</w:t>
            </w: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P2P智能流控</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 xml:space="preserve">支持通过抑制P2P的上行流量，来减缓P2P的下行流量，从而解决网络出口在做流控后仍然压力较大的问题；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动态流控</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 xml:space="preserve">支持在设置流量策略后，根据整体线路或者某流量通道内的空闲情况，自动启用和停止使用流量控制策略，以提升带宽的高使用率；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流控黑名单</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基于“流量”、“流速”、“时长”设置配额，当配额耗尽后，将用户加入到指定的流控黑名单惩罚通道中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242" w:type="dxa"/>
            <w:vMerge w:val="restart"/>
            <w:noWrap w:val="0"/>
            <w:vAlign w:val="center"/>
          </w:tcPr>
          <w:p>
            <w:pPr>
              <w:rPr>
                <w:rFonts w:hint="eastAsia" w:ascii="宋体" w:hAnsi="宋体" w:cs="宋体"/>
                <w:color w:val="000000"/>
                <w:kern w:val="0"/>
                <w:sz w:val="24"/>
              </w:rPr>
            </w:pPr>
            <w:r>
              <w:rPr>
                <w:rFonts w:hint="eastAsia" w:ascii="宋体" w:hAnsi="宋体" w:cs="宋体"/>
                <w:color w:val="000000"/>
                <w:kern w:val="0"/>
                <w:sz w:val="24"/>
              </w:rPr>
              <w:t>上网行为审计</w:t>
            </w: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网站审计</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支持记录全部或者指定类别URL、网页标题等信息；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网页内容审计</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必须能审计记录网页正文内容；</w:t>
            </w:r>
          </w:p>
          <w:p>
            <w:pPr>
              <w:rPr>
                <w:rFonts w:hint="eastAsia" w:ascii="宋体" w:hAnsi="宋体" w:cs="宋体"/>
                <w:color w:val="000000"/>
                <w:kern w:val="0"/>
                <w:sz w:val="24"/>
              </w:rPr>
            </w:pPr>
            <w:r>
              <w:rPr>
                <w:rFonts w:hint="eastAsia" w:ascii="宋体" w:hAnsi="宋体" w:cs="宋体"/>
                <w:color w:val="000000"/>
                <w:kern w:val="0"/>
                <w:sz w:val="24"/>
              </w:rPr>
              <w:t>必须支持只记录含有指定关键字的网页正文内容；</w:t>
            </w:r>
          </w:p>
          <w:p>
            <w:pPr>
              <w:rPr>
                <w:rFonts w:hint="eastAsia" w:ascii="宋体" w:hAnsi="宋体" w:cs="宋体"/>
                <w:color w:val="000000"/>
                <w:kern w:val="0"/>
                <w:sz w:val="24"/>
              </w:rPr>
            </w:pPr>
            <w:r>
              <w:rPr>
                <w:rFonts w:hint="eastAsia" w:ascii="宋体" w:hAnsi="宋体" w:cs="宋体"/>
                <w:color w:val="000000"/>
                <w:kern w:val="0"/>
                <w:sz w:val="24"/>
              </w:rPr>
              <w:t>必须支持记录SSL加密网页的内容；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邮件审计</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支持审计用户外发Email邮件的正文及附件；</w:t>
            </w:r>
          </w:p>
          <w:p>
            <w:pPr>
              <w:rPr>
                <w:rFonts w:hint="eastAsia" w:ascii="宋体" w:hAnsi="宋体" w:cs="宋体"/>
                <w:color w:val="000000"/>
                <w:kern w:val="0"/>
                <w:sz w:val="24"/>
              </w:rPr>
            </w:pPr>
            <w:r>
              <w:rPr>
                <w:rFonts w:hint="eastAsia" w:ascii="宋体" w:hAnsi="宋体" w:cs="宋体"/>
                <w:color w:val="000000"/>
                <w:kern w:val="0"/>
                <w:sz w:val="24"/>
              </w:rPr>
              <w:t>必须能审计用户使用邮件客户端外发SSL加密邮件的邮件内容；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IM 传文件内容审计</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支持记录QQ、微信传文件动作和传文件内容，并可记录传文件类型和文件长度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用户行为报表</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支持查询和导出文件审计、邮件收发、访问网站、即时通讯、发帖/微博、搜索关键字等详细用户行为的报表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单用户行为分析</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针对单用户的行为分析（包括：应用流速趋势、应用流量排行、域名流量排行、应用时长排行、域名时长排行、行为汇总排行等）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搜索中心</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基于时间、用户/组、终端类型、位置、日志类型等条件下的关键字检索定位功能；</w:t>
            </w:r>
          </w:p>
          <w:p>
            <w:pPr>
              <w:rPr>
                <w:rFonts w:hint="eastAsia" w:ascii="宋体" w:hAnsi="宋体" w:cs="宋体"/>
                <w:color w:val="000000"/>
                <w:kern w:val="0"/>
                <w:sz w:val="24"/>
              </w:rPr>
            </w:pPr>
            <w:r>
              <w:rPr>
                <w:rFonts w:hint="eastAsia" w:ascii="宋体" w:hAnsi="宋体" w:cs="宋体"/>
                <w:color w:val="000000"/>
                <w:kern w:val="0"/>
                <w:sz w:val="24"/>
              </w:rPr>
              <w:t>必须支持对日志中OFFICE等附件正文内容关键字的检索；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关键字订阅</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支持预置几组关键字，当审计日志中出现这些关键字时，将定期以邮件的方式发送报告给指定邮箱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242" w:type="dxa"/>
            <w:vMerge w:val="continue"/>
            <w:noWrap w:val="0"/>
            <w:vAlign w:val="center"/>
          </w:tcPr>
          <w:p>
            <w:pPr>
              <w:rPr>
                <w:rFonts w:hint="eastAsia" w:ascii="宋体" w:hAnsi="宋体" w:cs="宋体"/>
                <w:color w:val="000000"/>
                <w:kern w:val="0"/>
                <w:sz w:val="24"/>
              </w:rPr>
            </w:pPr>
          </w:p>
        </w:tc>
        <w:tc>
          <w:tcPr>
            <w:tcW w:w="1445"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下钻查询</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在流量时长分析、用户行为分析、终端接入分析等纬度相关页面支持对统计结果的向下钻取查询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687" w:type="dxa"/>
            <w:gridSpan w:val="2"/>
            <w:noWrap w:val="0"/>
            <w:vAlign w:val="center"/>
          </w:tcPr>
          <w:p>
            <w:pPr>
              <w:rPr>
                <w:rFonts w:hint="eastAsia" w:ascii="宋体" w:hAnsi="宋体" w:cs="宋体"/>
                <w:color w:val="000000"/>
                <w:kern w:val="0"/>
                <w:sz w:val="24"/>
              </w:rPr>
            </w:pPr>
            <w:r>
              <w:rPr>
                <w:rFonts w:hint="eastAsia" w:ascii="宋体" w:hAnsi="宋体" w:cs="宋体"/>
                <w:color w:val="000000"/>
                <w:kern w:val="0"/>
                <w:sz w:val="24"/>
              </w:rPr>
              <w:t>质保要求</w:t>
            </w:r>
          </w:p>
        </w:tc>
        <w:tc>
          <w:tcPr>
            <w:tcW w:w="7186" w:type="dxa"/>
            <w:noWrap w:val="0"/>
            <w:vAlign w:val="top"/>
          </w:tcPr>
          <w:p>
            <w:pPr>
              <w:rPr>
                <w:rFonts w:hint="eastAsia" w:ascii="宋体" w:hAnsi="宋体" w:cs="宋体"/>
                <w:color w:val="000000"/>
                <w:kern w:val="0"/>
                <w:sz w:val="24"/>
              </w:rPr>
            </w:pPr>
            <w:r>
              <w:rPr>
                <w:rFonts w:hint="eastAsia" w:ascii="宋体" w:hAnsi="宋体" w:cs="宋体"/>
                <w:color w:val="000000"/>
                <w:kern w:val="0"/>
                <w:sz w:val="24"/>
              </w:rPr>
              <w:t>要求提供原厂商质保函和原厂对该设备的授权并加盖厂商公章</w:t>
            </w:r>
          </w:p>
        </w:tc>
      </w:tr>
    </w:tbl>
    <w:p>
      <w:pPr>
        <w:pStyle w:val="186"/>
        <w:rPr>
          <w:rFonts w:hint="eastAsia" w:ascii="宋体" w:hAnsi="宋体" w:cs="宋体"/>
          <w:color w:val="000000"/>
          <w:sz w:val="24"/>
          <w:szCs w:val="24"/>
        </w:rPr>
      </w:pPr>
    </w:p>
    <w:p>
      <w:pPr>
        <w:pStyle w:val="186"/>
        <w:rPr>
          <w:rFonts w:hint="eastAsia" w:ascii="宋体" w:hAnsi="宋体" w:cs="宋体"/>
          <w:color w:val="FF0000"/>
          <w:sz w:val="24"/>
          <w:szCs w:val="24"/>
        </w:rPr>
      </w:pPr>
    </w:p>
    <w:p>
      <w:pPr>
        <w:tabs>
          <w:tab w:val="left" w:pos="644"/>
          <w:tab w:val="left" w:pos="1200"/>
        </w:tabs>
        <w:autoSpaceDE w:val="0"/>
        <w:autoSpaceDN w:val="0"/>
        <w:adjustRightInd w:val="0"/>
        <w:spacing w:line="360" w:lineRule="auto"/>
        <w:ind w:left="1200"/>
        <w:rPr>
          <w:rFonts w:hint="eastAsia" w:ascii="宋体" w:hAnsi="宋体" w:cs="宋体"/>
          <w:sz w:val="24"/>
        </w:rPr>
      </w:pPr>
      <w:r>
        <w:rPr>
          <w:rFonts w:hint="eastAsia" w:ascii="宋体" w:hAnsi="宋体" w:cs="宋体"/>
          <w:sz w:val="24"/>
        </w:rPr>
        <w:t>4、综合日志审计参数指标</w:t>
      </w:r>
    </w:p>
    <w:tbl>
      <w:tblPr>
        <w:tblStyle w:val="42"/>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shd w:val="clear" w:color="auto" w:fill="BFBFBF"/>
            <w:noWrap w:val="0"/>
            <w:vAlign w:val="center"/>
          </w:tcPr>
          <w:p>
            <w:pPr>
              <w:jc w:val="center"/>
              <w:rPr>
                <w:rFonts w:hint="eastAsia" w:ascii="宋体" w:hAnsi="宋体" w:cs="宋体"/>
                <w:b/>
                <w:sz w:val="24"/>
              </w:rPr>
            </w:pPr>
            <w:bookmarkStart w:id="4" w:name="_Hlk48119759"/>
            <w:r>
              <w:rPr>
                <w:rFonts w:hint="eastAsia" w:ascii="宋体" w:hAnsi="宋体" w:cs="宋体"/>
                <w:b/>
                <w:sz w:val="24"/>
              </w:rPr>
              <w:t>指标项</w:t>
            </w:r>
          </w:p>
        </w:tc>
        <w:tc>
          <w:tcPr>
            <w:tcW w:w="8315" w:type="dxa"/>
            <w:shd w:val="clear" w:color="auto" w:fill="BFBFBF"/>
            <w:noWrap w:val="0"/>
            <w:vAlign w:val="top"/>
          </w:tcPr>
          <w:p>
            <w:pPr>
              <w:jc w:val="center"/>
              <w:rPr>
                <w:rFonts w:hint="eastAsia" w:ascii="宋体" w:hAnsi="宋体" w:cs="宋体"/>
                <w:b/>
                <w:sz w:val="24"/>
              </w:rPr>
            </w:pPr>
            <w:r>
              <w:rPr>
                <w:rFonts w:hint="eastAsia" w:ascii="宋体" w:hAnsi="宋体" w:cs="宋体"/>
                <w:b/>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22"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硬件规格</w:t>
            </w:r>
          </w:p>
        </w:tc>
        <w:tc>
          <w:tcPr>
            <w:tcW w:w="8315" w:type="dxa"/>
            <w:tcBorders>
              <w:top w:val="single" w:color="auto" w:sz="4" w:space="0"/>
              <w:left w:val="single" w:color="auto" w:sz="4" w:space="0"/>
              <w:bottom w:val="single" w:color="auto" w:sz="4" w:space="0"/>
              <w:right w:val="single" w:color="auto" w:sz="4" w:space="0"/>
            </w:tcBorders>
            <w:noWrap w:val="0"/>
            <w:vAlign w:val="top"/>
          </w:tcPr>
          <w:p>
            <w:pPr>
              <w:pStyle w:val="206"/>
              <w:ind w:firstLine="0" w:firstLineChars="0"/>
              <w:rPr>
                <w:rFonts w:hint="eastAsia" w:ascii="宋体" w:hAnsi="宋体" w:cs="宋体"/>
                <w:color w:val="000000"/>
                <w:sz w:val="24"/>
                <w:szCs w:val="24"/>
              </w:rPr>
            </w:pPr>
            <w:r>
              <w:rPr>
                <w:rFonts w:hint="eastAsia" w:ascii="宋体" w:hAnsi="宋体" w:cs="宋体"/>
                <w:color w:val="000000"/>
                <w:sz w:val="24"/>
                <w:szCs w:val="24"/>
              </w:rPr>
              <w:t>10个工作管理口（6个电口，4个千兆光口），1个console口；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8315" w:type="dxa"/>
            <w:tcBorders>
              <w:top w:val="single" w:color="auto" w:sz="4" w:space="0"/>
              <w:left w:val="single" w:color="auto" w:sz="4" w:space="0"/>
              <w:bottom w:val="single" w:color="auto" w:sz="4" w:space="0"/>
              <w:right w:val="single" w:color="auto" w:sz="4" w:space="0"/>
            </w:tcBorders>
            <w:noWrap w:val="0"/>
            <w:vAlign w:val="top"/>
          </w:tcPr>
          <w:p>
            <w:pPr>
              <w:pStyle w:val="206"/>
              <w:ind w:firstLine="0" w:firstLineChars="0"/>
              <w:rPr>
                <w:rFonts w:hint="eastAsia" w:ascii="宋体" w:hAnsi="宋体" w:cs="宋体"/>
                <w:color w:val="000000"/>
                <w:sz w:val="24"/>
                <w:szCs w:val="24"/>
              </w:rPr>
            </w:pPr>
            <w:r>
              <w:rPr>
                <w:rFonts w:hint="eastAsia" w:ascii="宋体" w:hAnsi="宋体" w:cs="宋体"/>
                <w:color w:val="000000"/>
                <w:sz w:val="24"/>
                <w:szCs w:val="24"/>
              </w:rPr>
              <w:t>内存：16GB，磁盘：2T*2；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tcBorders>
              <w:left w:val="single" w:color="auto" w:sz="4" w:space="0"/>
              <w:right w:val="single" w:color="auto" w:sz="4" w:space="0"/>
            </w:tcBorders>
            <w:noWrap w:val="0"/>
            <w:vAlign w:val="center"/>
          </w:tcPr>
          <w:p>
            <w:pPr>
              <w:rPr>
                <w:rFonts w:hint="eastAsia" w:ascii="宋体" w:hAnsi="宋体" w:cs="宋体"/>
                <w:sz w:val="24"/>
              </w:rPr>
            </w:pPr>
          </w:p>
        </w:tc>
        <w:tc>
          <w:tcPr>
            <w:tcW w:w="8315" w:type="dxa"/>
            <w:tcBorders>
              <w:top w:val="single" w:color="auto" w:sz="4" w:space="0"/>
              <w:left w:val="single" w:color="auto" w:sz="4" w:space="0"/>
              <w:bottom w:val="single" w:color="auto" w:sz="4" w:space="0"/>
              <w:right w:val="single" w:color="auto" w:sz="4" w:space="0"/>
            </w:tcBorders>
            <w:noWrap w:val="0"/>
            <w:vAlign w:val="top"/>
          </w:tcPr>
          <w:p>
            <w:pPr>
              <w:pStyle w:val="206"/>
              <w:ind w:firstLine="0" w:firstLineChars="0"/>
              <w:rPr>
                <w:rFonts w:hint="eastAsia" w:ascii="宋体" w:hAnsi="宋体" w:cs="宋体"/>
                <w:color w:val="000000"/>
                <w:sz w:val="24"/>
                <w:szCs w:val="24"/>
              </w:rPr>
            </w:pPr>
            <w:r>
              <w:rPr>
                <w:rFonts w:hint="eastAsia" w:ascii="宋体" w:hAnsi="宋体" w:cs="宋体"/>
                <w:color w:val="000000"/>
                <w:sz w:val="24"/>
                <w:szCs w:val="24"/>
              </w:rPr>
              <w:t>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restart"/>
            <w:noWrap w:val="0"/>
            <w:vAlign w:val="center"/>
          </w:tcPr>
          <w:p>
            <w:pPr>
              <w:rPr>
                <w:rFonts w:hint="eastAsia" w:ascii="宋体" w:hAnsi="宋体" w:cs="宋体"/>
                <w:sz w:val="24"/>
              </w:rPr>
            </w:pPr>
            <w:r>
              <w:rPr>
                <w:rFonts w:hint="eastAsia" w:ascii="宋体" w:hAnsi="宋体" w:cs="宋体"/>
                <w:sz w:val="24"/>
              </w:rPr>
              <w:t>处理性能</w:t>
            </w:r>
          </w:p>
        </w:tc>
        <w:tc>
          <w:tcPr>
            <w:tcW w:w="8315" w:type="dxa"/>
            <w:noWrap w:val="0"/>
            <w:vAlign w:val="top"/>
          </w:tcPr>
          <w:p>
            <w:pPr>
              <w:rPr>
                <w:rFonts w:hint="eastAsia" w:ascii="宋体" w:hAnsi="宋体" w:cs="宋体"/>
                <w:sz w:val="24"/>
              </w:rPr>
            </w:pPr>
            <w:r>
              <w:rPr>
                <w:rFonts w:hint="eastAsia" w:ascii="宋体" w:hAnsi="宋体" w:cs="宋体"/>
                <w:sz w:val="24"/>
              </w:rPr>
              <w:t xml:space="preserve">支持审计500个日志源；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平均处理能力（每秒日志解析能力EPS）：9000 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峰值处理能力（每秒日志解析能力EPS）：12000 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restart"/>
            <w:noWrap w:val="0"/>
            <w:vAlign w:val="center"/>
          </w:tcPr>
          <w:p>
            <w:pPr>
              <w:rPr>
                <w:rFonts w:hint="eastAsia" w:ascii="宋体" w:hAnsi="宋体" w:cs="宋体"/>
                <w:sz w:val="24"/>
              </w:rPr>
            </w:pPr>
            <w:r>
              <w:rPr>
                <w:rFonts w:hint="eastAsia" w:ascii="宋体" w:hAnsi="宋体" w:cs="宋体"/>
                <w:sz w:val="24"/>
              </w:rPr>
              <w:t>日志收集</w:t>
            </w:r>
          </w:p>
        </w:tc>
        <w:tc>
          <w:tcPr>
            <w:tcW w:w="8315" w:type="dxa"/>
            <w:noWrap w:val="0"/>
            <w:vAlign w:val="top"/>
          </w:tcPr>
          <w:p>
            <w:pPr>
              <w:rPr>
                <w:rFonts w:hint="eastAsia" w:ascii="宋体" w:hAnsi="宋体" w:cs="宋体"/>
                <w:sz w:val="24"/>
              </w:rPr>
            </w:pPr>
            <w:r>
              <w:rPr>
                <w:rFonts w:hint="eastAsia" w:ascii="宋体" w:hAnsi="宋体" w:cs="宋体"/>
                <w:sz w:val="24"/>
              </w:rPr>
              <w:t>支持Syslog、SNMP Trap、HTTP、ODBC/JDBC、WMI、FTP、SFTP协议日志收集；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支持使用代理(Agent)方式提取日志并收集；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支持目前主流的网络安全设备、交换设备、路由设备、操作系统、应用系统等；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设备厂家包括但不限于：Cisco(思科)、Juniper、联想网御/网御神州、F5、华为、H3C、微软、绿盟、飞塔(Fortinet)、Foundry、天融信、启明星辰、天网、趋势、东软、Nokia、CheckPoint、Hillstone(山石)、安恒信息、珠海伟思、BEA、中国电信、安氏、帕拉迪、APC、Arbor、Clam、戴尔（Dell）、Digium、东方电子、EMC、中国电力科学研究院、Eudora、Google、冠群金辰、Linksys、McAFee、Netapp、NAS（美国国家安全局）、永达、Sonicwall、Vigor、天存、西岭、Symantec（赛门铁克）、Hardened-PHP、Foundertech(方正)、三零盛安、Allot、蓝盾、IBM、金诺网安、网威、Nortel(北电)、Citrix(思杰)、Watchguard、中兴、阿帕奇、Windows系统日志、Linux/UNIX syslog、IIS、Apache等；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支持常见的虚拟机环境日志收集，包括Xen、VMWare、Hyper-V等。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restart"/>
            <w:noWrap w:val="0"/>
            <w:vAlign w:val="center"/>
          </w:tcPr>
          <w:p>
            <w:pPr>
              <w:rPr>
                <w:rFonts w:hint="eastAsia" w:ascii="宋体" w:hAnsi="宋体" w:cs="宋体"/>
                <w:sz w:val="24"/>
              </w:rPr>
            </w:pPr>
            <w:r>
              <w:rPr>
                <w:rFonts w:hint="eastAsia" w:ascii="宋体" w:hAnsi="宋体" w:cs="宋体"/>
                <w:sz w:val="24"/>
              </w:rPr>
              <w:t>日志分析</w:t>
            </w:r>
          </w:p>
        </w:tc>
        <w:tc>
          <w:tcPr>
            <w:tcW w:w="8315" w:type="dxa"/>
            <w:noWrap w:val="0"/>
            <w:vAlign w:val="top"/>
          </w:tcPr>
          <w:p>
            <w:pPr>
              <w:rPr>
                <w:rFonts w:hint="eastAsia" w:ascii="宋体" w:hAnsi="宋体" w:cs="宋体"/>
                <w:sz w:val="24"/>
              </w:rPr>
            </w:pPr>
            <w:r>
              <w:rPr>
                <w:rFonts w:hint="eastAsia" w:ascii="宋体" w:hAnsi="宋体" w:cs="宋体"/>
                <w:sz w:val="24"/>
              </w:rPr>
              <w:t>可以基于日志等级进行过滤；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可以通过自定义配置过滤掉用户不关心的日志；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支持对收集到的重复日志进行自动聚合归并，减少日志量；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支持可由用户定义和修改的日志聚合归并逻辑规则；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支持将收集到的日志转发，当原始日志设备无法设置多个日志服务器时，可以通过本系统的日志转发功能将日志转发到其他日志存储设备；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支持对收集到的日志进行解析（标准化、归一化），解析规则可以根据客户要求定制扩展；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地理信息（公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支持基于内存的实时关联分析，跨设备的多事件关联分析；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支持自定义条件的事件进行聚合；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w:t>
            </w:r>
            <w:r>
              <w:rPr>
                <w:rFonts w:hint="eastAsia" w:ascii="宋体" w:hAnsi="宋体" w:cs="宋体"/>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内置非法访问、可疑入侵、病毒爆发、设备异常、弱点针对等5大类50子类的安全分析场景；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三维关联分析；支持通过资产、安全知识库、弱点库三个维度分析事件是否存在威胁，并形成关联事件。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restart"/>
            <w:noWrap w:val="0"/>
            <w:vAlign w:val="center"/>
          </w:tcPr>
          <w:p>
            <w:pPr>
              <w:rPr>
                <w:rFonts w:hint="eastAsia" w:ascii="宋体" w:hAnsi="宋体" w:cs="宋体"/>
                <w:sz w:val="24"/>
              </w:rPr>
            </w:pPr>
            <w:r>
              <w:rPr>
                <w:rFonts w:hint="eastAsia" w:ascii="宋体" w:hAnsi="宋体" w:cs="宋体"/>
                <w:sz w:val="24"/>
              </w:rPr>
              <w:t>日志备份</w:t>
            </w:r>
          </w:p>
        </w:tc>
        <w:tc>
          <w:tcPr>
            <w:tcW w:w="8315" w:type="dxa"/>
            <w:noWrap w:val="0"/>
            <w:vAlign w:val="top"/>
          </w:tcPr>
          <w:p>
            <w:pPr>
              <w:rPr>
                <w:rFonts w:hint="eastAsia" w:ascii="宋体" w:hAnsi="宋体" w:cs="宋体"/>
                <w:sz w:val="24"/>
              </w:rPr>
            </w:pPr>
            <w:r>
              <w:rPr>
                <w:rFonts w:hint="eastAsia" w:ascii="宋体" w:hAnsi="宋体" w:cs="宋体"/>
                <w:sz w:val="24"/>
              </w:rPr>
              <w:t>可设置日志存储备份策略。包括系统日志保存期（天）、磁盘使用率百分比等策略；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支持日志本地备份及恢复；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支持日志备份自动传送到远程服务器；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支持从远程仓库恢复数据；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支持FTP、SAMBA、NFS和FILE，4种方式的远程服务器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restart"/>
            <w:noWrap w:val="0"/>
            <w:vAlign w:val="center"/>
          </w:tcPr>
          <w:p>
            <w:pPr>
              <w:rPr>
                <w:rFonts w:hint="eastAsia" w:ascii="宋体" w:hAnsi="宋体" w:cs="宋体"/>
                <w:sz w:val="24"/>
              </w:rPr>
            </w:pPr>
            <w:r>
              <w:rPr>
                <w:rFonts w:hint="eastAsia" w:ascii="宋体" w:hAnsi="宋体" w:cs="宋体"/>
                <w:sz w:val="24"/>
              </w:rPr>
              <w:t>日志查询</w:t>
            </w:r>
          </w:p>
        </w:tc>
        <w:tc>
          <w:tcPr>
            <w:tcW w:w="8315" w:type="dxa"/>
            <w:noWrap w:val="0"/>
            <w:vAlign w:val="top"/>
          </w:tcPr>
          <w:p>
            <w:pPr>
              <w:rPr>
                <w:rFonts w:hint="eastAsia" w:ascii="宋体" w:hAnsi="宋体" w:cs="宋体"/>
                <w:sz w:val="24"/>
              </w:rPr>
            </w:pPr>
            <w:r>
              <w:rPr>
                <w:rFonts w:hint="eastAsia" w:ascii="宋体" w:hAnsi="宋体" w:cs="宋体"/>
                <w:sz w:val="24"/>
              </w:rPr>
              <w:t>支持B/S模式管理，支持SSL加密模式访问；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支持按日期、时间、设备类型、日志类型、日志来源、威胁值、源地址、目的地址、事件类型、时间范围、操作对象、技术方式、技术动作、技术效果、攻击类型、地理城市等参数进行过滤查询；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支持用任意关键字对所有事件进行高性能全文检索；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支持可指定多个查询条件进行组合查询；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支持将查询的条件存储为查询模版，方便再次使用；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支持亿级的日志里根据做任意的关键字及其它的检索条件，在秒级里返回查询结果。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restart"/>
            <w:noWrap w:val="0"/>
            <w:vAlign w:val="center"/>
          </w:tcPr>
          <w:p>
            <w:pPr>
              <w:rPr>
                <w:rFonts w:hint="eastAsia" w:ascii="宋体" w:hAnsi="宋体" w:cs="宋体"/>
                <w:sz w:val="24"/>
              </w:rPr>
            </w:pPr>
            <w:r>
              <w:rPr>
                <w:rFonts w:hint="eastAsia" w:ascii="宋体" w:hAnsi="宋体" w:cs="宋体"/>
                <w:sz w:val="24"/>
              </w:rPr>
              <w:t>应用性能监控</w:t>
            </w:r>
          </w:p>
          <w:p>
            <w:pPr>
              <w:rPr>
                <w:rFonts w:hint="eastAsia" w:ascii="宋体" w:hAnsi="宋体" w:cs="宋体"/>
                <w:sz w:val="24"/>
              </w:rPr>
            </w:pPr>
            <w:r>
              <w:rPr>
                <w:rFonts w:hint="eastAsia" w:ascii="宋体" w:hAnsi="宋体" w:cs="宋体"/>
                <w:sz w:val="24"/>
              </w:rPr>
              <w:t>（APM）</w:t>
            </w:r>
          </w:p>
        </w:tc>
        <w:tc>
          <w:tcPr>
            <w:tcW w:w="8315" w:type="dxa"/>
            <w:noWrap w:val="0"/>
            <w:vAlign w:val="top"/>
          </w:tcPr>
          <w:p>
            <w:pPr>
              <w:rPr>
                <w:rFonts w:hint="eastAsia" w:ascii="宋体" w:hAnsi="宋体" w:cs="宋体"/>
                <w:sz w:val="24"/>
              </w:rPr>
            </w:pPr>
            <w:r>
              <w:rPr>
                <w:rFonts w:hint="eastAsia" w:ascii="宋体" w:hAnsi="宋体" w:cs="宋体"/>
                <w:sz w:val="24"/>
              </w:rPr>
              <w:t>支持监控设备自身CPU、内存、磁盘等工作运行状况；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通过在目标主机上安装Agent程序，支持监测目标主机的CPU利用率、内存使用率、磁盘使用率、磁盘使用情况、流量等信息；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支持以下对象的性能监控：</w:t>
            </w:r>
          </w:p>
          <w:p>
            <w:pPr>
              <w:ind w:firstLine="480" w:firstLineChars="200"/>
              <w:rPr>
                <w:rFonts w:hint="eastAsia" w:ascii="宋体" w:hAnsi="宋体" w:cs="宋体"/>
                <w:sz w:val="24"/>
              </w:rPr>
            </w:pPr>
            <w:r>
              <w:rPr>
                <w:rFonts w:hint="eastAsia" w:ascii="宋体" w:hAnsi="宋体" w:cs="宋体"/>
                <w:sz w:val="24"/>
              </w:rPr>
              <w:t>操作系统 - Windows、Linux、Aix、FeeBSD、HP-UX/Tru64、Max OS、Sun Solaris</w:t>
            </w:r>
          </w:p>
          <w:p>
            <w:pPr>
              <w:ind w:firstLine="480" w:firstLineChars="200"/>
              <w:rPr>
                <w:rFonts w:hint="eastAsia" w:ascii="宋体" w:hAnsi="宋体" w:cs="宋体"/>
                <w:sz w:val="24"/>
              </w:rPr>
            </w:pPr>
            <w:r>
              <w:rPr>
                <w:rFonts w:hint="eastAsia" w:ascii="宋体" w:hAnsi="宋体" w:cs="宋体"/>
                <w:sz w:val="24"/>
              </w:rPr>
              <w:t>数据库 - MySQL、Oracle</w:t>
            </w:r>
          </w:p>
          <w:p>
            <w:pPr>
              <w:ind w:firstLine="480" w:firstLineChars="200"/>
              <w:rPr>
                <w:rFonts w:hint="eastAsia" w:ascii="宋体" w:hAnsi="宋体" w:cs="宋体"/>
                <w:sz w:val="24"/>
              </w:rPr>
            </w:pPr>
            <w:r>
              <w:rPr>
                <w:rFonts w:hint="eastAsia" w:ascii="宋体" w:hAnsi="宋体" w:cs="宋体"/>
                <w:sz w:val="24"/>
              </w:rPr>
              <w:t>应用服务器 - Weblogic、Tomcat</w:t>
            </w:r>
          </w:p>
          <w:p>
            <w:pPr>
              <w:ind w:firstLine="480" w:firstLineChars="200"/>
              <w:rPr>
                <w:rFonts w:hint="eastAsia" w:ascii="宋体" w:hAnsi="宋体" w:cs="宋体"/>
                <w:sz w:val="24"/>
              </w:rPr>
            </w:pPr>
            <w:r>
              <w:rPr>
                <w:rFonts w:hint="eastAsia" w:ascii="宋体" w:hAnsi="宋体" w:cs="宋体"/>
                <w:sz w:val="24"/>
              </w:rPr>
              <w:t>Web服务器 - Apache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支持应用性能历史详情回溯查看；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支持监控Windows操作系统以下参数：CPU使用率、内存使用率、磁盘使用率、网络发送流量、网络接收流量、网络发送接收总流量、交换区使用率、磁盘总使用率、进程数、线程数；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监控Linux操作系统以下参数：一分钟系统负载、5分钟系统负载、15分钟系统负载、CPU使用率、内存使用率、磁盘使用率、网络发送流量、网络接收流量、网络发送接收总流量、交换区使用率、磁盘总使用率、进程数、线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支持监控MySQL以下参数：查询缓存命中率、键缓存命中率、立即获得锁数、连接数、线程数、每秒SQL查询数、每秒发送字节、每秒接收字节；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支持监控Oracle以下参数：库缓存命中率、内存排序比率、词典缓存命中率、SGA数据缓存命中率、重做日志缓存命中率；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监控Apache以下参数：总访问数、写日志次数、每秒发送字节数、长连接数、关闭连接数、空闲活动数、查询DNS数、正在发送数、请求完成数、负载、等待连接数、总数据量、读操作数、工作线程数、空闲线程数、CPU占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支持监控应用服务器（Tomcat、Weblogic）以下参数：活动线程数、堆内存（已用）、守护线程数。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restart"/>
            <w:noWrap w:val="0"/>
            <w:vAlign w:val="center"/>
          </w:tcPr>
          <w:p>
            <w:pPr>
              <w:rPr>
                <w:rFonts w:hint="eastAsia" w:ascii="宋体" w:hAnsi="宋体" w:cs="宋体"/>
                <w:sz w:val="24"/>
              </w:rPr>
            </w:pPr>
            <w:r>
              <w:rPr>
                <w:rFonts w:hint="eastAsia" w:ascii="宋体" w:hAnsi="宋体" w:cs="宋体"/>
                <w:sz w:val="24"/>
              </w:rPr>
              <w:t>脆弱性管理</w:t>
            </w:r>
          </w:p>
        </w:tc>
        <w:tc>
          <w:tcPr>
            <w:tcW w:w="8315" w:type="dxa"/>
            <w:noWrap w:val="0"/>
            <w:vAlign w:val="top"/>
          </w:tcPr>
          <w:p>
            <w:pPr>
              <w:rPr>
                <w:rFonts w:hint="eastAsia" w:ascii="宋体" w:hAnsi="宋体" w:cs="宋体"/>
                <w:sz w:val="24"/>
              </w:rPr>
            </w:pPr>
            <w:r>
              <w:rPr>
                <w:rFonts w:hint="eastAsia" w:ascii="宋体" w:hAnsi="宋体" w:cs="宋体"/>
                <w:sz w:val="24"/>
              </w:rPr>
              <w:t>支持从IBM Rational AppScan导入资产弱点漏洞信息；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支持从安恒明鉴</w:t>
            </w:r>
            <w:r>
              <w:rPr>
                <w:rFonts w:hint="eastAsia" w:ascii="宋体" w:hAnsi="宋体" w:cs="宋体"/>
                <w:sz w:val="24"/>
                <w:vertAlign w:val="superscript"/>
              </w:rPr>
              <w:t>®</w:t>
            </w:r>
            <w:r>
              <w:rPr>
                <w:rFonts w:hint="eastAsia" w:ascii="宋体" w:hAnsi="宋体" w:cs="宋体"/>
                <w:sz w:val="24"/>
              </w:rPr>
              <w:t>Web应用监测工具导入网站弱点漏洞信息；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支持从NetSparker Web应用扫描器导入网站弱点漏洞信息；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支持从Nessus网络扫描器导入网络弱点漏洞信息；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支持从OpenVAS扫描器导入弱点漏洞信息；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内置73000+条CVE漏洞数据知识库；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内置数十项符合OWASP的Web漏洞数据知识库。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restart"/>
            <w:noWrap w:val="0"/>
            <w:vAlign w:val="center"/>
          </w:tcPr>
          <w:p>
            <w:pPr>
              <w:rPr>
                <w:rFonts w:hint="eastAsia" w:ascii="宋体" w:hAnsi="宋体" w:cs="宋体"/>
                <w:sz w:val="24"/>
              </w:rPr>
            </w:pPr>
            <w:r>
              <w:rPr>
                <w:rFonts w:hint="eastAsia" w:ascii="宋体" w:hAnsi="宋体" w:cs="宋体"/>
                <w:sz w:val="24"/>
              </w:rPr>
              <w:t>告警功能</w:t>
            </w:r>
          </w:p>
        </w:tc>
        <w:tc>
          <w:tcPr>
            <w:tcW w:w="8315" w:type="dxa"/>
            <w:noWrap w:val="0"/>
            <w:vAlign w:val="top"/>
          </w:tcPr>
          <w:p>
            <w:pPr>
              <w:rPr>
                <w:rFonts w:hint="eastAsia" w:ascii="宋体" w:hAnsi="宋体" w:cs="宋体"/>
                <w:sz w:val="24"/>
              </w:rPr>
            </w:pPr>
            <w:r>
              <w:rPr>
                <w:rFonts w:hint="eastAsia" w:ascii="宋体" w:hAnsi="宋体" w:cs="宋体"/>
                <w:sz w:val="24"/>
              </w:rPr>
              <w:t>可预设置安全告警策略；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支持数据阀值设置，超过阀值将产生告警；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可以通过邮件、短信和屏幕显示进行告警；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自动防止在短时间内大量发送报警信息(告警抑制)；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具备报警合并和在一个时间段内抑制报警次数的能力；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restart"/>
            <w:noWrap w:val="0"/>
            <w:vAlign w:val="center"/>
          </w:tcPr>
          <w:p>
            <w:pPr>
              <w:rPr>
                <w:rFonts w:hint="eastAsia" w:ascii="宋体" w:hAnsi="宋体" w:cs="宋体"/>
                <w:sz w:val="24"/>
              </w:rPr>
            </w:pPr>
            <w:r>
              <w:rPr>
                <w:rFonts w:hint="eastAsia" w:ascii="宋体" w:hAnsi="宋体" w:cs="宋体"/>
                <w:sz w:val="24"/>
              </w:rPr>
              <w:t>综合查询及报表管理</w:t>
            </w:r>
          </w:p>
        </w:tc>
        <w:tc>
          <w:tcPr>
            <w:tcW w:w="8315" w:type="dxa"/>
            <w:noWrap w:val="0"/>
            <w:vAlign w:val="top"/>
          </w:tcPr>
          <w:p>
            <w:pPr>
              <w:rPr>
                <w:rFonts w:hint="eastAsia" w:ascii="宋体" w:hAnsi="宋体" w:cs="宋体"/>
                <w:sz w:val="24"/>
              </w:rPr>
            </w:pPr>
            <w:r>
              <w:rPr>
                <w:rFonts w:hint="eastAsia" w:ascii="宋体" w:hAnsi="宋体" w:cs="宋体"/>
                <w:sz w:val="24"/>
              </w:rPr>
              <w:t>内置合规性报表1000+种；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内置SOX、ISO27001、WEB安全等解决方案包；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内置完善的等级保护合规报表；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内置综合性自动化审计报告；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支持用户自定义报表；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自定义的报表支持多个统计维度的数据集合；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支持报表导出为PDF和Word格式文件。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restart"/>
            <w:noWrap w:val="0"/>
            <w:vAlign w:val="center"/>
          </w:tcPr>
          <w:p>
            <w:pPr>
              <w:rPr>
                <w:rFonts w:hint="eastAsia" w:ascii="宋体" w:hAnsi="宋体" w:cs="宋体"/>
                <w:sz w:val="24"/>
              </w:rPr>
            </w:pPr>
            <w:r>
              <w:rPr>
                <w:rFonts w:hint="eastAsia" w:ascii="宋体" w:hAnsi="宋体" w:cs="宋体"/>
                <w:sz w:val="24"/>
              </w:rPr>
              <w:t>资产管理</w:t>
            </w:r>
          </w:p>
        </w:tc>
        <w:tc>
          <w:tcPr>
            <w:tcW w:w="8315" w:type="dxa"/>
            <w:noWrap w:val="0"/>
            <w:vAlign w:val="top"/>
          </w:tcPr>
          <w:p>
            <w:pPr>
              <w:rPr>
                <w:rFonts w:hint="eastAsia" w:ascii="宋体" w:hAnsi="宋体" w:cs="宋体"/>
                <w:sz w:val="24"/>
              </w:rPr>
            </w:pPr>
            <w:r>
              <w:rPr>
                <w:rFonts w:hint="eastAsia" w:ascii="宋体" w:hAnsi="宋体" w:cs="宋体"/>
                <w:sz w:val="24"/>
              </w:rPr>
              <w:t>注册用户资产时，提供自动发现识别能力；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Merge w:val="continue"/>
            <w:noWrap w:val="0"/>
            <w:vAlign w:val="center"/>
          </w:tcPr>
          <w:p>
            <w:pPr>
              <w:rPr>
                <w:rFonts w:hint="eastAsia" w:ascii="宋体" w:hAnsi="宋体" w:cs="宋体"/>
                <w:sz w:val="24"/>
              </w:rPr>
            </w:pPr>
          </w:p>
        </w:tc>
        <w:tc>
          <w:tcPr>
            <w:tcW w:w="8315" w:type="dxa"/>
            <w:noWrap w:val="0"/>
            <w:vAlign w:val="top"/>
          </w:tcPr>
          <w:p>
            <w:pPr>
              <w:rPr>
                <w:rFonts w:hint="eastAsia" w:ascii="宋体" w:hAnsi="宋体" w:cs="宋体"/>
                <w:sz w:val="24"/>
              </w:rPr>
            </w:pPr>
            <w:r>
              <w:rPr>
                <w:rFonts w:hint="eastAsia" w:ascii="宋体" w:hAnsi="宋体" w:cs="宋体"/>
                <w:sz w:val="24"/>
              </w:rPr>
              <w:t>资产拓扑支持按照实际的用户环境进行编辑发布并可以和资产进行绑定。拓扑可以显示资产采集的事件数量被采集资产的状态等信息。</w:t>
            </w:r>
          </w:p>
        </w:tc>
      </w:tr>
      <w:bookmarkEnd w:id="4"/>
    </w:tbl>
    <w:p>
      <w:pPr>
        <w:autoSpaceDE w:val="0"/>
        <w:autoSpaceDN w:val="0"/>
        <w:adjustRightInd w:val="0"/>
        <w:spacing w:line="360" w:lineRule="auto"/>
        <w:ind w:left="420"/>
        <w:rPr>
          <w:rFonts w:hint="eastAsia" w:ascii="宋体" w:hAnsi="宋体" w:cs="宋体"/>
          <w:sz w:val="24"/>
        </w:rPr>
      </w:pPr>
    </w:p>
    <w:p>
      <w:pPr>
        <w:tabs>
          <w:tab w:val="left" w:pos="644"/>
          <w:tab w:val="left" w:pos="1200"/>
        </w:tabs>
        <w:autoSpaceDE w:val="0"/>
        <w:autoSpaceDN w:val="0"/>
        <w:adjustRightInd w:val="0"/>
        <w:spacing w:line="360" w:lineRule="auto"/>
        <w:ind w:left="284"/>
        <w:rPr>
          <w:rFonts w:hint="eastAsia" w:ascii="宋体" w:hAnsi="宋体" w:cs="宋体"/>
          <w:sz w:val="24"/>
        </w:rPr>
      </w:pPr>
      <w:r>
        <w:rPr>
          <w:rFonts w:hint="eastAsia" w:ascii="宋体" w:hAnsi="宋体" w:cs="宋体"/>
          <w:sz w:val="24"/>
        </w:rPr>
        <w:t>5.核心交换机参数指标</w:t>
      </w:r>
    </w:p>
    <w:tbl>
      <w:tblPr>
        <w:tblStyle w:val="42"/>
        <w:tblW w:w="10065" w:type="dxa"/>
        <w:jc w:val="center"/>
        <w:tblLayout w:type="autofit"/>
        <w:tblCellMar>
          <w:top w:w="0" w:type="dxa"/>
          <w:left w:w="108" w:type="dxa"/>
          <w:bottom w:w="0" w:type="dxa"/>
          <w:right w:w="108" w:type="dxa"/>
        </w:tblCellMar>
      </w:tblPr>
      <w:tblGrid>
        <w:gridCol w:w="1834"/>
        <w:gridCol w:w="8231"/>
      </w:tblGrid>
      <w:tr>
        <w:tblPrEx>
          <w:tblCellMar>
            <w:top w:w="0" w:type="dxa"/>
            <w:left w:w="108" w:type="dxa"/>
            <w:bottom w:w="0" w:type="dxa"/>
            <w:right w:w="108" w:type="dxa"/>
          </w:tblCellMar>
        </w:tblPrEx>
        <w:trPr>
          <w:trHeight w:val="285" w:hRule="atLeast"/>
          <w:jc w:val="center"/>
        </w:trPr>
        <w:tc>
          <w:tcPr>
            <w:tcW w:w="1834" w:type="dxa"/>
            <w:tcBorders>
              <w:top w:val="single" w:color="auto" w:sz="4" w:space="0"/>
              <w:left w:val="single" w:color="auto" w:sz="4" w:space="0"/>
              <w:bottom w:val="nil"/>
              <w:right w:val="single" w:color="auto" w:sz="4" w:space="0"/>
            </w:tcBorders>
            <w:shd w:val="clear" w:color="000000" w:fill="FFFFFF"/>
            <w:noWrap w:val="0"/>
            <w:vAlign w:val="center"/>
          </w:tcPr>
          <w:p>
            <w:pPr>
              <w:rPr>
                <w:rFonts w:hint="eastAsia" w:ascii="宋体" w:hAnsi="宋体" w:cs="宋体"/>
                <w:sz w:val="24"/>
              </w:rPr>
            </w:pPr>
            <w:r>
              <w:rPr>
                <w:rFonts w:hint="eastAsia" w:ascii="宋体" w:hAnsi="宋体" w:cs="宋体"/>
                <w:sz w:val="24"/>
              </w:rPr>
              <w:t>指标项</w:t>
            </w:r>
          </w:p>
        </w:tc>
        <w:tc>
          <w:tcPr>
            <w:tcW w:w="8231" w:type="dxa"/>
            <w:tcBorders>
              <w:top w:val="single" w:color="auto" w:sz="4" w:space="0"/>
              <w:left w:val="nil"/>
              <w:bottom w:val="nil"/>
              <w:right w:val="single" w:color="auto" w:sz="4" w:space="0"/>
            </w:tcBorders>
            <w:shd w:val="clear" w:color="000000" w:fill="FFFFFF"/>
            <w:noWrap w:val="0"/>
            <w:vAlign w:val="center"/>
          </w:tcPr>
          <w:p>
            <w:pPr>
              <w:rPr>
                <w:rFonts w:hint="eastAsia" w:ascii="宋体" w:hAnsi="宋体" w:cs="宋体"/>
                <w:sz w:val="24"/>
              </w:rPr>
            </w:pPr>
            <w:r>
              <w:rPr>
                <w:rFonts w:hint="eastAsia" w:ascii="宋体" w:hAnsi="宋体" w:cs="宋体"/>
                <w:sz w:val="24"/>
              </w:rPr>
              <w:t>参数要求</w:t>
            </w:r>
          </w:p>
        </w:tc>
      </w:tr>
      <w:tr>
        <w:tblPrEx>
          <w:tblCellMar>
            <w:top w:w="0" w:type="dxa"/>
            <w:left w:w="108" w:type="dxa"/>
            <w:bottom w:w="0" w:type="dxa"/>
            <w:right w:w="108" w:type="dxa"/>
          </w:tblCellMar>
        </w:tblPrEx>
        <w:trPr>
          <w:trHeight w:val="285" w:hRule="atLeast"/>
          <w:jc w:val="center"/>
        </w:trPr>
        <w:tc>
          <w:tcPr>
            <w:tcW w:w="1834" w:type="dxa"/>
            <w:vMerge w:val="restart"/>
            <w:tcBorders>
              <w:top w:val="single" w:color="auto" w:sz="4" w:space="0"/>
              <w:left w:val="single" w:color="auto" w:sz="4" w:space="0"/>
              <w:bottom w:val="single" w:color="000000"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转发性能</w:t>
            </w:r>
          </w:p>
        </w:tc>
        <w:tc>
          <w:tcPr>
            <w:tcW w:w="8231"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▲交换容量≥367Tbps，以官网所列最低参数为准</w:t>
            </w:r>
          </w:p>
        </w:tc>
      </w:tr>
      <w:tr>
        <w:tblPrEx>
          <w:tblCellMar>
            <w:top w:w="0" w:type="dxa"/>
            <w:left w:w="108" w:type="dxa"/>
            <w:bottom w:w="0" w:type="dxa"/>
            <w:right w:w="108" w:type="dxa"/>
          </w:tblCellMar>
        </w:tblPrEx>
        <w:trPr>
          <w:trHeight w:val="285" w:hRule="atLeast"/>
          <w:jc w:val="center"/>
        </w:trPr>
        <w:tc>
          <w:tcPr>
            <w:tcW w:w="1834"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▲包转发率≥230400 Mpps，以官网所列最低参数为准</w:t>
            </w:r>
          </w:p>
        </w:tc>
      </w:tr>
      <w:tr>
        <w:tblPrEx>
          <w:tblCellMar>
            <w:top w:w="0" w:type="dxa"/>
            <w:left w:w="108" w:type="dxa"/>
            <w:bottom w:w="0" w:type="dxa"/>
            <w:right w:w="108" w:type="dxa"/>
          </w:tblCellMar>
        </w:tblPrEx>
        <w:trPr>
          <w:trHeight w:val="285" w:hRule="atLeast"/>
          <w:jc w:val="center"/>
        </w:trPr>
        <w:tc>
          <w:tcPr>
            <w:tcW w:w="1834" w:type="dxa"/>
            <w:vMerge w:val="restart"/>
            <w:tcBorders>
              <w:top w:val="nil"/>
              <w:left w:val="single" w:color="auto" w:sz="4" w:space="0"/>
              <w:bottom w:val="nil"/>
              <w:right w:val="single" w:color="auto" w:sz="4" w:space="0"/>
            </w:tcBorders>
            <w:noWrap w:val="0"/>
            <w:vAlign w:val="center"/>
          </w:tcPr>
          <w:p>
            <w:pPr>
              <w:rPr>
                <w:rFonts w:hint="eastAsia" w:ascii="宋体" w:hAnsi="宋体" w:cs="宋体"/>
                <w:sz w:val="24"/>
              </w:rPr>
            </w:pPr>
            <w:r>
              <w:rPr>
                <w:rFonts w:hint="eastAsia" w:ascii="宋体" w:hAnsi="宋体" w:cs="宋体"/>
                <w:sz w:val="24"/>
              </w:rPr>
              <w:t>硬件规格</w:t>
            </w: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业务槽位数≥8</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交换网板插槽数量≥6, 且支持网板N+M 冗余</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CPU、LSW均为国产自研芯片</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风扇框冗余设计，要求风扇框个数&gt;=3</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AC与HVDC混合供电</w:t>
            </w:r>
          </w:p>
        </w:tc>
      </w:tr>
      <w:tr>
        <w:tblPrEx>
          <w:tblCellMar>
            <w:top w:w="0" w:type="dxa"/>
            <w:left w:w="108" w:type="dxa"/>
            <w:bottom w:w="0" w:type="dxa"/>
            <w:right w:w="108" w:type="dxa"/>
          </w:tblCellMar>
        </w:tblPrEx>
        <w:trPr>
          <w:trHeight w:val="570"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DC，AC，HVDC输入支持双输入，且双输入下不牺牲系统最大配电能力</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DC，AC，HVDC电源模块均支持M+N和N+N</w:t>
            </w:r>
          </w:p>
        </w:tc>
      </w:tr>
      <w:tr>
        <w:tblPrEx>
          <w:tblCellMar>
            <w:top w:w="0" w:type="dxa"/>
            <w:left w:w="108" w:type="dxa"/>
            <w:bottom w:w="0" w:type="dxa"/>
            <w:right w:w="108" w:type="dxa"/>
          </w:tblCellMar>
        </w:tblPrEx>
        <w:trPr>
          <w:trHeight w:val="570"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主控引擎与交换网板硬件分离,主控板故障或者更换不影响整机转发性能</w:t>
            </w:r>
          </w:p>
        </w:tc>
      </w:tr>
      <w:tr>
        <w:tblPrEx>
          <w:tblCellMar>
            <w:top w:w="0" w:type="dxa"/>
            <w:left w:w="108" w:type="dxa"/>
            <w:bottom w:w="0" w:type="dxa"/>
            <w:right w:w="108" w:type="dxa"/>
          </w:tblCellMar>
        </w:tblPrEx>
        <w:trPr>
          <w:trHeight w:val="570"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单板内、单板间交换均支持VOQ虚拟输出队列控制，避免HOLB头阻塞</w:t>
            </w:r>
          </w:p>
        </w:tc>
      </w:tr>
      <w:tr>
        <w:tblPrEx>
          <w:tblCellMar>
            <w:top w:w="0" w:type="dxa"/>
            <w:left w:w="108" w:type="dxa"/>
            <w:bottom w:w="0" w:type="dxa"/>
            <w:right w:w="108" w:type="dxa"/>
          </w:tblCellMar>
        </w:tblPrEx>
        <w:trPr>
          <w:trHeight w:val="570"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支持信元交换：要求单条流可以负载分担到多块交换网，提高交换网利用效率</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严格前后风道</w:t>
            </w:r>
          </w:p>
        </w:tc>
      </w:tr>
      <w:tr>
        <w:tblPrEx>
          <w:tblCellMar>
            <w:top w:w="0" w:type="dxa"/>
            <w:left w:w="108" w:type="dxa"/>
            <w:bottom w:w="0" w:type="dxa"/>
            <w:right w:w="108" w:type="dxa"/>
          </w:tblCellMar>
        </w:tblPrEx>
        <w:trPr>
          <w:trHeight w:val="570"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线卡前面板开孔进风，加快光模块散热，延长光模块寿命</w:t>
            </w:r>
          </w:p>
        </w:tc>
      </w:tr>
      <w:tr>
        <w:tblPrEx>
          <w:tblCellMar>
            <w:top w:w="0" w:type="dxa"/>
            <w:left w:w="108" w:type="dxa"/>
            <w:bottom w:w="0" w:type="dxa"/>
            <w:right w:w="108" w:type="dxa"/>
          </w:tblCellMar>
        </w:tblPrEx>
        <w:trPr>
          <w:trHeight w:val="570" w:hRule="atLeast"/>
          <w:jc w:val="center"/>
        </w:trPr>
        <w:tc>
          <w:tcPr>
            <w:tcW w:w="1834" w:type="dxa"/>
            <w:tcBorders>
              <w:top w:val="single" w:color="auto" w:sz="4" w:space="0"/>
              <w:left w:val="single" w:color="auto" w:sz="4" w:space="0"/>
              <w:bottom w:val="nil"/>
              <w:right w:val="single" w:color="auto" w:sz="4" w:space="0"/>
            </w:tcBorders>
            <w:noWrap w:val="0"/>
            <w:vAlign w:val="center"/>
          </w:tcPr>
          <w:p>
            <w:pPr>
              <w:rPr>
                <w:rFonts w:hint="eastAsia" w:ascii="宋体" w:hAnsi="宋体" w:cs="宋体"/>
                <w:sz w:val="24"/>
              </w:rPr>
            </w:pPr>
            <w:r>
              <w:rPr>
                <w:rFonts w:hint="eastAsia" w:ascii="宋体" w:hAnsi="宋体" w:cs="宋体"/>
                <w:sz w:val="24"/>
              </w:rPr>
              <w:t>端口配置要求</w:t>
            </w: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color w:val="000000"/>
                <w:kern w:val="0"/>
                <w:sz w:val="24"/>
              </w:rPr>
              <w:t>▲实配: 10GE端口≥48个</w:t>
            </w:r>
          </w:p>
        </w:tc>
      </w:tr>
      <w:tr>
        <w:tblPrEx>
          <w:tblCellMar>
            <w:top w:w="0" w:type="dxa"/>
            <w:left w:w="108" w:type="dxa"/>
            <w:bottom w:w="0" w:type="dxa"/>
            <w:right w:w="108" w:type="dxa"/>
          </w:tblCellMar>
        </w:tblPrEx>
        <w:trPr>
          <w:trHeight w:val="285" w:hRule="atLeast"/>
          <w:jc w:val="center"/>
        </w:trPr>
        <w:tc>
          <w:tcPr>
            <w:tcW w:w="1834" w:type="dxa"/>
            <w:vMerge w:val="restart"/>
            <w:tcBorders>
              <w:top w:val="single" w:color="auto" w:sz="4" w:space="0"/>
              <w:left w:val="single" w:color="auto" w:sz="4" w:space="0"/>
              <w:bottom w:val="nil"/>
              <w:right w:val="single" w:color="auto" w:sz="4" w:space="0"/>
            </w:tcBorders>
            <w:noWrap w:val="0"/>
            <w:vAlign w:val="center"/>
          </w:tcPr>
          <w:p>
            <w:pPr>
              <w:rPr>
                <w:rFonts w:hint="eastAsia" w:ascii="宋体" w:hAnsi="宋体" w:cs="宋体"/>
                <w:sz w:val="24"/>
              </w:rPr>
            </w:pPr>
            <w:r>
              <w:rPr>
                <w:rFonts w:hint="eastAsia" w:ascii="宋体" w:hAnsi="宋体" w:cs="宋体"/>
                <w:sz w:val="24"/>
              </w:rPr>
              <w:t>二层功能</w:t>
            </w: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支持端口聚合，802.3ad</w:t>
            </w:r>
          </w:p>
        </w:tc>
      </w:tr>
      <w:tr>
        <w:tblPrEx>
          <w:tblCellMar>
            <w:top w:w="0" w:type="dxa"/>
            <w:left w:w="108" w:type="dxa"/>
            <w:bottom w:w="0" w:type="dxa"/>
            <w:right w:w="108" w:type="dxa"/>
          </w:tblCellMar>
        </w:tblPrEx>
        <w:trPr>
          <w:trHeight w:val="855" w:hRule="atLeast"/>
          <w:jc w:val="center"/>
        </w:trPr>
        <w:tc>
          <w:tcPr>
            <w:tcW w:w="1834"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支持M-LAG或vPC等类似技术（跨框链路聚合，要求配对设备有独立的控制平面，不能用堆叠等多虚一技术实现）</w:t>
            </w:r>
          </w:p>
        </w:tc>
      </w:tr>
      <w:tr>
        <w:tblPrEx>
          <w:tblCellMar>
            <w:top w:w="0" w:type="dxa"/>
            <w:left w:w="108" w:type="dxa"/>
            <w:bottom w:w="0" w:type="dxa"/>
            <w:right w:w="108" w:type="dxa"/>
          </w:tblCellMar>
        </w:tblPrEx>
        <w:trPr>
          <w:trHeight w:val="285" w:hRule="atLeast"/>
          <w:jc w:val="center"/>
        </w:trPr>
        <w:tc>
          <w:tcPr>
            <w:tcW w:w="1834"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支持N:1镜像、流镜像、远程端口镜像</w:t>
            </w:r>
          </w:p>
        </w:tc>
      </w:tr>
      <w:tr>
        <w:tblPrEx>
          <w:tblCellMar>
            <w:top w:w="0" w:type="dxa"/>
            <w:left w:w="108" w:type="dxa"/>
            <w:bottom w:w="0" w:type="dxa"/>
            <w:right w:w="108" w:type="dxa"/>
          </w:tblCellMar>
        </w:tblPrEx>
        <w:trPr>
          <w:trHeight w:val="285" w:hRule="atLeast"/>
          <w:jc w:val="center"/>
        </w:trPr>
        <w:tc>
          <w:tcPr>
            <w:tcW w:w="1834" w:type="dxa"/>
            <w:vMerge w:val="restart"/>
            <w:tcBorders>
              <w:top w:val="single" w:color="auto" w:sz="4" w:space="0"/>
              <w:left w:val="single" w:color="auto" w:sz="4" w:space="0"/>
              <w:bottom w:val="single" w:color="000000"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三层功能</w:t>
            </w: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支持RIP、OSPF、ISIS、BGP等IPv4动态路由协议</w:t>
            </w:r>
          </w:p>
        </w:tc>
      </w:tr>
      <w:tr>
        <w:tblPrEx>
          <w:tblCellMar>
            <w:top w:w="0" w:type="dxa"/>
            <w:left w:w="108" w:type="dxa"/>
            <w:bottom w:w="0" w:type="dxa"/>
            <w:right w:w="108" w:type="dxa"/>
          </w:tblCellMar>
        </w:tblPrEx>
        <w:trPr>
          <w:trHeight w:val="285" w:hRule="atLeast"/>
          <w:jc w:val="center"/>
        </w:trPr>
        <w:tc>
          <w:tcPr>
            <w:tcW w:w="1834"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支持RIPng、OSPFv3、ISISv6、BGP4+等IPv6动态路由协议</w:t>
            </w:r>
          </w:p>
        </w:tc>
      </w:tr>
      <w:tr>
        <w:tblPrEx>
          <w:tblCellMar>
            <w:top w:w="0" w:type="dxa"/>
            <w:left w:w="108" w:type="dxa"/>
            <w:bottom w:w="0" w:type="dxa"/>
            <w:right w:w="108" w:type="dxa"/>
          </w:tblCellMar>
        </w:tblPrEx>
        <w:trPr>
          <w:trHeight w:val="285" w:hRule="atLeast"/>
          <w:jc w:val="center"/>
        </w:trPr>
        <w:tc>
          <w:tcPr>
            <w:tcW w:w="1834"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支持路由协议多实例、策略路由</w:t>
            </w:r>
          </w:p>
        </w:tc>
      </w:tr>
      <w:tr>
        <w:tblPrEx>
          <w:tblCellMar>
            <w:top w:w="0" w:type="dxa"/>
            <w:left w:w="108" w:type="dxa"/>
            <w:bottom w:w="0" w:type="dxa"/>
            <w:right w:w="108" w:type="dxa"/>
          </w:tblCellMar>
        </w:tblPrEx>
        <w:trPr>
          <w:trHeight w:val="285" w:hRule="atLeast"/>
          <w:jc w:val="center"/>
        </w:trPr>
        <w:tc>
          <w:tcPr>
            <w:tcW w:w="1834"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支持VRRP</w:t>
            </w:r>
          </w:p>
        </w:tc>
      </w:tr>
      <w:tr>
        <w:tblPrEx>
          <w:tblCellMar>
            <w:top w:w="0" w:type="dxa"/>
            <w:left w:w="108" w:type="dxa"/>
            <w:bottom w:w="0" w:type="dxa"/>
            <w:right w:w="108" w:type="dxa"/>
          </w:tblCellMar>
        </w:tblPrEx>
        <w:trPr>
          <w:trHeight w:val="285" w:hRule="atLeast"/>
          <w:jc w:val="center"/>
        </w:trPr>
        <w:tc>
          <w:tcPr>
            <w:tcW w:w="1834"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支持IP分片和重组</w:t>
            </w:r>
          </w:p>
        </w:tc>
      </w:tr>
      <w:tr>
        <w:tblPrEx>
          <w:tblCellMar>
            <w:top w:w="0" w:type="dxa"/>
            <w:left w:w="108" w:type="dxa"/>
            <w:bottom w:w="0" w:type="dxa"/>
            <w:right w:w="108" w:type="dxa"/>
          </w:tblCellMar>
        </w:tblPrEx>
        <w:trPr>
          <w:trHeight w:val="383" w:hRule="atLeast"/>
          <w:jc w:val="center"/>
        </w:trPr>
        <w:tc>
          <w:tcPr>
            <w:tcW w:w="1834" w:type="dxa"/>
            <w:vMerge w:val="restart"/>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QoS</w:t>
            </w: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支持PQ、WFQ、PQ+WFQ等队列调度方式</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4"/>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支持ACL、CAR、Remark等动作</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支持WRED、尾丢弃等拥塞避免机制</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支持流量整形</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支持出方向ACL，CAR，统计</w:t>
            </w:r>
          </w:p>
        </w:tc>
      </w:tr>
      <w:tr>
        <w:tblPrEx>
          <w:tblCellMar>
            <w:top w:w="0" w:type="dxa"/>
            <w:left w:w="108" w:type="dxa"/>
            <w:bottom w:w="0" w:type="dxa"/>
            <w:right w:w="108" w:type="dxa"/>
          </w:tblCellMar>
        </w:tblPrEx>
        <w:trPr>
          <w:trHeight w:val="570" w:hRule="atLeast"/>
          <w:jc w:val="center"/>
        </w:trPr>
        <w:tc>
          <w:tcPr>
            <w:tcW w:w="1834" w:type="dxa"/>
            <w:vMerge w:val="restart"/>
            <w:tcBorders>
              <w:top w:val="nil"/>
              <w:left w:val="single" w:color="auto" w:sz="4" w:space="0"/>
              <w:bottom w:val="nil"/>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可靠性</w:t>
            </w: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支持硬件BFD（Bidirectional Forwarding Detection）3.3ms检测间隔</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支持集群或堆叠多虚一技术，实现单一界面管理多台设备</w:t>
            </w:r>
          </w:p>
        </w:tc>
      </w:tr>
      <w:tr>
        <w:tblPrEx>
          <w:tblCellMar>
            <w:top w:w="0" w:type="dxa"/>
            <w:left w:w="108" w:type="dxa"/>
            <w:bottom w:w="0" w:type="dxa"/>
            <w:right w:w="108" w:type="dxa"/>
          </w:tblCellMar>
        </w:tblPrEx>
        <w:trPr>
          <w:trHeight w:val="285" w:hRule="atLeast"/>
          <w:jc w:val="center"/>
        </w:trPr>
        <w:tc>
          <w:tcPr>
            <w:tcW w:w="183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DC特性</w:t>
            </w: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支持1虚多技术，最多能虚拟成16台逻辑交换机</w:t>
            </w:r>
          </w:p>
        </w:tc>
      </w:tr>
      <w:tr>
        <w:tblPrEx>
          <w:tblCellMar>
            <w:top w:w="0" w:type="dxa"/>
            <w:left w:w="108" w:type="dxa"/>
            <w:bottom w:w="0" w:type="dxa"/>
            <w:right w:w="108" w:type="dxa"/>
          </w:tblCellMar>
        </w:tblPrEx>
        <w:trPr>
          <w:trHeight w:val="285" w:hRule="atLeast"/>
          <w:jc w:val="center"/>
        </w:trPr>
        <w:tc>
          <w:tcPr>
            <w:tcW w:w="18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支持Vxlan协议，且支持BGP EVPN协议</w:t>
            </w:r>
          </w:p>
        </w:tc>
      </w:tr>
      <w:tr>
        <w:tblPrEx>
          <w:tblCellMar>
            <w:top w:w="0" w:type="dxa"/>
            <w:left w:w="108" w:type="dxa"/>
            <w:bottom w:w="0" w:type="dxa"/>
            <w:right w:w="108" w:type="dxa"/>
          </w:tblCellMar>
        </w:tblPrEx>
        <w:trPr>
          <w:trHeight w:val="285" w:hRule="atLeast"/>
          <w:jc w:val="center"/>
        </w:trPr>
        <w:tc>
          <w:tcPr>
            <w:tcW w:w="18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支持缓存的微突发状态统计</w:t>
            </w:r>
          </w:p>
        </w:tc>
      </w:tr>
      <w:tr>
        <w:tblPrEx>
          <w:tblCellMar>
            <w:top w:w="0" w:type="dxa"/>
            <w:left w:w="108" w:type="dxa"/>
            <w:bottom w:w="0" w:type="dxa"/>
            <w:right w:w="108" w:type="dxa"/>
          </w:tblCellMar>
        </w:tblPrEx>
        <w:trPr>
          <w:trHeight w:val="285" w:hRule="atLeast"/>
          <w:jc w:val="center"/>
        </w:trPr>
        <w:tc>
          <w:tcPr>
            <w:tcW w:w="18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 xml:space="preserve">支持MAC Flapping </w:t>
            </w:r>
          </w:p>
        </w:tc>
      </w:tr>
      <w:tr>
        <w:tblPrEx>
          <w:tblCellMar>
            <w:top w:w="0" w:type="dxa"/>
            <w:left w:w="108" w:type="dxa"/>
            <w:bottom w:w="0" w:type="dxa"/>
            <w:right w:w="108" w:type="dxa"/>
          </w:tblCellMar>
        </w:tblPrEx>
        <w:trPr>
          <w:trHeight w:val="285" w:hRule="atLeast"/>
          <w:jc w:val="center"/>
        </w:trPr>
        <w:tc>
          <w:tcPr>
            <w:tcW w:w="18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支持VXLAN over IPv6</w:t>
            </w:r>
          </w:p>
        </w:tc>
      </w:tr>
      <w:tr>
        <w:tblPrEx>
          <w:tblCellMar>
            <w:top w:w="0" w:type="dxa"/>
            <w:left w:w="108" w:type="dxa"/>
            <w:bottom w:w="0" w:type="dxa"/>
            <w:right w:w="108" w:type="dxa"/>
          </w:tblCellMar>
        </w:tblPrEx>
        <w:trPr>
          <w:trHeight w:val="285" w:hRule="atLeast"/>
          <w:jc w:val="center"/>
        </w:trPr>
        <w:tc>
          <w:tcPr>
            <w:tcW w:w="18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 xml:space="preserve">支持IPv6 VXLAN over IPv4 </w:t>
            </w:r>
          </w:p>
        </w:tc>
      </w:tr>
      <w:tr>
        <w:tblPrEx>
          <w:tblCellMar>
            <w:top w:w="0" w:type="dxa"/>
            <w:left w:w="108" w:type="dxa"/>
            <w:bottom w:w="0" w:type="dxa"/>
            <w:right w:w="108" w:type="dxa"/>
          </w:tblCellMar>
        </w:tblPrEx>
        <w:trPr>
          <w:trHeight w:val="285" w:hRule="atLeast"/>
          <w:jc w:val="center"/>
        </w:trPr>
        <w:tc>
          <w:tcPr>
            <w:tcW w:w="1834" w:type="dxa"/>
            <w:vMerge w:val="restart"/>
            <w:tcBorders>
              <w:top w:val="nil"/>
              <w:left w:val="single" w:color="auto" w:sz="4" w:space="0"/>
              <w:bottom w:val="nil"/>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安全性</w:t>
            </w: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支持二层到四层的ACL</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支持微分段</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支持IETF标准的NSH协议</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支持BPDU guard</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支持单播、组播和广播风暴控制</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支持DHCPv4 Server、Relay和snooping</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nil"/>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支持IP/ARP/ICMP 安全</w:t>
            </w:r>
          </w:p>
        </w:tc>
      </w:tr>
      <w:tr>
        <w:tblPrEx>
          <w:tblCellMar>
            <w:top w:w="0" w:type="dxa"/>
            <w:left w:w="108" w:type="dxa"/>
            <w:bottom w:w="0" w:type="dxa"/>
            <w:right w:w="108" w:type="dxa"/>
          </w:tblCellMar>
        </w:tblPrEx>
        <w:trPr>
          <w:trHeight w:val="285" w:hRule="atLeast"/>
          <w:jc w:val="center"/>
        </w:trPr>
        <w:tc>
          <w:tcPr>
            <w:tcW w:w="183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组播</w:t>
            </w: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支持IGMP Snooping V1,V2,V3</w:t>
            </w:r>
          </w:p>
        </w:tc>
      </w:tr>
      <w:tr>
        <w:tblPrEx>
          <w:tblCellMar>
            <w:top w:w="0" w:type="dxa"/>
            <w:left w:w="108" w:type="dxa"/>
            <w:bottom w:w="0" w:type="dxa"/>
            <w:right w:w="108" w:type="dxa"/>
          </w:tblCellMar>
        </w:tblPrEx>
        <w:trPr>
          <w:trHeight w:val="285" w:hRule="atLeast"/>
          <w:jc w:val="center"/>
        </w:trPr>
        <w:tc>
          <w:tcPr>
            <w:tcW w:w="18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支持IGMP Proxy</w:t>
            </w:r>
          </w:p>
        </w:tc>
      </w:tr>
      <w:tr>
        <w:tblPrEx>
          <w:tblCellMar>
            <w:top w:w="0" w:type="dxa"/>
            <w:left w:w="108" w:type="dxa"/>
            <w:bottom w:w="0" w:type="dxa"/>
            <w:right w:w="108" w:type="dxa"/>
          </w:tblCellMar>
        </w:tblPrEx>
        <w:trPr>
          <w:trHeight w:val="285" w:hRule="atLeast"/>
          <w:jc w:val="center"/>
        </w:trPr>
        <w:tc>
          <w:tcPr>
            <w:tcW w:w="18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支持PIM-SM,PIM-SSM</w:t>
            </w:r>
          </w:p>
        </w:tc>
      </w:tr>
      <w:tr>
        <w:tblPrEx>
          <w:tblCellMar>
            <w:top w:w="0" w:type="dxa"/>
            <w:left w:w="108" w:type="dxa"/>
            <w:bottom w:w="0" w:type="dxa"/>
            <w:right w:w="108" w:type="dxa"/>
          </w:tblCellMar>
        </w:tblPrEx>
        <w:trPr>
          <w:trHeight w:val="285" w:hRule="atLeast"/>
          <w:jc w:val="center"/>
        </w:trPr>
        <w:tc>
          <w:tcPr>
            <w:tcW w:w="1834" w:type="dxa"/>
            <w:vMerge w:val="restart"/>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配置和维护</w:t>
            </w: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支持Telemetry，提供第三方测试报告</w:t>
            </w:r>
          </w:p>
        </w:tc>
      </w:tr>
      <w:tr>
        <w:tblPrEx>
          <w:tblCellMar>
            <w:top w:w="0" w:type="dxa"/>
            <w:left w:w="108" w:type="dxa"/>
            <w:bottom w:w="0" w:type="dxa"/>
            <w:right w:w="108" w:type="dxa"/>
          </w:tblCellMar>
        </w:tblPrEx>
        <w:trPr>
          <w:trHeight w:val="570" w:hRule="atLeast"/>
          <w:jc w:val="center"/>
        </w:trPr>
        <w:tc>
          <w:tcPr>
            <w:tcW w:w="183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 xml:space="preserve">支持VxLAN OAM: VxLAN ping, VxLAN tracert </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支持iPCA</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支持SNMP V1/V2/V3、Telnet、RMON、SSH</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支持通过命令行、中文图形化配置软件等方式进行配置和管理</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支持配置回滚</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支持BootROM升级和远程在线升级</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支持ZTP技术，配置自动下发</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支持RADIUS用户登录认证</w:t>
            </w:r>
          </w:p>
        </w:tc>
      </w:tr>
      <w:tr>
        <w:tblPrEx>
          <w:tblCellMar>
            <w:top w:w="0" w:type="dxa"/>
            <w:left w:w="108" w:type="dxa"/>
            <w:bottom w:w="0" w:type="dxa"/>
            <w:right w:w="108" w:type="dxa"/>
          </w:tblCellMar>
        </w:tblPrEx>
        <w:trPr>
          <w:trHeight w:val="570" w:hRule="atLeast"/>
          <w:jc w:val="center"/>
        </w:trPr>
        <w:tc>
          <w:tcPr>
            <w:tcW w:w="183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支持Ansible自动化配置，Module开源发布</w:t>
            </w:r>
          </w:p>
        </w:tc>
      </w:tr>
      <w:tr>
        <w:tblPrEx>
          <w:tblCellMar>
            <w:top w:w="0" w:type="dxa"/>
            <w:left w:w="108" w:type="dxa"/>
            <w:bottom w:w="0" w:type="dxa"/>
            <w:right w:w="108" w:type="dxa"/>
          </w:tblCellMar>
        </w:tblPrEx>
        <w:trPr>
          <w:trHeight w:val="285" w:hRule="atLeast"/>
          <w:jc w:val="center"/>
        </w:trPr>
        <w:tc>
          <w:tcPr>
            <w:tcW w:w="1834"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流量分析</w:t>
            </w: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 xml:space="preserve">支持Netstream， </w:t>
            </w:r>
          </w:p>
        </w:tc>
      </w:tr>
      <w:tr>
        <w:tblPrEx>
          <w:tblCellMar>
            <w:top w:w="0" w:type="dxa"/>
            <w:left w:w="108" w:type="dxa"/>
            <w:bottom w:w="0" w:type="dxa"/>
            <w:right w:w="108" w:type="dxa"/>
          </w:tblCellMar>
        </w:tblPrEx>
        <w:trPr>
          <w:trHeight w:val="285" w:hRule="atLeast"/>
          <w:jc w:val="center"/>
        </w:trPr>
        <w:tc>
          <w:tcPr>
            <w:tcW w:w="1834" w:type="dxa"/>
            <w:vMerge w:val="restart"/>
            <w:tcBorders>
              <w:top w:val="nil"/>
              <w:left w:val="single" w:color="auto" w:sz="4" w:space="0"/>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资质证书</w:t>
            </w: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提供工信部入网证</w:t>
            </w:r>
          </w:p>
        </w:tc>
      </w:tr>
      <w:tr>
        <w:tblPrEx>
          <w:tblCellMar>
            <w:top w:w="0" w:type="dxa"/>
            <w:left w:w="108" w:type="dxa"/>
            <w:bottom w:w="0" w:type="dxa"/>
            <w:right w:w="108" w:type="dxa"/>
          </w:tblCellMar>
        </w:tblPrEx>
        <w:trPr>
          <w:trHeight w:val="285" w:hRule="atLeast"/>
          <w:jc w:val="center"/>
        </w:trPr>
        <w:tc>
          <w:tcPr>
            <w:tcW w:w="1834"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cs="宋体"/>
                <w:sz w:val="24"/>
                <w:highlight w:val="none"/>
              </w:rPr>
            </w:pPr>
          </w:p>
        </w:tc>
        <w:tc>
          <w:tcPr>
            <w:tcW w:w="8231" w:type="dxa"/>
            <w:tcBorders>
              <w:top w:val="nil"/>
              <w:left w:val="nil"/>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获得国家版权局颁发的软件著作权证书，提供证书复印件</w:t>
            </w:r>
          </w:p>
        </w:tc>
      </w:tr>
    </w:tbl>
    <w:p>
      <w:pPr>
        <w:numPr>
          <w:ilvl w:val="0"/>
          <w:numId w:val="27"/>
        </w:numPr>
        <w:tabs>
          <w:tab w:val="left" w:pos="644"/>
          <w:tab w:val="left" w:pos="1200"/>
        </w:tabs>
        <w:autoSpaceDE w:val="0"/>
        <w:autoSpaceDN w:val="0"/>
        <w:adjustRightInd w:val="0"/>
        <w:spacing w:line="360" w:lineRule="auto"/>
        <w:rPr>
          <w:rFonts w:hint="eastAsia" w:ascii="宋体" w:hAnsi="宋体" w:cs="宋体"/>
          <w:sz w:val="24"/>
          <w:highlight w:val="none"/>
        </w:rPr>
      </w:pPr>
      <w:r>
        <w:rPr>
          <w:rFonts w:hint="eastAsia" w:ascii="宋体" w:hAnsi="宋体" w:cs="宋体"/>
          <w:sz w:val="24"/>
          <w:highlight w:val="none"/>
        </w:rPr>
        <w:t>汇聚交换机参数指标</w:t>
      </w:r>
    </w:p>
    <w:tbl>
      <w:tblPr>
        <w:tblStyle w:val="42"/>
        <w:tblW w:w="9357" w:type="dxa"/>
        <w:jc w:val="center"/>
        <w:tblLayout w:type="autofit"/>
        <w:tblCellMar>
          <w:top w:w="0" w:type="dxa"/>
          <w:left w:w="108" w:type="dxa"/>
          <w:bottom w:w="0" w:type="dxa"/>
          <w:right w:w="108" w:type="dxa"/>
        </w:tblCellMar>
      </w:tblPr>
      <w:tblGrid>
        <w:gridCol w:w="2551"/>
        <w:gridCol w:w="6806"/>
      </w:tblGrid>
      <w:tr>
        <w:tblPrEx>
          <w:tblCellMar>
            <w:top w:w="0" w:type="dxa"/>
            <w:left w:w="108" w:type="dxa"/>
            <w:bottom w:w="0" w:type="dxa"/>
            <w:right w:w="108" w:type="dxa"/>
          </w:tblCellMar>
        </w:tblPrEx>
        <w:trPr>
          <w:trHeight w:val="300" w:hRule="atLeast"/>
          <w:jc w:val="center"/>
        </w:trPr>
        <w:tc>
          <w:tcPr>
            <w:tcW w:w="2551"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hAnsi="宋体" w:cs="宋体"/>
                <w:b/>
                <w:bCs/>
                <w:kern w:val="0"/>
                <w:sz w:val="24"/>
                <w:highlight w:val="none"/>
              </w:rPr>
            </w:pPr>
            <w:r>
              <w:rPr>
                <w:rFonts w:hint="eastAsia" w:ascii="宋体" w:hAnsi="宋体" w:cs="宋体"/>
                <w:b/>
                <w:bCs/>
                <w:kern w:val="0"/>
                <w:sz w:val="24"/>
                <w:highlight w:val="none"/>
              </w:rPr>
              <w:t>技术指标</w:t>
            </w:r>
          </w:p>
        </w:tc>
        <w:tc>
          <w:tcPr>
            <w:tcW w:w="6806" w:type="dxa"/>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b/>
                <w:bCs/>
                <w:kern w:val="0"/>
                <w:sz w:val="24"/>
                <w:highlight w:val="none"/>
              </w:rPr>
            </w:pPr>
            <w:r>
              <w:rPr>
                <w:rFonts w:hint="eastAsia" w:ascii="宋体" w:hAnsi="宋体" w:cs="宋体"/>
                <w:b/>
                <w:bCs/>
                <w:kern w:val="0"/>
                <w:sz w:val="24"/>
                <w:highlight w:val="none"/>
              </w:rPr>
              <w:t>要求</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8" w:space="0"/>
              <w:bottom w:val="single" w:color="auto" w:sz="8" w:space="0"/>
              <w:right w:val="single" w:color="auto" w:sz="8" w:space="0"/>
            </w:tcBorders>
            <w:noWrap/>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交换容量</w:t>
            </w:r>
          </w:p>
        </w:tc>
        <w:tc>
          <w:tcPr>
            <w:tcW w:w="6806" w:type="dxa"/>
            <w:tcBorders>
              <w:top w:val="nil"/>
              <w:left w:val="nil"/>
              <w:bottom w:val="nil"/>
              <w:right w:val="single" w:color="auto" w:sz="8"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▲交换容量≥19.2Tbps</w:t>
            </w:r>
          </w:p>
        </w:tc>
      </w:tr>
      <w:tr>
        <w:tblPrEx>
          <w:tblCellMar>
            <w:top w:w="0" w:type="dxa"/>
            <w:left w:w="108" w:type="dxa"/>
            <w:bottom w:w="0" w:type="dxa"/>
            <w:right w:w="108" w:type="dxa"/>
          </w:tblCellMar>
        </w:tblPrEx>
        <w:trPr>
          <w:trHeight w:val="285" w:hRule="atLeast"/>
          <w:jc w:val="center"/>
        </w:trPr>
        <w:tc>
          <w:tcPr>
            <w:tcW w:w="2551" w:type="dxa"/>
            <w:vMerge w:val="restart"/>
            <w:tcBorders>
              <w:top w:val="nil"/>
              <w:left w:val="single" w:color="auto" w:sz="8" w:space="0"/>
              <w:bottom w:val="single" w:color="000000" w:sz="8" w:space="0"/>
              <w:right w:val="nil"/>
            </w:tcBorders>
            <w:noWrap/>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单板槽位</w:t>
            </w:r>
          </w:p>
        </w:tc>
        <w:tc>
          <w:tcPr>
            <w:tcW w:w="680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主控引擎与交换网板物理分离；主控引擎≥2；独立交换网板≥2；整机业务板槽位数≥4</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nil"/>
            </w:tcBorders>
            <w:noWrap w:val="0"/>
            <w:vAlign w:val="center"/>
          </w:tcPr>
          <w:p>
            <w:pPr>
              <w:widowControl/>
              <w:jc w:val="left"/>
              <w:rPr>
                <w:rFonts w:hint="eastAsia" w:ascii="宋体" w:hAnsi="宋体" w:cs="宋体"/>
                <w:color w:val="000000"/>
                <w:kern w:val="0"/>
                <w:sz w:val="24"/>
                <w:highlight w:val="none"/>
              </w:rPr>
            </w:pPr>
          </w:p>
        </w:tc>
        <w:tc>
          <w:tcPr>
            <w:tcW w:w="6806"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主控槽位与业务线卡槽位宽度相同，为全宽槽位</w:t>
            </w:r>
          </w:p>
        </w:tc>
      </w:tr>
      <w:tr>
        <w:tblPrEx>
          <w:tblCellMar>
            <w:top w:w="0" w:type="dxa"/>
            <w:left w:w="108" w:type="dxa"/>
            <w:bottom w:w="0" w:type="dxa"/>
            <w:right w:w="108" w:type="dxa"/>
          </w:tblCellMar>
        </w:tblPrEx>
        <w:trPr>
          <w:trHeight w:val="300" w:hRule="atLeast"/>
          <w:jc w:val="center"/>
        </w:trPr>
        <w:tc>
          <w:tcPr>
            <w:tcW w:w="2551" w:type="dxa"/>
            <w:vMerge w:val="restart"/>
            <w:tcBorders>
              <w:top w:val="nil"/>
              <w:left w:val="single" w:color="auto" w:sz="8" w:space="0"/>
              <w:bottom w:val="nil"/>
              <w:right w:val="single" w:color="auto" w:sz="8" w:space="0"/>
            </w:tcBorders>
            <w:noWrap/>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机柜要求</w:t>
            </w:r>
          </w:p>
        </w:tc>
        <w:tc>
          <w:tcPr>
            <w:tcW w:w="6806" w:type="dxa"/>
            <w:tcBorders>
              <w:top w:val="nil"/>
              <w:left w:val="nil"/>
              <w:bottom w:val="nil"/>
              <w:right w:val="single" w:color="auto" w:sz="8"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为适应业界主流机柜的深度，要求设备深度≤600mm</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nil"/>
              <w:right w:val="single" w:color="auto" w:sz="8" w:space="0"/>
            </w:tcBorders>
            <w:noWrap w:val="0"/>
            <w:vAlign w:val="center"/>
          </w:tcPr>
          <w:p>
            <w:pPr>
              <w:widowControl/>
              <w:jc w:val="left"/>
              <w:rPr>
                <w:rFonts w:hint="eastAsia" w:ascii="宋体" w:hAnsi="宋体" w:cs="宋体"/>
                <w:color w:val="000000"/>
                <w:kern w:val="0"/>
                <w:sz w:val="24"/>
                <w:highlight w:val="none"/>
              </w:rPr>
            </w:pPr>
          </w:p>
        </w:tc>
        <w:tc>
          <w:tcPr>
            <w:tcW w:w="6806" w:type="dxa"/>
            <w:tcBorders>
              <w:top w:val="single" w:color="000000" w:sz="8" w:space="0"/>
              <w:left w:val="nil"/>
              <w:bottom w:val="nil"/>
              <w:right w:val="single" w:color="auto" w:sz="8"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为满足机房里机柜的空间要求，要求设备高度≤10U</w:t>
            </w:r>
          </w:p>
        </w:tc>
      </w:tr>
      <w:tr>
        <w:tblPrEx>
          <w:tblCellMar>
            <w:top w:w="0" w:type="dxa"/>
            <w:left w:w="108" w:type="dxa"/>
            <w:bottom w:w="0" w:type="dxa"/>
            <w:right w:w="108" w:type="dxa"/>
          </w:tblCellMar>
        </w:tblPrEx>
        <w:trPr>
          <w:trHeight w:val="300" w:hRule="atLeast"/>
          <w:jc w:val="center"/>
        </w:trPr>
        <w:tc>
          <w:tcPr>
            <w:tcW w:w="2551" w:type="dxa"/>
            <w:tcBorders>
              <w:top w:val="single" w:color="000000" w:sz="8" w:space="0"/>
              <w:left w:val="single" w:color="auto" w:sz="8" w:space="0"/>
              <w:bottom w:val="nil"/>
              <w:right w:val="single" w:color="auto" w:sz="8" w:space="0"/>
            </w:tcBorders>
            <w:noWrap/>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槽位带宽</w:t>
            </w:r>
          </w:p>
        </w:tc>
        <w:tc>
          <w:tcPr>
            <w:tcW w:w="6806" w:type="dxa"/>
            <w:tcBorders>
              <w:top w:val="single" w:color="000000" w:sz="8" w:space="0"/>
              <w:left w:val="nil"/>
              <w:bottom w:val="nil"/>
              <w:right w:val="single" w:color="auto" w:sz="8"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支持每槽位转发能力≥2.4Tbps（单向）</w:t>
            </w:r>
          </w:p>
        </w:tc>
      </w:tr>
      <w:tr>
        <w:tblPrEx>
          <w:tblCellMar>
            <w:top w:w="0" w:type="dxa"/>
            <w:left w:w="108" w:type="dxa"/>
            <w:bottom w:w="0" w:type="dxa"/>
            <w:right w:w="108" w:type="dxa"/>
          </w:tblCellMar>
        </w:tblPrEx>
        <w:trPr>
          <w:trHeight w:val="312" w:hRule="atLeast"/>
          <w:jc w:val="center"/>
        </w:trPr>
        <w:tc>
          <w:tcPr>
            <w:tcW w:w="2551" w:type="dxa"/>
            <w:vMerge w:val="restart"/>
            <w:tcBorders>
              <w:top w:val="single" w:color="000000" w:sz="8" w:space="0"/>
              <w:left w:val="single" w:color="auto" w:sz="8" w:space="0"/>
              <w:bottom w:val="single" w:color="000000" w:sz="8" w:space="0"/>
              <w:right w:val="nil"/>
            </w:tcBorders>
            <w:noWrap/>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硬件要求</w:t>
            </w:r>
          </w:p>
        </w:tc>
        <w:tc>
          <w:tcPr>
            <w:tcW w:w="68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为保证设备散热效果和可靠性，要求设备支持模块化风扇框，可热插拔，当单个风扇框发生故障时，有其他风扇正常运行，保证设备散热，独立风扇框数≥2</w:t>
            </w:r>
          </w:p>
        </w:tc>
      </w:tr>
      <w:tr>
        <w:tblPrEx>
          <w:tblCellMar>
            <w:top w:w="0" w:type="dxa"/>
            <w:left w:w="108" w:type="dxa"/>
            <w:bottom w:w="0" w:type="dxa"/>
            <w:right w:w="108" w:type="dxa"/>
          </w:tblCellMar>
        </w:tblPrEx>
        <w:trPr>
          <w:trHeight w:val="312" w:hRule="atLeast"/>
          <w:jc w:val="center"/>
        </w:trPr>
        <w:tc>
          <w:tcPr>
            <w:tcW w:w="2551" w:type="dxa"/>
            <w:vMerge w:val="continue"/>
            <w:tcBorders>
              <w:top w:val="single" w:color="000000" w:sz="8" w:space="0"/>
              <w:left w:val="single" w:color="auto" w:sz="8" w:space="0"/>
              <w:bottom w:val="single" w:color="000000" w:sz="8" w:space="0"/>
              <w:right w:val="nil"/>
            </w:tcBorders>
            <w:noWrap w:val="0"/>
            <w:vAlign w:val="center"/>
          </w:tcPr>
          <w:p>
            <w:pPr>
              <w:widowControl/>
              <w:jc w:val="left"/>
              <w:rPr>
                <w:rFonts w:hint="eastAsia" w:ascii="宋体" w:hAnsi="宋体" w:cs="宋体"/>
                <w:color w:val="000000"/>
                <w:kern w:val="0"/>
                <w:sz w:val="24"/>
                <w:highlight w:val="none"/>
              </w:rPr>
            </w:pPr>
          </w:p>
        </w:tc>
        <w:tc>
          <w:tcPr>
            <w:tcW w:w="6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highlight w:val="none"/>
              </w:rPr>
            </w:pPr>
          </w:p>
        </w:tc>
      </w:tr>
      <w:tr>
        <w:tblPrEx>
          <w:tblCellMar>
            <w:top w:w="0" w:type="dxa"/>
            <w:left w:w="108" w:type="dxa"/>
            <w:bottom w:w="0" w:type="dxa"/>
            <w:right w:w="108" w:type="dxa"/>
          </w:tblCellMar>
        </w:tblPrEx>
        <w:trPr>
          <w:trHeight w:val="285" w:hRule="atLeast"/>
          <w:jc w:val="center"/>
        </w:trPr>
        <w:tc>
          <w:tcPr>
            <w:tcW w:w="2551" w:type="dxa"/>
            <w:vMerge w:val="continue"/>
            <w:tcBorders>
              <w:top w:val="single" w:color="000000" w:sz="8" w:space="0"/>
              <w:left w:val="single" w:color="auto" w:sz="8" w:space="0"/>
              <w:bottom w:val="single" w:color="000000" w:sz="8" w:space="0"/>
              <w:right w:val="nil"/>
            </w:tcBorders>
            <w:noWrap w:val="0"/>
            <w:vAlign w:val="center"/>
          </w:tcPr>
          <w:p>
            <w:pPr>
              <w:widowControl/>
              <w:jc w:val="left"/>
              <w:rPr>
                <w:rFonts w:hint="eastAsia" w:ascii="宋体" w:hAnsi="宋体" w:cs="宋体"/>
                <w:color w:val="000000"/>
                <w:kern w:val="0"/>
                <w:sz w:val="24"/>
                <w:highlight w:val="none"/>
              </w:rPr>
            </w:pPr>
          </w:p>
        </w:tc>
        <w:tc>
          <w:tcPr>
            <w:tcW w:w="6806"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为了适应机柜并排部署，采用机箱（包括业务板卡区）后出风风道设计</w:t>
            </w:r>
          </w:p>
        </w:tc>
      </w:tr>
      <w:tr>
        <w:tblPrEx>
          <w:tblCellMar>
            <w:top w:w="0" w:type="dxa"/>
            <w:left w:w="108" w:type="dxa"/>
            <w:bottom w:w="0" w:type="dxa"/>
            <w:right w:w="108" w:type="dxa"/>
          </w:tblCellMar>
        </w:tblPrEx>
        <w:trPr>
          <w:trHeight w:val="285" w:hRule="atLeast"/>
          <w:jc w:val="center"/>
        </w:trPr>
        <w:tc>
          <w:tcPr>
            <w:tcW w:w="2551" w:type="dxa"/>
            <w:vMerge w:val="continue"/>
            <w:tcBorders>
              <w:top w:val="single" w:color="000000" w:sz="8" w:space="0"/>
              <w:left w:val="single" w:color="auto" w:sz="8" w:space="0"/>
              <w:bottom w:val="single" w:color="000000" w:sz="8" w:space="0"/>
              <w:right w:val="nil"/>
            </w:tcBorders>
            <w:noWrap w:val="0"/>
            <w:vAlign w:val="center"/>
          </w:tcPr>
          <w:p>
            <w:pPr>
              <w:widowControl/>
              <w:jc w:val="left"/>
              <w:rPr>
                <w:rFonts w:hint="eastAsia" w:ascii="宋体" w:hAnsi="宋体" w:cs="宋体"/>
                <w:color w:val="000000"/>
                <w:kern w:val="0"/>
                <w:sz w:val="24"/>
                <w:highlight w:val="none"/>
              </w:rPr>
            </w:pPr>
          </w:p>
        </w:tc>
        <w:tc>
          <w:tcPr>
            <w:tcW w:w="6806"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支持颗粒化电源，支持M+N电源冗余（AC和DC均支持），电源插槽个数≥4</w:t>
            </w:r>
          </w:p>
        </w:tc>
      </w:tr>
      <w:tr>
        <w:tblPrEx>
          <w:tblCellMar>
            <w:top w:w="0" w:type="dxa"/>
            <w:left w:w="108" w:type="dxa"/>
            <w:bottom w:w="0" w:type="dxa"/>
            <w:right w:w="108" w:type="dxa"/>
          </w:tblCellMar>
        </w:tblPrEx>
        <w:trPr>
          <w:trHeight w:val="312" w:hRule="atLeast"/>
          <w:jc w:val="center"/>
        </w:trPr>
        <w:tc>
          <w:tcPr>
            <w:tcW w:w="2551" w:type="dxa"/>
            <w:vMerge w:val="continue"/>
            <w:tcBorders>
              <w:top w:val="single" w:color="000000" w:sz="8" w:space="0"/>
              <w:left w:val="single" w:color="auto" w:sz="8" w:space="0"/>
              <w:bottom w:val="single" w:color="000000" w:sz="8" w:space="0"/>
              <w:right w:val="nil"/>
            </w:tcBorders>
            <w:noWrap w:val="0"/>
            <w:vAlign w:val="center"/>
          </w:tcPr>
          <w:p>
            <w:pPr>
              <w:widowControl/>
              <w:jc w:val="left"/>
              <w:rPr>
                <w:rFonts w:hint="eastAsia" w:ascii="宋体" w:hAnsi="宋体" w:cs="宋体"/>
                <w:color w:val="000000"/>
                <w:kern w:val="0"/>
                <w:sz w:val="24"/>
                <w:highlight w:val="none"/>
              </w:rPr>
            </w:pPr>
          </w:p>
        </w:tc>
        <w:tc>
          <w:tcPr>
            <w:tcW w:w="6806"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支持独立的硬件监控板卡, 控制平面和监控平面物理槽位分离，支持1+1备份，能集中监控板卡、风扇、电源、环境，能调节能耗</w:t>
            </w:r>
          </w:p>
        </w:tc>
      </w:tr>
      <w:tr>
        <w:tblPrEx>
          <w:tblCellMar>
            <w:top w:w="0" w:type="dxa"/>
            <w:left w:w="108" w:type="dxa"/>
            <w:bottom w:w="0" w:type="dxa"/>
            <w:right w:w="108" w:type="dxa"/>
          </w:tblCellMar>
        </w:tblPrEx>
        <w:trPr>
          <w:trHeight w:val="312" w:hRule="atLeast"/>
          <w:jc w:val="center"/>
        </w:trPr>
        <w:tc>
          <w:tcPr>
            <w:tcW w:w="2551" w:type="dxa"/>
            <w:vMerge w:val="continue"/>
            <w:tcBorders>
              <w:top w:val="single" w:color="000000" w:sz="8" w:space="0"/>
              <w:left w:val="single" w:color="auto" w:sz="8" w:space="0"/>
              <w:bottom w:val="single" w:color="000000" w:sz="8" w:space="0"/>
              <w:right w:val="nil"/>
            </w:tcBorders>
            <w:noWrap w:val="0"/>
            <w:vAlign w:val="center"/>
          </w:tcPr>
          <w:p>
            <w:pPr>
              <w:widowControl/>
              <w:jc w:val="left"/>
              <w:rPr>
                <w:rFonts w:hint="eastAsia" w:ascii="宋体" w:hAnsi="宋体" w:cs="宋体"/>
                <w:color w:val="000000"/>
                <w:kern w:val="0"/>
                <w:sz w:val="24"/>
                <w:highlight w:val="none"/>
              </w:rPr>
            </w:pPr>
          </w:p>
        </w:tc>
        <w:tc>
          <w:tcPr>
            <w:tcW w:w="68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highlight w:val="none"/>
              </w:rPr>
            </w:pPr>
          </w:p>
        </w:tc>
      </w:tr>
      <w:tr>
        <w:tblPrEx>
          <w:tblCellMar>
            <w:top w:w="0" w:type="dxa"/>
            <w:left w:w="108" w:type="dxa"/>
            <w:bottom w:w="0" w:type="dxa"/>
            <w:right w:w="108" w:type="dxa"/>
          </w:tblCellMar>
        </w:tblPrEx>
        <w:trPr>
          <w:trHeight w:val="570" w:hRule="atLeast"/>
          <w:jc w:val="center"/>
        </w:trPr>
        <w:tc>
          <w:tcPr>
            <w:tcW w:w="2551" w:type="dxa"/>
            <w:vMerge w:val="continue"/>
            <w:tcBorders>
              <w:top w:val="single" w:color="000000" w:sz="8" w:space="0"/>
              <w:left w:val="single" w:color="auto" w:sz="8" w:space="0"/>
              <w:bottom w:val="single" w:color="000000" w:sz="8" w:space="0"/>
              <w:right w:val="nil"/>
            </w:tcBorders>
            <w:noWrap w:val="0"/>
            <w:vAlign w:val="center"/>
          </w:tcPr>
          <w:p>
            <w:pPr>
              <w:widowControl/>
              <w:jc w:val="left"/>
              <w:rPr>
                <w:rFonts w:hint="eastAsia" w:ascii="宋体" w:hAnsi="宋体" w:cs="宋体"/>
                <w:color w:val="000000"/>
                <w:kern w:val="0"/>
                <w:sz w:val="24"/>
                <w:highlight w:val="none"/>
              </w:rPr>
            </w:pPr>
          </w:p>
        </w:tc>
        <w:tc>
          <w:tcPr>
            <w:tcW w:w="6806"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为安装及日常维护方便，所有可插拔板卡（主控、交换、业务板卡）是前插板，所有走线全部在前面板走线，包括业务和管理线缆，单面维护。</w:t>
            </w:r>
          </w:p>
        </w:tc>
      </w:tr>
      <w:tr>
        <w:tblPrEx>
          <w:tblCellMar>
            <w:top w:w="0" w:type="dxa"/>
            <w:left w:w="108" w:type="dxa"/>
            <w:bottom w:w="0" w:type="dxa"/>
            <w:right w:w="108" w:type="dxa"/>
          </w:tblCellMar>
        </w:tblPrEx>
        <w:trPr>
          <w:trHeight w:val="300" w:hRule="atLeast"/>
          <w:jc w:val="center"/>
        </w:trPr>
        <w:tc>
          <w:tcPr>
            <w:tcW w:w="2551" w:type="dxa"/>
            <w:vMerge w:val="continue"/>
            <w:tcBorders>
              <w:top w:val="single" w:color="000000" w:sz="8" w:space="0"/>
              <w:left w:val="single" w:color="auto" w:sz="8" w:space="0"/>
              <w:bottom w:val="single" w:color="000000" w:sz="8" w:space="0"/>
              <w:right w:val="nil"/>
            </w:tcBorders>
            <w:noWrap w:val="0"/>
            <w:vAlign w:val="center"/>
          </w:tcPr>
          <w:p>
            <w:pPr>
              <w:widowControl/>
              <w:jc w:val="left"/>
              <w:rPr>
                <w:rFonts w:hint="eastAsia" w:ascii="宋体" w:hAnsi="宋体" w:cs="宋体"/>
                <w:color w:val="000000"/>
                <w:kern w:val="0"/>
                <w:sz w:val="24"/>
                <w:highlight w:val="none"/>
              </w:rPr>
            </w:pPr>
          </w:p>
        </w:tc>
        <w:tc>
          <w:tcPr>
            <w:tcW w:w="6806"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▲实配: 10GE端口≥48个</w:t>
            </w:r>
          </w:p>
        </w:tc>
      </w:tr>
      <w:tr>
        <w:tblPrEx>
          <w:tblCellMar>
            <w:top w:w="0" w:type="dxa"/>
            <w:left w:w="108" w:type="dxa"/>
            <w:bottom w:w="0" w:type="dxa"/>
            <w:right w:w="108" w:type="dxa"/>
          </w:tblCellMar>
        </w:tblPrEx>
        <w:trPr>
          <w:trHeight w:val="300" w:hRule="atLeast"/>
          <w:jc w:val="center"/>
        </w:trPr>
        <w:tc>
          <w:tcPr>
            <w:tcW w:w="2551"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虚拟化技术</w:t>
            </w: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支持横向虚拟化技术，将多台设备虚拟为一台，支持长距离集群</w:t>
            </w:r>
          </w:p>
        </w:tc>
      </w:tr>
      <w:tr>
        <w:tblPrEx>
          <w:tblCellMar>
            <w:top w:w="0" w:type="dxa"/>
            <w:left w:w="108" w:type="dxa"/>
            <w:bottom w:w="0" w:type="dxa"/>
            <w:right w:w="108" w:type="dxa"/>
          </w:tblCellMar>
        </w:tblPrEx>
        <w:trPr>
          <w:trHeight w:val="375"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highlight w:val="none"/>
              </w:rPr>
            </w:pPr>
          </w:p>
        </w:tc>
        <w:tc>
          <w:tcPr>
            <w:tcW w:w="6806" w:type="dxa"/>
            <w:tcBorders>
              <w:top w:val="nil"/>
              <w:left w:val="nil"/>
              <w:bottom w:val="nil"/>
              <w:right w:val="single" w:color="auto" w:sz="8"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支持纵向虚拟化技术，支持把交换机和AP虚拟为一台设备</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highlight w:val="none"/>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支持纵向虚拟化技术，支持两层client，client子节点支持堆叠</w:t>
            </w:r>
          </w:p>
        </w:tc>
      </w:tr>
      <w:tr>
        <w:tblPrEx>
          <w:tblCellMar>
            <w:top w:w="0" w:type="dxa"/>
            <w:left w:w="108" w:type="dxa"/>
            <w:bottom w:w="0" w:type="dxa"/>
            <w:right w:w="108" w:type="dxa"/>
          </w:tblCellMar>
        </w:tblPrEx>
        <w:trPr>
          <w:trHeight w:val="285" w:hRule="atLeast"/>
          <w:jc w:val="center"/>
        </w:trPr>
        <w:tc>
          <w:tcPr>
            <w:tcW w:w="2551"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VxLAN</w:t>
            </w:r>
          </w:p>
        </w:tc>
        <w:tc>
          <w:tcPr>
            <w:tcW w:w="6806" w:type="dxa"/>
            <w:tcBorders>
              <w:top w:val="nil"/>
              <w:left w:val="nil"/>
              <w:bottom w:val="nil"/>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支持VxLAN功能，支持VxLAN二层网关、三层网关，支持BGP EVPN，支持分布式 Anycast 网</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关，支持VxLAN Fabric 的自动化部署，提供权威第三方测试报告</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支持VxLAN Bridge Domain (BD) 个数≥64000</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支持VxLAN IPv4 隧道个数≥16000，VxLAN IPv6 隧道个数≥4000 </w:t>
            </w:r>
          </w:p>
        </w:tc>
      </w:tr>
      <w:tr>
        <w:tblPrEx>
          <w:tblCellMar>
            <w:top w:w="0" w:type="dxa"/>
            <w:left w:w="108" w:type="dxa"/>
            <w:bottom w:w="0" w:type="dxa"/>
            <w:right w:w="108" w:type="dxa"/>
          </w:tblCellMar>
        </w:tblPrEx>
        <w:trPr>
          <w:trHeight w:val="300" w:hRule="atLeast"/>
          <w:jc w:val="center"/>
        </w:trPr>
        <w:tc>
          <w:tcPr>
            <w:tcW w:w="2551"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用户管理</w:t>
            </w: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支持标准协议的802.1X/MAC/Portal等认证方式</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支持DAA、基于流量和时长计费方式</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MAC</w:t>
            </w: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支持整机MAC地址≥512K</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ARP</w:t>
            </w: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支持ARP表项≥256K </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VLAN</w:t>
            </w: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支持4K VLAN，支持1：1、N：1 VLAN mapping，支持端口VLAN，支持Voice VLAN</w:t>
            </w:r>
          </w:p>
        </w:tc>
      </w:tr>
      <w:tr>
        <w:tblPrEx>
          <w:tblCellMar>
            <w:top w:w="0" w:type="dxa"/>
            <w:left w:w="108" w:type="dxa"/>
            <w:bottom w:w="0" w:type="dxa"/>
            <w:right w:w="108" w:type="dxa"/>
          </w:tblCellMar>
        </w:tblPrEx>
        <w:trPr>
          <w:trHeight w:val="300" w:hRule="atLeast"/>
          <w:jc w:val="center"/>
        </w:trPr>
        <w:tc>
          <w:tcPr>
            <w:tcW w:w="2551"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二层功能</w:t>
            </w: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支持IEEE 802.1d(STP)、 802.1w(RSTP)、 802.1s(MSTP)，</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支持VLAN内端口隔离，支持端口聚合</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支持1:1、 N:1、1:N端口镜像，支持流镜像，支持远程端口镜像（RSPAN），支持ERSPAN</w:t>
            </w:r>
          </w:p>
        </w:tc>
      </w:tr>
      <w:tr>
        <w:tblPrEx>
          <w:tblCellMar>
            <w:top w:w="0" w:type="dxa"/>
            <w:left w:w="108" w:type="dxa"/>
            <w:bottom w:w="0" w:type="dxa"/>
            <w:right w:w="108" w:type="dxa"/>
          </w:tblCellMar>
        </w:tblPrEx>
        <w:trPr>
          <w:trHeight w:val="300" w:hRule="atLeast"/>
          <w:jc w:val="center"/>
        </w:trPr>
        <w:tc>
          <w:tcPr>
            <w:tcW w:w="2551"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IP路由</w:t>
            </w: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支持IPv4路由转发表FIB规格≥512K </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支持Ipv6 路由转发表FIB规格≥256K</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支持静态路由、RIP、RIPng、OSPF、OSPFv3、BGP、BGP4+、ISIS、ISISv6 </w:t>
            </w:r>
          </w:p>
        </w:tc>
      </w:tr>
      <w:tr>
        <w:tblPrEx>
          <w:tblCellMar>
            <w:top w:w="0" w:type="dxa"/>
            <w:left w:w="108" w:type="dxa"/>
            <w:bottom w:w="0" w:type="dxa"/>
            <w:right w:w="108" w:type="dxa"/>
          </w:tblCellMar>
        </w:tblPrEx>
        <w:trPr>
          <w:trHeight w:val="300" w:hRule="atLeast"/>
          <w:jc w:val="center"/>
        </w:trPr>
        <w:tc>
          <w:tcPr>
            <w:tcW w:w="2551"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组播</w:t>
            </w: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支持IGMPv1/v2/v3、IGMP v1/v2/v3 Snooping 、PIM DM、PIM SM、PIM SSM</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支持组播流量控制、支持组播查询器</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支持组播CAC、组播ACL</w:t>
            </w:r>
          </w:p>
        </w:tc>
      </w:tr>
      <w:tr>
        <w:tblPrEx>
          <w:tblCellMar>
            <w:top w:w="0" w:type="dxa"/>
            <w:left w:w="108" w:type="dxa"/>
            <w:bottom w:w="0" w:type="dxa"/>
            <w:right w:w="108" w:type="dxa"/>
          </w:tblCellMar>
        </w:tblPrEx>
        <w:trPr>
          <w:trHeight w:val="300" w:hRule="atLeast"/>
          <w:jc w:val="center"/>
        </w:trPr>
        <w:tc>
          <w:tcPr>
            <w:tcW w:w="2551"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IPv6</w:t>
            </w: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支持IPv6过渡技术，IPv4/IPv6双栈、6over4隧道、4 over6隧道</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支持IPv6 DHCP SERVER、IPv6 DHCP Relay、DHCP Snooping</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MPLS</w:t>
            </w: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支持MPLS L3VPN、MPLS L2VPN(VPLS，VLL)、MPLS-TE、MPLS QoS</w:t>
            </w:r>
          </w:p>
        </w:tc>
      </w:tr>
      <w:tr>
        <w:tblPrEx>
          <w:tblCellMar>
            <w:top w:w="0" w:type="dxa"/>
            <w:left w:w="108" w:type="dxa"/>
            <w:bottom w:w="0" w:type="dxa"/>
            <w:right w:w="108" w:type="dxa"/>
          </w:tblCellMar>
        </w:tblPrEx>
        <w:trPr>
          <w:trHeight w:val="300" w:hRule="atLeast"/>
          <w:jc w:val="center"/>
        </w:trPr>
        <w:tc>
          <w:tcPr>
            <w:tcW w:w="2551"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访问控制</w:t>
            </w: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支持基于第二层、第三层和第四层的ACL</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支持VLAN ACL和IPv6 ACL</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支持IP/Port/MAC的绑定功能</w:t>
            </w:r>
          </w:p>
        </w:tc>
      </w:tr>
      <w:tr>
        <w:tblPrEx>
          <w:tblCellMar>
            <w:top w:w="0" w:type="dxa"/>
            <w:left w:w="108" w:type="dxa"/>
            <w:bottom w:w="0" w:type="dxa"/>
            <w:right w:w="108" w:type="dxa"/>
          </w:tblCellMar>
        </w:tblPrEx>
        <w:trPr>
          <w:trHeight w:val="285" w:hRule="atLeast"/>
          <w:jc w:val="center"/>
        </w:trPr>
        <w:tc>
          <w:tcPr>
            <w:tcW w:w="2551"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QoS</w:t>
            </w:r>
          </w:p>
        </w:tc>
        <w:tc>
          <w:tcPr>
            <w:tcW w:w="6806" w:type="dxa"/>
            <w:tcBorders>
              <w:top w:val="nil"/>
              <w:left w:val="nil"/>
              <w:bottom w:val="nil"/>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支持PQ、WRR、DRR、PQ+WRR、PQ+DRR等调度方式</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支持广播风暴抑制功能、支持WRED</w:t>
            </w:r>
          </w:p>
        </w:tc>
      </w:tr>
      <w:tr>
        <w:tblPrEx>
          <w:tblCellMar>
            <w:top w:w="0" w:type="dxa"/>
            <w:left w:w="108" w:type="dxa"/>
            <w:bottom w:w="0" w:type="dxa"/>
            <w:right w:w="108" w:type="dxa"/>
          </w:tblCellMar>
        </w:tblPrEx>
        <w:trPr>
          <w:trHeight w:val="300" w:hRule="atLeast"/>
          <w:jc w:val="center"/>
        </w:trPr>
        <w:tc>
          <w:tcPr>
            <w:tcW w:w="2551"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安全性</w:t>
            </w: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支持DHCP Snooping trust， 防止私设DHCP服务器</w:t>
            </w:r>
          </w:p>
        </w:tc>
      </w:tr>
      <w:tr>
        <w:tblPrEx>
          <w:tblCellMar>
            <w:top w:w="0" w:type="dxa"/>
            <w:left w:w="108" w:type="dxa"/>
            <w:bottom w:w="0" w:type="dxa"/>
            <w:right w:w="108" w:type="dxa"/>
          </w:tblCellMar>
        </w:tblPrEx>
        <w:trPr>
          <w:trHeight w:val="585"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支持DHCP snooping binding table (DAI, IP source guard)，防止ARP攻击、DDOS攻击、中间人攻击</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支持BPDU guard、Root guard</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支持自动隔离攻击源技术</w:t>
            </w:r>
          </w:p>
        </w:tc>
      </w:tr>
      <w:tr>
        <w:tblPrEx>
          <w:tblCellMar>
            <w:top w:w="0" w:type="dxa"/>
            <w:left w:w="108" w:type="dxa"/>
            <w:bottom w:w="0" w:type="dxa"/>
            <w:right w:w="108" w:type="dxa"/>
          </w:tblCellMar>
        </w:tblPrEx>
        <w:trPr>
          <w:trHeight w:val="615" w:hRule="atLeast"/>
          <w:jc w:val="center"/>
        </w:trPr>
        <w:tc>
          <w:tcPr>
            <w:tcW w:w="2551" w:type="dxa"/>
            <w:vMerge w:val="restart"/>
            <w:tcBorders>
              <w:top w:val="nil"/>
              <w:left w:val="single" w:color="auto" w:sz="8" w:space="0"/>
              <w:bottom w:val="nil"/>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可靠性</w:t>
            </w:r>
          </w:p>
        </w:tc>
        <w:tc>
          <w:tcPr>
            <w:tcW w:w="6806" w:type="dxa"/>
            <w:tcBorders>
              <w:top w:val="nil"/>
              <w:left w:val="nil"/>
              <w:bottom w:val="nil"/>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支持真实业务流的实时检测技术，实现对IP网络的精确丢包监控和快速故障定界能力</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nil"/>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支持G.8032标准以太环网协议，倒换时间≤50ms</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nil"/>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支持硬件BFD/OAM，3.3ms稳定均匀发包检测，提高设备的可靠性</w:t>
            </w:r>
          </w:p>
        </w:tc>
      </w:tr>
      <w:tr>
        <w:tblPrEx>
          <w:tblCellMar>
            <w:top w:w="0" w:type="dxa"/>
            <w:left w:w="108" w:type="dxa"/>
            <w:bottom w:w="0" w:type="dxa"/>
            <w:right w:w="108" w:type="dxa"/>
          </w:tblCellMar>
        </w:tblPrEx>
        <w:trPr>
          <w:trHeight w:val="300" w:hRule="atLeast"/>
          <w:jc w:val="center"/>
        </w:trPr>
        <w:tc>
          <w:tcPr>
            <w:tcW w:w="2551"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管理特性</w:t>
            </w: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支持SNMP V1/V2/V3、Telnet、RMON、SSHV2</w:t>
            </w:r>
          </w:p>
        </w:tc>
      </w:tr>
      <w:tr>
        <w:tblPrEx>
          <w:tblCellMar>
            <w:top w:w="0" w:type="dxa"/>
            <w:left w:w="108" w:type="dxa"/>
            <w:bottom w:w="0" w:type="dxa"/>
            <w:right w:w="108" w:type="dxa"/>
          </w:tblCellMar>
        </w:tblPrEx>
        <w:trPr>
          <w:trHeight w:val="300" w:hRule="atLeast"/>
          <w:jc w:val="center"/>
        </w:trPr>
        <w:tc>
          <w:tcPr>
            <w:tcW w:w="2551"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支持通过命令行、中文图形化配置软件等方式进行配置和管理</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绿色节能</w:t>
            </w:r>
          </w:p>
        </w:tc>
        <w:tc>
          <w:tcPr>
            <w:tcW w:w="6806"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支持能效以太网功能，IEEE 802.3az, 提供第三方权威认证，认证报告中明确描述产品支持EEE能效以太网，提供官网产品商用版本手册和命令手册证明</w:t>
            </w:r>
          </w:p>
        </w:tc>
      </w:tr>
    </w:tbl>
    <w:p>
      <w:pPr>
        <w:numPr>
          <w:ilvl w:val="0"/>
          <w:numId w:val="27"/>
        </w:numPr>
        <w:tabs>
          <w:tab w:val="left" w:pos="644"/>
          <w:tab w:val="left" w:pos="1200"/>
        </w:tabs>
        <w:autoSpaceDE w:val="0"/>
        <w:autoSpaceDN w:val="0"/>
        <w:adjustRightInd w:val="0"/>
        <w:spacing w:line="360" w:lineRule="auto"/>
        <w:rPr>
          <w:rFonts w:hint="eastAsia" w:ascii="宋体" w:hAnsi="宋体" w:cs="宋体"/>
          <w:sz w:val="24"/>
        </w:rPr>
      </w:pPr>
      <w:r>
        <w:rPr>
          <w:rFonts w:hint="eastAsia" w:ascii="宋体" w:hAnsi="宋体" w:cs="宋体"/>
          <w:sz w:val="24"/>
        </w:rPr>
        <w:t>学校出口交换机1的参数指标</w:t>
      </w:r>
    </w:p>
    <w:tbl>
      <w:tblPr>
        <w:tblStyle w:val="42"/>
        <w:tblW w:w="53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sz w:val="24"/>
              </w:rPr>
              <w:t>指标项</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highlight w:val="none"/>
              </w:rPr>
            </w:pPr>
            <w:r>
              <w:rPr>
                <w:rFonts w:hint="eastAsia" w:ascii="宋体" w:hAnsi="宋体" w:cs="宋体"/>
                <w:sz w:val="24"/>
                <w:highlight w:val="none"/>
              </w:rPr>
              <w:t>基本要求</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highlight w:val="none"/>
              </w:rPr>
            </w:pPr>
            <w:r>
              <w:rPr>
                <w:rFonts w:hint="eastAsia" w:ascii="宋体" w:hAnsi="宋体" w:cs="宋体"/>
                <w:sz w:val="24"/>
                <w:highlight w:val="none"/>
              </w:rPr>
              <w:t>▲交换容量≥2.5Tbps，包转发率≥720Mpps，万兆光口≥24个，40G光口≥6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硬件要求</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r>
              <w:rPr>
                <w:rFonts w:hint="eastAsia" w:ascii="宋体" w:hAnsi="宋体" w:cs="宋体"/>
                <w:sz w:val="24"/>
              </w:rPr>
              <w:t>配置可插拔模块式双电源；配置4个独立可插拔风扇，配置前后风道；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5"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二层功能</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r>
              <w:rPr>
                <w:rFonts w:hint="eastAsia" w:ascii="宋体" w:hAnsi="宋体" w:cs="宋体"/>
                <w:sz w:val="24"/>
              </w:rPr>
              <w:t>支持MAC表项≥64K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5" w:type="pct"/>
            <w:vMerge w:val="continue"/>
            <w:tcBorders>
              <w:left w:val="single" w:color="auto" w:sz="4" w:space="0"/>
              <w:right w:val="single" w:color="auto" w:sz="4" w:space="0"/>
            </w:tcBorders>
            <w:noWrap w:val="0"/>
            <w:vAlign w:val="center"/>
          </w:tcPr>
          <w:p>
            <w:pPr>
              <w:jc w:val="center"/>
              <w:rPr>
                <w:rFonts w:hint="eastAsia" w:ascii="宋体" w:hAnsi="宋体" w:cs="宋体"/>
                <w:sz w:val="24"/>
              </w:rPr>
            </w:pPr>
          </w:p>
        </w:tc>
        <w:tc>
          <w:tcPr>
            <w:tcW w:w="4115"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r>
              <w:rPr>
                <w:rFonts w:hint="eastAsia" w:ascii="宋体" w:hAnsi="宋体" w:cs="宋体"/>
                <w:sz w:val="24"/>
              </w:rPr>
              <w:t>支持4K个VLAN，支持Guest VLAN、Voice VLAN，支持基于MAC/协议/IP子网/策略/端口的VLAN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85" w:type="pct"/>
            <w:vMerge w:val="restart"/>
            <w:tcBorders>
              <w:left w:val="single" w:color="auto" w:sz="4" w:space="0"/>
              <w:right w:val="single" w:color="auto" w:sz="4" w:space="0"/>
            </w:tcBorders>
            <w:noWrap w:val="0"/>
            <w:vAlign w:val="center"/>
          </w:tcPr>
          <w:p>
            <w:pPr>
              <w:widowControl/>
              <w:jc w:val="center"/>
              <w:textAlignment w:val="baseline"/>
              <w:rPr>
                <w:rFonts w:hint="eastAsia" w:ascii="宋体" w:hAnsi="宋体" w:cs="宋体"/>
                <w:sz w:val="24"/>
              </w:rPr>
            </w:pPr>
            <w:r>
              <w:rPr>
                <w:rFonts w:hint="eastAsia" w:ascii="宋体" w:hAnsi="宋体" w:cs="宋体"/>
                <w:sz w:val="24"/>
              </w:rPr>
              <w:t>三层功能</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widowControl/>
              <w:textAlignment w:val="baseline"/>
              <w:rPr>
                <w:rFonts w:hint="eastAsia" w:ascii="宋体" w:hAnsi="宋体" w:cs="宋体"/>
                <w:sz w:val="24"/>
              </w:rPr>
            </w:pPr>
            <w:r>
              <w:rPr>
                <w:rFonts w:hint="eastAsia" w:ascii="宋体" w:hAnsi="宋体" w:cs="宋体"/>
                <w:sz w:val="24"/>
              </w:rPr>
              <w:t>支持静态路由、RIP V1/2、OSPF、IS-IS、BGP、RIPng、OSPFv3、BGP4+、ISISv6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85" w:type="pct"/>
            <w:vMerge w:val="continue"/>
            <w:tcBorders>
              <w:left w:val="single" w:color="auto" w:sz="4" w:space="0"/>
              <w:right w:val="single" w:color="auto" w:sz="4" w:space="0"/>
            </w:tcBorders>
            <w:noWrap w:val="0"/>
            <w:vAlign w:val="center"/>
          </w:tcPr>
          <w:p>
            <w:pPr>
              <w:jc w:val="center"/>
              <w:rPr>
                <w:rFonts w:hint="eastAsia" w:ascii="宋体" w:hAnsi="宋体" w:cs="宋体"/>
                <w:sz w:val="24"/>
              </w:rPr>
            </w:pPr>
          </w:p>
        </w:tc>
        <w:tc>
          <w:tcPr>
            <w:tcW w:w="4115"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r>
              <w:rPr>
                <w:rFonts w:hint="eastAsia" w:ascii="宋体" w:hAnsi="宋体" w:cs="宋体"/>
                <w:sz w:val="24"/>
              </w:rPr>
              <w:t>支持IPv4路由表项≥64K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5" w:type="pct"/>
            <w:tcBorders>
              <w:left w:val="single" w:color="auto" w:sz="4" w:space="0"/>
              <w:right w:val="single" w:color="auto" w:sz="4" w:space="0"/>
            </w:tcBorders>
            <w:noWrap w:val="0"/>
            <w:vAlign w:val="center"/>
          </w:tcPr>
          <w:p>
            <w:pPr>
              <w:widowControl/>
              <w:jc w:val="center"/>
              <w:textAlignment w:val="baseline"/>
              <w:rPr>
                <w:rFonts w:hint="eastAsia" w:ascii="宋体" w:hAnsi="宋体" w:cs="宋体"/>
                <w:sz w:val="24"/>
              </w:rPr>
            </w:pPr>
            <w:r>
              <w:rPr>
                <w:rFonts w:hint="eastAsia" w:ascii="宋体" w:hAnsi="宋体" w:cs="宋体"/>
                <w:sz w:val="24"/>
              </w:rPr>
              <w:t>加密通信分析</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widowControl/>
              <w:textAlignment w:val="baseline"/>
              <w:rPr>
                <w:rFonts w:hint="eastAsia" w:ascii="宋体" w:hAnsi="宋体" w:cs="宋体"/>
                <w:color w:val="FF0000"/>
                <w:sz w:val="24"/>
              </w:rPr>
            </w:pPr>
            <w:r>
              <w:rPr>
                <w:rFonts w:hint="eastAsia" w:ascii="宋体" w:hAnsi="宋体" w:cs="宋体"/>
                <w:sz w:val="24"/>
              </w:rPr>
              <w:t>交换机支持报告攻击事件给网络安全智能系统，与网络安全智能系统和SDN控制器联动，以实现全网安全协防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5" w:type="pct"/>
            <w:tcBorders>
              <w:left w:val="single" w:color="auto" w:sz="4" w:space="0"/>
              <w:right w:val="single" w:color="auto" w:sz="4" w:space="0"/>
            </w:tcBorders>
            <w:noWrap w:val="0"/>
            <w:vAlign w:val="center"/>
          </w:tcPr>
          <w:p>
            <w:pPr>
              <w:widowControl/>
              <w:jc w:val="center"/>
              <w:textAlignment w:val="baseline"/>
              <w:rPr>
                <w:rFonts w:hint="eastAsia" w:ascii="宋体" w:hAnsi="宋体" w:cs="宋体"/>
                <w:sz w:val="24"/>
              </w:rPr>
            </w:pPr>
            <w:r>
              <w:rPr>
                <w:rFonts w:hint="eastAsia" w:ascii="宋体" w:hAnsi="宋体" w:cs="宋体"/>
                <w:sz w:val="24"/>
              </w:rPr>
              <w:t>VxLAN</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widowControl/>
              <w:textAlignment w:val="baseline"/>
              <w:rPr>
                <w:rFonts w:hint="eastAsia" w:ascii="宋体" w:hAnsi="宋体" w:cs="宋体"/>
                <w:sz w:val="24"/>
              </w:rPr>
            </w:pPr>
            <w:r>
              <w:rPr>
                <w:rFonts w:hint="eastAsia" w:ascii="宋体" w:hAnsi="宋体" w:cs="宋体"/>
                <w:sz w:val="24"/>
              </w:rPr>
              <w:t>支持VxLAN功能，支持BGP EVPN，支持分布式 Anycast 网关，支持VxLAN的自动化部署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85" w:type="pct"/>
            <w:vMerge w:val="restart"/>
            <w:tcBorders>
              <w:left w:val="single" w:color="auto" w:sz="4" w:space="0"/>
              <w:right w:val="single" w:color="auto" w:sz="4" w:space="0"/>
            </w:tcBorders>
            <w:noWrap w:val="0"/>
            <w:vAlign w:val="center"/>
          </w:tcPr>
          <w:p>
            <w:pPr>
              <w:jc w:val="center"/>
              <w:textAlignment w:val="baseline"/>
              <w:rPr>
                <w:rFonts w:hint="eastAsia" w:ascii="宋体" w:hAnsi="宋体" w:cs="宋体"/>
                <w:sz w:val="24"/>
              </w:rPr>
            </w:pPr>
            <w:r>
              <w:rPr>
                <w:rFonts w:hint="eastAsia" w:ascii="宋体" w:hAnsi="宋体" w:cs="宋体"/>
                <w:sz w:val="24"/>
              </w:rPr>
              <w:t>虚拟化</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widowControl/>
              <w:textAlignment w:val="baseline"/>
              <w:rPr>
                <w:rFonts w:hint="eastAsia" w:ascii="宋体" w:hAnsi="宋体" w:cs="宋体"/>
                <w:sz w:val="24"/>
              </w:rPr>
            </w:pPr>
            <w:r>
              <w:rPr>
                <w:rFonts w:hint="eastAsia" w:ascii="宋体" w:hAnsi="宋体" w:cs="宋体"/>
                <w:sz w:val="24"/>
              </w:rPr>
              <w:t>支持横向堆叠，主机堆叠数不小于9台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85" w:type="pct"/>
            <w:vMerge w:val="continue"/>
            <w:tcBorders>
              <w:left w:val="single" w:color="auto" w:sz="4" w:space="0"/>
              <w:right w:val="single" w:color="auto" w:sz="4" w:space="0"/>
            </w:tcBorders>
            <w:noWrap w:val="0"/>
            <w:vAlign w:val="center"/>
          </w:tcPr>
          <w:p>
            <w:pPr>
              <w:jc w:val="center"/>
              <w:rPr>
                <w:rFonts w:hint="eastAsia" w:ascii="宋体" w:hAnsi="宋体" w:cs="宋体"/>
                <w:sz w:val="24"/>
              </w:rPr>
            </w:pPr>
          </w:p>
        </w:tc>
        <w:tc>
          <w:tcPr>
            <w:tcW w:w="4115"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r>
              <w:rPr>
                <w:rFonts w:hint="eastAsia" w:ascii="宋体" w:hAnsi="宋体" w:cs="宋体"/>
                <w:sz w:val="24"/>
              </w:rPr>
              <w:t>支持纵向虚拟化，作为父节点将下联交换机、AP纵向虚拟为一台设备管理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5" w:type="pct"/>
            <w:tcBorders>
              <w:left w:val="single" w:color="auto" w:sz="4" w:space="0"/>
              <w:right w:val="single" w:color="auto" w:sz="4" w:space="0"/>
            </w:tcBorders>
            <w:noWrap w:val="0"/>
            <w:vAlign w:val="center"/>
          </w:tcPr>
          <w:p>
            <w:pPr>
              <w:widowControl/>
              <w:jc w:val="center"/>
              <w:textAlignment w:val="baseline"/>
              <w:rPr>
                <w:rFonts w:hint="eastAsia" w:ascii="宋体" w:hAnsi="宋体" w:cs="宋体"/>
                <w:sz w:val="24"/>
              </w:rPr>
            </w:pPr>
            <w:r>
              <w:rPr>
                <w:rFonts w:hint="eastAsia" w:ascii="宋体" w:hAnsi="宋体" w:cs="宋体"/>
                <w:sz w:val="24"/>
              </w:rPr>
              <w:t>大数据安全协防</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widowControl/>
              <w:textAlignment w:val="baseline"/>
              <w:rPr>
                <w:rFonts w:hint="eastAsia" w:ascii="宋体" w:hAnsi="宋体" w:cs="宋体"/>
                <w:sz w:val="24"/>
              </w:rPr>
            </w:pPr>
            <w:r>
              <w:rPr>
                <w:rFonts w:hint="eastAsia" w:ascii="宋体" w:hAnsi="宋体" w:cs="宋体"/>
                <w:sz w:val="24"/>
              </w:rPr>
              <w:t>交换机支持将IP和端口扫描流量重定向给网络安全智能系统进行诱捕，与网络安全智能系统和SDN控制器联动实施反制措施，以实现网络安全协防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5" w:type="pct"/>
            <w:tcBorders>
              <w:left w:val="single" w:color="auto" w:sz="4" w:space="0"/>
              <w:right w:val="single" w:color="auto" w:sz="4" w:space="0"/>
            </w:tcBorders>
            <w:noWrap w:val="0"/>
            <w:vAlign w:val="center"/>
          </w:tcPr>
          <w:p>
            <w:pPr>
              <w:widowControl/>
              <w:jc w:val="center"/>
              <w:textAlignment w:val="baseline"/>
              <w:rPr>
                <w:rFonts w:hint="eastAsia" w:ascii="宋体" w:hAnsi="宋体" w:cs="宋体"/>
                <w:sz w:val="24"/>
              </w:rPr>
            </w:pPr>
            <w:r>
              <w:rPr>
                <w:rFonts w:hint="eastAsia" w:ascii="宋体" w:hAnsi="宋体" w:cs="宋体"/>
                <w:sz w:val="24"/>
              </w:rPr>
              <w:t>QOS</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widowControl/>
              <w:textAlignment w:val="baseline"/>
              <w:rPr>
                <w:rFonts w:hint="eastAsia" w:ascii="宋体" w:hAnsi="宋体" w:cs="宋体"/>
                <w:b/>
                <w:color w:val="FF0000"/>
                <w:sz w:val="24"/>
              </w:rPr>
            </w:pPr>
            <w:r>
              <w:rPr>
                <w:rFonts w:hint="eastAsia" w:ascii="宋体" w:hAnsi="宋体" w:cs="宋体"/>
                <w:sz w:val="24"/>
              </w:rPr>
              <w:t>支持L2（Layer 2）~L4（Layer 4）包过滤功能，提供基于源MAC地址、目的MAC地址、源IP地址、目的IP地址、端口、协议、VLAN的包过滤功能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85" w:type="pct"/>
            <w:vMerge w:val="restart"/>
            <w:tcBorders>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可靠性</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widowControl/>
              <w:textAlignment w:val="baseline"/>
              <w:rPr>
                <w:rFonts w:hint="eastAsia" w:ascii="宋体" w:hAnsi="宋体" w:cs="宋体"/>
                <w:sz w:val="24"/>
              </w:rPr>
            </w:pPr>
            <w:r>
              <w:rPr>
                <w:rFonts w:hint="eastAsia" w:ascii="宋体" w:hAnsi="宋体" w:cs="宋体"/>
                <w:sz w:val="24"/>
              </w:rPr>
              <w:t>支持G.8032标准环网协议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85" w:type="pct"/>
            <w:vMerge w:val="continue"/>
            <w:tcBorders>
              <w:left w:val="single" w:color="auto" w:sz="4" w:space="0"/>
              <w:right w:val="single" w:color="auto" w:sz="4" w:space="0"/>
            </w:tcBorders>
            <w:noWrap w:val="0"/>
            <w:vAlign w:val="center"/>
          </w:tcPr>
          <w:p>
            <w:pPr>
              <w:jc w:val="center"/>
              <w:rPr>
                <w:rFonts w:hint="eastAsia" w:ascii="宋体" w:hAnsi="宋体" w:cs="宋体"/>
                <w:sz w:val="24"/>
              </w:rPr>
            </w:pPr>
          </w:p>
        </w:tc>
        <w:tc>
          <w:tcPr>
            <w:tcW w:w="4115" w:type="pct"/>
            <w:tcBorders>
              <w:top w:val="single" w:color="auto" w:sz="4" w:space="0"/>
              <w:left w:val="single" w:color="auto" w:sz="4" w:space="0"/>
              <w:bottom w:val="single" w:color="auto" w:sz="4" w:space="0"/>
              <w:right w:val="single" w:color="auto" w:sz="4" w:space="0"/>
            </w:tcBorders>
            <w:noWrap w:val="0"/>
            <w:vAlign w:val="center"/>
          </w:tcPr>
          <w:p>
            <w:pPr>
              <w:widowControl/>
              <w:textAlignment w:val="baseline"/>
              <w:rPr>
                <w:rFonts w:hint="eastAsia" w:ascii="宋体" w:hAnsi="宋体" w:cs="宋体"/>
                <w:sz w:val="24"/>
              </w:rPr>
            </w:pPr>
            <w:r>
              <w:rPr>
                <w:rFonts w:hint="eastAsia" w:ascii="宋体" w:hAnsi="宋体" w:cs="宋体"/>
                <w:sz w:val="24"/>
              </w:rPr>
              <w:t>支持真实业务流实时检测技术，能实时检测网络故障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5" w:type="pct"/>
            <w:tcBorders>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管理维护</w:t>
            </w:r>
          </w:p>
        </w:tc>
        <w:tc>
          <w:tcPr>
            <w:tcW w:w="4115" w:type="pct"/>
            <w:tcBorders>
              <w:top w:val="single" w:color="auto" w:sz="4" w:space="0"/>
              <w:left w:val="single" w:color="auto" w:sz="4" w:space="0"/>
              <w:bottom w:val="single" w:color="auto" w:sz="4" w:space="0"/>
              <w:right w:val="single" w:color="auto" w:sz="4" w:space="0"/>
            </w:tcBorders>
            <w:noWrap w:val="0"/>
            <w:vAlign w:val="center"/>
          </w:tcPr>
          <w:p>
            <w:pPr>
              <w:widowControl/>
              <w:textAlignment w:val="baseline"/>
              <w:rPr>
                <w:rFonts w:hint="eastAsia" w:ascii="宋体" w:hAnsi="宋体" w:cs="宋体"/>
                <w:sz w:val="24"/>
              </w:rPr>
            </w:pPr>
            <w:r>
              <w:rPr>
                <w:rFonts w:hint="eastAsia" w:ascii="宋体" w:hAnsi="宋体" w:cs="宋体"/>
                <w:sz w:val="24"/>
              </w:rPr>
              <w:t>支持SNMPv1/v2c/v3，支持RMON</w:t>
            </w:r>
          </w:p>
          <w:p>
            <w:pPr>
              <w:widowControl/>
              <w:textAlignment w:val="baseline"/>
              <w:rPr>
                <w:rFonts w:hint="eastAsia" w:ascii="宋体" w:hAnsi="宋体" w:cs="宋体"/>
                <w:sz w:val="24"/>
              </w:rPr>
            </w:pPr>
            <w:r>
              <w:rPr>
                <w:rFonts w:hint="eastAsia" w:ascii="宋体" w:hAnsi="宋体" w:cs="宋体"/>
                <w:sz w:val="24"/>
              </w:rPr>
              <w:t>支持网管系统、支持WEB网管特性</w:t>
            </w:r>
          </w:p>
          <w:p>
            <w:pPr>
              <w:jc w:val="left"/>
              <w:rPr>
                <w:rFonts w:hint="eastAsia" w:ascii="宋体" w:hAnsi="宋体" w:cs="宋体"/>
                <w:sz w:val="24"/>
              </w:rPr>
            </w:pPr>
            <w:r>
              <w:rPr>
                <w:rFonts w:hint="eastAsia" w:ascii="宋体" w:hAnsi="宋体" w:cs="宋体"/>
                <w:sz w:val="24"/>
              </w:rPr>
              <w:t>支持NetStream</w:t>
            </w:r>
          </w:p>
        </w:tc>
      </w:tr>
    </w:tbl>
    <w:p>
      <w:pPr>
        <w:pStyle w:val="128"/>
        <w:ind w:left="644"/>
        <w:rPr>
          <w:rFonts w:hint="eastAsia" w:ascii="宋体" w:hAnsi="宋体" w:cs="宋体"/>
          <w:sz w:val="24"/>
          <w:szCs w:val="24"/>
        </w:rPr>
      </w:pPr>
    </w:p>
    <w:p>
      <w:pPr>
        <w:tabs>
          <w:tab w:val="left" w:pos="644"/>
          <w:tab w:val="left" w:pos="1200"/>
        </w:tabs>
        <w:autoSpaceDE w:val="0"/>
        <w:autoSpaceDN w:val="0"/>
        <w:adjustRightInd w:val="0"/>
        <w:spacing w:line="360" w:lineRule="auto"/>
        <w:ind w:left="284"/>
        <w:rPr>
          <w:rFonts w:hint="eastAsia" w:ascii="宋体" w:hAnsi="宋体" w:cs="宋体"/>
          <w:sz w:val="24"/>
        </w:rPr>
      </w:pPr>
      <w:r>
        <w:rPr>
          <w:rFonts w:hint="eastAsia" w:ascii="宋体" w:hAnsi="宋体" w:cs="宋体"/>
          <w:sz w:val="24"/>
        </w:rPr>
        <w:t>8、学校出口交换机2的参数指标</w:t>
      </w:r>
    </w:p>
    <w:tbl>
      <w:tblPr>
        <w:tblStyle w:val="42"/>
        <w:tblW w:w="53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00" w:type="pct"/>
            <w:shd w:val="clear" w:color="auto" w:fill="D9D9D9"/>
            <w:noWrap/>
            <w:vAlign w:val="center"/>
          </w:tcPr>
          <w:p>
            <w:pPr>
              <w:widowControl/>
              <w:spacing w:before="36" w:beforeLines="15" w:after="36" w:afterLines="15"/>
              <w:jc w:val="center"/>
              <w:textAlignment w:val="baseline"/>
              <w:rPr>
                <w:rFonts w:hint="eastAsia" w:ascii="宋体" w:hAnsi="宋体" w:cs="宋体"/>
                <w:b/>
                <w:sz w:val="24"/>
              </w:rPr>
            </w:pPr>
            <w:r>
              <w:rPr>
                <w:rFonts w:hint="eastAsia" w:ascii="宋体" w:hAnsi="宋体" w:cs="宋体"/>
                <w:b/>
                <w:sz w:val="24"/>
              </w:rPr>
              <w:t>技术指标</w:t>
            </w:r>
          </w:p>
        </w:tc>
        <w:tc>
          <w:tcPr>
            <w:tcW w:w="4200" w:type="pct"/>
            <w:shd w:val="clear" w:color="auto" w:fill="D9D9D9"/>
            <w:noWrap/>
            <w:vAlign w:val="center"/>
          </w:tcPr>
          <w:p>
            <w:pPr>
              <w:widowControl/>
              <w:spacing w:before="36" w:beforeLines="15" w:after="36" w:afterLines="15"/>
              <w:jc w:val="center"/>
              <w:textAlignment w:val="baseline"/>
              <w:rPr>
                <w:rFonts w:hint="eastAsia" w:ascii="宋体" w:hAnsi="宋体" w:cs="宋体"/>
                <w:b/>
                <w:sz w:val="24"/>
              </w:rPr>
            </w:pPr>
            <w:r>
              <w:rPr>
                <w:rFonts w:hint="eastAsia" w:ascii="宋体" w:hAnsi="宋体" w:cs="宋体"/>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00" w:type="pct"/>
            <w:noWrap/>
            <w:vAlign w:val="center"/>
          </w:tcPr>
          <w:p>
            <w:pPr>
              <w:widowControl/>
              <w:spacing w:before="36" w:beforeLines="15" w:after="36" w:afterLines="15"/>
              <w:textAlignment w:val="baseline"/>
              <w:rPr>
                <w:rFonts w:hint="eastAsia" w:ascii="宋体" w:hAnsi="宋体" w:cs="宋体"/>
                <w:color w:val="auto"/>
                <w:sz w:val="24"/>
                <w:highlight w:val="none"/>
              </w:rPr>
            </w:pPr>
            <w:r>
              <w:rPr>
                <w:rFonts w:hint="eastAsia" w:ascii="宋体" w:hAnsi="宋体" w:cs="宋体"/>
                <w:color w:val="auto"/>
                <w:sz w:val="24"/>
                <w:highlight w:val="none"/>
              </w:rPr>
              <w:t>设备性能</w:t>
            </w:r>
          </w:p>
        </w:tc>
        <w:tc>
          <w:tcPr>
            <w:tcW w:w="4200" w:type="pct"/>
            <w:noWrap/>
            <w:vAlign w:val="center"/>
          </w:tcPr>
          <w:p>
            <w:pPr>
              <w:widowControl/>
              <w:spacing w:before="36" w:beforeLines="15" w:after="36" w:afterLines="15"/>
              <w:textAlignment w:val="baseline"/>
              <w:rPr>
                <w:rFonts w:hint="eastAsia"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交换容量≥400Gbps，包转发率≥120Mpps，以官网最小值为准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800" w:type="pct"/>
            <w:noWrap/>
            <w:vAlign w:val="center"/>
          </w:tcPr>
          <w:p>
            <w:pPr>
              <w:widowControl/>
              <w:spacing w:before="36" w:beforeLines="15" w:after="36" w:afterLines="15"/>
              <w:textAlignment w:val="baseline"/>
              <w:rPr>
                <w:rFonts w:hint="eastAsia" w:ascii="宋体" w:hAnsi="宋体" w:cs="宋体"/>
                <w:color w:val="auto"/>
                <w:sz w:val="24"/>
                <w:highlight w:val="none"/>
              </w:rPr>
            </w:pPr>
            <w:r>
              <w:rPr>
                <w:rFonts w:hint="eastAsia" w:ascii="宋体" w:hAnsi="宋体" w:cs="宋体"/>
                <w:color w:val="auto"/>
                <w:sz w:val="24"/>
                <w:highlight w:val="none"/>
              </w:rPr>
              <w:t>端口类型</w:t>
            </w:r>
          </w:p>
        </w:tc>
        <w:tc>
          <w:tcPr>
            <w:tcW w:w="4200" w:type="pct"/>
            <w:noWrap/>
            <w:vAlign w:val="center"/>
          </w:tcPr>
          <w:p>
            <w:pPr>
              <w:pStyle w:val="213"/>
              <w:widowControl w:val="0"/>
              <w:tabs>
                <w:tab w:val="left" w:pos="420"/>
              </w:tabs>
              <w:ind w:left="0" w:firstLine="0"/>
              <w:rPr>
                <w:rFonts w:hint="eastAsia" w:ascii="宋体" w:hAnsi="宋体" w:cs="宋体"/>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color w:val="auto"/>
                <w:sz w:val="24"/>
                <w:szCs w:val="24"/>
                <w:highlight w:val="none"/>
              </w:rPr>
              <w:t xml:space="preserve">配置24个千兆SFP，8个千兆电口，4个万兆SFP+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800" w:type="pct"/>
            <w:vMerge w:val="restart"/>
            <w:noWrap/>
            <w:vAlign w:val="center"/>
          </w:tcPr>
          <w:p>
            <w:pPr>
              <w:widowControl/>
              <w:spacing w:before="36" w:beforeLines="15" w:after="36" w:afterLines="15"/>
              <w:textAlignment w:val="baseline"/>
              <w:rPr>
                <w:rFonts w:hint="eastAsia" w:ascii="宋体" w:hAnsi="宋体" w:cs="宋体"/>
                <w:color w:val="auto"/>
                <w:sz w:val="24"/>
              </w:rPr>
            </w:pPr>
            <w:r>
              <w:rPr>
                <w:rFonts w:hint="eastAsia" w:ascii="宋体" w:hAnsi="宋体" w:cs="宋体"/>
                <w:color w:val="auto"/>
                <w:sz w:val="24"/>
              </w:rPr>
              <w:t>二层功能</w:t>
            </w:r>
          </w:p>
        </w:tc>
        <w:tc>
          <w:tcPr>
            <w:tcW w:w="4200" w:type="pct"/>
            <w:noWrap w:val="0"/>
            <w:vAlign w:val="center"/>
          </w:tcPr>
          <w:p>
            <w:pPr>
              <w:widowControl/>
              <w:spacing w:before="36" w:beforeLines="15" w:after="36" w:afterLines="15"/>
              <w:textAlignment w:val="baseline"/>
              <w:rPr>
                <w:rFonts w:hint="eastAsia" w:ascii="宋体" w:hAnsi="宋体" w:cs="宋体"/>
                <w:color w:val="auto"/>
                <w:sz w:val="24"/>
              </w:rPr>
            </w:pPr>
            <w:r>
              <w:rPr>
                <w:rFonts w:hint="eastAsia" w:ascii="宋体" w:hAnsi="宋体" w:cs="宋体"/>
                <w:color w:val="auto"/>
                <w:sz w:val="24"/>
              </w:rPr>
              <w:t>支持MAC地址≥16K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800" w:type="pct"/>
            <w:vMerge w:val="continue"/>
            <w:noWrap w:val="0"/>
            <w:vAlign w:val="center"/>
          </w:tcPr>
          <w:p>
            <w:pPr>
              <w:widowControl/>
              <w:rPr>
                <w:rFonts w:hint="eastAsia" w:ascii="宋体" w:hAnsi="宋体" w:cs="宋体"/>
                <w:color w:val="auto"/>
                <w:sz w:val="24"/>
              </w:rPr>
            </w:pPr>
          </w:p>
        </w:tc>
        <w:tc>
          <w:tcPr>
            <w:tcW w:w="4200" w:type="pct"/>
            <w:noWrap w:val="0"/>
            <w:vAlign w:val="center"/>
          </w:tcPr>
          <w:p>
            <w:pPr>
              <w:widowControl/>
              <w:spacing w:before="36" w:beforeLines="15" w:after="36" w:afterLines="15"/>
              <w:textAlignment w:val="baseline"/>
              <w:rPr>
                <w:rFonts w:hint="eastAsia" w:ascii="宋体" w:hAnsi="宋体" w:cs="宋体"/>
                <w:b/>
                <w:color w:val="auto"/>
                <w:sz w:val="24"/>
              </w:rPr>
            </w:pPr>
            <w:r>
              <w:rPr>
                <w:rFonts w:hint="eastAsia" w:ascii="宋体" w:hAnsi="宋体" w:cs="宋体"/>
                <w:color w:val="auto"/>
                <w:sz w:val="24"/>
              </w:rPr>
              <w:t>支持ARP表项≥2K</w:t>
            </w:r>
            <w:r>
              <w:rPr>
                <w:rFonts w:hint="eastAsia" w:ascii="宋体" w:hAnsi="宋体" w:cs="宋体"/>
                <w:b/>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800" w:type="pct"/>
            <w:vMerge w:val="restart"/>
            <w:noWrap/>
            <w:vAlign w:val="center"/>
          </w:tcPr>
          <w:p>
            <w:pPr>
              <w:widowControl/>
              <w:spacing w:before="36" w:beforeLines="15" w:after="36" w:afterLines="15"/>
              <w:textAlignment w:val="baseline"/>
              <w:rPr>
                <w:rFonts w:hint="eastAsia" w:ascii="宋体" w:hAnsi="宋体" w:cs="宋体"/>
                <w:color w:val="auto"/>
                <w:sz w:val="24"/>
              </w:rPr>
            </w:pPr>
            <w:r>
              <w:rPr>
                <w:rFonts w:hint="eastAsia" w:ascii="宋体" w:hAnsi="宋体" w:cs="宋体"/>
                <w:color w:val="auto"/>
                <w:sz w:val="24"/>
              </w:rPr>
              <w:t>三层功能</w:t>
            </w:r>
          </w:p>
        </w:tc>
        <w:tc>
          <w:tcPr>
            <w:tcW w:w="4200" w:type="pct"/>
            <w:noWrap w:val="0"/>
            <w:vAlign w:val="center"/>
          </w:tcPr>
          <w:p>
            <w:pPr>
              <w:widowControl/>
              <w:spacing w:before="36" w:beforeLines="15" w:after="36" w:afterLines="15"/>
              <w:textAlignment w:val="baseline"/>
              <w:rPr>
                <w:rFonts w:hint="eastAsia" w:ascii="宋体" w:hAnsi="宋体" w:cs="宋体"/>
                <w:color w:val="auto"/>
                <w:sz w:val="24"/>
              </w:rPr>
            </w:pPr>
            <w:r>
              <w:rPr>
                <w:rFonts w:hint="eastAsia" w:ascii="宋体" w:hAnsi="宋体" w:cs="宋体"/>
                <w:color w:val="auto"/>
                <w:sz w:val="24"/>
              </w:rPr>
              <w:t xml:space="preserve">支持静态路由、RIP、RIPng、OSPF、OSPFv3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800" w:type="pct"/>
            <w:vMerge w:val="continue"/>
            <w:noWrap w:val="0"/>
            <w:vAlign w:val="center"/>
          </w:tcPr>
          <w:p>
            <w:pPr>
              <w:widowControl/>
              <w:rPr>
                <w:rFonts w:hint="eastAsia" w:ascii="宋体" w:hAnsi="宋体" w:cs="宋体"/>
                <w:sz w:val="24"/>
              </w:rPr>
            </w:pPr>
          </w:p>
        </w:tc>
        <w:tc>
          <w:tcPr>
            <w:tcW w:w="4200" w:type="pct"/>
            <w:noWrap w:val="0"/>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支持Ipv4 FIB表项≥4K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0" w:type="pct"/>
            <w:noWrap/>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组播</w:t>
            </w:r>
          </w:p>
        </w:tc>
        <w:tc>
          <w:tcPr>
            <w:tcW w:w="4200" w:type="pct"/>
            <w:noWrap w:val="0"/>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支持IGMP v1/v2/v3 Snooping</w:t>
            </w:r>
          </w:p>
          <w:p>
            <w:pPr>
              <w:spacing w:before="36" w:beforeLines="15" w:after="36" w:afterLines="15"/>
              <w:textAlignment w:val="baseline"/>
              <w:rPr>
                <w:rFonts w:hint="eastAsia" w:ascii="宋体" w:hAnsi="宋体" w:cs="宋体"/>
                <w:sz w:val="24"/>
              </w:rPr>
            </w:pPr>
            <w:r>
              <w:rPr>
                <w:rFonts w:hint="eastAsia" w:ascii="宋体" w:hAnsi="宋体" w:cs="宋体"/>
                <w:sz w:val="24"/>
              </w:rPr>
              <w:t>支持VLAN内组播转发和组播多VLAN复制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800" w:type="pct"/>
            <w:noWrap/>
            <w:vAlign w:val="center"/>
          </w:tcPr>
          <w:p>
            <w:pPr>
              <w:spacing w:before="36" w:beforeLines="15" w:after="36" w:afterLines="15"/>
              <w:textAlignment w:val="baseline"/>
              <w:rPr>
                <w:rFonts w:hint="eastAsia" w:ascii="宋体" w:hAnsi="宋体" w:cs="宋体"/>
                <w:sz w:val="24"/>
              </w:rPr>
            </w:pPr>
            <w:r>
              <w:rPr>
                <w:rFonts w:hint="eastAsia" w:ascii="宋体" w:hAnsi="宋体" w:cs="宋体"/>
                <w:sz w:val="24"/>
              </w:rPr>
              <w:t>可靠性</w:t>
            </w:r>
          </w:p>
        </w:tc>
        <w:tc>
          <w:tcPr>
            <w:tcW w:w="4200" w:type="pct"/>
            <w:noWrap w:val="0"/>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支持G.8032开放环网协议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800" w:type="pct"/>
            <w:vMerge w:val="restart"/>
            <w:noWrap/>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虚拟化</w:t>
            </w:r>
          </w:p>
        </w:tc>
        <w:tc>
          <w:tcPr>
            <w:tcW w:w="4200" w:type="pct"/>
            <w:noWrap/>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支持智能堆叠，堆叠后逻辑上虚拟为一台设备，具有统一的表项和管理，堆叠系统通过多台成员设备之间冗余备份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jc w:val="center"/>
        </w:trPr>
        <w:tc>
          <w:tcPr>
            <w:tcW w:w="800" w:type="pct"/>
            <w:vMerge w:val="continue"/>
            <w:noWrap w:val="0"/>
            <w:vAlign w:val="center"/>
          </w:tcPr>
          <w:p>
            <w:pPr>
              <w:widowControl/>
              <w:rPr>
                <w:rFonts w:hint="eastAsia" w:ascii="宋体" w:hAnsi="宋体" w:cs="宋体"/>
                <w:sz w:val="24"/>
              </w:rPr>
            </w:pPr>
          </w:p>
        </w:tc>
        <w:tc>
          <w:tcPr>
            <w:tcW w:w="4200" w:type="pct"/>
            <w:noWrap/>
            <w:vAlign w:val="center"/>
          </w:tcPr>
          <w:p>
            <w:pPr>
              <w:widowControl/>
              <w:spacing w:before="36" w:beforeLines="15" w:after="36" w:afterLines="15"/>
              <w:textAlignment w:val="baseline"/>
              <w:rPr>
                <w:rFonts w:hint="eastAsia" w:ascii="宋体" w:hAnsi="宋体" w:cs="宋体"/>
                <w:b/>
                <w:color w:val="FF0000"/>
                <w:sz w:val="24"/>
              </w:rPr>
            </w:pPr>
            <w:r>
              <w:rPr>
                <w:rFonts w:hint="eastAsia" w:ascii="宋体" w:hAnsi="宋体" w:cs="宋体"/>
                <w:sz w:val="24"/>
              </w:rPr>
              <w:t>支持以太网电口堆叠，用网线连接实现堆叠功能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800" w:type="pct"/>
            <w:vMerge w:val="continue"/>
            <w:noWrap w:val="0"/>
            <w:vAlign w:val="center"/>
          </w:tcPr>
          <w:p>
            <w:pPr>
              <w:widowControl/>
              <w:rPr>
                <w:rFonts w:hint="eastAsia" w:ascii="宋体" w:hAnsi="宋体" w:cs="宋体"/>
                <w:sz w:val="24"/>
              </w:rPr>
            </w:pPr>
          </w:p>
        </w:tc>
        <w:tc>
          <w:tcPr>
            <w:tcW w:w="4200" w:type="pct"/>
            <w:noWrap/>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支持纵向虚拟化，作为纵向子节点零配置即插即用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00" w:type="pct"/>
            <w:noWrap w:val="0"/>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管理维护</w:t>
            </w:r>
          </w:p>
        </w:tc>
        <w:tc>
          <w:tcPr>
            <w:tcW w:w="4200" w:type="pct"/>
            <w:noWrap/>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支持SNMP v1/v2/v3、Telnet、RMON</w:t>
            </w:r>
          </w:p>
          <w:p>
            <w:pPr>
              <w:widowControl/>
              <w:spacing w:before="36" w:beforeLines="15" w:after="36" w:afterLines="15"/>
              <w:textAlignment w:val="baseline"/>
              <w:rPr>
                <w:rFonts w:hint="eastAsia" w:ascii="宋体" w:hAnsi="宋体" w:cs="宋体"/>
                <w:sz w:val="24"/>
              </w:rPr>
            </w:pPr>
            <w:r>
              <w:rPr>
                <w:rFonts w:hint="eastAsia" w:ascii="宋体" w:hAnsi="宋体" w:cs="宋体"/>
                <w:sz w:val="24"/>
              </w:rPr>
              <w:t>支持通过命令行、Web、中文图形化配置软件等方式进行配置和管理</w:t>
            </w:r>
          </w:p>
          <w:p>
            <w:pPr>
              <w:rPr>
                <w:rFonts w:hint="eastAsia" w:ascii="宋体" w:hAnsi="宋体" w:cs="宋体"/>
                <w:sz w:val="24"/>
              </w:rPr>
            </w:pPr>
            <w:r>
              <w:rPr>
                <w:rFonts w:hint="eastAsia" w:ascii="宋体" w:hAnsi="宋体" w:cs="宋体"/>
                <w:sz w:val="24"/>
              </w:rPr>
              <w:t>支持Telemetry技术，配合网络分析组件通过智能故障识别算法对网络数据进行分析，精准展现网络实时状态，并能及时有效地定界故障以及定位故障发生原因，发现影响用户体验的网络问题，精准保障用户体验</w:t>
            </w:r>
          </w:p>
          <w:p>
            <w:pPr>
              <w:rPr>
                <w:rFonts w:hint="eastAsia" w:ascii="宋体" w:hAnsi="宋体" w:cs="宋体"/>
                <w:sz w:val="24"/>
              </w:rPr>
            </w:pPr>
            <w:r>
              <w:rPr>
                <w:rFonts w:hint="eastAsia" w:ascii="宋体" w:hAnsi="宋体" w:cs="宋体"/>
                <w:sz w:val="24"/>
              </w:rPr>
              <w:t>支持音视频业务的智能运维，将设备作为监控节点周期统计并上报音视频业务类指标参数至网络分析组件引擎，由网络分析组件引擎结合多个节点的监控结果，对音视频业务质量类故障进行快速定界</w:t>
            </w:r>
          </w:p>
          <w:p>
            <w:pPr>
              <w:widowControl/>
              <w:spacing w:before="36" w:beforeLines="15" w:after="36" w:afterLines="15"/>
              <w:textAlignment w:val="baseline"/>
              <w:rPr>
                <w:rFonts w:hint="eastAsia" w:ascii="宋体" w:hAnsi="宋体" w:cs="宋体"/>
                <w:sz w:val="24"/>
              </w:rPr>
            </w:pPr>
            <w:r>
              <w:rPr>
                <w:rFonts w:hint="eastAsia" w:ascii="宋体" w:hAnsi="宋体" w:cs="宋体"/>
                <w:sz w:val="24"/>
              </w:rPr>
              <w:t>同时支持云管理和本地管理两种模式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800" w:type="pct"/>
            <w:noWrap w:val="0"/>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节能</w:t>
            </w:r>
          </w:p>
        </w:tc>
        <w:tc>
          <w:tcPr>
            <w:tcW w:w="4200" w:type="pct"/>
            <w:noWrap/>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支持802.3az能效以太网EEE，节能环保，提供权威第三方测试报告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800" w:type="pct"/>
            <w:noWrap w:val="0"/>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SDN</w:t>
            </w:r>
          </w:p>
        </w:tc>
        <w:tc>
          <w:tcPr>
            <w:tcW w:w="4200" w:type="pct"/>
            <w:noWrap/>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支持Openflow 1.3标准</w:t>
            </w:r>
          </w:p>
        </w:tc>
      </w:tr>
    </w:tbl>
    <w:p>
      <w:pPr>
        <w:rPr>
          <w:rFonts w:hint="eastAsia" w:ascii="宋体" w:hAnsi="宋体" w:cs="宋体"/>
          <w:sz w:val="24"/>
        </w:rPr>
      </w:pPr>
    </w:p>
    <w:p>
      <w:pPr>
        <w:tabs>
          <w:tab w:val="left" w:pos="644"/>
          <w:tab w:val="left" w:pos="1200"/>
        </w:tabs>
        <w:autoSpaceDE w:val="0"/>
        <w:autoSpaceDN w:val="0"/>
        <w:adjustRightInd w:val="0"/>
        <w:spacing w:line="360" w:lineRule="auto"/>
        <w:ind w:left="630"/>
        <w:rPr>
          <w:rFonts w:hint="eastAsia" w:ascii="宋体" w:hAnsi="宋体" w:cs="宋体"/>
          <w:sz w:val="24"/>
        </w:rPr>
      </w:pPr>
      <w:r>
        <w:rPr>
          <w:rFonts w:hint="eastAsia" w:ascii="宋体" w:hAnsi="宋体" w:cs="宋体"/>
          <w:sz w:val="24"/>
        </w:rPr>
        <w:t>9.学校出口接入层交换机3的参数指标</w:t>
      </w:r>
    </w:p>
    <w:p>
      <w:pPr>
        <w:rPr>
          <w:rFonts w:hint="eastAsia" w:ascii="宋体" w:hAnsi="宋体" w:cs="宋体"/>
          <w:sz w:val="24"/>
        </w:rPr>
      </w:pP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sz w:val="24"/>
              </w:rPr>
              <w:t>指标项</w:t>
            </w:r>
          </w:p>
        </w:tc>
        <w:tc>
          <w:tcPr>
            <w:tcW w:w="406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sz w:val="24"/>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基本要求</w:t>
            </w:r>
          </w:p>
        </w:tc>
        <w:tc>
          <w:tcPr>
            <w:tcW w:w="406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 w:val="24"/>
                <w:highlight w:val="none"/>
              </w:rPr>
            </w:pPr>
            <w:r>
              <w:rPr>
                <w:rFonts w:hint="eastAsia" w:ascii="宋体" w:hAnsi="宋体" w:cs="宋体"/>
                <w:color w:val="auto"/>
                <w:sz w:val="24"/>
                <w:highlight w:val="none"/>
              </w:rPr>
              <w:t xml:space="preserve">▲交换容量≥336Gbps，包转发率≥108Mpps，千兆电口≥24，4个复用SFP千兆端口（Combo），万兆SFP+端口≥4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9"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硬件要求</w:t>
            </w:r>
          </w:p>
        </w:tc>
        <w:tc>
          <w:tcPr>
            <w:tcW w:w="4061"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r>
              <w:rPr>
                <w:rFonts w:hint="eastAsia" w:ascii="宋体" w:hAnsi="宋体" w:cs="宋体"/>
                <w:sz w:val="24"/>
              </w:rPr>
              <w:t>为了提高设备可靠性，支持模块化可插拔双电源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9" w:type="pct"/>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4061"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r>
              <w:rPr>
                <w:rFonts w:hint="eastAsia" w:ascii="宋体" w:hAnsi="宋体" w:cs="宋体"/>
                <w:sz w:val="24"/>
              </w:rPr>
              <w:t>支持USB接口，便于U盘快速开局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9"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二层功能</w:t>
            </w:r>
          </w:p>
        </w:tc>
        <w:tc>
          <w:tcPr>
            <w:tcW w:w="4061" w:type="pct"/>
            <w:tcBorders>
              <w:top w:val="single" w:color="auto" w:sz="4" w:space="0"/>
              <w:left w:val="single" w:color="auto" w:sz="4" w:space="0"/>
              <w:bottom w:val="single" w:color="auto" w:sz="4" w:space="0"/>
              <w:right w:val="single" w:color="auto" w:sz="4" w:space="0"/>
            </w:tcBorders>
            <w:noWrap w:val="0"/>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支持MAC地址≥16K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9" w:type="pct"/>
            <w:vMerge w:val="continue"/>
            <w:tcBorders>
              <w:left w:val="single" w:color="auto" w:sz="4" w:space="0"/>
              <w:right w:val="single" w:color="auto" w:sz="4" w:space="0"/>
            </w:tcBorders>
            <w:noWrap w:val="0"/>
            <w:vAlign w:val="center"/>
          </w:tcPr>
          <w:p>
            <w:pPr>
              <w:jc w:val="center"/>
              <w:rPr>
                <w:rFonts w:hint="eastAsia" w:ascii="宋体" w:hAnsi="宋体" w:cs="宋体"/>
                <w:sz w:val="24"/>
              </w:rPr>
            </w:pPr>
          </w:p>
        </w:tc>
        <w:tc>
          <w:tcPr>
            <w:tcW w:w="4061" w:type="pct"/>
            <w:tcBorders>
              <w:top w:val="single" w:color="auto" w:sz="4" w:space="0"/>
              <w:left w:val="single" w:color="auto" w:sz="4" w:space="0"/>
              <w:bottom w:val="single" w:color="auto" w:sz="4" w:space="0"/>
              <w:right w:val="single" w:color="auto" w:sz="4" w:space="0"/>
            </w:tcBorders>
            <w:noWrap w:val="0"/>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 xml:space="preserve">支持ARP表项≥4K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9" w:type="pct"/>
            <w:vMerge w:val="continue"/>
            <w:tcBorders>
              <w:left w:val="single" w:color="auto" w:sz="4" w:space="0"/>
              <w:right w:val="single" w:color="auto" w:sz="4" w:space="0"/>
            </w:tcBorders>
            <w:noWrap w:val="0"/>
            <w:vAlign w:val="center"/>
          </w:tcPr>
          <w:p>
            <w:pPr>
              <w:jc w:val="center"/>
              <w:rPr>
                <w:rFonts w:hint="eastAsia" w:ascii="宋体" w:hAnsi="宋体" w:cs="宋体"/>
                <w:sz w:val="24"/>
              </w:rPr>
            </w:pPr>
          </w:p>
        </w:tc>
        <w:tc>
          <w:tcPr>
            <w:tcW w:w="4061" w:type="pct"/>
            <w:tcBorders>
              <w:top w:val="single" w:color="auto" w:sz="4" w:space="0"/>
              <w:left w:val="single" w:color="auto" w:sz="4" w:space="0"/>
              <w:bottom w:val="single" w:color="auto" w:sz="4" w:space="0"/>
              <w:right w:val="single" w:color="auto" w:sz="4" w:space="0"/>
            </w:tcBorders>
            <w:noWrap w:val="0"/>
            <w:vAlign w:val="center"/>
          </w:tcPr>
          <w:p>
            <w:pPr>
              <w:spacing w:before="36" w:beforeLines="15" w:after="36" w:afterLines="15"/>
              <w:textAlignment w:val="baseline"/>
              <w:rPr>
                <w:rFonts w:hint="eastAsia" w:ascii="宋体" w:hAnsi="宋体" w:cs="宋体"/>
                <w:sz w:val="24"/>
              </w:rPr>
            </w:pPr>
            <w:r>
              <w:rPr>
                <w:rFonts w:hint="eastAsia" w:ascii="宋体" w:hAnsi="宋体" w:cs="宋体"/>
                <w:sz w:val="24"/>
              </w:rPr>
              <w:t>支持端口聚合，每个聚合组至少8个端口；支持跨设备链路聚合。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39" w:type="pct"/>
            <w:vMerge w:val="restart"/>
            <w:tcBorders>
              <w:left w:val="single" w:color="auto" w:sz="4" w:space="0"/>
              <w:right w:val="single" w:color="auto" w:sz="4" w:space="0"/>
            </w:tcBorders>
            <w:noWrap w:val="0"/>
            <w:vAlign w:val="center"/>
          </w:tcPr>
          <w:p>
            <w:pPr>
              <w:widowControl/>
              <w:spacing w:before="36" w:beforeLines="15" w:after="36" w:afterLines="15"/>
              <w:jc w:val="center"/>
              <w:textAlignment w:val="baseline"/>
              <w:rPr>
                <w:rFonts w:hint="eastAsia" w:ascii="宋体" w:hAnsi="宋体" w:cs="宋体"/>
                <w:sz w:val="24"/>
              </w:rPr>
            </w:pPr>
            <w:r>
              <w:rPr>
                <w:rFonts w:hint="eastAsia" w:ascii="宋体" w:hAnsi="宋体" w:cs="宋体"/>
                <w:sz w:val="24"/>
              </w:rPr>
              <w:t>三层功能</w:t>
            </w:r>
          </w:p>
        </w:tc>
        <w:tc>
          <w:tcPr>
            <w:tcW w:w="4061" w:type="pct"/>
            <w:tcBorders>
              <w:top w:val="single" w:color="auto" w:sz="4" w:space="0"/>
              <w:left w:val="single" w:color="auto" w:sz="4" w:space="0"/>
              <w:bottom w:val="single" w:color="auto" w:sz="4" w:space="0"/>
              <w:right w:val="single" w:color="auto" w:sz="4" w:space="0"/>
            </w:tcBorders>
            <w:noWrap w:val="0"/>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支持静态路由、RIP、RIPng、OSPF、OSPFv3、ISIS、BGP等路由协议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39" w:type="pct"/>
            <w:vMerge w:val="continue"/>
            <w:tcBorders>
              <w:left w:val="single" w:color="auto" w:sz="4" w:space="0"/>
              <w:right w:val="single" w:color="auto" w:sz="4" w:space="0"/>
            </w:tcBorders>
            <w:noWrap w:val="0"/>
            <w:vAlign w:val="center"/>
          </w:tcPr>
          <w:p>
            <w:pPr>
              <w:jc w:val="center"/>
              <w:rPr>
                <w:rFonts w:hint="eastAsia" w:ascii="宋体" w:hAnsi="宋体" w:cs="宋体"/>
                <w:sz w:val="24"/>
              </w:rPr>
            </w:pPr>
          </w:p>
        </w:tc>
        <w:tc>
          <w:tcPr>
            <w:tcW w:w="4061" w:type="pct"/>
            <w:tcBorders>
              <w:top w:val="single" w:color="auto" w:sz="4" w:space="0"/>
              <w:left w:val="single" w:color="auto" w:sz="4" w:space="0"/>
              <w:bottom w:val="single" w:color="auto" w:sz="4" w:space="0"/>
              <w:right w:val="single" w:color="auto" w:sz="4" w:space="0"/>
            </w:tcBorders>
            <w:noWrap w:val="0"/>
            <w:vAlign w:val="center"/>
          </w:tcPr>
          <w:p>
            <w:pPr>
              <w:spacing w:before="36" w:beforeLines="15" w:after="36" w:afterLines="15"/>
              <w:textAlignment w:val="baseline"/>
              <w:rPr>
                <w:rFonts w:hint="eastAsia" w:ascii="宋体" w:hAnsi="宋体" w:cs="宋体"/>
                <w:sz w:val="24"/>
              </w:rPr>
            </w:pPr>
            <w:r>
              <w:rPr>
                <w:rFonts w:hint="eastAsia" w:ascii="宋体" w:hAnsi="宋体" w:cs="宋体"/>
                <w:sz w:val="24"/>
              </w:rPr>
              <w:t xml:space="preserve">支持Ipv4 FIB表项≥8K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39" w:type="pct"/>
            <w:tcBorders>
              <w:left w:val="single" w:color="auto" w:sz="4" w:space="0"/>
              <w:right w:val="single" w:color="auto" w:sz="4" w:space="0"/>
            </w:tcBorders>
            <w:noWrap w:val="0"/>
            <w:vAlign w:val="center"/>
          </w:tcPr>
          <w:p>
            <w:pPr>
              <w:spacing w:line="300" w:lineRule="auto"/>
              <w:jc w:val="center"/>
              <w:textAlignment w:val="baseline"/>
              <w:rPr>
                <w:rFonts w:hint="eastAsia" w:ascii="宋体" w:hAnsi="宋体" w:cs="宋体"/>
                <w:sz w:val="24"/>
              </w:rPr>
            </w:pPr>
            <w:r>
              <w:rPr>
                <w:rFonts w:hint="eastAsia" w:ascii="宋体" w:hAnsi="宋体" w:cs="宋体"/>
                <w:sz w:val="24"/>
              </w:rPr>
              <w:t>组播</w:t>
            </w:r>
          </w:p>
        </w:tc>
        <w:tc>
          <w:tcPr>
            <w:tcW w:w="4061"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textAlignment w:val="baseline"/>
              <w:rPr>
                <w:rFonts w:hint="eastAsia" w:ascii="宋体" w:hAnsi="宋体" w:cs="宋体"/>
                <w:sz w:val="24"/>
              </w:rPr>
            </w:pPr>
            <w:r>
              <w:rPr>
                <w:rFonts w:hint="eastAsia" w:ascii="宋体" w:hAnsi="宋体" w:cs="宋体"/>
                <w:sz w:val="24"/>
              </w:rPr>
              <w:t>支持三层组播功能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39" w:type="pct"/>
            <w:vMerge w:val="restart"/>
            <w:tcBorders>
              <w:left w:val="single" w:color="auto" w:sz="4" w:space="0"/>
              <w:right w:val="single" w:color="auto" w:sz="4" w:space="0"/>
            </w:tcBorders>
            <w:noWrap w:val="0"/>
            <w:vAlign w:val="center"/>
          </w:tcPr>
          <w:p>
            <w:pPr>
              <w:spacing w:line="300" w:lineRule="auto"/>
              <w:jc w:val="center"/>
              <w:textAlignment w:val="baseline"/>
              <w:rPr>
                <w:rFonts w:hint="eastAsia" w:ascii="宋体" w:hAnsi="宋体" w:cs="宋体"/>
                <w:sz w:val="24"/>
              </w:rPr>
            </w:pPr>
            <w:r>
              <w:rPr>
                <w:rFonts w:hint="eastAsia" w:ascii="宋体" w:hAnsi="宋体" w:cs="宋体"/>
                <w:sz w:val="24"/>
              </w:rPr>
              <w:t>虚拟化</w:t>
            </w:r>
          </w:p>
        </w:tc>
        <w:tc>
          <w:tcPr>
            <w:tcW w:w="4061"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textAlignment w:val="baseline"/>
              <w:rPr>
                <w:rFonts w:hint="eastAsia" w:ascii="宋体" w:hAnsi="宋体" w:cs="宋体"/>
                <w:sz w:val="24"/>
              </w:rPr>
            </w:pPr>
            <w:r>
              <w:rPr>
                <w:rFonts w:hint="eastAsia" w:ascii="宋体" w:hAnsi="宋体" w:cs="宋体"/>
                <w:sz w:val="24"/>
              </w:rPr>
              <w:t>支持以太网电口堆叠，用网线连接实现堆叠功能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39" w:type="pct"/>
            <w:vMerge w:val="continue"/>
            <w:tcBorders>
              <w:left w:val="single" w:color="auto" w:sz="4" w:space="0"/>
              <w:right w:val="single" w:color="auto" w:sz="4" w:space="0"/>
            </w:tcBorders>
            <w:noWrap w:val="0"/>
            <w:vAlign w:val="center"/>
          </w:tcPr>
          <w:p>
            <w:pPr>
              <w:jc w:val="center"/>
              <w:rPr>
                <w:rFonts w:hint="eastAsia" w:ascii="宋体" w:hAnsi="宋体" w:cs="宋体"/>
                <w:sz w:val="24"/>
              </w:rPr>
            </w:pPr>
          </w:p>
        </w:tc>
        <w:tc>
          <w:tcPr>
            <w:tcW w:w="4061"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r>
              <w:rPr>
                <w:rFonts w:hint="eastAsia" w:ascii="宋体" w:hAnsi="宋体" w:cs="宋体"/>
                <w:sz w:val="24"/>
              </w:rPr>
              <w:t>支持纵向虚拟化，作为纵向子节点零配置即插即用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9" w:type="pct"/>
            <w:tcBorders>
              <w:left w:val="single" w:color="auto" w:sz="4" w:space="0"/>
              <w:right w:val="single" w:color="auto" w:sz="4" w:space="0"/>
            </w:tcBorders>
            <w:noWrap w:val="0"/>
            <w:vAlign w:val="center"/>
          </w:tcPr>
          <w:p>
            <w:pPr>
              <w:widowControl/>
              <w:spacing w:line="300" w:lineRule="auto"/>
              <w:jc w:val="center"/>
              <w:textAlignment w:val="baseline"/>
              <w:rPr>
                <w:rFonts w:hint="eastAsia" w:ascii="宋体" w:hAnsi="宋体" w:cs="宋体"/>
                <w:sz w:val="24"/>
              </w:rPr>
            </w:pPr>
            <w:r>
              <w:rPr>
                <w:rFonts w:hint="eastAsia" w:ascii="宋体" w:hAnsi="宋体" w:cs="宋体"/>
                <w:sz w:val="24"/>
              </w:rPr>
              <w:t>节能</w:t>
            </w:r>
          </w:p>
        </w:tc>
        <w:tc>
          <w:tcPr>
            <w:tcW w:w="4061"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textAlignment w:val="baseline"/>
              <w:rPr>
                <w:rFonts w:hint="eastAsia" w:ascii="宋体" w:hAnsi="宋体" w:cs="宋体"/>
                <w:sz w:val="24"/>
              </w:rPr>
            </w:pPr>
            <w:r>
              <w:rPr>
                <w:rFonts w:hint="eastAsia" w:ascii="宋体" w:hAnsi="宋体" w:cs="宋体"/>
                <w:sz w:val="24"/>
              </w:rPr>
              <w:t>支持802.3az能效以太网EEE，节能环保, ，提供权威第三方测试报告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39" w:type="pct"/>
            <w:tcBorders>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可靠性</w:t>
            </w:r>
          </w:p>
        </w:tc>
        <w:tc>
          <w:tcPr>
            <w:tcW w:w="4061" w:type="pct"/>
            <w:tcBorders>
              <w:top w:val="single" w:color="auto" w:sz="4" w:space="0"/>
              <w:left w:val="single" w:color="auto" w:sz="4" w:space="0"/>
              <w:bottom w:val="single" w:color="auto" w:sz="4" w:space="0"/>
              <w:right w:val="single" w:color="auto" w:sz="4" w:space="0"/>
            </w:tcBorders>
            <w:noWrap w:val="0"/>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支持G.8032开放环网协议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39" w:type="pct"/>
            <w:tcBorders>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管理维护</w:t>
            </w:r>
          </w:p>
        </w:tc>
        <w:tc>
          <w:tcPr>
            <w:tcW w:w="4061" w:type="pct"/>
            <w:tcBorders>
              <w:top w:val="single" w:color="auto" w:sz="4" w:space="0"/>
              <w:left w:val="single" w:color="auto" w:sz="4" w:space="0"/>
              <w:bottom w:val="single" w:color="auto" w:sz="4" w:space="0"/>
              <w:right w:val="single" w:color="auto" w:sz="4" w:space="0"/>
            </w:tcBorders>
            <w:noWrap w:val="0"/>
            <w:vAlign w:val="center"/>
          </w:tcPr>
          <w:p>
            <w:pPr>
              <w:widowControl/>
              <w:spacing w:before="36" w:beforeLines="15" w:after="36" w:afterLines="15"/>
              <w:textAlignment w:val="baseline"/>
              <w:rPr>
                <w:rFonts w:hint="eastAsia" w:ascii="宋体" w:hAnsi="宋体" w:cs="宋体"/>
                <w:sz w:val="24"/>
              </w:rPr>
            </w:pPr>
            <w:r>
              <w:rPr>
                <w:rFonts w:hint="eastAsia" w:ascii="宋体" w:hAnsi="宋体" w:cs="宋体"/>
                <w:sz w:val="24"/>
              </w:rPr>
              <w:t>支持SNMP v1/v2/v3、Telnet、RMON</w:t>
            </w:r>
          </w:p>
          <w:p>
            <w:pPr>
              <w:widowControl/>
              <w:spacing w:before="36" w:beforeLines="15" w:after="36" w:afterLines="15"/>
              <w:textAlignment w:val="baseline"/>
              <w:rPr>
                <w:rFonts w:hint="eastAsia" w:ascii="宋体" w:hAnsi="宋体" w:cs="宋体"/>
                <w:sz w:val="24"/>
              </w:rPr>
            </w:pPr>
            <w:r>
              <w:rPr>
                <w:rFonts w:hint="eastAsia" w:ascii="宋体" w:hAnsi="宋体" w:cs="宋体"/>
                <w:sz w:val="24"/>
              </w:rPr>
              <w:t>支持通过命令行、Web、中文图形化配置软件等方式进行配置和管理</w:t>
            </w:r>
          </w:p>
        </w:tc>
      </w:tr>
    </w:tbl>
    <w:p>
      <w:pPr>
        <w:rPr>
          <w:rFonts w:ascii="宋体" w:hAnsi="宋体"/>
          <w:sz w:val="18"/>
          <w:szCs w:val="18"/>
        </w:rPr>
      </w:pPr>
    </w:p>
    <w:p>
      <w:pPr>
        <w:keepNext/>
        <w:keepLines/>
        <w:tabs>
          <w:tab w:val="left" w:pos="1080"/>
        </w:tabs>
        <w:spacing w:line="360" w:lineRule="auto"/>
        <w:outlineLvl w:val="1"/>
        <w:rPr>
          <w:rFonts w:hint="eastAsia" w:ascii="宋体" w:hAnsi="宋体" w:cs="宋体"/>
          <w:b/>
          <w:bCs/>
          <w:kern w:val="24"/>
          <w:sz w:val="32"/>
          <w:szCs w:val="32"/>
        </w:rPr>
      </w:pPr>
    </w:p>
    <w:p>
      <w:pPr>
        <w:keepNext/>
        <w:keepLines/>
        <w:tabs>
          <w:tab w:val="left" w:pos="1080"/>
        </w:tabs>
        <w:spacing w:line="360" w:lineRule="auto"/>
        <w:outlineLvl w:val="1"/>
        <w:rPr>
          <w:rFonts w:ascii="宋体"/>
          <w:b/>
          <w:bCs/>
          <w:kern w:val="24"/>
          <w:sz w:val="32"/>
          <w:szCs w:val="32"/>
        </w:rPr>
      </w:pPr>
      <w:r>
        <w:rPr>
          <w:rFonts w:hint="eastAsia" w:ascii="宋体" w:hAnsi="宋体" w:cs="宋体"/>
          <w:b/>
          <w:bCs/>
          <w:kern w:val="24"/>
          <w:sz w:val="32"/>
          <w:szCs w:val="32"/>
        </w:rPr>
        <w:t>四、服务要求</w:t>
      </w:r>
    </w:p>
    <w:p>
      <w:pPr>
        <w:numPr>
          <w:ilvl w:val="0"/>
          <w:numId w:val="28"/>
        </w:numPr>
        <w:autoSpaceDE w:val="0"/>
        <w:autoSpaceDN w:val="0"/>
        <w:adjustRightInd w:val="0"/>
        <w:spacing w:line="360" w:lineRule="auto"/>
        <w:ind w:left="828" w:hanging="828"/>
        <w:rPr>
          <w:sz w:val="24"/>
        </w:rPr>
      </w:pPr>
      <w:r>
        <w:rPr>
          <w:rFonts w:hint="eastAsia" w:cs="宋体"/>
          <w:sz w:val="24"/>
        </w:rPr>
        <w:t>供应商在响应文件中明确在服务期内上网行为管理和安全态势感知平台的安全库、特征库免费升级，并详细阐述质量保证措施及售后服务的内容和形式。</w:t>
      </w:r>
    </w:p>
    <w:p>
      <w:pPr>
        <w:numPr>
          <w:ilvl w:val="0"/>
          <w:numId w:val="28"/>
        </w:numPr>
        <w:autoSpaceDE w:val="0"/>
        <w:autoSpaceDN w:val="0"/>
        <w:adjustRightInd w:val="0"/>
        <w:spacing w:line="360" w:lineRule="auto"/>
        <w:ind w:left="828" w:hanging="828"/>
        <w:rPr>
          <w:sz w:val="24"/>
        </w:rPr>
      </w:pPr>
      <w:r>
        <w:rPr>
          <w:rFonts w:hint="eastAsia" w:cs="宋体"/>
          <w:sz w:val="24"/>
        </w:rPr>
        <w:t>供应商在响应文件中明确在服务期内在该项目建设和运行维护中，接受采购人的监督和管理，为采购人提供各类运行数据。</w:t>
      </w:r>
    </w:p>
    <w:p>
      <w:pPr>
        <w:numPr>
          <w:ilvl w:val="0"/>
          <w:numId w:val="28"/>
        </w:numPr>
        <w:autoSpaceDE w:val="0"/>
        <w:autoSpaceDN w:val="0"/>
        <w:adjustRightInd w:val="0"/>
        <w:spacing w:line="360" w:lineRule="auto"/>
        <w:ind w:left="828" w:hanging="828"/>
        <w:rPr>
          <w:sz w:val="24"/>
        </w:rPr>
      </w:pPr>
      <w:r>
        <w:rPr>
          <w:rFonts w:hint="eastAsia" w:cs="宋体"/>
          <w:sz w:val="24"/>
        </w:rPr>
        <w:t>指定专门的故障申报客户服务电话，提供一站式服务包括：一点业务咨询、一点业务受理、一点故障申告、一点技术支持。</w:t>
      </w:r>
    </w:p>
    <w:p>
      <w:pPr>
        <w:numPr>
          <w:ilvl w:val="0"/>
          <w:numId w:val="28"/>
        </w:numPr>
        <w:autoSpaceDE w:val="0"/>
        <w:autoSpaceDN w:val="0"/>
        <w:adjustRightInd w:val="0"/>
        <w:spacing w:line="360" w:lineRule="auto"/>
        <w:ind w:left="828" w:hanging="828"/>
        <w:rPr>
          <w:sz w:val="24"/>
        </w:rPr>
      </w:pPr>
      <w:r>
        <w:rPr>
          <w:rFonts w:hint="eastAsia" w:cs="宋体"/>
          <w:sz w:val="24"/>
        </w:rPr>
        <w:t>指定大客户经理专人服务，并保持</w:t>
      </w:r>
      <w:r>
        <w:rPr>
          <w:sz w:val="24"/>
        </w:rPr>
        <w:t>7x24</w:t>
      </w:r>
      <w:r>
        <w:rPr>
          <w:rFonts w:hint="eastAsia" w:cs="宋体"/>
          <w:sz w:val="24"/>
        </w:rPr>
        <w:t>小时响应。</w:t>
      </w:r>
    </w:p>
    <w:p>
      <w:pPr>
        <w:numPr>
          <w:ilvl w:val="0"/>
          <w:numId w:val="28"/>
        </w:numPr>
        <w:autoSpaceDE w:val="0"/>
        <w:autoSpaceDN w:val="0"/>
        <w:adjustRightInd w:val="0"/>
        <w:spacing w:line="360" w:lineRule="auto"/>
        <w:ind w:left="828" w:hanging="828"/>
        <w:rPr>
          <w:sz w:val="24"/>
        </w:rPr>
      </w:pPr>
      <w:r>
        <w:rPr>
          <w:rFonts w:hint="eastAsia" w:cs="宋体"/>
          <w:sz w:val="24"/>
        </w:rPr>
        <w:t>配备具备</w:t>
      </w:r>
      <w:r>
        <w:rPr>
          <w:sz w:val="24"/>
        </w:rPr>
        <w:t>HCNP</w:t>
      </w:r>
      <w:r>
        <w:rPr>
          <w:rFonts w:hint="eastAsia" w:cs="宋体"/>
          <w:sz w:val="24"/>
        </w:rPr>
        <w:t>或</w:t>
      </w:r>
      <w:r>
        <w:rPr>
          <w:sz w:val="24"/>
        </w:rPr>
        <w:t>CCNP</w:t>
      </w:r>
      <w:r>
        <w:rPr>
          <w:rFonts w:hint="eastAsia" w:cs="宋体"/>
          <w:sz w:val="24"/>
        </w:rPr>
        <w:t>证书的运维人员，组成专门维护团队以保证最快的响应。</w:t>
      </w:r>
    </w:p>
    <w:p>
      <w:pPr>
        <w:numPr>
          <w:ilvl w:val="0"/>
          <w:numId w:val="28"/>
        </w:numPr>
        <w:autoSpaceDE w:val="0"/>
        <w:autoSpaceDN w:val="0"/>
        <w:adjustRightInd w:val="0"/>
        <w:spacing w:line="360" w:lineRule="auto"/>
        <w:ind w:left="828" w:hanging="828"/>
        <w:rPr>
          <w:sz w:val="24"/>
        </w:rPr>
      </w:pPr>
      <w:r>
        <w:rPr>
          <w:rFonts w:hint="eastAsia" w:cs="宋体"/>
          <w:sz w:val="24"/>
        </w:rPr>
        <w:t>根据采购人的需要，每季度提供线路使用情况和设备运行情况报告和分析。</w:t>
      </w:r>
    </w:p>
    <w:p>
      <w:pPr>
        <w:numPr>
          <w:ilvl w:val="0"/>
          <w:numId w:val="28"/>
        </w:numPr>
        <w:autoSpaceDE w:val="0"/>
        <w:autoSpaceDN w:val="0"/>
        <w:adjustRightInd w:val="0"/>
        <w:spacing w:line="360" w:lineRule="auto"/>
        <w:ind w:left="828" w:hanging="828"/>
        <w:rPr>
          <w:sz w:val="24"/>
        </w:rPr>
      </w:pPr>
      <w:r>
        <w:rPr>
          <w:rFonts w:hint="eastAsia" w:cs="宋体"/>
          <w:sz w:val="24"/>
        </w:rPr>
        <w:t>对于可预见的原因，影响采购人通信的，提前</w:t>
      </w:r>
      <w:r>
        <w:rPr>
          <w:sz w:val="24"/>
        </w:rPr>
        <w:t>24</w:t>
      </w:r>
      <w:r>
        <w:rPr>
          <w:rFonts w:hint="eastAsia" w:cs="宋体"/>
          <w:sz w:val="24"/>
        </w:rPr>
        <w:t>小时通知实际用户。</w:t>
      </w:r>
    </w:p>
    <w:p>
      <w:pPr>
        <w:numPr>
          <w:ilvl w:val="0"/>
          <w:numId w:val="28"/>
        </w:numPr>
        <w:autoSpaceDE w:val="0"/>
        <w:autoSpaceDN w:val="0"/>
        <w:adjustRightInd w:val="0"/>
        <w:spacing w:line="360" w:lineRule="auto"/>
        <w:ind w:left="828" w:hanging="828"/>
        <w:rPr>
          <w:sz w:val="24"/>
        </w:rPr>
      </w:pPr>
      <w:r>
        <w:rPr>
          <w:rFonts w:hint="eastAsia" w:cs="宋体"/>
          <w:sz w:val="24"/>
        </w:rPr>
        <w:t>如发生故障应在接到通知后立即响应，两小时到达现场，四小时内排除。有重大保障任务时，出现线路故障，必须紧急代通，保障网络畅通。</w:t>
      </w:r>
    </w:p>
    <w:p>
      <w:pPr>
        <w:numPr>
          <w:ilvl w:val="0"/>
          <w:numId w:val="28"/>
        </w:numPr>
        <w:autoSpaceDE w:val="0"/>
        <w:autoSpaceDN w:val="0"/>
        <w:adjustRightInd w:val="0"/>
        <w:spacing w:line="360" w:lineRule="auto"/>
        <w:ind w:left="828" w:hanging="828"/>
        <w:rPr>
          <w:sz w:val="24"/>
        </w:rPr>
      </w:pPr>
      <w:r>
        <w:rPr>
          <w:rFonts w:hint="eastAsia" w:cs="宋体"/>
          <w:sz w:val="24"/>
        </w:rPr>
        <w:t>供应商应具备应急通信的能力，如遇不可抗力因素（如地震、洪水等）造成的线路阻断，供应商应在短期内采用应急手段恢复通信。</w:t>
      </w:r>
    </w:p>
    <w:p>
      <w:pPr>
        <w:numPr>
          <w:ilvl w:val="0"/>
          <w:numId w:val="28"/>
        </w:numPr>
        <w:autoSpaceDE w:val="0"/>
        <w:autoSpaceDN w:val="0"/>
        <w:adjustRightInd w:val="0"/>
        <w:spacing w:line="360" w:lineRule="auto"/>
        <w:ind w:left="828" w:hanging="828"/>
        <w:rPr>
          <w:sz w:val="24"/>
        </w:rPr>
      </w:pPr>
      <w:r>
        <w:rPr>
          <w:rFonts w:hint="eastAsia" w:cs="宋体"/>
          <w:sz w:val="24"/>
        </w:rPr>
        <w:t>供应商要制定完善的紧急故障处理流程及应急方案，保证紧急情况下快速故障处理，缩短故障处理时限。</w:t>
      </w:r>
    </w:p>
    <w:p>
      <w:pPr>
        <w:autoSpaceDE w:val="0"/>
        <w:autoSpaceDN w:val="0"/>
        <w:adjustRightInd w:val="0"/>
        <w:spacing w:line="360" w:lineRule="auto"/>
        <w:ind w:left="828"/>
        <w:rPr>
          <w:sz w:val="24"/>
        </w:rPr>
      </w:pPr>
    </w:p>
    <w:p>
      <w:pPr>
        <w:keepNext/>
        <w:keepLines/>
        <w:tabs>
          <w:tab w:val="left" w:pos="1080"/>
        </w:tabs>
        <w:spacing w:line="360" w:lineRule="auto"/>
        <w:outlineLvl w:val="1"/>
        <w:rPr>
          <w:rFonts w:ascii="宋体"/>
          <w:b/>
          <w:bCs/>
          <w:kern w:val="24"/>
          <w:sz w:val="32"/>
          <w:szCs w:val="32"/>
        </w:rPr>
      </w:pPr>
      <w:r>
        <w:rPr>
          <w:rFonts w:hint="eastAsia" w:ascii="宋体" w:hAnsi="宋体" w:cs="宋体"/>
          <w:b/>
          <w:bCs/>
          <w:kern w:val="24"/>
          <w:sz w:val="32"/>
          <w:szCs w:val="32"/>
        </w:rPr>
        <w:t>五、施工和质量要求</w:t>
      </w:r>
    </w:p>
    <w:p>
      <w:pPr>
        <w:numPr>
          <w:ilvl w:val="0"/>
          <w:numId w:val="29"/>
        </w:numPr>
        <w:autoSpaceDE w:val="0"/>
        <w:autoSpaceDN w:val="0"/>
        <w:adjustRightInd w:val="0"/>
        <w:spacing w:line="360" w:lineRule="auto"/>
        <w:jc w:val="left"/>
        <w:rPr>
          <w:b/>
          <w:bCs/>
          <w:kern w:val="0"/>
          <w:sz w:val="24"/>
        </w:rPr>
      </w:pPr>
      <w:r>
        <w:rPr>
          <w:rFonts w:hint="eastAsia" w:cs="宋体"/>
          <w:b/>
          <w:bCs/>
          <w:kern w:val="0"/>
          <w:sz w:val="24"/>
        </w:rPr>
        <w:t>施工要求</w:t>
      </w:r>
    </w:p>
    <w:p>
      <w:pPr>
        <w:numPr>
          <w:ilvl w:val="0"/>
          <w:numId w:val="30"/>
        </w:numPr>
        <w:autoSpaceDE w:val="0"/>
        <w:autoSpaceDN w:val="0"/>
        <w:adjustRightInd w:val="0"/>
        <w:spacing w:line="360" w:lineRule="auto"/>
        <w:jc w:val="left"/>
        <w:rPr>
          <w:kern w:val="0"/>
          <w:sz w:val="24"/>
        </w:rPr>
      </w:pPr>
      <w:r>
        <w:rPr>
          <w:rFonts w:hint="eastAsia" w:cs="宋体"/>
          <w:kern w:val="0"/>
          <w:sz w:val="24"/>
        </w:rPr>
        <w:t>施工组织设计</w:t>
      </w:r>
    </w:p>
    <w:p>
      <w:pPr>
        <w:numPr>
          <w:ilvl w:val="0"/>
          <w:numId w:val="31"/>
        </w:numPr>
        <w:autoSpaceDE w:val="0"/>
        <w:autoSpaceDN w:val="0"/>
        <w:adjustRightInd w:val="0"/>
        <w:spacing w:line="360" w:lineRule="auto"/>
        <w:jc w:val="left"/>
        <w:rPr>
          <w:kern w:val="0"/>
          <w:sz w:val="24"/>
        </w:rPr>
      </w:pPr>
      <w:r>
        <w:rPr>
          <w:rFonts w:hint="eastAsia" w:cs="宋体"/>
          <w:kern w:val="0"/>
          <w:sz w:val="24"/>
        </w:rPr>
        <w:t>综合说明，质量、工期、安全文明施工目标；</w:t>
      </w:r>
    </w:p>
    <w:p>
      <w:pPr>
        <w:numPr>
          <w:ilvl w:val="0"/>
          <w:numId w:val="31"/>
        </w:numPr>
        <w:autoSpaceDE w:val="0"/>
        <w:autoSpaceDN w:val="0"/>
        <w:adjustRightInd w:val="0"/>
        <w:spacing w:line="360" w:lineRule="auto"/>
        <w:jc w:val="left"/>
        <w:rPr>
          <w:kern w:val="0"/>
          <w:sz w:val="24"/>
        </w:rPr>
      </w:pPr>
      <w:r>
        <w:rPr>
          <w:rFonts w:hint="eastAsia" w:cs="宋体"/>
          <w:kern w:val="0"/>
          <w:sz w:val="24"/>
        </w:rPr>
        <w:t>主要施工方法；</w:t>
      </w:r>
    </w:p>
    <w:p>
      <w:pPr>
        <w:numPr>
          <w:ilvl w:val="0"/>
          <w:numId w:val="31"/>
        </w:numPr>
        <w:autoSpaceDE w:val="0"/>
        <w:autoSpaceDN w:val="0"/>
        <w:adjustRightInd w:val="0"/>
        <w:spacing w:line="360" w:lineRule="auto"/>
        <w:jc w:val="left"/>
        <w:rPr>
          <w:kern w:val="0"/>
          <w:sz w:val="24"/>
        </w:rPr>
      </w:pPr>
      <w:r>
        <w:rPr>
          <w:rFonts w:hint="eastAsia" w:cs="宋体"/>
          <w:kern w:val="0"/>
          <w:sz w:val="24"/>
        </w:rPr>
        <w:t>劳动力安排计划；</w:t>
      </w:r>
    </w:p>
    <w:p>
      <w:pPr>
        <w:numPr>
          <w:ilvl w:val="0"/>
          <w:numId w:val="31"/>
        </w:numPr>
        <w:autoSpaceDE w:val="0"/>
        <w:autoSpaceDN w:val="0"/>
        <w:adjustRightInd w:val="0"/>
        <w:spacing w:line="360" w:lineRule="auto"/>
        <w:jc w:val="left"/>
        <w:rPr>
          <w:kern w:val="0"/>
          <w:sz w:val="24"/>
        </w:rPr>
      </w:pPr>
      <w:r>
        <w:rPr>
          <w:rFonts w:hint="eastAsia" w:cs="宋体"/>
          <w:kern w:val="0"/>
          <w:sz w:val="24"/>
        </w:rPr>
        <w:t>确保工程质量的技术组织措施；</w:t>
      </w:r>
    </w:p>
    <w:p>
      <w:pPr>
        <w:numPr>
          <w:ilvl w:val="0"/>
          <w:numId w:val="31"/>
        </w:numPr>
        <w:autoSpaceDE w:val="0"/>
        <w:autoSpaceDN w:val="0"/>
        <w:adjustRightInd w:val="0"/>
        <w:spacing w:line="360" w:lineRule="auto"/>
        <w:jc w:val="left"/>
        <w:rPr>
          <w:kern w:val="0"/>
          <w:sz w:val="24"/>
        </w:rPr>
      </w:pPr>
      <w:r>
        <w:rPr>
          <w:rFonts w:hint="eastAsia" w:cs="宋体"/>
          <w:kern w:val="0"/>
          <w:sz w:val="24"/>
        </w:rPr>
        <w:t>确保文明施工的技术组织措施；</w:t>
      </w:r>
    </w:p>
    <w:p>
      <w:pPr>
        <w:numPr>
          <w:ilvl w:val="0"/>
          <w:numId w:val="31"/>
        </w:numPr>
        <w:autoSpaceDE w:val="0"/>
        <w:autoSpaceDN w:val="0"/>
        <w:adjustRightInd w:val="0"/>
        <w:spacing w:line="360" w:lineRule="auto"/>
        <w:jc w:val="left"/>
        <w:rPr>
          <w:kern w:val="0"/>
          <w:sz w:val="24"/>
        </w:rPr>
      </w:pPr>
      <w:r>
        <w:rPr>
          <w:rFonts w:hint="eastAsia" w:cs="宋体"/>
          <w:kern w:val="0"/>
          <w:sz w:val="24"/>
        </w:rPr>
        <w:t>工期；总进度工期安排控制，提供施工进度表，节点进度控制阶段划分及节点完成时间，总工期及节点工期的控制和保障措施；</w:t>
      </w:r>
    </w:p>
    <w:p>
      <w:pPr>
        <w:numPr>
          <w:ilvl w:val="0"/>
          <w:numId w:val="30"/>
        </w:numPr>
        <w:autoSpaceDE w:val="0"/>
        <w:autoSpaceDN w:val="0"/>
        <w:adjustRightInd w:val="0"/>
        <w:spacing w:line="360" w:lineRule="auto"/>
        <w:jc w:val="left"/>
        <w:rPr>
          <w:kern w:val="0"/>
          <w:sz w:val="24"/>
        </w:rPr>
      </w:pPr>
      <w:r>
        <w:rPr>
          <w:rFonts w:hint="eastAsia" w:cs="宋体"/>
          <w:kern w:val="0"/>
          <w:sz w:val="24"/>
        </w:rPr>
        <w:t>人员配备</w:t>
      </w:r>
    </w:p>
    <w:p>
      <w:pPr>
        <w:numPr>
          <w:ilvl w:val="0"/>
          <w:numId w:val="32"/>
        </w:numPr>
        <w:autoSpaceDE w:val="0"/>
        <w:autoSpaceDN w:val="0"/>
        <w:adjustRightInd w:val="0"/>
        <w:spacing w:line="360" w:lineRule="auto"/>
        <w:jc w:val="left"/>
        <w:rPr>
          <w:kern w:val="0"/>
          <w:sz w:val="24"/>
        </w:rPr>
      </w:pPr>
      <w:r>
        <w:rPr>
          <w:rFonts w:hint="eastAsia" w:cs="宋体"/>
          <w:kern w:val="0"/>
          <w:sz w:val="24"/>
        </w:rPr>
        <w:t>项目管理机构配备情况表及组织机构图；</w:t>
      </w:r>
    </w:p>
    <w:p>
      <w:pPr>
        <w:numPr>
          <w:ilvl w:val="0"/>
          <w:numId w:val="32"/>
        </w:numPr>
        <w:autoSpaceDE w:val="0"/>
        <w:autoSpaceDN w:val="0"/>
        <w:adjustRightInd w:val="0"/>
        <w:spacing w:line="360" w:lineRule="auto"/>
        <w:jc w:val="left"/>
        <w:rPr>
          <w:kern w:val="0"/>
          <w:sz w:val="24"/>
        </w:rPr>
      </w:pPr>
      <w:r>
        <w:rPr>
          <w:rFonts w:hint="eastAsia" w:cs="宋体"/>
          <w:kern w:val="0"/>
          <w:sz w:val="24"/>
        </w:rPr>
        <w:t>项目经理简历表；</w:t>
      </w:r>
    </w:p>
    <w:p>
      <w:pPr>
        <w:numPr>
          <w:ilvl w:val="0"/>
          <w:numId w:val="32"/>
        </w:numPr>
        <w:autoSpaceDE w:val="0"/>
        <w:autoSpaceDN w:val="0"/>
        <w:adjustRightInd w:val="0"/>
        <w:spacing w:line="360" w:lineRule="auto"/>
        <w:jc w:val="left"/>
        <w:rPr>
          <w:kern w:val="0"/>
          <w:sz w:val="24"/>
        </w:rPr>
      </w:pPr>
      <w:r>
        <w:rPr>
          <w:rFonts w:hint="eastAsia" w:cs="宋体"/>
          <w:kern w:val="0"/>
          <w:sz w:val="24"/>
        </w:rPr>
        <w:t>项目技术负责人简历表；</w:t>
      </w:r>
    </w:p>
    <w:p>
      <w:pPr>
        <w:numPr>
          <w:ilvl w:val="0"/>
          <w:numId w:val="32"/>
        </w:numPr>
        <w:autoSpaceDE w:val="0"/>
        <w:autoSpaceDN w:val="0"/>
        <w:adjustRightInd w:val="0"/>
        <w:spacing w:line="360" w:lineRule="auto"/>
        <w:jc w:val="left"/>
        <w:rPr>
          <w:kern w:val="0"/>
          <w:sz w:val="24"/>
        </w:rPr>
      </w:pPr>
      <w:r>
        <w:rPr>
          <w:rFonts w:hint="eastAsia" w:cs="宋体"/>
          <w:kern w:val="0"/>
          <w:sz w:val="24"/>
        </w:rPr>
        <w:t>拟投入本项目的主要管理人员情况；</w:t>
      </w:r>
    </w:p>
    <w:p>
      <w:pPr>
        <w:numPr>
          <w:ilvl w:val="0"/>
          <w:numId w:val="32"/>
        </w:numPr>
        <w:autoSpaceDE w:val="0"/>
        <w:autoSpaceDN w:val="0"/>
        <w:adjustRightInd w:val="0"/>
        <w:spacing w:line="360" w:lineRule="auto"/>
        <w:jc w:val="left"/>
        <w:rPr>
          <w:kern w:val="0"/>
          <w:sz w:val="24"/>
        </w:rPr>
      </w:pPr>
      <w:r>
        <w:rPr>
          <w:rFonts w:hint="eastAsia" w:cs="宋体"/>
          <w:kern w:val="0"/>
          <w:sz w:val="24"/>
        </w:rPr>
        <w:t>其他辅助说明资料、施工力量部署。</w:t>
      </w:r>
    </w:p>
    <w:p>
      <w:pPr>
        <w:numPr>
          <w:ilvl w:val="0"/>
          <w:numId w:val="29"/>
        </w:numPr>
        <w:autoSpaceDE w:val="0"/>
        <w:autoSpaceDN w:val="0"/>
        <w:adjustRightInd w:val="0"/>
        <w:spacing w:line="360" w:lineRule="auto"/>
        <w:jc w:val="left"/>
        <w:rPr>
          <w:b/>
          <w:bCs/>
          <w:kern w:val="0"/>
          <w:sz w:val="24"/>
        </w:rPr>
      </w:pPr>
      <w:r>
        <w:rPr>
          <w:rFonts w:hint="eastAsia" w:cs="宋体"/>
          <w:b/>
          <w:bCs/>
          <w:kern w:val="0"/>
          <w:sz w:val="24"/>
        </w:rPr>
        <w:t>质量要求</w:t>
      </w:r>
    </w:p>
    <w:p>
      <w:pPr>
        <w:autoSpaceDE w:val="0"/>
        <w:autoSpaceDN w:val="0"/>
        <w:adjustRightInd w:val="0"/>
        <w:spacing w:line="360" w:lineRule="auto"/>
        <w:jc w:val="left"/>
        <w:rPr>
          <w:kern w:val="0"/>
          <w:sz w:val="24"/>
        </w:rPr>
      </w:pPr>
      <w:r>
        <w:rPr>
          <w:kern w:val="0"/>
          <w:sz w:val="24"/>
        </w:rPr>
        <w:t xml:space="preserve">    </w:t>
      </w:r>
      <w:r>
        <w:rPr>
          <w:rFonts w:hint="eastAsia" w:cs="宋体"/>
          <w:kern w:val="0"/>
          <w:sz w:val="24"/>
        </w:rPr>
        <w:t>总体质量要求：网络建成后要求通过相关单位的测试验收，通信线路上各通信设施符合行业标准，具有良好的连通性、安全性、可靠性、先进性、可扩展性以及可维护性，必须达到通信线路系统建设有关国家标准，确保网络畅通、安全。</w:t>
      </w:r>
    </w:p>
    <w:p>
      <w:pPr>
        <w:keepNext/>
        <w:keepLines/>
        <w:tabs>
          <w:tab w:val="left" w:pos="1080"/>
        </w:tabs>
        <w:spacing w:line="360" w:lineRule="auto"/>
        <w:outlineLvl w:val="1"/>
        <w:rPr>
          <w:rFonts w:ascii="宋体"/>
          <w:kern w:val="24"/>
          <w:sz w:val="24"/>
        </w:rPr>
      </w:pPr>
      <w:r>
        <w:rPr>
          <w:rFonts w:hint="eastAsia" w:ascii="宋体" w:hAnsi="宋体" w:cs="宋体"/>
          <w:b/>
          <w:bCs/>
          <w:kern w:val="24"/>
          <w:sz w:val="32"/>
          <w:szCs w:val="32"/>
        </w:rPr>
        <w:t>六、技术要求</w:t>
      </w:r>
      <w:r>
        <w:rPr>
          <w:rFonts w:ascii="宋体" w:hAnsi="宋体" w:cs="宋体"/>
          <w:kern w:val="24"/>
          <w:sz w:val="24"/>
        </w:rPr>
        <w:t xml:space="preserve">       </w:t>
      </w:r>
    </w:p>
    <w:p>
      <w:pPr>
        <w:widowControl/>
        <w:numPr>
          <w:ilvl w:val="0"/>
          <w:numId w:val="33"/>
        </w:numPr>
        <w:spacing w:line="360" w:lineRule="auto"/>
        <w:jc w:val="left"/>
        <w:rPr>
          <w:kern w:val="0"/>
          <w:sz w:val="24"/>
        </w:rPr>
      </w:pPr>
      <w:r>
        <w:rPr>
          <w:rFonts w:hint="eastAsia" w:cs="宋体"/>
          <w:kern w:val="0"/>
          <w:sz w:val="24"/>
        </w:rPr>
        <w:t>施工依据采购人认可的响应的施工图纸及相关技术资料。按照国家有关规范或标准进行建设施工，实施过程中应采用最新的、最全面的规范和标准。</w:t>
      </w:r>
    </w:p>
    <w:p>
      <w:pPr>
        <w:widowControl/>
        <w:numPr>
          <w:ilvl w:val="0"/>
          <w:numId w:val="33"/>
        </w:numPr>
        <w:spacing w:line="360" w:lineRule="auto"/>
        <w:jc w:val="left"/>
        <w:rPr>
          <w:kern w:val="0"/>
          <w:sz w:val="24"/>
        </w:rPr>
      </w:pPr>
      <w:r>
        <w:rPr>
          <w:rFonts w:hint="eastAsia" w:cs="宋体"/>
          <w:kern w:val="0"/>
          <w:sz w:val="24"/>
        </w:rPr>
        <w:t>安装辅材等均需满足国际要求，安装布放需按照需求方设计要求。</w:t>
      </w:r>
    </w:p>
    <w:p>
      <w:pPr>
        <w:widowControl/>
        <w:numPr>
          <w:ilvl w:val="0"/>
          <w:numId w:val="33"/>
        </w:numPr>
        <w:spacing w:line="360" w:lineRule="auto"/>
        <w:jc w:val="left"/>
        <w:rPr>
          <w:kern w:val="0"/>
          <w:sz w:val="24"/>
        </w:rPr>
      </w:pPr>
      <w:r>
        <w:rPr>
          <w:rFonts w:hint="eastAsia" w:cs="宋体"/>
          <w:kern w:val="0"/>
          <w:sz w:val="24"/>
        </w:rPr>
        <w:t>成交供应商应配合最终用户完成在执行合同过程中与相关系统接口标准及其他设备配合等方面的技术协调，并对工作做出安排。</w:t>
      </w:r>
    </w:p>
    <w:p>
      <w:pPr>
        <w:widowControl/>
        <w:numPr>
          <w:ilvl w:val="0"/>
          <w:numId w:val="33"/>
        </w:numPr>
        <w:spacing w:line="360" w:lineRule="auto"/>
        <w:jc w:val="left"/>
        <w:rPr>
          <w:kern w:val="0"/>
          <w:sz w:val="24"/>
        </w:rPr>
      </w:pPr>
      <w:r>
        <w:rPr>
          <w:rFonts w:hint="eastAsia" w:cs="宋体"/>
          <w:kern w:val="0"/>
          <w:sz w:val="24"/>
        </w:rPr>
        <w:t>线路铺设由成交供应商自行勘察现场和相关的周边环境情况，并听从各相关单位的建议和意见。采购人不对成交供应商据此做出的线路铺设决定负责。</w:t>
      </w:r>
    </w:p>
    <w:p>
      <w:pPr>
        <w:widowControl/>
        <w:numPr>
          <w:ilvl w:val="0"/>
          <w:numId w:val="33"/>
        </w:numPr>
        <w:spacing w:line="360" w:lineRule="auto"/>
        <w:jc w:val="left"/>
        <w:rPr>
          <w:kern w:val="0"/>
          <w:sz w:val="24"/>
        </w:rPr>
      </w:pPr>
      <w:r>
        <w:rPr>
          <w:rFonts w:hint="eastAsia" w:cs="宋体"/>
          <w:kern w:val="0"/>
          <w:sz w:val="24"/>
        </w:rPr>
        <w:t>安装调试</w:t>
      </w:r>
    </w:p>
    <w:p>
      <w:pPr>
        <w:widowControl/>
        <w:spacing w:line="360" w:lineRule="auto"/>
        <w:ind w:left="840" w:hanging="840" w:hangingChars="350"/>
        <w:jc w:val="left"/>
        <w:rPr>
          <w:kern w:val="0"/>
          <w:sz w:val="24"/>
        </w:rPr>
      </w:pPr>
      <w:r>
        <w:rPr>
          <w:rFonts w:hint="eastAsia" w:cs="宋体"/>
          <w:kern w:val="0"/>
          <w:sz w:val="24"/>
        </w:rPr>
        <w:t>（</w:t>
      </w:r>
      <w:r>
        <w:rPr>
          <w:kern w:val="0"/>
          <w:sz w:val="24"/>
        </w:rPr>
        <w:t>1</w:t>
      </w:r>
      <w:r>
        <w:rPr>
          <w:rFonts w:hint="eastAsia" w:cs="宋体"/>
          <w:kern w:val="0"/>
          <w:sz w:val="24"/>
        </w:rPr>
        <w:t>）供应商应明确派出经验丰富、能力较强的工程师担任本工程的现场施工指导，并提供拟派工程师和施工人员名单；</w:t>
      </w:r>
    </w:p>
    <w:p>
      <w:pPr>
        <w:widowControl/>
        <w:spacing w:line="360" w:lineRule="auto"/>
        <w:jc w:val="left"/>
        <w:rPr>
          <w:kern w:val="0"/>
          <w:sz w:val="24"/>
        </w:rPr>
      </w:pPr>
      <w:r>
        <w:rPr>
          <w:rFonts w:hint="eastAsia" w:cs="宋体"/>
          <w:kern w:val="0"/>
          <w:sz w:val="24"/>
        </w:rPr>
        <w:t>（</w:t>
      </w:r>
      <w:r>
        <w:rPr>
          <w:kern w:val="0"/>
          <w:sz w:val="24"/>
        </w:rPr>
        <w:t>2</w:t>
      </w:r>
      <w:r>
        <w:rPr>
          <w:rFonts w:hint="eastAsia" w:cs="宋体"/>
          <w:kern w:val="0"/>
          <w:sz w:val="24"/>
        </w:rPr>
        <w:t>）供应商必须执行国家颁布的有关施工技术安全和文明施工标准；</w:t>
      </w:r>
    </w:p>
    <w:p>
      <w:pPr>
        <w:widowControl/>
        <w:spacing w:line="360" w:lineRule="auto"/>
        <w:jc w:val="left"/>
        <w:rPr>
          <w:kern w:val="0"/>
          <w:sz w:val="24"/>
        </w:rPr>
      </w:pPr>
      <w:r>
        <w:rPr>
          <w:rFonts w:hint="eastAsia" w:cs="宋体"/>
          <w:kern w:val="0"/>
          <w:sz w:val="24"/>
        </w:rPr>
        <w:t>（</w:t>
      </w:r>
      <w:r>
        <w:rPr>
          <w:kern w:val="0"/>
          <w:sz w:val="24"/>
        </w:rPr>
        <w:t>3</w:t>
      </w:r>
      <w:r>
        <w:rPr>
          <w:rFonts w:hint="eastAsia" w:cs="宋体"/>
          <w:kern w:val="0"/>
          <w:sz w:val="24"/>
        </w:rPr>
        <w:t>）供应商必须根据施工实施进度提交相应阶段性文档。</w:t>
      </w:r>
    </w:p>
    <w:p>
      <w:pPr>
        <w:widowControl/>
        <w:numPr>
          <w:ilvl w:val="0"/>
          <w:numId w:val="33"/>
        </w:numPr>
        <w:spacing w:line="360" w:lineRule="auto"/>
        <w:jc w:val="left"/>
        <w:rPr>
          <w:kern w:val="0"/>
          <w:sz w:val="24"/>
        </w:rPr>
      </w:pPr>
      <w:r>
        <w:rPr>
          <w:rFonts w:hint="eastAsia" w:cs="宋体"/>
          <w:kern w:val="0"/>
          <w:sz w:val="24"/>
        </w:rPr>
        <w:t>项目实施结束后按照项目竣工验收要求进行验收，成交供应商需提供验收方式、验收方案及验收文档，测试报告，线路运维说明书等文档。</w:t>
      </w:r>
    </w:p>
    <w:p>
      <w:pPr>
        <w:adjustRightInd w:val="0"/>
        <w:spacing w:line="336" w:lineRule="auto"/>
        <w:rPr>
          <w:rFonts w:hint="eastAsia" w:ascii="宋体" w:hAnsi="宋体"/>
          <w:b/>
          <w:bCs/>
          <w:color w:val="auto"/>
          <w:sz w:val="24"/>
          <w:highlight w:val="none"/>
        </w:rPr>
      </w:pPr>
    </w:p>
    <w:p>
      <w:pPr>
        <w:adjustRightInd w:val="0"/>
        <w:spacing w:line="336" w:lineRule="auto"/>
        <w:rPr>
          <w:rFonts w:hint="eastAsia" w:ascii="宋体" w:hAnsi="宋体"/>
          <w:b/>
          <w:bCs/>
          <w:color w:val="auto"/>
          <w:sz w:val="24"/>
          <w:highlight w:val="none"/>
        </w:rPr>
      </w:pPr>
      <w:r>
        <w:rPr>
          <w:rFonts w:hint="eastAsia" w:ascii="宋体" w:hAnsi="宋体"/>
          <w:b/>
          <w:bCs/>
          <w:color w:val="auto"/>
          <w:sz w:val="24"/>
          <w:highlight w:val="none"/>
        </w:rPr>
        <w:t>七、商务要求</w:t>
      </w:r>
    </w:p>
    <w:p>
      <w:pPr>
        <w:spacing w:line="336"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2.1项目投标报价要求</w:t>
      </w:r>
    </w:p>
    <w:p>
      <w:pPr>
        <w:adjustRightInd w:val="0"/>
        <w:spacing w:line="336" w:lineRule="auto"/>
        <w:ind w:firstLine="480" w:firstLineChars="200"/>
        <w:rPr>
          <w:rFonts w:hint="eastAsia" w:ascii="宋体" w:hAnsi="宋体"/>
          <w:color w:val="000000"/>
          <w:sz w:val="24"/>
        </w:rPr>
      </w:pPr>
      <w:r>
        <w:rPr>
          <w:rFonts w:hint="eastAsia" w:ascii="宋体" w:hAnsi="宋体"/>
          <w:color w:val="auto"/>
          <w:sz w:val="24"/>
          <w:highlight w:val="none"/>
        </w:rPr>
        <w:t>2.1.1投标报价包括</w:t>
      </w:r>
      <w:r>
        <w:rPr>
          <w:rFonts w:hint="eastAsia" w:ascii="宋体" w:hAnsi="宋体"/>
          <w:b/>
          <w:bCs/>
          <w:color w:val="auto"/>
          <w:sz w:val="24"/>
          <w:highlight w:val="none"/>
        </w:rPr>
        <w:t>产品（软件）购置（开发）费、运输费、培训费、安装调试费(含系统集成费）和税金、委托专家终验费等所有费用</w:t>
      </w:r>
      <w:r>
        <w:rPr>
          <w:rFonts w:hint="eastAsia" w:ascii="宋体" w:hAnsi="宋体"/>
          <w:color w:val="auto"/>
          <w:sz w:val="24"/>
          <w:highlight w:val="none"/>
        </w:rPr>
        <w:t>。投标人所投报的投标报价为投标人所能承受的整个项目的</w:t>
      </w:r>
      <w:r>
        <w:rPr>
          <w:rFonts w:hint="eastAsia" w:ascii="宋体" w:hAnsi="宋体"/>
          <w:color w:val="000000"/>
          <w:sz w:val="24"/>
        </w:rPr>
        <w:t>一次性最终最低报价，如有漏项，视同已包含在其它项目中，合同总价和单价不作调整。</w:t>
      </w:r>
    </w:p>
    <w:p>
      <w:pPr>
        <w:spacing w:line="336" w:lineRule="auto"/>
        <w:ind w:firstLine="480" w:firstLineChars="200"/>
        <w:rPr>
          <w:rFonts w:hint="eastAsia" w:ascii="宋体" w:hAnsi="宋体"/>
          <w:color w:val="000000"/>
          <w:sz w:val="24"/>
        </w:rPr>
      </w:pPr>
      <w:r>
        <w:rPr>
          <w:rFonts w:hint="eastAsia" w:ascii="宋体" w:hAnsi="宋体"/>
          <w:color w:val="000000"/>
          <w:sz w:val="24"/>
        </w:rPr>
        <w:t>2.1.2按国家规定由中标人缴纳的各种税收已包含在投标总价内，由中标人向税务机关缴纳。</w:t>
      </w:r>
    </w:p>
    <w:p>
      <w:pPr>
        <w:spacing w:line="336" w:lineRule="auto"/>
        <w:ind w:firstLine="482" w:firstLineChars="200"/>
        <w:rPr>
          <w:rFonts w:hint="eastAsia" w:ascii="宋体" w:hAnsi="宋体"/>
          <w:b/>
          <w:bCs/>
          <w:color w:val="000000"/>
          <w:sz w:val="24"/>
        </w:rPr>
      </w:pPr>
      <w:r>
        <w:rPr>
          <w:rFonts w:hint="eastAsia" w:ascii="宋体" w:hAnsi="宋体"/>
          <w:b/>
          <w:bCs/>
          <w:color w:val="000000"/>
          <w:sz w:val="24"/>
        </w:rPr>
        <w:t>2.2交货时间及地点</w:t>
      </w:r>
    </w:p>
    <w:p>
      <w:pPr>
        <w:spacing w:line="336" w:lineRule="auto"/>
        <w:ind w:firstLine="482" w:firstLineChars="200"/>
        <w:rPr>
          <w:rFonts w:hint="eastAsia" w:ascii="宋体" w:hAnsi="宋体"/>
          <w:b/>
          <w:color w:val="000000"/>
          <w:sz w:val="24"/>
        </w:rPr>
      </w:pPr>
      <w:r>
        <w:rPr>
          <w:rFonts w:hint="eastAsia" w:ascii="宋体" w:hAnsi="宋体"/>
          <w:b/>
          <w:color w:val="000000"/>
          <w:sz w:val="24"/>
        </w:rPr>
        <w:t>交货时间：合同签订后100天历日内完成安装调试。</w:t>
      </w:r>
    </w:p>
    <w:p>
      <w:pPr>
        <w:spacing w:line="336" w:lineRule="auto"/>
        <w:ind w:firstLine="482" w:firstLineChars="200"/>
        <w:rPr>
          <w:rFonts w:hint="eastAsia" w:ascii="宋体" w:hAnsi="宋体"/>
          <w:b/>
          <w:color w:val="000000"/>
          <w:sz w:val="24"/>
        </w:rPr>
      </w:pPr>
      <w:r>
        <w:rPr>
          <w:rFonts w:hint="eastAsia" w:ascii="宋体" w:hAnsi="宋体"/>
          <w:b/>
          <w:color w:val="000000"/>
          <w:sz w:val="24"/>
        </w:rPr>
        <w:t>安装地点：采购人指定地点。</w:t>
      </w:r>
    </w:p>
    <w:p>
      <w:pPr>
        <w:spacing w:line="336" w:lineRule="auto"/>
        <w:ind w:firstLine="482" w:firstLineChars="200"/>
        <w:rPr>
          <w:rFonts w:hint="eastAsia" w:ascii="宋体" w:hAnsi="宋体"/>
          <w:b/>
          <w:bCs/>
          <w:color w:val="000000"/>
          <w:sz w:val="24"/>
        </w:rPr>
      </w:pPr>
      <w:r>
        <w:rPr>
          <w:rFonts w:hint="eastAsia" w:ascii="宋体" w:hAnsi="宋体"/>
          <w:b/>
          <w:bCs/>
          <w:color w:val="000000"/>
          <w:sz w:val="24"/>
        </w:rPr>
        <w:t>2.3质保期（免费维修期）</w:t>
      </w:r>
    </w:p>
    <w:p>
      <w:pPr>
        <w:spacing w:line="336" w:lineRule="auto"/>
        <w:ind w:firstLine="482" w:firstLineChars="200"/>
        <w:rPr>
          <w:rFonts w:hint="eastAsia" w:ascii="宋体" w:hAnsi="宋体"/>
          <w:color w:val="000000"/>
          <w:kern w:val="0"/>
          <w:sz w:val="24"/>
        </w:rPr>
      </w:pPr>
      <w:r>
        <w:rPr>
          <w:rFonts w:hint="eastAsia" w:ascii="宋体" w:hAnsi="宋体"/>
          <w:b/>
          <w:color w:val="000000"/>
          <w:kern w:val="0"/>
          <w:sz w:val="24"/>
        </w:rPr>
        <w:t>质保期五年（参数中另有要求的，以参数中为准），从安装调试完毕，最终验收合格之日开始计算</w:t>
      </w:r>
      <w:r>
        <w:rPr>
          <w:rFonts w:hint="eastAsia" w:ascii="宋体" w:hAnsi="宋体"/>
          <w:color w:val="000000"/>
          <w:kern w:val="0"/>
          <w:sz w:val="24"/>
        </w:rPr>
        <w:t>。</w:t>
      </w:r>
      <w:r>
        <w:rPr>
          <w:rFonts w:hint="eastAsia" w:ascii="宋体" w:hAnsi="宋体"/>
          <w:color w:val="000000"/>
          <w:sz w:val="24"/>
        </w:rPr>
        <w:t>除非采购人另有要求，保修期内的服务均为免费上门服务。</w:t>
      </w:r>
    </w:p>
    <w:p>
      <w:pPr>
        <w:spacing w:line="336" w:lineRule="auto"/>
        <w:ind w:firstLine="480" w:firstLineChars="200"/>
        <w:rPr>
          <w:rFonts w:hint="eastAsia" w:ascii="宋体" w:hAnsi="宋体"/>
          <w:color w:val="000000"/>
          <w:sz w:val="24"/>
        </w:rPr>
      </w:pPr>
      <w:r>
        <w:rPr>
          <w:rFonts w:hint="eastAsia" w:ascii="宋体" w:hAnsi="宋体"/>
          <w:color w:val="000000"/>
          <w:sz w:val="24"/>
        </w:rPr>
        <w:t>在保修期内，采购人有故障申报，中标方须在4小时内电话响应，24小时内赶到现场解决。若不能在24小时内解决，必须提供同等性能、同等配置的设备替换，以确保采购人的系统不中断运行。</w:t>
      </w:r>
    </w:p>
    <w:p>
      <w:pPr>
        <w:spacing w:line="336" w:lineRule="auto"/>
        <w:ind w:firstLine="482" w:firstLineChars="200"/>
        <w:rPr>
          <w:rFonts w:hint="eastAsia" w:ascii="宋体" w:hAnsi="宋体"/>
          <w:color w:val="000000"/>
          <w:sz w:val="24"/>
        </w:rPr>
      </w:pPr>
      <w:r>
        <w:rPr>
          <w:rFonts w:hint="eastAsia" w:ascii="宋体" w:hAnsi="宋体"/>
          <w:b/>
          <w:bCs/>
          <w:color w:val="000000"/>
          <w:sz w:val="24"/>
          <w:u w:val="single"/>
        </w:rPr>
        <w:t>质保期内，与维修相关的所有费用由中标方负责</w:t>
      </w:r>
      <w:r>
        <w:rPr>
          <w:rFonts w:hint="eastAsia" w:ascii="宋体" w:hAnsi="宋体"/>
          <w:color w:val="000000"/>
          <w:sz w:val="24"/>
        </w:rPr>
        <w:t>。</w:t>
      </w:r>
    </w:p>
    <w:p>
      <w:pPr>
        <w:spacing w:line="336" w:lineRule="auto"/>
        <w:ind w:firstLine="482" w:firstLineChars="200"/>
        <w:rPr>
          <w:rFonts w:hint="eastAsia" w:ascii="宋体" w:hAnsi="宋体"/>
          <w:b/>
          <w:bCs/>
          <w:color w:val="000000"/>
          <w:sz w:val="24"/>
        </w:rPr>
      </w:pPr>
      <w:r>
        <w:rPr>
          <w:rFonts w:hint="eastAsia" w:ascii="宋体" w:hAnsi="宋体"/>
          <w:b/>
          <w:bCs/>
          <w:color w:val="000000"/>
          <w:sz w:val="24"/>
        </w:rPr>
        <w:t>2.4技术培训</w:t>
      </w:r>
    </w:p>
    <w:p>
      <w:pPr>
        <w:spacing w:line="336" w:lineRule="auto"/>
        <w:ind w:firstLine="480" w:firstLineChars="200"/>
        <w:rPr>
          <w:rFonts w:hint="eastAsia" w:ascii="宋体" w:hAnsi="宋体"/>
          <w:color w:val="000000"/>
          <w:sz w:val="24"/>
        </w:rPr>
      </w:pPr>
      <w:r>
        <w:rPr>
          <w:rFonts w:hint="eastAsia" w:ascii="宋体" w:hAnsi="宋体"/>
          <w:color w:val="000000"/>
          <w:sz w:val="24"/>
        </w:rPr>
        <w:t>1.供方须对需方的操作人员、技术人员进行免费培训。</w:t>
      </w:r>
    </w:p>
    <w:p>
      <w:pPr>
        <w:spacing w:line="336" w:lineRule="auto"/>
        <w:ind w:firstLine="480" w:firstLineChars="200"/>
        <w:rPr>
          <w:rFonts w:hint="eastAsia" w:ascii="宋体" w:hAnsi="宋体"/>
          <w:color w:val="000000"/>
          <w:sz w:val="24"/>
        </w:rPr>
      </w:pPr>
      <w:r>
        <w:rPr>
          <w:rFonts w:hint="eastAsia" w:ascii="宋体" w:hAnsi="宋体"/>
          <w:color w:val="000000"/>
          <w:sz w:val="24"/>
        </w:rPr>
        <w:t>2.技术培训费用应包含在供货总价中。</w:t>
      </w:r>
    </w:p>
    <w:p>
      <w:pPr>
        <w:spacing w:line="336" w:lineRule="auto"/>
        <w:ind w:firstLine="480" w:firstLineChars="200"/>
        <w:rPr>
          <w:rFonts w:hint="eastAsia" w:ascii="宋体" w:hAnsi="宋体"/>
          <w:color w:val="000000"/>
          <w:sz w:val="24"/>
        </w:rPr>
      </w:pPr>
      <w:r>
        <w:rPr>
          <w:rFonts w:hint="eastAsia" w:ascii="宋体" w:hAnsi="宋体"/>
          <w:color w:val="000000"/>
          <w:sz w:val="24"/>
        </w:rPr>
        <w:t>3.供方负责对需方进行技术培训，包括对需方进行详尽的工作原理、操作使用、一般维护、常见故障排除等一系列的专业培训,并提供系统操作、维修手册及各类设备的说明书。</w:t>
      </w:r>
    </w:p>
    <w:p>
      <w:pPr>
        <w:spacing w:line="336" w:lineRule="auto"/>
        <w:ind w:firstLine="482" w:firstLineChars="200"/>
        <w:rPr>
          <w:rFonts w:hint="eastAsia" w:ascii="宋体" w:hAnsi="宋体"/>
          <w:b/>
          <w:bCs/>
          <w:color w:val="000000"/>
          <w:sz w:val="24"/>
        </w:rPr>
      </w:pPr>
      <w:r>
        <w:rPr>
          <w:rFonts w:hint="eastAsia" w:ascii="宋体" w:hAnsi="宋体"/>
          <w:b/>
          <w:bCs/>
          <w:color w:val="000000"/>
          <w:sz w:val="24"/>
        </w:rPr>
        <w:t>2.5验收标准</w:t>
      </w:r>
    </w:p>
    <w:p>
      <w:pPr>
        <w:adjustRightInd w:val="0"/>
        <w:spacing w:line="360" w:lineRule="auto"/>
        <w:ind w:firstLine="480" w:firstLineChars="200"/>
        <w:rPr>
          <w:rFonts w:ascii="宋体" w:hAnsi="宋体"/>
          <w:sz w:val="24"/>
        </w:rPr>
      </w:pPr>
      <w:r>
        <w:rPr>
          <w:rFonts w:hint="eastAsia" w:ascii="宋体" w:hAnsi="宋体"/>
          <w:sz w:val="24"/>
        </w:rPr>
        <w:t>根据中华人民共和国现行技术标准，按招标文件以及合同规定的验收评定标准等规范</w:t>
      </w:r>
      <w:r>
        <w:rPr>
          <w:rFonts w:hint="eastAsia" w:ascii="宋体" w:hAnsi="宋体"/>
          <w:b/>
          <w:sz w:val="24"/>
        </w:rPr>
        <w:t>由用户组织验收。</w:t>
      </w:r>
    </w:p>
    <w:p>
      <w:pPr>
        <w:adjustRightInd w:val="0"/>
        <w:spacing w:line="360" w:lineRule="auto"/>
        <w:ind w:firstLine="480" w:firstLineChars="200"/>
        <w:rPr>
          <w:rFonts w:hint="eastAsia" w:ascii="宋体" w:hAnsi="宋体"/>
          <w:b/>
          <w:sz w:val="24"/>
        </w:rPr>
      </w:pPr>
      <w:r>
        <w:rPr>
          <w:rFonts w:hint="eastAsia" w:ascii="宋体" w:hAnsi="宋体"/>
          <w:sz w:val="24"/>
        </w:rPr>
        <w:t>用户对采购项目验收合格后，双方共同签署验收合格证书，验收中发现软件或货物达不到验收标准或合同规定的性能指标，中标方必须免费更换，并且赔偿由此给用户造成的损失，直到验收合格为止。</w:t>
      </w:r>
      <w:r>
        <w:rPr>
          <w:rFonts w:hint="eastAsia" w:ascii="宋体" w:hAnsi="宋体"/>
          <w:b/>
          <w:sz w:val="24"/>
        </w:rPr>
        <w:t>所有项目用户验收合格后需将验收报告报送至金华市公共资源交易中心东阳分中心备案，验收表格见附件19。</w:t>
      </w:r>
    </w:p>
    <w:p>
      <w:pPr>
        <w:spacing w:line="360" w:lineRule="auto"/>
        <w:ind w:firstLine="482" w:firstLineChars="200"/>
        <w:rPr>
          <w:rFonts w:ascii="宋体" w:hAnsi="宋体"/>
          <w:b/>
          <w:bCs/>
          <w:sz w:val="24"/>
        </w:rPr>
      </w:pPr>
      <w:r>
        <w:rPr>
          <w:rFonts w:hint="eastAsia" w:ascii="宋体" w:hAnsi="宋体"/>
          <w:b/>
          <w:sz w:val="24"/>
        </w:rPr>
        <w:t>2.6</w:t>
      </w:r>
      <w:r>
        <w:rPr>
          <w:rFonts w:hint="eastAsia" w:ascii="宋体" w:hAnsi="宋体"/>
          <w:b/>
          <w:bCs/>
          <w:sz w:val="24"/>
        </w:rPr>
        <w:t xml:space="preserve">付款方式 </w:t>
      </w:r>
    </w:p>
    <w:p>
      <w:pPr>
        <w:spacing w:line="360" w:lineRule="auto"/>
        <w:ind w:firstLine="456" w:firstLineChars="190"/>
      </w:pPr>
      <w:r>
        <w:rPr>
          <w:rFonts w:hint="eastAsia" w:ascii="宋体" w:hAnsi="宋体"/>
          <w:sz w:val="24"/>
        </w:rPr>
        <w:t>货款由采购人报国库直接支付。第一次付款：全部货物安装调试</w:t>
      </w:r>
      <w:r>
        <w:rPr>
          <w:rFonts w:hint="eastAsia" w:ascii="宋体" w:hAnsi="宋体"/>
          <w:color w:val="auto"/>
          <w:sz w:val="24"/>
          <w:highlight w:val="none"/>
        </w:rPr>
        <w:t>完毕并终验合格后，在</w:t>
      </w:r>
      <w:r>
        <w:rPr>
          <w:rFonts w:ascii="宋体" w:hAnsi="宋体"/>
          <w:color w:val="auto"/>
          <w:sz w:val="24"/>
          <w:highlight w:val="none"/>
        </w:rPr>
        <w:t>2</w:t>
      </w:r>
      <w:r>
        <w:rPr>
          <w:rFonts w:hint="eastAsia" w:ascii="宋体" w:hAnsi="宋体"/>
          <w:color w:val="auto"/>
          <w:sz w:val="24"/>
          <w:highlight w:val="none"/>
        </w:rPr>
        <w:t>0个工作日内付至合同总额的</w:t>
      </w:r>
      <w:r>
        <w:rPr>
          <w:rFonts w:ascii="宋体" w:hAnsi="宋体"/>
          <w:color w:val="auto"/>
          <w:sz w:val="24"/>
          <w:highlight w:val="none"/>
        </w:rPr>
        <w:t>20</w:t>
      </w:r>
      <w:r>
        <w:rPr>
          <w:rFonts w:hint="eastAsia" w:ascii="宋体" w:hAnsi="宋体"/>
          <w:color w:val="auto"/>
          <w:sz w:val="24"/>
          <w:highlight w:val="none"/>
        </w:rPr>
        <w:t>%，第二次、第三次、第四次、第五次付</w:t>
      </w:r>
      <w:r>
        <w:rPr>
          <w:rFonts w:hint="eastAsia" w:ascii="宋体" w:hAnsi="宋体"/>
          <w:sz w:val="24"/>
        </w:rPr>
        <w:t>款：在验收合格满1年后付至合同总额的</w:t>
      </w:r>
      <w:r>
        <w:rPr>
          <w:rFonts w:ascii="宋体" w:hAnsi="宋体"/>
          <w:sz w:val="24"/>
        </w:rPr>
        <w:t>40</w:t>
      </w:r>
      <w:r>
        <w:rPr>
          <w:rFonts w:hint="eastAsia" w:ascii="宋体" w:hAnsi="宋体"/>
          <w:sz w:val="24"/>
        </w:rPr>
        <w:t>%、验收合格满</w:t>
      </w:r>
      <w:r>
        <w:rPr>
          <w:rFonts w:ascii="宋体" w:hAnsi="宋体"/>
          <w:sz w:val="24"/>
        </w:rPr>
        <w:t>2</w:t>
      </w:r>
      <w:r>
        <w:rPr>
          <w:rFonts w:hint="eastAsia" w:ascii="宋体" w:hAnsi="宋体"/>
          <w:sz w:val="24"/>
        </w:rPr>
        <w:t>年后付至合同总额的</w:t>
      </w:r>
      <w:r>
        <w:rPr>
          <w:rFonts w:ascii="宋体" w:hAnsi="宋体"/>
          <w:sz w:val="24"/>
        </w:rPr>
        <w:t>60</w:t>
      </w:r>
      <w:r>
        <w:rPr>
          <w:rFonts w:hint="eastAsia" w:ascii="宋体" w:hAnsi="宋体"/>
          <w:sz w:val="24"/>
        </w:rPr>
        <w:t>%、验收合格满</w:t>
      </w:r>
      <w:r>
        <w:rPr>
          <w:rFonts w:ascii="宋体" w:hAnsi="宋体"/>
          <w:sz w:val="24"/>
        </w:rPr>
        <w:t>3</w:t>
      </w:r>
      <w:r>
        <w:rPr>
          <w:rFonts w:hint="eastAsia" w:ascii="宋体" w:hAnsi="宋体"/>
          <w:sz w:val="24"/>
        </w:rPr>
        <w:t>年后付至合同总额的</w:t>
      </w:r>
      <w:r>
        <w:rPr>
          <w:rFonts w:ascii="宋体" w:hAnsi="宋体"/>
          <w:sz w:val="24"/>
        </w:rPr>
        <w:t>80</w:t>
      </w:r>
      <w:r>
        <w:rPr>
          <w:rFonts w:hint="eastAsia" w:ascii="宋体" w:hAnsi="宋体"/>
          <w:sz w:val="24"/>
        </w:rPr>
        <w:t>%、验收合格满</w:t>
      </w:r>
      <w:r>
        <w:rPr>
          <w:rFonts w:ascii="宋体" w:hAnsi="宋体"/>
          <w:sz w:val="24"/>
        </w:rPr>
        <w:t>4</w:t>
      </w:r>
      <w:r>
        <w:rPr>
          <w:rFonts w:hint="eastAsia" w:ascii="宋体" w:hAnsi="宋体"/>
          <w:sz w:val="24"/>
        </w:rPr>
        <w:t>年后付至合同总额的</w:t>
      </w:r>
      <w:r>
        <w:rPr>
          <w:rFonts w:ascii="宋体" w:hAnsi="宋体"/>
          <w:sz w:val="24"/>
        </w:rPr>
        <w:t>100</w:t>
      </w:r>
      <w:r>
        <w:rPr>
          <w:rFonts w:hint="eastAsia" w:ascii="宋体" w:hAnsi="宋体"/>
          <w:sz w:val="24"/>
        </w:rPr>
        <w:t>%。第一次付款凭东阳市政府采购验收单、发票原件；后几次付款凭东阳市政府采购售后服务满意度调查表，满意或基本满意的予以支付，不满意不予支付。</w:t>
      </w:r>
    </w:p>
    <w:p>
      <w:pPr>
        <w:spacing w:line="336" w:lineRule="auto"/>
        <w:ind w:firstLine="482" w:firstLineChars="200"/>
        <w:rPr>
          <w:rFonts w:hint="eastAsia" w:ascii="宋体" w:hAnsi="宋体"/>
          <w:b/>
          <w:color w:val="000000"/>
          <w:sz w:val="24"/>
        </w:rPr>
      </w:pPr>
      <w:r>
        <w:rPr>
          <w:rFonts w:hint="eastAsia" w:ascii="宋体" w:hAnsi="宋体"/>
          <w:b/>
          <w:color w:val="000000"/>
          <w:sz w:val="24"/>
        </w:rPr>
        <w:t>2.7授权函</w:t>
      </w:r>
    </w:p>
    <w:p>
      <w:pPr>
        <w:spacing w:line="336" w:lineRule="auto"/>
        <w:ind w:firstLine="480" w:firstLineChars="200"/>
        <w:rPr>
          <w:rFonts w:hint="eastAsia" w:ascii="宋体" w:hAnsi="Courier New"/>
          <w:color w:val="000000"/>
          <w:kern w:val="0"/>
          <w:sz w:val="24"/>
        </w:rPr>
      </w:pPr>
      <w:r>
        <w:rPr>
          <w:rFonts w:hint="eastAsia" w:ascii="宋体" w:hAnsi="Courier New"/>
          <w:color w:val="000000"/>
          <w:kern w:val="0"/>
          <w:sz w:val="24"/>
        </w:rPr>
        <w:t>以上需要提供原厂商针对本项目的保修服务承诺函的，在中标公示期内提供授权函原件，复印件无效，如原厂商无故不予授权，在预中标成交供应商作出保证质量和售后服务的承诺后，可以不需要授权文件将合同授予该供应商，但需另外增加合同总额3%的质量保证金，至质保期结束。</w:t>
      </w:r>
    </w:p>
    <w:p>
      <w:pPr>
        <w:pStyle w:val="24"/>
        <w:snapToGrid w:val="0"/>
        <w:spacing w:before="120" w:after="120" w:line="336" w:lineRule="auto"/>
        <w:jc w:val="center"/>
        <w:outlineLvl w:val="0"/>
        <w:rPr>
          <w:rFonts w:hint="eastAsia" w:hAnsi="宋体"/>
          <w:b/>
          <w:bCs/>
          <w:sz w:val="28"/>
          <w:szCs w:val="32"/>
        </w:rPr>
      </w:pPr>
      <w:r>
        <w:rPr>
          <w:rFonts w:ascii="黑体" w:hAnsi="宋体" w:eastAsia="黑体"/>
          <w:sz w:val="30"/>
          <w:szCs w:val="30"/>
        </w:rPr>
        <w:br w:type="page"/>
      </w:r>
      <w:r>
        <w:rPr>
          <w:rFonts w:hint="eastAsia" w:ascii="黑体" w:hAnsi="宋体" w:eastAsia="黑体"/>
          <w:b/>
          <w:bCs/>
          <w:sz w:val="32"/>
          <w:szCs w:val="32"/>
        </w:rPr>
        <w:t>第三章  投标人须知</w:t>
      </w:r>
    </w:p>
    <w:p>
      <w:pPr>
        <w:snapToGrid w:val="0"/>
        <w:spacing w:before="120" w:beforeLines="50" w:after="120" w:afterLines="50" w:line="360" w:lineRule="auto"/>
        <w:ind w:left="238"/>
        <w:jc w:val="center"/>
        <w:outlineLvl w:val="1"/>
        <w:rPr>
          <w:rFonts w:ascii="宋体" w:hAnsi="宋体"/>
          <w:b/>
          <w:sz w:val="24"/>
        </w:rPr>
      </w:pPr>
      <w:r>
        <w:rPr>
          <w:rFonts w:hint="eastAsia" w:ascii="宋体" w:hAnsi="宋体"/>
          <w:b/>
          <w:sz w:val="24"/>
        </w:rPr>
        <w:t>前附表</w:t>
      </w:r>
    </w:p>
    <w:tbl>
      <w:tblPr>
        <w:tblStyle w:val="4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ind w:left="-105" w:leftChars="-50" w:right="-105" w:rightChars="-50"/>
              <w:jc w:val="center"/>
              <w:rPr>
                <w:rFonts w:ascii="宋体" w:hAnsi="宋体"/>
                <w:sz w:val="24"/>
              </w:rPr>
            </w:pPr>
            <w:r>
              <w:rPr>
                <w:rFonts w:hint="eastAsia" w:ascii="宋体" w:hAnsi="宋体"/>
                <w:sz w:val="24"/>
              </w:rPr>
              <w:t>序号</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sz w:val="24"/>
              </w:rPr>
            </w:pPr>
            <w:r>
              <w:rPr>
                <w:rFonts w:hint="eastAsia" w:ascii="宋体" w:hAnsi="宋体"/>
                <w:sz w:val="24"/>
              </w:rPr>
              <w:t>1</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hint="eastAsia" w:ascii="宋体" w:hAnsi="宋体"/>
                <w:sz w:val="24"/>
              </w:rPr>
            </w:pPr>
            <w:r>
              <w:rPr>
                <w:rFonts w:hint="eastAsia" w:ascii="宋体" w:hAnsi="宋体"/>
                <w:sz w:val="24"/>
              </w:rPr>
              <w:t>项目名称：东阳市教育网升级改造及运维服务项目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2</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投标报价及费用：1、本项目投标应以人民币报价；2、不论投标结果如何，投标人均应自行承担所有与投标有关的全部费用；3、本项目免收代理服务费。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3</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hAnsi="宋体"/>
                <w:sz w:val="24"/>
              </w:rPr>
            </w:pPr>
            <w:r>
              <w:rPr>
                <w:rFonts w:hint="eastAsia" w:ascii="宋体" w:hAnsi="宋体"/>
                <w:sz w:val="24"/>
              </w:rPr>
              <w:t>此项目为非专门面向中小企业采购项目。对小型和微型企业生产的产品，报价给予6%的价格扣除，用扣除后的价格参与评审。</w:t>
            </w:r>
          </w:p>
          <w:p>
            <w:pPr>
              <w:snapToGrid w:val="0"/>
              <w:jc w:val="left"/>
              <w:rPr>
                <w:rFonts w:ascii="宋体" w:hAnsi="宋体"/>
                <w:sz w:val="24"/>
              </w:rPr>
            </w:pPr>
            <w:r>
              <w:rPr>
                <w:rFonts w:hint="eastAsia" w:ascii="宋体" w:hAnsi="宋体"/>
                <w:sz w:val="24"/>
              </w:rPr>
              <w:t>监狱企业、残疾人福利性单位视同小型、微型企业，享受同样的价格扣除。</w:t>
            </w:r>
          </w:p>
          <w:p>
            <w:pPr>
              <w:snapToGrid w:val="0"/>
              <w:jc w:val="left"/>
              <w:rPr>
                <w:rFonts w:ascii="宋体" w:hAnsi="宋体"/>
                <w:sz w:val="24"/>
              </w:rPr>
            </w:pPr>
            <w:r>
              <w:rPr>
                <w:rFonts w:hint="eastAsia" w:ascii="宋体" w:hAnsi="宋体"/>
                <w:sz w:val="24"/>
              </w:rPr>
              <w:t>监狱企业、残疾人福利性单位属于小型、微型企业的，不重复享受政策。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sz w:val="24"/>
              </w:rPr>
            </w:pPr>
            <w:r>
              <w:rPr>
                <w:rFonts w:hint="eastAsia" w:ascii="宋体" w:hAnsi="宋体"/>
                <w:sz w:val="24"/>
              </w:rPr>
              <w:t>4</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sz w:val="24"/>
              </w:rPr>
            </w:pPr>
            <w:r>
              <w:rPr>
                <w:rFonts w:hint="eastAsia" w:ascii="宋体" w:hAnsi="宋体"/>
                <w:sz w:val="24"/>
              </w:rPr>
              <w:t>答疑与澄清：投标人如认为招标文件表述不清晰、存在歧视性、排他性或者其他违法内容的，应当</w:t>
            </w:r>
            <w:r>
              <w:rPr>
                <w:rFonts w:hint="eastAsia" w:ascii="宋体" w:hAnsi="宋体"/>
                <w:sz w:val="24"/>
                <w:shd w:val="clear" w:color="auto" w:fill="FFFFFF"/>
              </w:rPr>
              <w:t>于</w:t>
            </w:r>
            <w:r>
              <w:rPr>
                <w:rFonts w:hint="eastAsia" w:ascii="宋体" w:hAnsi="宋体"/>
                <w:b/>
                <w:bCs/>
                <w:sz w:val="24"/>
                <w:u w:val="single"/>
                <w:shd w:val="clear" w:color="auto" w:fill="FFFFFF"/>
              </w:rPr>
              <w:t>质疑期限届满之日</w:t>
            </w:r>
            <w:r>
              <w:rPr>
                <w:rFonts w:hint="eastAsia" w:ascii="宋体" w:hAnsi="宋体"/>
                <w:sz w:val="24"/>
                <w:shd w:val="clear" w:color="auto" w:fill="FFFFFF"/>
              </w:rPr>
              <w:t>前，</w:t>
            </w:r>
            <w:r>
              <w:rPr>
                <w:rFonts w:hint="eastAsia" w:ascii="宋体" w:hAnsi="宋体"/>
                <w:sz w:val="24"/>
              </w:rPr>
              <w:t>以书面形式要求招标采购单位作出书面解释、澄清或者向招标采购单位提出书面质疑（</w:t>
            </w:r>
            <w:r>
              <w:rPr>
                <w:rFonts w:hint="eastAsia" w:ascii="宋体" w:hAnsi="宋体"/>
                <w:b/>
                <w:sz w:val="24"/>
              </w:rPr>
              <w:t>超过此规定时间的质疑函将不予受理）</w:t>
            </w:r>
            <w:r>
              <w:rPr>
                <w:rFonts w:hint="eastAsia" w:ascii="宋体" w:hAnsi="宋体"/>
                <w:sz w:val="24"/>
              </w:rPr>
              <w:t>；招标采购单位将于</w:t>
            </w:r>
            <w:r>
              <w:rPr>
                <w:rFonts w:hint="eastAsia" w:ascii="宋体" w:hAnsi="宋体"/>
                <w:b/>
                <w:bCs/>
                <w:sz w:val="24"/>
                <w:u w:val="single"/>
                <w:shd w:val="clear" w:color="auto" w:fill="FFFFFF"/>
              </w:rPr>
              <w:t>答疑期限届满之日</w:t>
            </w:r>
            <w:r>
              <w:rPr>
                <w:rFonts w:hint="eastAsia" w:ascii="宋体" w:hAnsi="宋体"/>
                <w:b/>
                <w:bCs/>
                <w:sz w:val="24"/>
                <w:shd w:val="clear" w:color="auto" w:fill="FFFFFF"/>
              </w:rPr>
              <w:t>前</w:t>
            </w:r>
            <w:r>
              <w:rPr>
                <w:rFonts w:hint="eastAsia" w:ascii="宋体" w:hAnsi="宋体"/>
                <w:sz w:val="24"/>
                <w:shd w:val="clear" w:color="auto" w:fill="FFFFFF"/>
              </w:rPr>
              <w:t>将答疑内容以传真或网上发布公告的形式通知所有已报名的投标人；答疑内容是招标</w:t>
            </w:r>
            <w:r>
              <w:rPr>
                <w:rFonts w:hint="eastAsia" w:ascii="宋体" w:hAnsi="宋体"/>
                <w:sz w:val="24"/>
              </w:rPr>
              <w:t>文件的组成部分；因其他紧急情况影响本项目正常招标活动的，招标采购单位将于投标截止日期</w:t>
            </w:r>
            <w:r>
              <w:rPr>
                <w:rFonts w:ascii="宋体" w:hAnsi="宋体"/>
                <w:sz w:val="24"/>
              </w:rPr>
              <w:t>5</w:t>
            </w:r>
            <w:r>
              <w:rPr>
                <w:rFonts w:hint="eastAsia" w:ascii="宋体" w:hAnsi="宋体"/>
                <w:sz w:val="24"/>
              </w:rPr>
              <w:t>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sz w:val="24"/>
              </w:rPr>
            </w:pPr>
            <w:r>
              <w:rPr>
                <w:rFonts w:hint="eastAsia" w:ascii="宋体" w:hAnsi="宋体"/>
                <w:sz w:val="24"/>
              </w:rPr>
              <w:t>5</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hAnsi="宋体"/>
                <w:b/>
                <w:bCs/>
                <w:sz w:val="24"/>
              </w:rPr>
            </w:pPr>
            <w:r>
              <w:rPr>
                <w:rFonts w:hint="eastAsia" w:ascii="宋体" w:hAnsi="宋体"/>
                <w:b/>
                <w:bCs/>
                <w:sz w:val="24"/>
              </w:rPr>
              <w:t>投标文件组成：本项目投标文件由资格响应文件、报价要求响应文件、商务技术响应文件三部分组成。投标人应按以下方式递交投标文件：</w:t>
            </w:r>
          </w:p>
          <w:p>
            <w:pPr>
              <w:snapToGrid w:val="0"/>
              <w:rPr>
                <w:rFonts w:hint="eastAsia" w:ascii="宋体" w:hAnsi="宋体"/>
                <w:b/>
                <w:bCs/>
                <w:sz w:val="24"/>
              </w:rPr>
            </w:pPr>
            <w:r>
              <w:rPr>
                <w:rFonts w:hint="eastAsia" w:ascii="宋体" w:hAnsi="宋体"/>
                <w:b/>
                <w:bCs/>
                <w:sz w:val="24"/>
              </w:rPr>
              <w:t>▲1、本项目采用“网上投标、电子评标”，投标人应于投标截止时间前在“政采云”（电子交易平台）上传输、递交电子版投标文件（包括资格响应文件、报价要求响应文件、商务技术响应文件）；</w:t>
            </w:r>
          </w:p>
          <w:p>
            <w:pPr>
              <w:snapToGrid w:val="0"/>
              <w:rPr>
                <w:rFonts w:hint="eastAsia" w:ascii="宋体" w:hAnsi="宋体"/>
                <w:b/>
                <w:bCs/>
                <w:sz w:val="24"/>
              </w:rPr>
            </w:pPr>
            <w:r>
              <w:rPr>
                <w:rFonts w:hint="eastAsia" w:ascii="宋体" w:hAnsi="宋体"/>
                <w:b/>
                <w:bCs/>
                <w:sz w:val="24"/>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后缀名为“bfbs”的加密电子备份投标文件）发送至邮箱：1046387519@qq.com，逾期发送或发错后缀名的备份投标文件将被视为无效；</w:t>
            </w:r>
          </w:p>
          <w:p>
            <w:pPr>
              <w:snapToGrid w:val="0"/>
              <w:rPr>
                <w:rFonts w:hint="eastAsia" w:ascii="宋体" w:hAnsi="宋体"/>
                <w:b/>
                <w:bCs/>
                <w:sz w:val="24"/>
              </w:rPr>
            </w:pPr>
            <w:r>
              <w:rPr>
                <w:rFonts w:hint="eastAsia" w:ascii="宋体" w:hAnsi="宋体"/>
                <w:b/>
                <w:bCs/>
                <w:sz w:val="24"/>
              </w:rPr>
              <w:t>3、投标人仅提交了电子备份投标文件的，投标无效；</w:t>
            </w:r>
          </w:p>
          <w:p>
            <w:pPr>
              <w:snapToGrid w:val="0"/>
              <w:rPr>
                <w:rFonts w:hint="eastAsia" w:ascii="宋体" w:hAnsi="宋体"/>
                <w:b/>
                <w:bCs/>
                <w:sz w:val="24"/>
              </w:rPr>
            </w:pPr>
            <w:r>
              <w:rPr>
                <w:rFonts w:hint="eastAsia" w:ascii="宋体" w:hAnsi="宋体"/>
                <w:b/>
                <w:bCs/>
                <w:sz w:val="24"/>
              </w:rPr>
              <w:t>4、本项目不强制投标人提交电子备份投标文件；但如在开评标时出现电子投标文件无法解密或解密失败等情况，因投标人未提供电子备份投标文件而造成投标无效等一切后果和风险由投标人自行承担。</w:t>
            </w:r>
          </w:p>
          <w:p>
            <w:pPr>
              <w:snapToGrid w:val="0"/>
              <w:rPr>
                <w:rFonts w:ascii="宋体" w:hAnsi="宋体"/>
                <w:sz w:val="24"/>
              </w:rPr>
            </w:pPr>
            <w:r>
              <w:rPr>
                <w:rFonts w:hint="eastAsia" w:ascii="宋体" w:hAnsi="宋体"/>
                <w:b/>
                <w:bCs/>
                <w:sz w:val="24"/>
              </w:rPr>
              <w:t>5、中标方应在领取中标通知书前，向金华市公共资源交易中心东阳分中心提供纸质投标文件（纸质投标文件递交要求详见本章三、投标文件的编制第（五）条：投标文件的签署和份数的相关规定）。（递交或邮寄地址：浙江省东阳市艺海北路388号东阳市行政服务中心B幢西区14楼，金华市公共资源交易中心东阳分中心；电话：0579-86691729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sz w:val="24"/>
              </w:rPr>
            </w:pPr>
            <w:r>
              <w:rPr>
                <w:rFonts w:hint="eastAsia" w:ascii="宋体" w:hAnsi="宋体"/>
                <w:sz w:val="24"/>
              </w:rPr>
              <w:t>6</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hint="eastAsia"/>
                <w:sz w:val="24"/>
              </w:rPr>
            </w:pPr>
            <w:r>
              <w:rPr>
                <w:rFonts w:hint="eastAsia"/>
                <w:sz w:val="24"/>
              </w:rPr>
              <w:t>1、投标人应当在</w:t>
            </w:r>
            <w:r>
              <w:rPr>
                <w:rFonts w:hint="eastAsia"/>
                <w:b/>
                <w:bCs/>
                <w:sz w:val="24"/>
                <w:u w:val="single"/>
              </w:rPr>
              <w:t>202</w:t>
            </w:r>
            <w:r>
              <w:rPr>
                <w:rFonts w:hint="eastAsia"/>
                <w:b/>
                <w:bCs/>
                <w:sz w:val="24"/>
                <w:u w:val="single"/>
                <w:lang w:val="en-US" w:eastAsia="zh-CN"/>
              </w:rPr>
              <w:t>1</w:t>
            </w:r>
            <w:r>
              <w:rPr>
                <w:rFonts w:hint="eastAsia"/>
                <w:b/>
                <w:bCs/>
                <w:sz w:val="24"/>
              </w:rPr>
              <w:t>年</w:t>
            </w:r>
            <w:r>
              <w:rPr>
                <w:rFonts w:hint="eastAsia"/>
                <w:b/>
                <w:bCs/>
                <w:sz w:val="24"/>
                <w:u w:val="single"/>
                <w:lang w:val="en-US" w:eastAsia="zh-CN"/>
              </w:rPr>
              <w:t>1</w:t>
            </w:r>
            <w:r>
              <w:rPr>
                <w:rFonts w:hint="eastAsia"/>
                <w:b/>
                <w:bCs/>
                <w:sz w:val="24"/>
              </w:rPr>
              <w:t>月</w:t>
            </w:r>
            <w:r>
              <w:rPr>
                <w:rFonts w:hint="eastAsia"/>
                <w:b/>
                <w:bCs/>
                <w:sz w:val="24"/>
                <w:u w:val="single"/>
                <w:lang w:val="en-US" w:eastAsia="zh-CN"/>
              </w:rPr>
              <w:t>2</w:t>
            </w:r>
            <w:r>
              <w:rPr>
                <w:rFonts w:hint="eastAsia"/>
                <w:b/>
                <w:bCs/>
                <w:sz w:val="24"/>
                <w:u w:val="single"/>
                <w:lang w:val="en-US" w:eastAsia="zh-CN"/>
              </w:rPr>
              <w:t>1</w:t>
            </w:r>
            <w:r>
              <w:rPr>
                <w:rFonts w:hint="eastAsia"/>
                <w:b/>
                <w:bCs/>
                <w:sz w:val="24"/>
              </w:rPr>
              <w:t>日</w:t>
            </w:r>
            <w:r>
              <w:rPr>
                <w:rFonts w:hint="eastAsia"/>
                <w:b/>
                <w:bCs/>
                <w:sz w:val="24"/>
                <w:u w:val="single"/>
              </w:rPr>
              <w:t>9：00</w:t>
            </w:r>
            <w:r>
              <w:rPr>
                <w:rFonts w:hint="eastAsia"/>
                <w:sz w:val="24"/>
              </w:rPr>
              <w:t>时前在“政采云”（电子交易平台）上自行上传加密的电子投标文件。投标截止时间后递交的电子投标文件，将被政采云平台拒收。</w:t>
            </w:r>
          </w:p>
          <w:p>
            <w:pPr>
              <w:snapToGrid w:val="0"/>
              <w:rPr>
                <w:rFonts w:hint="eastAsia"/>
                <w:sz w:val="24"/>
              </w:rPr>
            </w:pPr>
            <w:r>
              <w:rPr>
                <w:rFonts w:hint="eastAsia"/>
                <w:sz w:val="24"/>
              </w:rPr>
              <w:t>2、电子投标文件的传输递交：投标人应当在投标截止时间前完成电子投标文件的传输递交，投标截止时间前可以补充、修改或者撤回电子投标文件。补充或者修改电子投标文件的，应当先行撤回原</w:t>
            </w:r>
            <w:r>
              <w:rPr>
                <w:rFonts w:hint="eastAsia" w:ascii="宋体" w:hAnsi="宋体"/>
                <w:sz w:val="24"/>
              </w:rPr>
              <w:t>电子投标</w:t>
            </w:r>
            <w:r>
              <w:rPr>
                <w:rFonts w:hint="eastAsia"/>
                <w:sz w:val="24"/>
              </w:rPr>
              <w:t>文件，补充、修改后重新传输递交。投标截止时间前未完成传输的，视为撤回投标文件。</w:t>
            </w:r>
          </w:p>
          <w:p>
            <w:pPr>
              <w:snapToGrid w:val="0"/>
              <w:rPr>
                <w:rFonts w:hint="eastAsia"/>
                <w:sz w:val="24"/>
              </w:rPr>
            </w:pPr>
            <w:r>
              <w:rPr>
                <w:rFonts w:hint="eastAsia"/>
                <w:sz w:val="24"/>
              </w:rPr>
              <w:t>3、投标人可以在投标截止时间前将电子备份投标文件（经政采云电子交易客户端和CA驱动制作出的后缀名为“bfbs”的加密电子备份投标文件）发送至邮箱：1046387519@qq.com，逾期发送或发错后缀名的电子备份投标文件将被视为无效；电子备份投标文件的提交不作强制性要求。电子备份投标文件的递交截止时间：投标人应当在</w:t>
            </w:r>
            <w:r>
              <w:rPr>
                <w:rFonts w:hint="eastAsia"/>
                <w:b/>
                <w:bCs/>
                <w:sz w:val="24"/>
                <w:u w:val="single"/>
              </w:rPr>
              <w:t>202</w:t>
            </w:r>
            <w:r>
              <w:rPr>
                <w:rFonts w:hint="eastAsia"/>
                <w:b/>
                <w:bCs/>
                <w:sz w:val="24"/>
                <w:u w:val="single"/>
                <w:lang w:val="en-US" w:eastAsia="zh-CN"/>
              </w:rPr>
              <w:t>1</w:t>
            </w:r>
            <w:r>
              <w:rPr>
                <w:rFonts w:hint="eastAsia"/>
                <w:b/>
                <w:bCs/>
                <w:sz w:val="24"/>
              </w:rPr>
              <w:t>年</w:t>
            </w:r>
            <w:r>
              <w:rPr>
                <w:rFonts w:hint="eastAsia"/>
                <w:b/>
                <w:bCs/>
                <w:sz w:val="24"/>
                <w:u w:val="single"/>
                <w:lang w:val="en-US" w:eastAsia="zh-CN"/>
              </w:rPr>
              <w:t>1</w:t>
            </w:r>
            <w:r>
              <w:rPr>
                <w:rFonts w:hint="eastAsia"/>
                <w:b/>
                <w:bCs/>
                <w:sz w:val="24"/>
              </w:rPr>
              <w:t>月</w:t>
            </w:r>
            <w:r>
              <w:rPr>
                <w:rFonts w:hint="eastAsia"/>
                <w:b/>
                <w:bCs/>
                <w:sz w:val="24"/>
                <w:u w:val="single"/>
                <w:lang w:val="en-US" w:eastAsia="zh-CN"/>
              </w:rPr>
              <w:t>2</w:t>
            </w:r>
            <w:r>
              <w:rPr>
                <w:rFonts w:hint="eastAsia"/>
                <w:b/>
                <w:bCs/>
                <w:sz w:val="24"/>
                <w:u w:val="single"/>
                <w:lang w:val="en-US" w:eastAsia="zh-CN"/>
              </w:rPr>
              <w:t>1</w:t>
            </w:r>
            <w:r>
              <w:rPr>
                <w:rFonts w:hint="eastAsia"/>
                <w:b/>
                <w:bCs/>
                <w:sz w:val="24"/>
              </w:rPr>
              <w:t>日</w:t>
            </w:r>
            <w:r>
              <w:rPr>
                <w:rFonts w:hint="eastAsia"/>
                <w:b/>
                <w:bCs/>
                <w:sz w:val="24"/>
                <w:u w:val="single"/>
              </w:rPr>
              <w:t>8：30</w:t>
            </w:r>
            <w:r>
              <w:rPr>
                <w:rFonts w:hint="eastAsia"/>
                <w:sz w:val="24"/>
              </w:rPr>
              <w:t>时前，逾期未递交的视为自动放弃递交电子备份投标文件。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sz w:val="24"/>
              </w:rPr>
            </w:pPr>
            <w:r>
              <w:rPr>
                <w:rFonts w:hint="eastAsia" w:ascii="宋体" w:hAnsi="宋体"/>
                <w:sz w:val="24"/>
              </w:rPr>
              <w:t>7</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hAnsi="宋体" w:cs="Arial"/>
                <w:b/>
                <w:bCs/>
                <w:sz w:val="24"/>
              </w:rPr>
            </w:pPr>
            <w:r>
              <w:rPr>
                <w:rFonts w:hint="eastAsia" w:ascii="宋体" w:hAnsi="宋体" w:cs="Arial"/>
                <w:b/>
                <w:bCs/>
                <w:sz w:val="24"/>
              </w:rPr>
              <w:t>本项目开标时间：202</w:t>
            </w:r>
            <w:r>
              <w:rPr>
                <w:rFonts w:hint="eastAsia" w:ascii="宋体" w:hAnsi="宋体" w:cs="Arial"/>
                <w:b/>
                <w:bCs/>
                <w:sz w:val="24"/>
                <w:lang w:val="en-US" w:eastAsia="zh-CN"/>
              </w:rPr>
              <w:t>1</w:t>
            </w:r>
            <w:r>
              <w:rPr>
                <w:rFonts w:hint="eastAsia" w:ascii="宋体" w:hAnsi="宋体" w:cs="Arial"/>
                <w:b/>
                <w:bCs/>
                <w:sz w:val="24"/>
              </w:rPr>
              <w:t>年</w:t>
            </w:r>
            <w:r>
              <w:rPr>
                <w:rFonts w:hint="eastAsia" w:ascii="宋体" w:hAnsi="宋体" w:cs="Arial"/>
                <w:b/>
                <w:bCs/>
                <w:sz w:val="24"/>
                <w:lang w:val="en-US" w:eastAsia="zh-CN"/>
              </w:rPr>
              <w:t>1</w:t>
            </w:r>
            <w:r>
              <w:rPr>
                <w:rFonts w:hint="eastAsia" w:ascii="宋体" w:hAnsi="宋体" w:cs="Arial"/>
                <w:b/>
                <w:bCs/>
                <w:sz w:val="24"/>
              </w:rPr>
              <w:t>月</w:t>
            </w:r>
            <w:r>
              <w:rPr>
                <w:rFonts w:hint="eastAsia" w:ascii="宋体" w:hAnsi="宋体" w:cs="Arial"/>
                <w:b/>
                <w:bCs/>
                <w:sz w:val="24"/>
                <w:lang w:val="en-US" w:eastAsia="zh-CN"/>
              </w:rPr>
              <w:t>2</w:t>
            </w:r>
            <w:r>
              <w:rPr>
                <w:rFonts w:hint="eastAsia" w:ascii="宋体" w:hAnsi="宋体" w:cs="Arial"/>
                <w:b/>
                <w:bCs/>
                <w:sz w:val="24"/>
                <w:lang w:val="en-US" w:eastAsia="zh-CN"/>
              </w:rPr>
              <w:t>1</w:t>
            </w:r>
            <w:r>
              <w:rPr>
                <w:rFonts w:hint="eastAsia" w:ascii="宋体" w:hAnsi="宋体" w:cs="Arial"/>
                <w:b/>
                <w:bCs/>
                <w:sz w:val="24"/>
              </w:rPr>
              <w:t>日9时00分</w:t>
            </w:r>
          </w:p>
          <w:p>
            <w:pPr>
              <w:snapToGrid w:val="0"/>
              <w:rPr>
                <w:rFonts w:hint="eastAsia"/>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w:t>
            </w:r>
            <w:r>
              <w:rPr>
                <w:rFonts w:hint="eastAsia" w:ascii="宋体" w:hAnsi="宋体" w:cs="Arial"/>
                <w:b/>
                <w:bCs/>
                <w:color w:val="FF0000"/>
                <w:sz w:val="24"/>
              </w:rPr>
              <w:t>为防止解密失败，政采云建议采用制作投标文件的电脑进行解密）</w:t>
            </w:r>
            <w:r>
              <w:rPr>
                <w:rFonts w:hint="eastAsia" w:ascii="宋体" w:hAnsi="宋体" w:cs="Arial"/>
                <w:b/>
                <w:bCs/>
                <w:sz w:val="24"/>
              </w:rPr>
              <w:t>，所有投标人在规定的解密时限内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1"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sz w:val="24"/>
              </w:rPr>
            </w:pPr>
            <w:r>
              <w:rPr>
                <w:rFonts w:hint="eastAsia" w:ascii="宋体" w:hAnsi="宋体"/>
                <w:sz w:val="24"/>
              </w:rPr>
              <w:t>8</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hAnsi="宋体"/>
                <w:sz w:val="24"/>
              </w:rPr>
            </w:pPr>
            <w:r>
              <w:rPr>
                <w:rFonts w:hint="eastAsia" w:ascii="宋体" w:hAnsi="宋体"/>
                <w:sz w:val="24"/>
              </w:rPr>
              <w:t>投标保证金和履约保证金：本项目</w:t>
            </w:r>
            <w:r>
              <w:rPr>
                <w:rFonts w:hint="eastAsia" w:ascii="宋体" w:hAnsi="宋体" w:cs="宋体"/>
                <w:b/>
                <w:color w:val="FF0000"/>
                <w:kern w:val="0"/>
                <w:sz w:val="24"/>
              </w:rPr>
              <w:t>不收取投标保证金和履约保证金。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sz w:val="24"/>
              </w:rPr>
            </w:pPr>
            <w:r>
              <w:rPr>
                <w:rFonts w:hint="eastAsia" w:ascii="宋体" w:hAnsi="宋体"/>
                <w:sz w:val="24"/>
              </w:rPr>
              <w:t>9</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sz w:val="24"/>
              </w:rPr>
            </w:pPr>
            <w:r>
              <w:rPr>
                <w:rFonts w:hint="eastAsia" w:ascii="宋体" w:hAnsi="宋体"/>
                <w:sz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7"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10</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sz w:val="24"/>
              </w:rPr>
            </w:pPr>
            <w:r>
              <w:rPr>
                <w:rFonts w:hint="eastAsia" w:ascii="宋体" w:hAnsi="宋体"/>
                <w:sz w:val="24"/>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11</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sz w:val="24"/>
              </w:rPr>
            </w:pPr>
            <w:r>
              <w:rPr>
                <w:rFonts w:hint="eastAsia" w:ascii="宋体" w:hAnsi="宋体"/>
                <w:sz w:val="24"/>
              </w:rPr>
              <w:t>采购人或者采购代理机构应当自中标、成交供应商确定之日起2个工作日内，发出中标、成交通知书，并在省级以上人民政府财政部门指定的媒体上公告中标、成交结果。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12</w:t>
            </w:r>
          </w:p>
        </w:tc>
        <w:tc>
          <w:tcPr>
            <w:tcW w:w="859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ascii="宋体" w:hAnsi="宋体"/>
                <w:sz w:val="24"/>
              </w:rPr>
            </w:pPr>
            <w:r>
              <w:rPr>
                <w:rFonts w:hint="eastAsia" w:ascii="宋体" w:hAnsi="宋体"/>
                <w:sz w:val="24"/>
              </w:rPr>
              <w:t>签订合同：中标通知书发出后30日内签订。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4"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sz w:val="24"/>
              </w:rPr>
            </w:pPr>
            <w:r>
              <w:rPr>
                <w:rFonts w:hint="eastAsia" w:ascii="宋体" w:hAnsi="宋体"/>
                <w:sz w:val="24"/>
              </w:rPr>
              <w:t>15</w:t>
            </w:r>
          </w:p>
        </w:tc>
        <w:tc>
          <w:tcPr>
            <w:tcW w:w="859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eastAsia" w:ascii="宋体" w:hAnsi="宋体"/>
                <w:sz w:val="24"/>
              </w:rPr>
            </w:pPr>
            <w:r>
              <w:rPr>
                <w:rFonts w:hint="eastAsia" w:ascii="宋体" w:hAnsi="宋体"/>
                <w:sz w:val="24"/>
              </w:rPr>
              <w:t>付款方式：货款由采购人报国库直接支付。第一次付款：全部货物安装调试完毕并验收合格后，在20个工作日内付至合同总额的20%，第二次、第三次、第四次、第五次付款：在验收合格满1年后付至合同总额的40%、验收合格满2年后付至合同总额的60%、验收合格满3年后付至合同总额的80%、验收合格满4年后付至合同总额的100%。第一次付款凭东阳市政府采购验收单、发票原件；后几次付款凭东阳市政府采购售后服务满意度调查表，满意或基本满意的予以支付，不满意不予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sz w:val="24"/>
              </w:rPr>
            </w:pPr>
            <w:r>
              <w:rPr>
                <w:rFonts w:hint="eastAsia" w:ascii="宋体" w:hAnsi="宋体"/>
                <w:sz w:val="24"/>
              </w:rPr>
              <w:t>16</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sz w:val="24"/>
              </w:rPr>
            </w:pPr>
            <w:r>
              <w:rPr>
                <w:rFonts w:hint="eastAsia" w:ascii="宋体" w:hAnsi="宋体"/>
                <w:sz w:val="24"/>
              </w:rPr>
              <w:t>投标文件有效期：</w:t>
            </w:r>
            <w:r>
              <w:rPr>
                <w:rFonts w:hint="eastAsia" w:ascii="宋体" w:hAnsi="宋体" w:cs="Arial"/>
                <w:sz w:val="24"/>
                <w:u w:val="single"/>
              </w:rPr>
              <w:t xml:space="preserve"> 60 </w:t>
            </w:r>
            <w:r>
              <w:rPr>
                <w:rFonts w:hint="eastAsia" w:ascii="宋体" w:hAnsi="宋体" w:cs="Arial"/>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17</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sz w:val="24"/>
              </w:rPr>
            </w:pPr>
            <w:r>
              <w:rPr>
                <w:rFonts w:hint="eastAsia" w:ascii="宋体" w:hAnsi="宋体"/>
                <w:sz w:val="24"/>
              </w:rPr>
              <w:t>解释：本招标文件的解释权属于招标采购单位。</w:t>
            </w:r>
          </w:p>
        </w:tc>
      </w:tr>
    </w:tbl>
    <w:p>
      <w:pPr>
        <w:pStyle w:val="19"/>
        <w:rPr>
          <w:rFonts w:hint="eastAsia" w:hAnsi="宋体"/>
          <w:b/>
          <w:szCs w:val="28"/>
        </w:rPr>
      </w:pPr>
    </w:p>
    <w:p>
      <w:pPr>
        <w:pStyle w:val="24"/>
        <w:snapToGrid w:val="0"/>
        <w:spacing w:before="120" w:after="120" w:line="336" w:lineRule="auto"/>
        <w:ind w:firstLine="3654" w:firstLineChars="1300"/>
        <w:outlineLvl w:val="0"/>
        <w:rPr>
          <w:rFonts w:hint="eastAsia" w:hAnsi="宋体"/>
          <w:b/>
          <w:sz w:val="28"/>
          <w:szCs w:val="28"/>
        </w:rPr>
      </w:pPr>
      <w:r>
        <w:rPr>
          <w:rFonts w:hAnsi="宋体"/>
          <w:b/>
          <w:sz w:val="28"/>
          <w:szCs w:val="28"/>
        </w:rPr>
        <w:br w:type="page"/>
      </w:r>
      <w:r>
        <w:rPr>
          <w:rFonts w:hint="eastAsia" w:hAnsi="宋体"/>
          <w:b/>
          <w:sz w:val="28"/>
          <w:szCs w:val="28"/>
        </w:rPr>
        <w:t>一、总则</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适用范围</w:t>
      </w:r>
    </w:p>
    <w:p>
      <w:pPr>
        <w:snapToGrid w:val="0"/>
        <w:spacing w:line="360" w:lineRule="auto"/>
        <w:ind w:firstLine="480" w:firstLineChars="200"/>
        <w:jc w:val="left"/>
        <w:rPr>
          <w:rFonts w:ascii="宋体" w:hAnsi="宋体"/>
          <w:sz w:val="24"/>
          <w:szCs w:val="20"/>
        </w:rPr>
      </w:pPr>
      <w:r>
        <w:rPr>
          <w:rFonts w:hint="eastAsia" w:ascii="宋体" w:hAnsi="宋体"/>
          <w:sz w:val="24"/>
        </w:rPr>
        <w:t>本招标文件仅适用于</w:t>
      </w:r>
      <w:r>
        <w:rPr>
          <w:rFonts w:hint="eastAsia" w:ascii="宋体" w:hAnsi="宋体"/>
          <w:b/>
          <w:sz w:val="24"/>
          <w:szCs w:val="20"/>
        </w:rPr>
        <w:t>东阳市教育网升级改造及运维服务采购项目</w:t>
      </w:r>
      <w:r>
        <w:rPr>
          <w:rFonts w:hint="eastAsia" w:ascii="宋体" w:hAnsi="宋体"/>
          <w:sz w:val="24"/>
        </w:rPr>
        <w:t>的招标采购。</w:t>
      </w:r>
    </w:p>
    <w:p>
      <w:pPr>
        <w:snapToGrid w:val="0"/>
        <w:spacing w:before="120" w:beforeLines="50" w:line="360" w:lineRule="auto"/>
        <w:ind w:firstLine="354" w:firstLineChars="147"/>
        <w:jc w:val="left"/>
        <w:outlineLvl w:val="1"/>
        <w:rPr>
          <w:rFonts w:hint="eastAsia" w:ascii="宋体" w:hAnsi="宋体"/>
          <w:b/>
          <w:sz w:val="24"/>
          <w:szCs w:val="20"/>
        </w:rPr>
      </w:pPr>
      <w:r>
        <w:rPr>
          <w:rFonts w:hint="eastAsia" w:ascii="宋体" w:hAnsi="宋体"/>
          <w:b/>
          <w:sz w:val="24"/>
        </w:rPr>
        <w:t>（二）定义</w:t>
      </w:r>
    </w:p>
    <w:p>
      <w:pPr>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招标采购单位系指组织本次招标的金华</w:t>
      </w:r>
      <w:r>
        <w:rPr>
          <w:rFonts w:hint="eastAsia" w:ascii="宋体" w:hAnsi="宋体"/>
          <w:sz w:val="24"/>
        </w:rPr>
        <w:t>市公共资源交易中心东阳分中心</w:t>
      </w:r>
      <w:r>
        <w:rPr>
          <w:rFonts w:ascii="宋体" w:hAnsi="宋体"/>
          <w:sz w:val="24"/>
        </w:rPr>
        <w:t>（“招标</w:t>
      </w:r>
      <w:r>
        <w:rPr>
          <w:rFonts w:hint="eastAsia" w:ascii="宋体" w:hAnsi="宋体"/>
          <w:sz w:val="24"/>
        </w:rPr>
        <w:t>方</w:t>
      </w:r>
      <w:r>
        <w:rPr>
          <w:rFonts w:ascii="宋体" w:hAnsi="宋体"/>
          <w:sz w:val="24"/>
        </w:rPr>
        <w:t>”）和</w:t>
      </w:r>
      <w:r>
        <w:rPr>
          <w:rFonts w:hint="eastAsia"/>
          <w:b/>
          <w:sz w:val="24"/>
        </w:rPr>
        <w:t>东阳市教育局</w:t>
      </w:r>
      <w:r>
        <w:rPr>
          <w:rFonts w:hint="eastAsia" w:ascii="宋体" w:hAnsi="宋体"/>
          <w:sz w:val="24"/>
        </w:rPr>
        <w:t>（“采购人”）</w:t>
      </w:r>
      <w:r>
        <w:rPr>
          <w:rFonts w:ascii="宋体" w:hAnsi="宋体"/>
          <w:sz w:val="24"/>
        </w:rPr>
        <w:t>。</w:t>
      </w:r>
    </w:p>
    <w:p>
      <w:pPr>
        <w:tabs>
          <w:tab w:val="left" w:pos="7140"/>
        </w:tabs>
        <w:snapToGrid w:val="0"/>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投标人”系指向招标方提交投标文件的单位。</w:t>
      </w:r>
    </w:p>
    <w:p>
      <w:pPr>
        <w:tabs>
          <w:tab w:val="left" w:pos="7140"/>
        </w:tabs>
        <w:snapToGrid w:val="0"/>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pPr>
        <w:tabs>
          <w:tab w:val="left" w:pos="7140"/>
        </w:tabs>
        <w:snapToGrid w:val="0"/>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pPr>
        <w:tabs>
          <w:tab w:val="left" w:pos="7140"/>
        </w:tabs>
        <w:snapToGrid w:val="0"/>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pPr>
        <w:tabs>
          <w:tab w:val="left" w:pos="7140"/>
        </w:tabs>
        <w:snapToGrid w:val="0"/>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“书面形式”包括信函、传真、电报等。</w:t>
      </w:r>
    </w:p>
    <w:p>
      <w:pPr>
        <w:snapToGrid w:val="0"/>
        <w:spacing w:before="120" w:beforeLines="50" w:line="360" w:lineRule="auto"/>
        <w:ind w:firstLine="472" w:firstLineChars="196"/>
        <w:jc w:val="left"/>
        <w:outlineLvl w:val="1"/>
        <w:rPr>
          <w:rFonts w:ascii="宋体" w:hAnsi="宋体"/>
          <w:b/>
          <w:bCs/>
          <w:sz w:val="24"/>
        </w:rPr>
      </w:pPr>
      <w:r>
        <w:rPr>
          <w:rFonts w:ascii="宋体" w:hAnsi="宋体"/>
          <w:b/>
          <w:bCs/>
          <w:sz w:val="24"/>
        </w:rPr>
        <w:t>7</w:t>
      </w:r>
      <w:r>
        <w:rPr>
          <w:rFonts w:hint="eastAsia" w:ascii="宋体" w:hAnsi="宋体"/>
          <w:b/>
          <w:bCs/>
          <w:sz w:val="24"/>
        </w:rPr>
        <w:t>.</w:t>
      </w:r>
      <w:r>
        <w:rPr>
          <w:rFonts w:ascii="宋体" w:hAnsi="宋体"/>
          <w:b/>
          <w:bCs/>
          <w:sz w:val="24"/>
        </w:rPr>
        <w:t>凡是标有“▲”符号或</w:t>
      </w:r>
      <w:r>
        <w:rPr>
          <w:rFonts w:hint="eastAsia" w:ascii="宋体" w:hAnsi="宋体"/>
          <w:b/>
          <w:bCs/>
          <w:sz w:val="24"/>
        </w:rPr>
        <w:t>标</w:t>
      </w:r>
      <w:r>
        <w:rPr>
          <w:rFonts w:ascii="宋体" w:hAnsi="宋体"/>
          <w:b/>
          <w:bCs/>
          <w:sz w:val="24"/>
        </w:rPr>
        <w:t>有“必须”字眼描述的条款以及项目的数量、工期（交货期）、付款方式、质保期、投标有效期、均属于实质性条款</w:t>
      </w:r>
      <w:r>
        <w:rPr>
          <w:rFonts w:hint="eastAsia" w:ascii="宋体" w:hAnsi="宋体"/>
          <w:b/>
          <w:bCs/>
          <w:sz w:val="24"/>
        </w:rPr>
        <w:t>，不允许负偏离，否则作无效标处理</w:t>
      </w:r>
      <w:r>
        <w:rPr>
          <w:rFonts w:ascii="宋体" w:hAnsi="宋体"/>
          <w:b/>
          <w:bCs/>
          <w:sz w:val="24"/>
        </w:rPr>
        <w:t>。</w:t>
      </w:r>
    </w:p>
    <w:p>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（三）招标方式</w:t>
      </w:r>
    </w:p>
    <w:p>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（四）投标委托</w:t>
      </w:r>
    </w:p>
    <w:p>
      <w:pPr>
        <w:snapToGrid w:val="0"/>
        <w:spacing w:line="380" w:lineRule="exact"/>
        <w:ind w:firstLine="482" w:firstLineChars="200"/>
        <w:rPr>
          <w:b/>
          <w:bCs/>
        </w:rPr>
      </w:pP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pPr>
        <w:snapToGrid w:val="0"/>
        <w:spacing w:before="120" w:beforeLines="50" w:line="360" w:lineRule="auto"/>
        <w:ind w:firstLine="472" w:firstLineChars="196"/>
        <w:jc w:val="left"/>
        <w:outlineLvl w:val="1"/>
        <w:rPr>
          <w:rFonts w:hint="eastAsia"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（五）投标费用</w:t>
      </w:r>
    </w:p>
    <w:p>
      <w:pPr>
        <w:snapToGrid w:val="0"/>
        <w:spacing w:line="360" w:lineRule="auto"/>
        <w:ind w:firstLine="480" w:firstLineChars="200"/>
        <w:jc w:val="left"/>
        <w:rPr>
          <w:rFonts w:ascii="宋体" w:hAnsi="宋体"/>
          <w:sz w:val="24"/>
          <w:szCs w:val="20"/>
        </w:rPr>
      </w:pPr>
      <w:r>
        <w:rPr>
          <w:rFonts w:hint="eastAsia" w:ascii="宋体" w:hAnsi="宋体"/>
          <w:sz w:val="24"/>
        </w:rPr>
        <w:t>不论投标结果如何，投标人均应自行承担所有与投标有关的全部费用（招标文件有相反规定除外）。</w:t>
      </w:r>
    </w:p>
    <w:p>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（六）联合体投标</w:t>
      </w:r>
    </w:p>
    <w:p>
      <w:pPr>
        <w:snapToGrid w:val="0"/>
        <w:spacing w:line="360" w:lineRule="auto"/>
        <w:ind w:firstLine="480" w:firstLineChars="200"/>
        <w:jc w:val="left"/>
        <w:rPr>
          <w:rFonts w:hint="eastAsia" w:ascii="宋体" w:hAnsi="宋体"/>
          <w:sz w:val="24"/>
        </w:rPr>
      </w:pPr>
      <w:r>
        <w:rPr>
          <w:rFonts w:hint="eastAsia" w:ascii="宋体" w:hAnsi="宋体"/>
          <w:sz w:val="24"/>
        </w:rPr>
        <w:t>本项目不允许联合体投标。</w:t>
      </w:r>
    </w:p>
    <w:p>
      <w:pPr>
        <w:snapToGrid w:val="0"/>
        <w:spacing w:before="120" w:beforeLines="50" w:line="360" w:lineRule="auto"/>
        <w:ind w:firstLine="472" w:firstLineChars="196"/>
        <w:jc w:val="left"/>
        <w:rPr>
          <w:rFonts w:hint="eastAsia" w:ascii="宋体" w:hAnsi="宋体"/>
          <w:b/>
          <w:sz w:val="24"/>
        </w:rPr>
      </w:pPr>
      <w:r>
        <w:rPr>
          <w:rFonts w:hint="eastAsia" w:ascii="宋体" w:hAnsi="宋体"/>
          <w:b/>
          <w:sz w:val="24"/>
        </w:rPr>
        <w:t>（七）转包与分包</w:t>
      </w:r>
    </w:p>
    <w:p>
      <w:pPr>
        <w:snapToGrid w:val="0"/>
        <w:spacing w:before="120" w:beforeLines="50" w:line="360" w:lineRule="auto"/>
        <w:ind w:firstLine="540" w:firstLineChars="225"/>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本项目不允许转包。</w:t>
      </w:r>
    </w:p>
    <w:p>
      <w:pPr>
        <w:snapToGrid w:val="0"/>
        <w:spacing w:line="360" w:lineRule="auto"/>
        <w:ind w:firstLine="540" w:firstLineChars="225"/>
        <w:jc w:val="left"/>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本项目不可以分包</w:t>
      </w:r>
      <w:r>
        <w:rPr>
          <w:rFonts w:hint="eastAsia" w:ascii="宋体" w:hAnsi="宋体"/>
          <w:sz w:val="24"/>
        </w:rPr>
        <w:t>。</w:t>
      </w:r>
    </w:p>
    <w:p>
      <w:pPr>
        <w:snapToGrid w:val="0"/>
        <w:spacing w:before="120" w:beforeLines="50" w:line="360" w:lineRule="auto"/>
        <w:ind w:firstLine="472" w:firstLineChars="196"/>
        <w:jc w:val="left"/>
        <w:outlineLvl w:val="1"/>
        <w:rPr>
          <w:rFonts w:hint="eastAsia" w:ascii="宋体" w:hAnsi="宋体"/>
          <w:b/>
          <w:sz w:val="24"/>
        </w:rPr>
      </w:pPr>
      <w:r>
        <w:rPr>
          <w:rFonts w:hint="eastAsia" w:ascii="宋体" w:hAnsi="宋体"/>
          <w:b/>
          <w:sz w:val="24"/>
        </w:rPr>
        <w:t>（八）特别说明：</w:t>
      </w:r>
    </w:p>
    <w:p>
      <w:pPr>
        <w:pStyle w:val="24"/>
        <w:snapToGrid w:val="0"/>
        <w:spacing w:before="120" w:after="120" w:line="312" w:lineRule="auto"/>
        <w:ind w:left="2" w:leftChars="1" w:firstLine="482" w:firstLineChars="200"/>
        <w:rPr>
          <w:rFonts w:hAnsi="宋体"/>
          <w:b/>
          <w:bCs/>
        </w:rPr>
      </w:pPr>
      <w:r>
        <w:rPr>
          <w:rFonts w:hint="eastAsia" w:hAnsi="宋体"/>
          <w:b/>
          <w:bCs/>
        </w:rPr>
        <w:t>▲</w:t>
      </w:r>
      <w:r>
        <w:rPr>
          <w:rFonts w:hAnsi="宋体"/>
          <w:b/>
          <w:bCs/>
        </w:rPr>
        <w:t xml:space="preserve">1. </w:t>
      </w:r>
      <w:r>
        <w:rPr>
          <w:rFonts w:hint="eastAsia" w:hAnsi="宋体"/>
          <w:b/>
          <w:bCs/>
        </w:rPr>
        <w:t>多家供应商参加投标，提供相同品牌产品且通过资格审查、符合性审查的不同投标人参加同一合同项下投标的，按一家投标人计算，评审后综合得分最高的同品牌投标人获得中标人推荐资格</w:t>
      </w:r>
      <w:r>
        <w:rPr>
          <w:rFonts w:hAnsi="宋体"/>
          <w:b/>
          <w:bCs/>
        </w:rPr>
        <w:t>;</w:t>
      </w:r>
      <w:r>
        <w:rPr>
          <w:rFonts w:hint="eastAsia" w:hAnsi="宋体"/>
          <w:b/>
          <w:bCs/>
        </w:rPr>
        <w:t>评审得分相同的，由采购人或者采购人委托评标委员会采取随机抽取方式确定一个投标人获得中标人推荐资格，其他同品牌投标人不作为中标候选人。</w:t>
      </w:r>
    </w:p>
    <w:p>
      <w:pPr>
        <w:pStyle w:val="24"/>
        <w:snapToGrid w:val="0"/>
        <w:spacing w:before="120" w:after="120" w:line="312" w:lineRule="auto"/>
        <w:ind w:left="2" w:leftChars="1" w:firstLine="482" w:firstLineChars="200"/>
        <w:rPr>
          <w:rFonts w:hAnsi="宋体"/>
          <w:b/>
          <w:bCs/>
        </w:rPr>
      </w:pPr>
      <w:r>
        <w:rPr>
          <w:rFonts w:hint="eastAsia" w:hAnsi="宋体"/>
          <w:b/>
          <w:bCs/>
        </w:rPr>
        <w:t>非单一产品采购项目，多家投标人提供相同品牌核心产品的预算金额占本项目所列核心产品预算总额的5</w:t>
      </w:r>
      <w:r>
        <w:rPr>
          <w:rFonts w:hAnsi="宋体"/>
          <w:b/>
          <w:bCs/>
        </w:rPr>
        <w:t>0%</w:t>
      </w:r>
      <w:r>
        <w:rPr>
          <w:rFonts w:hint="eastAsia" w:hAnsi="宋体"/>
          <w:b/>
          <w:bCs/>
        </w:rPr>
        <w:t>以上的，按前款规定处理。</w:t>
      </w:r>
    </w:p>
    <w:p>
      <w:pPr>
        <w:widowControl/>
        <w:spacing w:line="360" w:lineRule="auto"/>
        <w:ind w:firstLine="480" w:firstLineChars="200"/>
        <w:jc w:val="left"/>
        <w:rPr>
          <w:rFonts w:hint="eastAsia" w:ascii="宋体" w:hAnsi="宋体"/>
          <w:sz w:val="24"/>
        </w:rPr>
      </w:pPr>
      <w:r>
        <w:rPr>
          <w:rFonts w:hint="eastAsia" w:ascii="宋体" w:hAnsi="宋体"/>
          <w:sz w:val="24"/>
        </w:rPr>
        <w:t>2.（1）</w:t>
      </w:r>
      <w:r>
        <w:rPr>
          <w:rFonts w:ascii="宋体" w:hAnsi="宋体"/>
          <w:sz w:val="24"/>
        </w:rPr>
        <w:t>投标人投标所使用的资格、信誉、荣誉、业绩与企业认证必须为本法人所拥有。</w:t>
      </w:r>
    </w:p>
    <w:p>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投标人投标所使用的采购项目实施人员必须为本法人员工（或必须为本法人或控股公司正式员工）。</w:t>
      </w:r>
    </w:p>
    <w:p>
      <w:pPr>
        <w:widowControl/>
        <w:spacing w:line="360" w:lineRule="auto"/>
        <w:ind w:firstLine="480" w:firstLineChars="200"/>
        <w:jc w:val="left"/>
        <w:rPr>
          <w:rFonts w:hint="eastAsia" w:ascii="宋体" w:hAnsi="宋体"/>
          <w:sz w:val="24"/>
        </w:rPr>
      </w:pPr>
      <w:r>
        <w:rPr>
          <w:rFonts w:hint="eastAsia" w:ascii="宋体" w:hAnsi="宋体"/>
          <w:sz w:val="24"/>
        </w:rPr>
        <w:t>▲3.</w:t>
      </w:r>
      <w:r>
        <w:rPr>
          <w:rFonts w:ascii="宋体" w:hAnsi="宋体"/>
          <w:sz w:val="24"/>
        </w:rPr>
        <w:t>投标人应仔细阅读招标文件的所有内容，按照招标文件的要求提交投标文件，并对所提供的全部资料的真实性承担法律责任。</w:t>
      </w:r>
    </w:p>
    <w:p>
      <w:pPr>
        <w:widowControl/>
        <w:spacing w:line="360" w:lineRule="auto"/>
        <w:ind w:firstLine="480" w:firstLineChars="200"/>
        <w:jc w:val="left"/>
        <w:rPr>
          <w:rFonts w:hint="eastAsia" w:hAnsi="宋体"/>
        </w:rPr>
      </w:pPr>
      <w:r>
        <w:rPr>
          <w:rFonts w:hint="eastAsia" w:ascii="宋体" w:hAnsi="宋体"/>
          <w:sz w:val="24"/>
        </w:rPr>
        <w:t>▲4.</w:t>
      </w:r>
      <w:r>
        <w:rPr>
          <w:rFonts w:ascii="宋体" w:hAnsi="宋体"/>
          <w:sz w:val="24"/>
        </w:rPr>
        <w:t>投标人在投标活动中提供任何虚假材料,其投标无效，并报监管部门查处</w:t>
      </w:r>
      <w:r>
        <w:rPr>
          <w:rFonts w:hint="eastAsia" w:ascii="宋体" w:hAnsi="宋体"/>
          <w:sz w:val="24"/>
        </w:rPr>
        <w:t>；</w:t>
      </w:r>
      <w:r>
        <w:rPr>
          <w:rFonts w:ascii="宋体" w:hAnsi="宋体"/>
          <w:sz w:val="24"/>
        </w:rPr>
        <w:t>中标后发现的,中标人须依照《中华人民共和国消费者权益保护法》第49条之规定双倍赔偿采购人</w:t>
      </w:r>
      <w:r>
        <w:rPr>
          <w:rFonts w:hint="eastAsia" w:ascii="宋体" w:hAnsi="宋体"/>
          <w:sz w:val="24"/>
        </w:rPr>
        <w:t>，</w:t>
      </w:r>
      <w:r>
        <w:rPr>
          <w:rFonts w:ascii="宋体" w:hAnsi="宋体"/>
          <w:sz w:val="24"/>
        </w:rPr>
        <w:t>且民事赔偿并不免除违法投标人的行政与刑事责任。</w:t>
      </w:r>
    </w:p>
    <w:p>
      <w:pPr>
        <w:pStyle w:val="24"/>
        <w:snapToGrid w:val="0"/>
        <w:spacing w:before="0" w:beforeLines="0" w:after="0" w:afterLines="0" w:line="360" w:lineRule="auto"/>
        <w:ind w:firstLine="472" w:firstLineChars="196"/>
        <w:outlineLvl w:val="1"/>
        <w:rPr>
          <w:rFonts w:hAnsi="宋体"/>
          <w:b/>
          <w:bCs/>
        </w:rPr>
      </w:pPr>
      <w:r>
        <w:rPr>
          <w:rFonts w:hAnsi="宋体"/>
          <w:b/>
          <w:bCs/>
        </w:rPr>
        <w:t>（九）质疑和投诉</w:t>
      </w:r>
    </w:p>
    <w:p>
      <w:pPr>
        <w:pStyle w:val="24"/>
        <w:snapToGrid w:val="0"/>
        <w:spacing w:before="0" w:beforeLines="0" w:after="0" w:afterLines="0" w:line="360" w:lineRule="auto"/>
        <w:ind w:firstLine="480" w:firstLineChars="200"/>
        <w:rPr>
          <w:rFonts w:hAnsi="宋体"/>
          <w:bCs/>
        </w:rPr>
      </w:pPr>
      <w:r>
        <w:rPr>
          <w:rFonts w:hAnsi="宋体"/>
          <w:bCs/>
        </w:rPr>
        <w:t>1</w:t>
      </w:r>
      <w:r>
        <w:rPr>
          <w:rFonts w:hint="eastAsia" w:hAnsi="宋体"/>
          <w:bCs/>
        </w:rPr>
        <w:t>.</w:t>
      </w:r>
      <w:r>
        <w:rPr>
          <w:rFonts w:hAnsi="宋体"/>
          <w:bCs/>
        </w:rPr>
        <w:t>投标人认为招标文件、招标过程</w:t>
      </w:r>
      <w:r>
        <w:rPr>
          <w:rFonts w:hint="eastAsia" w:hAnsi="宋体"/>
          <w:bCs/>
        </w:rPr>
        <w:t>或</w:t>
      </w:r>
      <w:r>
        <w:rPr>
          <w:rFonts w:hAnsi="宋体"/>
          <w:bCs/>
        </w:rPr>
        <w:t>中标结果使自己的合法权益受到损害的，应当在知道或者应知其权益受到损害之日起七个工作日内，以书面形式向采购人、招标方提出质疑。</w:t>
      </w:r>
      <w:r>
        <w:rPr>
          <w:rFonts w:hAnsi="宋体"/>
        </w:rPr>
        <w:t>投标人对招标采购单位的质疑答复不满意或者招标采购单位未在规定时间内作出答复的，可以在答复期满后十五个工作日内向同级采购监管部门投诉。</w:t>
      </w:r>
    </w:p>
    <w:p>
      <w:pPr>
        <w:pStyle w:val="24"/>
        <w:snapToGrid w:val="0"/>
        <w:spacing w:beforeLines="0" w:afterLines="0" w:line="360" w:lineRule="auto"/>
        <w:ind w:firstLine="480" w:firstLineChars="200"/>
        <w:rPr>
          <w:rFonts w:hint="eastAsia" w:hAnsi="宋体"/>
          <w:bCs/>
        </w:rPr>
      </w:pPr>
      <w:r>
        <w:rPr>
          <w:rFonts w:hAnsi="宋体"/>
          <w:bCs/>
        </w:rPr>
        <w:t>2</w:t>
      </w:r>
      <w:r>
        <w:rPr>
          <w:rFonts w:hint="eastAsia" w:hAnsi="宋体"/>
          <w:bCs/>
        </w:rPr>
        <w:t>.</w:t>
      </w:r>
      <w:r>
        <w:rPr>
          <w:rFonts w:hAnsi="宋体"/>
          <w:bCs/>
        </w:rPr>
        <w:t>质疑、投诉应当采用书面形式，质疑书、投诉书均应明确阐述招标文件、招标过程</w:t>
      </w:r>
      <w:r>
        <w:rPr>
          <w:rFonts w:hint="eastAsia" w:hAnsi="宋体"/>
          <w:bCs/>
        </w:rPr>
        <w:t>或</w:t>
      </w:r>
      <w:r>
        <w:rPr>
          <w:rFonts w:hAnsi="宋体"/>
          <w:bCs/>
        </w:rPr>
        <w:t>中标结果中使自己合法权益受到损害的实质性内容，提供相关事实、依据和证据及其来源或线索，便于有关单位调查、答复和处理</w:t>
      </w:r>
      <w:r>
        <w:rPr>
          <w:rFonts w:hint="eastAsia" w:hAnsi="宋体"/>
          <w:bCs/>
        </w:rPr>
        <w:t>。</w:t>
      </w:r>
    </w:p>
    <w:p>
      <w:pPr>
        <w:pStyle w:val="24"/>
        <w:snapToGrid w:val="0"/>
        <w:spacing w:beforeLines="0" w:afterLines="0" w:line="360" w:lineRule="auto"/>
        <w:ind w:firstLine="551" w:firstLineChars="196"/>
        <w:outlineLvl w:val="0"/>
        <w:rPr>
          <w:rFonts w:hAnsi="宋体"/>
          <w:b/>
          <w:sz w:val="28"/>
          <w:szCs w:val="28"/>
        </w:rPr>
      </w:pPr>
      <w:r>
        <w:rPr>
          <w:rFonts w:hint="eastAsia" w:hAnsi="宋体"/>
          <w:b/>
          <w:sz w:val="28"/>
          <w:szCs w:val="28"/>
        </w:rPr>
        <w:t>二、</w:t>
      </w:r>
      <w:r>
        <w:rPr>
          <w:rFonts w:hAnsi="宋体"/>
          <w:b/>
          <w:sz w:val="28"/>
          <w:szCs w:val="28"/>
        </w:rPr>
        <w:t>招标文件</w:t>
      </w:r>
    </w:p>
    <w:p>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（一）招标文件的构成。本招标文件由以下部分组成：</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pPr>
        <w:snapToGrid w:val="0"/>
        <w:spacing w:line="360" w:lineRule="auto"/>
        <w:ind w:firstLine="480" w:firstLineChars="200"/>
        <w:jc w:val="left"/>
        <w:rPr>
          <w:rFonts w:hint="eastAsia"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pPr>
        <w:snapToGrid w:val="0"/>
        <w:spacing w:line="360" w:lineRule="auto"/>
        <w:ind w:firstLine="480" w:firstLineChars="200"/>
        <w:jc w:val="left"/>
        <w:rPr>
          <w:rFonts w:hint="eastAsia"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（二）投标人的风险</w:t>
      </w:r>
    </w:p>
    <w:p>
      <w:pPr>
        <w:pStyle w:val="34"/>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pPr>
        <w:pStyle w:val="12"/>
        <w:widowControl w:val="0"/>
        <w:tabs>
          <w:tab w:val="clear" w:pos="454"/>
        </w:tabs>
        <w:snapToGrid w:val="0"/>
        <w:spacing w:before="120" w:beforeLines="50" w:after="0" w:afterLines="0" w:line="360" w:lineRule="auto"/>
        <w:ind w:left="0" w:firstLine="472" w:firstLineChars="196"/>
        <w:rPr>
          <w:rFonts w:ascii="宋体" w:hAnsi="宋体"/>
          <w:b/>
          <w:szCs w:val="24"/>
        </w:rPr>
      </w:pPr>
      <w:r>
        <w:rPr>
          <w:rFonts w:hint="eastAsia" w:ascii="宋体" w:hAnsi="宋体"/>
          <w:b/>
          <w:szCs w:val="24"/>
        </w:rPr>
        <w:t>（三）招标文件的澄清与修改</w:t>
      </w:r>
    </w:p>
    <w:p>
      <w:pPr>
        <w:pStyle w:val="24"/>
        <w:snapToGrid w:val="0"/>
        <w:spacing w:before="0" w:beforeLines="0" w:after="0" w:afterLines="0" w:line="360" w:lineRule="auto"/>
        <w:ind w:firstLine="480" w:firstLineChars="200"/>
        <w:rPr>
          <w:rFonts w:hint="eastAsia"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b/>
          <w:bCs/>
          <w:u w:val="single"/>
          <w:shd w:val="clear" w:color="auto" w:fill="FFFFFF"/>
        </w:rPr>
        <w:t>质疑期限届满之日</w:t>
      </w:r>
      <w:r>
        <w:rPr>
          <w:rFonts w:hAnsi="宋体"/>
          <w:bCs/>
        </w:rPr>
        <w:t>前以书面形式要求招标采购单位澄清</w:t>
      </w:r>
      <w:r>
        <w:rPr>
          <w:rFonts w:hAnsi="宋体"/>
        </w:rPr>
        <w:t>。招标方对已发出的招标文件进行必要澄清、答复、修改或补充的，</w:t>
      </w:r>
      <w:r>
        <w:rPr>
          <w:rFonts w:hint="eastAsia" w:hAnsi="宋体"/>
        </w:rPr>
        <w:t>将</w:t>
      </w:r>
      <w:r>
        <w:rPr>
          <w:rFonts w:hAnsi="宋体"/>
        </w:rPr>
        <w:t>在招标文件要求提交投标文件截止时间五日前，在财政部门指定的政府采购信息发布媒体上</w:t>
      </w:r>
      <w:r>
        <w:rPr>
          <w:rFonts w:hint="eastAsia" w:hAnsi="宋体"/>
        </w:rPr>
        <w:t>以书面形式</w:t>
      </w:r>
      <w:r>
        <w:rPr>
          <w:rFonts w:hAnsi="宋体"/>
        </w:rPr>
        <w:t>发布更正公告，</w:t>
      </w:r>
      <w:r>
        <w:rPr>
          <w:rFonts w:hint="eastAsia" w:hAnsi="宋体"/>
        </w:rPr>
        <w:t>不另作通知。</w:t>
      </w:r>
    </w:p>
    <w:p>
      <w:pPr>
        <w:pStyle w:val="24"/>
        <w:snapToGrid w:val="0"/>
        <w:spacing w:before="0" w:beforeLines="0" w:after="0" w:afterLines="0" w:line="360" w:lineRule="auto"/>
        <w:ind w:firstLine="480" w:firstLineChars="200"/>
        <w:rPr>
          <w:rFonts w:hAnsi="宋体"/>
        </w:rPr>
      </w:pPr>
      <w:r>
        <w:rPr>
          <w:rFonts w:hAnsi="宋体"/>
        </w:rPr>
        <w:t>2</w:t>
      </w:r>
      <w:r>
        <w:rPr>
          <w:rFonts w:hint="eastAsia" w:hAnsi="宋体"/>
        </w:rPr>
        <w:t>.</w:t>
      </w:r>
      <w:r>
        <w:rPr>
          <w:rFonts w:hAnsi="宋体"/>
        </w:rPr>
        <w:t>招标方必须以书面形式答复投标人要求澄清的问题，并将不包含问题来源的答复书面通知所有购买招标文件的投标人</w:t>
      </w:r>
      <w:r>
        <w:rPr>
          <w:rFonts w:hint="eastAsia" w:hAnsi="宋体"/>
        </w:rPr>
        <w:t>，</w:t>
      </w:r>
      <w:r>
        <w:rPr>
          <w:rFonts w:hAnsi="宋体"/>
        </w:rPr>
        <w:t>除书面答复以外的其他澄清方式及澄清内容均无效。</w:t>
      </w:r>
    </w:p>
    <w:p>
      <w:pPr>
        <w:pStyle w:val="24"/>
        <w:snapToGrid w:val="0"/>
        <w:spacing w:before="0" w:beforeLines="0" w:after="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24"/>
        <w:snapToGrid w:val="0"/>
        <w:spacing w:before="0" w:beforeLines="0" w:after="0" w:afterLines="0" w:line="360" w:lineRule="auto"/>
        <w:ind w:firstLine="480" w:firstLineChars="200"/>
        <w:rPr>
          <w:rFonts w:hAnsi="宋体"/>
        </w:rPr>
      </w:pPr>
      <w:r>
        <w:rPr>
          <w:rFonts w:hint="eastAsia" w:hAnsi="宋体"/>
        </w:rPr>
        <w:t>4.</w:t>
      </w:r>
      <w:r>
        <w:rPr>
          <w:rFonts w:hAnsi="宋体"/>
        </w:rPr>
        <w:t>招标文件的澄清、答复、修改或补充都应该通过本</w:t>
      </w:r>
      <w:r>
        <w:rPr>
          <w:rFonts w:hint="eastAsia" w:hAnsi="宋体"/>
        </w:rPr>
        <w:t>招标</w:t>
      </w:r>
      <w:r>
        <w:rPr>
          <w:rFonts w:hAnsi="宋体"/>
        </w:rPr>
        <w:t>机构以法定形式发布，采购人非通过本机构，不得擅自澄清、答复、修改或补充招标文件。</w:t>
      </w:r>
    </w:p>
    <w:p>
      <w:pPr>
        <w:pStyle w:val="24"/>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（一）投标文件的组成</w:t>
      </w:r>
    </w:p>
    <w:p>
      <w:pPr>
        <w:snapToGrid w:val="0"/>
        <w:spacing w:line="360" w:lineRule="auto"/>
        <w:ind w:firstLine="470" w:firstLineChars="196"/>
        <w:jc w:val="left"/>
        <w:rPr>
          <w:rFonts w:hint="eastAsia" w:ascii="宋体" w:hAnsi="宋体"/>
          <w:sz w:val="24"/>
        </w:rPr>
      </w:pPr>
      <w:r>
        <w:rPr>
          <w:rFonts w:hint="eastAsia" w:ascii="宋体" w:hAnsi="宋体"/>
          <w:sz w:val="24"/>
        </w:rPr>
        <w:t>投标文件由资格响应文件、报价要求响应文件、商务技术响应文件三部份组成。</w:t>
      </w:r>
    </w:p>
    <w:p>
      <w:pPr>
        <w:numPr>
          <w:ilvl w:val="0"/>
          <w:numId w:val="34"/>
        </w:numPr>
        <w:snapToGrid w:val="0"/>
        <w:spacing w:before="120" w:beforeLines="50" w:line="360" w:lineRule="auto"/>
        <w:ind w:firstLine="470" w:firstLineChars="196"/>
        <w:jc w:val="left"/>
        <w:rPr>
          <w:rFonts w:ascii="宋体" w:hAnsi="宋体"/>
          <w:b/>
          <w:sz w:val="24"/>
        </w:rPr>
      </w:pPr>
      <w:r>
        <w:rPr>
          <w:rFonts w:hint="eastAsia" w:ascii="宋体" w:hAnsi="宋体"/>
          <w:sz w:val="24"/>
        </w:rPr>
        <w:t>资格响应文件</w:t>
      </w:r>
      <w:r>
        <w:rPr>
          <w:rFonts w:ascii="宋体" w:hAnsi="宋体"/>
          <w:b/>
          <w:sz w:val="24"/>
        </w:rPr>
        <w:t>：</w:t>
      </w:r>
    </w:p>
    <w:p>
      <w:pPr>
        <w:snapToGrid w:val="0"/>
        <w:spacing w:line="360" w:lineRule="auto"/>
        <w:ind w:firstLine="470" w:firstLineChars="196"/>
        <w:jc w:val="left"/>
        <w:rPr>
          <w:rFonts w:hint="eastAsia" w:ascii="宋体" w:hAnsi="宋体"/>
          <w:sz w:val="24"/>
        </w:rPr>
      </w:pPr>
      <w:r>
        <w:rPr>
          <w:rFonts w:hint="eastAsia" w:ascii="宋体" w:hAnsi="宋体"/>
          <w:sz w:val="24"/>
        </w:rPr>
        <w:t>（1）营业执照复印件；</w:t>
      </w:r>
    </w:p>
    <w:p>
      <w:pPr>
        <w:snapToGrid w:val="0"/>
        <w:spacing w:line="360" w:lineRule="auto"/>
        <w:ind w:firstLine="470" w:firstLineChars="196"/>
        <w:jc w:val="left"/>
        <w:rPr>
          <w:rFonts w:hint="eastAsia" w:ascii="宋体" w:hAnsi="宋体"/>
          <w:sz w:val="24"/>
        </w:rPr>
      </w:pPr>
      <w:r>
        <w:rPr>
          <w:rFonts w:hint="eastAsia" w:ascii="宋体" w:hAnsi="宋体"/>
          <w:sz w:val="24"/>
        </w:rPr>
        <w:t>（2）投标人具有良好的商业信誉和健全的财务会计制度声明函（格式见附件2）及上一年度的财务报告；</w:t>
      </w:r>
    </w:p>
    <w:p>
      <w:pPr>
        <w:snapToGrid w:val="0"/>
        <w:spacing w:line="360" w:lineRule="auto"/>
        <w:ind w:firstLine="480" w:firstLineChars="200"/>
        <w:jc w:val="left"/>
        <w:rPr>
          <w:rFonts w:hint="eastAsia" w:ascii="宋体" w:hAnsi="宋体"/>
          <w:sz w:val="24"/>
        </w:rPr>
      </w:pPr>
      <w:r>
        <w:rPr>
          <w:rFonts w:hint="eastAsia" w:ascii="宋体" w:hAnsi="宋体"/>
          <w:sz w:val="24"/>
        </w:rPr>
        <w:t>（3）具有履行合同所必需的的设备和专业技术能力的承诺函；（格式格式见附件3）</w:t>
      </w:r>
    </w:p>
    <w:p>
      <w:pPr>
        <w:snapToGrid w:val="0"/>
        <w:spacing w:line="360" w:lineRule="auto"/>
        <w:ind w:firstLine="470" w:firstLineChars="196"/>
        <w:jc w:val="left"/>
        <w:rPr>
          <w:rFonts w:hint="eastAsia" w:ascii="宋体" w:hAnsi="宋体"/>
          <w:sz w:val="24"/>
        </w:rPr>
      </w:pPr>
      <w:r>
        <w:rPr>
          <w:rFonts w:hint="eastAsia" w:ascii="宋体" w:hAnsi="宋体"/>
          <w:sz w:val="24"/>
        </w:rPr>
        <w:t>（4）投标单位情况表</w:t>
      </w:r>
      <w:r>
        <w:rPr>
          <w:rFonts w:ascii="宋体" w:hAnsi="宋体"/>
          <w:sz w:val="24"/>
        </w:rPr>
        <w:t>(格式见附件</w:t>
      </w:r>
      <w:r>
        <w:rPr>
          <w:rFonts w:hint="eastAsia" w:ascii="宋体" w:hAnsi="宋体"/>
          <w:sz w:val="24"/>
        </w:rPr>
        <w:t>6</w:t>
      </w:r>
      <w:r>
        <w:rPr>
          <w:rFonts w:ascii="宋体" w:hAnsi="宋体"/>
          <w:sz w:val="24"/>
        </w:rPr>
        <w:t>)</w:t>
      </w:r>
    </w:p>
    <w:p>
      <w:pPr>
        <w:snapToGrid w:val="0"/>
        <w:spacing w:line="360" w:lineRule="auto"/>
        <w:ind w:firstLine="470" w:firstLineChars="196"/>
        <w:jc w:val="left"/>
        <w:rPr>
          <w:rFonts w:hint="eastAsia" w:ascii="宋体" w:hAnsi="宋体"/>
          <w:sz w:val="24"/>
        </w:rPr>
      </w:pPr>
      <w:r>
        <w:rPr>
          <w:rFonts w:hint="eastAsia" w:ascii="宋体" w:hAnsi="宋体"/>
          <w:sz w:val="24"/>
        </w:rPr>
        <w:t>（5）最近一个季度依法缴纳税收 [税费凭证复印件，或者依法缴纳税费或依法免缴税费的证明（复印件，原件备查并一年内有效，格式自拟）]</w:t>
      </w:r>
    </w:p>
    <w:p>
      <w:pPr>
        <w:snapToGrid w:val="0"/>
        <w:spacing w:line="360" w:lineRule="auto"/>
        <w:ind w:firstLine="470" w:firstLineChars="196"/>
        <w:jc w:val="left"/>
        <w:rPr>
          <w:rFonts w:hint="eastAsia" w:ascii="宋体" w:hAnsi="宋体"/>
          <w:sz w:val="24"/>
        </w:rPr>
      </w:pPr>
      <w:r>
        <w:rPr>
          <w:rFonts w:hint="eastAsia" w:ascii="宋体" w:hAnsi="宋体"/>
          <w:sz w:val="24"/>
        </w:rPr>
        <w:t>（6）投标声明书</w:t>
      </w:r>
      <w:r>
        <w:rPr>
          <w:rFonts w:ascii="宋体" w:hAnsi="宋体"/>
          <w:sz w:val="24"/>
        </w:rPr>
        <w:t>(格式见附件</w:t>
      </w:r>
      <w:r>
        <w:rPr>
          <w:rFonts w:hint="eastAsia" w:ascii="宋体" w:hAnsi="宋体"/>
          <w:sz w:val="24"/>
        </w:rPr>
        <w:t>4</w:t>
      </w:r>
      <w:r>
        <w:rPr>
          <w:rFonts w:ascii="宋体" w:hAnsi="宋体"/>
          <w:sz w:val="24"/>
        </w:rPr>
        <w:t>)</w:t>
      </w:r>
    </w:p>
    <w:p>
      <w:pPr>
        <w:snapToGrid w:val="0"/>
        <w:spacing w:line="360" w:lineRule="auto"/>
        <w:ind w:firstLine="470" w:firstLineChars="196"/>
        <w:jc w:val="left"/>
        <w:rPr>
          <w:rFonts w:hint="eastAsia" w:ascii="宋体" w:hAnsi="宋体"/>
          <w:sz w:val="24"/>
        </w:rPr>
      </w:pPr>
      <w:r>
        <w:rPr>
          <w:rFonts w:hint="eastAsia" w:ascii="宋体" w:hAnsi="宋体"/>
          <w:sz w:val="24"/>
        </w:rPr>
        <w:t>（7）截至公告发布日止，相关主体在“信用中国”网站(www.creditchina.gov.cn)及中国政府采购网(www.ccgp.gov.cn)是否有失信行为的查询结果截图。</w:t>
      </w:r>
    </w:p>
    <w:p>
      <w:pPr>
        <w:snapToGrid w:val="0"/>
        <w:spacing w:line="360" w:lineRule="auto"/>
        <w:ind w:firstLine="470" w:firstLineChars="196"/>
        <w:jc w:val="left"/>
        <w:rPr>
          <w:rFonts w:ascii="宋体" w:hAnsi="宋体"/>
          <w:sz w:val="24"/>
        </w:rPr>
      </w:pPr>
      <w:r>
        <w:rPr>
          <w:rFonts w:hint="eastAsia" w:ascii="宋体" w:hAnsi="宋体"/>
          <w:sz w:val="24"/>
        </w:rPr>
        <w:t>（8）</w:t>
      </w:r>
      <w:r>
        <w:rPr>
          <w:rFonts w:ascii="宋体" w:hAnsi="宋体"/>
          <w:sz w:val="24"/>
        </w:rPr>
        <w:t>法定代表人授权委托书(格式见附件</w:t>
      </w:r>
      <w:r>
        <w:rPr>
          <w:rFonts w:hint="eastAsia" w:ascii="宋体" w:hAnsi="宋体"/>
          <w:sz w:val="24"/>
        </w:rPr>
        <w:t>5</w:t>
      </w:r>
      <w:r>
        <w:rPr>
          <w:rFonts w:ascii="宋体" w:hAnsi="宋体"/>
          <w:sz w:val="24"/>
        </w:rPr>
        <w:t>)</w:t>
      </w:r>
    </w:p>
    <w:p>
      <w:pPr>
        <w:snapToGrid w:val="0"/>
        <w:spacing w:line="360" w:lineRule="auto"/>
        <w:ind w:firstLine="470" w:firstLineChars="196"/>
        <w:jc w:val="left"/>
        <w:rPr>
          <w:rFonts w:hint="eastAsia" w:ascii="宋体" w:hAnsi="宋体"/>
          <w:sz w:val="24"/>
        </w:rPr>
      </w:pPr>
      <w:r>
        <w:rPr>
          <w:rFonts w:hint="eastAsia" w:ascii="宋体" w:hAnsi="宋体"/>
          <w:sz w:val="24"/>
        </w:rPr>
        <w:t>（9）法定代表人身份证复印件或被授权人身份证复印件。</w:t>
      </w:r>
    </w:p>
    <w:p>
      <w:pPr>
        <w:snapToGrid w:val="0"/>
        <w:spacing w:line="360" w:lineRule="auto"/>
        <w:ind w:firstLine="470" w:firstLineChars="196"/>
        <w:jc w:val="left"/>
        <w:rPr>
          <w:rFonts w:hint="eastAsia" w:ascii="宋体" w:hAnsi="宋体"/>
          <w:sz w:val="24"/>
        </w:rPr>
      </w:pPr>
      <w:r>
        <w:rPr>
          <w:rFonts w:hint="eastAsia" w:ascii="宋体" w:hAnsi="宋体"/>
          <w:sz w:val="24"/>
        </w:rPr>
        <w:t>（10）招标公告里要求的特定资质。</w:t>
      </w:r>
    </w:p>
    <w:p>
      <w:pPr>
        <w:snapToGrid w:val="0"/>
        <w:spacing w:line="360" w:lineRule="auto"/>
        <w:ind w:firstLine="480" w:firstLineChars="200"/>
        <w:jc w:val="left"/>
        <w:rPr>
          <w:rFonts w:hint="eastAsia" w:ascii="宋体" w:hAnsi="宋体"/>
          <w:sz w:val="24"/>
        </w:rPr>
      </w:pPr>
      <w:r>
        <w:rPr>
          <w:rFonts w:hint="eastAsia" w:ascii="宋体" w:hAnsi="宋体"/>
          <w:sz w:val="24"/>
        </w:rPr>
        <w:t>（11）</w:t>
      </w:r>
      <w:r>
        <w:rPr>
          <w:rFonts w:ascii="宋体" w:hAnsi="宋体"/>
          <w:sz w:val="24"/>
        </w:rPr>
        <w:t>投标</w:t>
      </w:r>
      <w:r>
        <w:rPr>
          <w:rFonts w:hint="eastAsia" w:ascii="宋体" w:hAnsi="宋体"/>
          <w:sz w:val="24"/>
        </w:rPr>
        <w:t>人</w:t>
      </w:r>
      <w:r>
        <w:rPr>
          <w:rFonts w:ascii="宋体" w:hAnsi="宋体"/>
          <w:sz w:val="24"/>
        </w:rPr>
        <w:t>认为有必要提供的其它文件</w:t>
      </w:r>
      <w:r>
        <w:rPr>
          <w:rFonts w:hint="eastAsia" w:ascii="宋体" w:hAnsi="宋体"/>
          <w:sz w:val="24"/>
        </w:rPr>
        <w:t>。</w:t>
      </w:r>
    </w:p>
    <w:p>
      <w:pPr>
        <w:snapToGrid w:val="0"/>
        <w:spacing w:line="360" w:lineRule="auto"/>
        <w:ind w:firstLine="472" w:firstLineChars="196"/>
        <w:jc w:val="left"/>
        <w:rPr>
          <w:rFonts w:ascii="宋体" w:hAnsi="宋体"/>
          <w:b/>
          <w:bCs/>
          <w:sz w:val="24"/>
          <w:szCs w:val="20"/>
        </w:rPr>
      </w:pPr>
      <w:r>
        <w:rPr>
          <w:rFonts w:hint="eastAsia" w:ascii="宋体" w:hAnsi="宋体"/>
          <w:b/>
          <w:bCs/>
          <w:sz w:val="24"/>
        </w:rPr>
        <w:t>2.</w:t>
      </w:r>
      <w:r>
        <w:rPr>
          <w:rFonts w:hint="eastAsia" w:ascii="宋体" w:hAnsi="宋体"/>
          <w:sz w:val="24"/>
        </w:rPr>
        <w:t>商务技术响应文件：</w:t>
      </w:r>
    </w:p>
    <w:p>
      <w:pPr>
        <w:snapToGrid w:val="0"/>
        <w:spacing w:line="360" w:lineRule="auto"/>
        <w:ind w:firstLine="470" w:firstLineChars="196"/>
        <w:jc w:val="left"/>
        <w:rPr>
          <w:rFonts w:hint="eastAsia" w:ascii="宋体" w:hAnsi="宋体"/>
          <w:sz w:val="24"/>
        </w:rPr>
      </w:pPr>
      <w:r>
        <w:rPr>
          <w:rFonts w:hint="eastAsia" w:ascii="宋体" w:hAnsi="宋体"/>
          <w:sz w:val="24"/>
        </w:rPr>
        <w:t>（1）评分响应表（格式见附件7）</w:t>
      </w:r>
    </w:p>
    <w:p>
      <w:pPr>
        <w:snapToGrid w:val="0"/>
        <w:spacing w:line="360" w:lineRule="auto"/>
        <w:ind w:firstLine="470" w:firstLineChars="196"/>
        <w:jc w:val="left"/>
        <w:rPr>
          <w:rFonts w:hint="eastAsia" w:ascii="宋体" w:hAnsi="宋体"/>
          <w:sz w:val="24"/>
        </w:rPr>
      </w:pPr>
      <w:r>
        <w:rPr>
          <w:rFonts w:hint="eastAsia" w:ascii="宋体" w:hAnsi="宋体"/>
          <w:sz w:val="24"/>
        </w:rPr>
        <w:t>（2）</w:t>
      </w:r>
      <w:r>
        <w:rPr>
          <w:rFonts w:ascii="宋体" w:hAnsi="宋体"/>
          <w:sz w:val="24"/>
        </w:rPr>
        <w:t>货物主要技术指标</w:t>
      </w:r>
      <w:r>
        <w:rPr>
          <w:rFonts w:hint="eastAsia" w:ascii="宋体" w:hAnsi="宋体"/>
          <w:sz w:val="24"/>
        </w:rPr>
        <w:t>、功能及配置</w:t>
      </w:r>
      <w:r>
        <w:rPr>
          <w:rFonts w:ascii="宋体" w:hAnsi="宋体"/>
          <w:sz w:val="24"/>
        </w:rPr>
        <w:t>的详细说明</w:t>
      </w:r>
      <w:r>
        <w:rPr>
          <w:rFonts w:hint="eastAsia" w:ascii="宋体" w:hAnsi="宋体"/>
          <w:sz w:val="24"/>
        </w:rPr>
        <w:t>。</w:t>
      </w:r>
      <w:r>
        <w:rPr>
          <w:rFonts w:hint="eastAsia" w:ascii="宋体" w:hAnsi="宋体" w:cs="Arial"/>
          <w:sz w:val="24"/>
        </w:rPr>
        <w:t>（格式见附件8）</w:t>
      </w:r>
    </w:p>
    <w:p>
      <w:pPr>
        <w:snapToGrid w:val="0"/>
        <w:spacing w:line="360" w:lineRule="auto"/>
        <w:ind w:firstLine="480" w:firstLineChars="200"/>
        <w:jc w:val="left"/>
        <w:rPr>
          <w:rFonts w:hint="eastAsia" w:ascii="宋体" w:hAnsi="宋体"/>
          <w:sz w:val="24"/>
        </w:rPr>
      </w:pPr>
      <w:r>
        <w:rPr>
          <w:rFonts w:hint="eastAsia" w:ascii="宋体" w:hAnsi="宋体"/>
          <w:sz w:val="24"/>
        </w:rPr>
        <w:t>（3）投标货物</w:t>
      </w:r>
      <w:r>
        <w:rPr>
          <w:rFonts w:hint="eastAsia" w:ascii="宋体" w:hAnsi="宋体"/>
          <w:b/>
          <w:sz w:val="24"/>
        </w:rPr>
        <w:t>主要设备的宣传彩页或官方网站打印的主要参数表。</w:t>
      </w:r>
    </w:p>
    <w:p>
      <w:pPr>
        <w:snapToGrid w:val="0"/>
        <w:spacing w:line="360" w:lineRule="auto"/>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技术偏离表：投标方必须针对招标文件要求的技术参数逐个做出实质性响应（格式见附件9）</w:t>
      </w:r>
      <w:r>
        <w:rPr>
          <w:rFonts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（5）</w:t>
      </w:r>
      <w:r>
        <w:rPr>
          <w:rFonts w:hint="eastAsia" w:ascii="宋体" w:hAnsi="宋体" w:cs="Arial"/>
          <w:sz w:val="24"/>
        </w:rPr>
        <w:t>投标产品服务计划表（格式见附件10）</w:t>
      </w:r>
    </w:p>
    <w:p>
      <w:pPr>
        <w:snapToGrid w:val="0"/>
        <w:spacing w:line="360" w:lineRule="auto"/>
        <w:ind w:firstLine="470" w:firstLineChars="196"/>
        <w:jc w:val="left"/>
        <w:rPr>
          <w:rFonts w:hint="eastAsia" w:ascii="宋体" w:hAnsi="宋体"/>
          <w:sz w:val="24"/>
        </w:rPr>
      </w:pPr>
      <w:r>
        <w:rPr>
          <w:rFonts w:hint="eastAsia" w:ascii="宋体" w:hAnsi="宋体"/>
          <w:sz w:val="24"/>
        </w:rPr>
        <w:t>（6）</w:t>
      </w:r>
      <w:r>
        <w:rPr>
          <w:rFonts w:ascii="宋体" w:hAnsi="宋体"/>
          <w:sz w:val="24"/>
        </w:rPr>
        <w:t>技术服务、技术培训、售后服务的内容和措施</w:t>
      </w:r>
      <w:r>
        <w:rPr>
          <w:rFonts w:hint="eastAsia"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cs="Arial"/>
          <w:sz w:val="24"/>
        </w:rPr>
        <w:t>（7）</w:t>
      </w:r>
      <w:r>
        <w:rPr>
          <w:rFonts w:hint="eastAsia" w:ascii="宋体" w:hAnsi="宋体"/>
          <w:sz w:val="24"/>
        </w:rPr>
        <w:t>政府采购供应商诚信承诺书（格式见附件11）</w:t>
      </w:r>
    </w:p>
    <w:p>
      <w:pPr>
        <w:snapToGrid w:val="0"/>
        <w:spacing w:line="360" w:lineRule="auto"/>
        <w:ind w:firstLine="480" w:firstLineChars="200"/>
        <w:jc w:val="left"/>
        <w:rPr>
          <w:rFonts w:ascii="宋体" w:hAnsi="宋体"/>
          <w:sz w:val="24"/>
        </w:rPr>
      </w:pPr>
      <w:r>
        <w:rPr>
          <w:rFonts w:hint="eastAsia" w:ascii="宋体" w:hAnsi="宋体"/>
          <w:sz w:val="24"/>
        </w:rPr>
        <w:t>（8）</w:t>
      </w:r>
      <w:r>
        <w:rPr>
          <w:rFonts w:ascii="宋体" w:hAnsi="宋体"/>
          <w:sz w:val="24"/>
        </w:rPr>
        <w:t>投标人需要说明的其他文件和说明。</w:t>
      </w:r>
    </w:p>
    <w:p>
      <w:pPr>
        <w:snapToGrid w:val="0"/>
        <w:spacing w:line="360" w:lineRule="auto"/>
        <w:ind w:firstLine="472" w:firstLineChars="196"/>
        <w:jc w:val="left"/>
        <w:rPr>
          <w:rFonts w:hint="eastAsia" w:ascii="宋体" w:hAnsi="宋体"/>
          <w:b/>
          <w:sz w:val="24"/>
          <w:szCs w:val="20"/>
        </w:rPr>
      </w:pPr>
      <w:r>
        <w:rPr>
          <w:rFonts w:hint="eastAsia" w:ascii="宋体" w:hAnsi="宋体"/>
          <w:b/>
          <w:sz w:val="24"/>
        </w:rPr>
        <w:t>3.</w:t>
      </w:r>
      <w:r>
        <w:rPr>
          <w:rFonts w:hint="eastAsia" w:ascii="宋体" w:hAnsi="宋体"/>
          <w:sz w:val="24"/>
        </w:rPr>
        <w:t>报价要求响应文件：</w:t>
      </w:r>
    </w:p>
    <w:p>
      <w:pPr>
        <w:snapToGrid w:val="0"/>
        <w:spacing w:line="360" w:lineRule="auto"/>
        <w:ind w:firstLine="480" w:firstLineChars="200"/>
        <w:jc w:val="left"/>
        <w:rPr>
          <w:rFonts w:hint="eastAsia" w:ascii="宋体" w:hAnsi="宋体"/>
          <w:sz w:val="24"/>
        </w:rPr>
      </w:pPr>
      <w:r>
        <w:rPr>
          <w:rFonts w:hint="eastAsia" w:ascii="宋体" w:hAnsi="宋体"/>
          <w:sz w:val="24"/>
        </w:rPr>
        <w:t>（1）投标函（格式见附件12）</w:t>
      </w:r>
    </w:p>
    <w:p>
      <w:pPr>
        <w:snapToGrid w:val="0"/>
        <w:spacing w:line="360" w:lineRule="auto"/>
        <w:ind w:firstLine="480" w:firstLineChars="200"/>
        <w:jc w:val="left"/>
        <w:rPr>
          <w:rFonts w:hint="eastAsia" w:ascii="宋体" w:hAnsi="宋体"/>
          <w:sz w:val="24"/>
        </w:rPr>
      </w:pPr>
      <w:r>
        <w:rPr>
          <w:rFonts w:hint="eastAsia" w:ascii="宋体" w:hAnsi="宋体"/>
          <w:sz w:val="24"/>
        </w:rPr>
        <w:t>（2）开标一览表（格式见附件13）</w:t>
      </w:r>
    </w:p>
    <w:p>
      <w:pPr>
        <w:snapToGrid w:val="0"/>
        <w:spacing w:line="360" w:lineRule="auto"/>
        <w:ind w:firstLine="480" w:firstLineChars="200"/>
        <w:jc w:val="left"/>
        <w:rPr>
          <w:rFonts w:hint="eastAsia" w:ascii="宋体" w:hAnsi="宋体"/>
          <w:sz w:val="24"/>
        </w:rPr>
      </w:pPr>
      <w:r>
        <w:rPr>
          <w:rFonts w:hint="eastAsia" w:ascii="宋体" w:hAnsi="宋体"/>
          <w:sz w:val="24"/>
        </w:rPr>
        <w:t>（3）中小企业声明函（格式见附件14：小微企业投标时适用，提供中小企业名录查询结果截图http://xwqy.gsxt.gov.cn，不提供不予抵扣）</w:t>
      </w:r>
    </w:p>
    <w:p>
      <w:pPr>
        <w:snapToGrid w:val="0"/>
        <w:spacing w:line="360" w:lineRule="auto"/>
        <w:ind w:firstLine="480" w:firstLineChars="200"/>
        <w:jc w:val="left"/>
        <w:rPr>
          <w:rFonts w:hint="eastAsia" w:ascii="宋体" w:hAnsi="宋体"/>
          <w:sz w:val="24"/>
        </w:rPr>
      </w:pPr>
      <w:r>
        <w:rPr>
          <w:rFonts w:hint="eastAsia" w:ascii="宋体" w:hAnsi="宋体"/>
          <w:sz w:val="24"/>
        </w:rPr>
        <w:t>（4）残疾人福利性单位声明函（格式见附件15：残疾人福利性单位投标时适用）</w:t>
      </w:r>
    </w:p>
    <w:p>
      <w:pPr>
        <w:snapToGrid w:val="0"/>
        <w:spacing w:line="360" w:lineRule="auto"/>
        <w:ind w:firstLine="480" w:firstLineChars="200"/>
        <w:jc w:val="left"/>
        <w:rPr>
          <w:rFonts w:hint="eastAsia" w:ascii="宋体" w:hAnsi="宋体"/>
          <w:sz w:val="24"/>
        </w:rPr>
      </w:pPr>
    </w:p>
    <w:p>
      <w:pPr>
        <w:snapToGrid w:val="0"/>
        <w:spacing w:line="360" w:lineRule="auto"/>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）投标人针对报价需要说明的其他文件和说明（不含报价）。</w:t>
      </w:r>
    </w:p>
    <w:p>
      <w:pPr>
        <w:snapToGrid w:val="0"/>
        <w:spacing w:before="120" w:beforeLines="50" w:line="360" w:lineRule="auto"/>
        <w:ind w:firstLine="472" w:firstLineChars="196"/>
        <w:jc w:val="left"/>
        <w:outlineLvl w:val="0"/>
        <w:rPr>
          <w:rFonts w:ascii="宋体" w:hAnsi="宋体"/>
          <w:b/>
          <w:sz w:val="24"/>
        </w:rPr>
      </w:pPr>
      <w:r>
        <w:rPr>
          <w:rFonts w:hint="eastAsia" w:ascii="宋体" w:hAnsi="宋体"/>
          <w:b/>
          <w:sz w:val="24"/>
        </w:rPr>
        <w:t>（二）投标文件的语言及计量</w:t>
      </w:r>
    </w:p>
    <w:p>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2投标计量单位，应采用中华人民共和国法定计量单位（货币单位：人民币元），否则视同未响应。</w:t>
      </w:r>
    </w:p>
    <w:p>
      <w:pPr>
        <w:snapToGrid w:val="0"/>
        <w:spacing w:before="120" w:beforeLines="50" w:after="120" w:afterLines="50" w:line="360" w:lineRule="auto"/>
        <w:ind w:firstLine="472" w:firstLineChars="196"/>
        <w:jc w:val="left"/>
        <w:outlineLvl w:val="0"/>
        <w:rPr>
          <w:rFonts w:ascii="宋体" w:hAnsi="宋体"/>
          <w:b/>
          <w:sz w:val="24"/>
          <w:szCs w:val="20"/>
        </w:rPr>
      </w:pPr>
      <w:r>
        <w:rPr>
          <w:rFonts w:hint="eastAsia" w:ascii="宋体" w:hAnsi="宋体"/>
          <w:b/>
          <w:sz w:val="24"/>
        </w:rPr>
        <w:t>（三）投标报价</w:t>
      </w:r>
    </w:p>
    <w:p>
      <w:pPr>
        <w:pStyle w:val="24"/>
        <w:snapToGrid w:val="0"/>
        <w:spacing w:before="0" w:beforeLines="0" w:after="120" w:line="360" w:lineRule="auto"/>
        <w:ind w:firstLine="480" w:firstLineChars="200"/>
        <w:jc w:val="left"/>
        <w:rPr>
          <w:rFonts w:hAnsi="宋体"/>
        </w:rPr>
      </w:pPr>
      <w:r>
        <w:rPr>
          <w:rFonts w:hAnsi="宋体"/>
        </w:rPr>
        <w:t>1</w:t>
      </w:r>
      <w:r>
        <w:rPr>
          <w:rFonts w:hint="eastAsia" w:hAnsi="宋体"/>
        </w:rPr>
        <w:t>.</w:t>
      </w:r>
      <w:r>
        <w:rPr>
          <w:rFonts w:hint="eastAsia" w:hAnsi="宋体"/>
          <w:szCs w:val="21"/>
        </w:rPr>
        <w:t>▲</w:t>
      </w:r>
      <w:r>
        <w:rPr>
          <w:rFonts w:hAnsi="宋体"/>
        </w:rPr>
        <w:t>投标报价应按招标文件中相关附表格式填写。</w:t>
      </w:r>
    </w:p>
    <w:p>
      <w:pPr>
        <w:pStyle w:val="24"/>
        <w:snapToGrid w:val="0"/>
        <w:spacing w:before="0" w:beforeLines="0" w:after="0" w:afterLines="0" w:line="360" w:lineRule="auto"/>
        <w:ind w:firstLine="480" w:firstLineChars="200"/>
        <w:jc w:val="left"/>
        <w:rPr>
          <w:rFonts w:hAnsi="宋体"/>
        </w:rPr>
      </w:pPr>
      <w:r>
        <w:rPr>
          <w:rFonts w:hint="eastAsia" w:hAnsi="宋体"/>
          <w:szCs w:val="21"/>
        </w:rPr>
        <w:t>▲</w:t>
      </w:r>
      <w:r>
        <w:rPr>
          <w:rFonts w:hAnsi="宋体"/>
        </w:rPr>
        <w:t>2</w:t>
      </w:r>
      <w:r>
        <w:rPr>
          <w:rFonts w:hint="eastAsia" w:hAnsi="宋体"/>
        </w:rPr>
        <w:t>.</w:t>
      </w:r>
      <w:r>
        <w:rPr>
          <w:rFonts w:hAnsi="宋体"/>
        </w:rPr>
        <w:t>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auto"/>
        <w:ind w:firstLine="420" w:firstLineChars="200"/>
        <w:jc w:val="left"/>
        <w:rPr>
          <w:rFonts w:hint="eastAsia" w:ascii="宋体" w:hAnsi="宋体"/>
          <w:sz w:val="24"/>
          <w:szCs w:val="20"/>
        </w:rPr>
      </w:pPr>
      <w:r>
        <w:rPr>
          <w:rFonts w:hint="eastAsia" w:ascii="宋体" w:hAnsi="宋体"/>
          <w:szCs w:val="21"/>
        </w:rPr>
        <w:t>▲</w:t>
      </w: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pPr>
        <w:pStyle w:val="12"/>
        <w:widowControl w:val="0"/>
        <w:tabs>
          <w:tab w:val="clear" w:pos="454"/>
        </w:tabs>
        <w:snapToGrid w:val="0"/>
        <w:spacing w:after="0" w:afterLines="0" w:line="360" w:lineRule="auto"/>
        <w:ind w:left="0" w:firstLine="472" w:firstLineChars="196"/>
        <w:rPr>
          <w:rFonts w:ascii="宋体" w:hAnsi="宋体"/>
          <w:b/>
          <w:szCs w:val="24"/>
        </w:rPr>
      </w:pPr>
      <w:r>
        <w:rPr>
          <w:rFonts w:hint="eastAsia" w:ascii="宋体" w:hAnsi="宋体"/>
          <w:b/>
          <w:szCs w:val="24"/>
        </w:rPr>
        <w:t>（四）投标文件的有效期</w:t>
      </w:r>
    </w:p>
    <w:p>
      <w:pPr>
        <w:pStyle w:val="12"/>
        <w:widowControl w:val="0"/>
        <w:tabs>
          <w:tab w:val="clear" w:pos="454"/>
        </w:tabs>
        <w:snapToGrid w:val="0"/>
        <w:spacing w:afterLines="0" w:line="360" w:lineRule="auto"/>
        <w:ind w:left="0" w:firstLine="480" w:firstLineChars="200"/>
        <w:rPr>
          <w:rFonts w:ascii="宋体" w:hAnsi="宋体"/>
          <w:szCs w:val="24"/>
        </w:rPr>
      </w:pPr>
      <w:r>
        <w:rPr>
          <w:rFonts w:hint="eastAsia" w:ascii="宋体" w:hAnsi="宋体"/>
          <w:szCs w:val="21"/>
        </w:rPr>
        <w:t>▲</w:t>
      </w:r>
      <w:r>
        <w:rPr>
          <w:rFonts w:ascii="宋体" w:hAnsi="宋体"/>
          <w:szCs w:val="24"/>
        </w:rPr>
        <w:t>1</w:t>
      </w:r>
      <w:r>
        <w:rPr>
          <w:rFonts w:hint="eastAsia" w:ascii="宋体" w:hAnsi="宋体"/>
          <w:szCs w:val="24"/>
        </w:rPr>
        <w:t>.</w:t>
      </w:r>
      <w:r>
        <w:rPr>
          <w:rFonts w:ascii="宋体" w:hAnsi="宋体"/>
          <w:szCs w:val="24"/>
        </w:rPr>
        <w:t>自投标截止日起</w:t>
      </w:r>
      <w:r>
        <w:rPr>
          <w:rFonts w:hint="eastAsia" w:ascii="宋体" w:hAnsi="宋体"/>
          <w:szCs w:val="24"/>
          <w:u w:val="single"/>
        </w:rPr>
        <w:t>60</w:t>
      </w:r>
      <w:r>
        <w:rPr>
          <w:rFonts w:ascii="宋体" w:hAnsi="宋体"/>
          <w:szCs w:val="24"/>
        </w:rPr>
        <w:t>天投标</w:t>
      </w:r>
      <w:r>
        <w:rPr>
          <w:rFonts w:hint="eastAsia" w:ascii="宋体" w:hAnsi="宋体"/>
          <w:szCs w:val="24"/>
        </w:rPr>
        <w:t>文件</w:t>
      </w:r>
      <w:r>
        <w:rPr>
          <w:rFonts w:ascii="宋体" w:hAnsi="宋体"/>
          <w:szCs w:val="24"/>
        </w:rPr>
        <w:t>应保持有效。有效期</w:t>
      </w:r>
      <w:r>
        <w:rPr>
          <w:rFonts w:hint="eastAsia" w:ascii="宋体" w:hAnsi="宋体"/>
          <w:szCs w:val="24"/>
        </w:rPr>
        <w:t>不足</w:t>
      </w:r>
      <w:r>
        <w:rPr>
          <w:rFonts w:ascii="宋体" w:hAnsi="宋体"/>
          <w:szCs w:val="24"/>
        </w:rPr>
        <w:t>的投标</w:t>
      </w:r>
      <w:r>
        <w:rPr>
          <w:rFonts w:hint="eastAsia" w:ascii="宋体" w:hAnsi="宋体"/>
          <w:szCs w:val="24"/>
        </w:rPr>
        <w:t>文件</w:t>
      </w:r>
      <w:r>
        <w:rPr>
          <w:rFonts w:ascii="宋体" w:hAnsi="宋体"/>
          <w:szCs w:val="24"/>
        </w:rPr>
        <w:t>将被拒绝。</w:t>
      </w:r>
    </w:p>
    <w:p>
      <w:pPr>
        <w:pStyle w:val="12"/>
        <w:widowControl w:val="0"/>
        <w:numPr>
          <w:ilvl w:val="0"/>
          <w:numId w:val="35"/>
        </w:numPr>
        <w:tabs>
          <w:tab w:val="clear" w:pos="312"/>
          <w:tab w:val="clear" w:pos="454"/>
        </w:tabs>
        <w:snapToGrid w:val="0"/>
        <w:spacing w:afterLines="0" w:line="360" w:lineRule="auto"/>
        <w:ind w:left="0" w:firstLine="480" w:firstLineChars="200"/>
        <w:rPr>
          <w:rFonts w:ascii="宋体" w:hAnsi="宋体"/>
          <w:szCs w:val="24"/>
        </w:rPr>
      </w:pPr>
      <w:r>
        <w:rPr>
          <w:rFonts w:ascii="宋体" w:hAnsi="宋体"/>
          <w:szCs w:val="24"/>
        </w:rPr>
        <w:t>在特殊情况下，招标人可与投标人协商延长投标书的有效期，这种要求和答复均以书面形式进行。</w:t>
      </w:r>
    </w:p>
    <w:p>
      <w:pPr>
        <w:pStyle w:val="12"/>
        <w:widowControl w:val="0"/>
        <w:numPr>
          <w:ilvl w:val="0"/>
          <w:numId w:val="35"/>
        </w:numPr>
        <w:tabs>
          <w:tab w:val="clear" w:pos="312"/>
          <w:tab w:val="clear" w:pos="454"/>
        </w:tabs>
        <w:snapToGrid w:val="0"/>
        <w:spacing w:afterLines="0" w:line="360" w:lineRule="auto"/>
        <w:ind w:left="0" w:firstLine="480" w:firstLineChars="200"/>
        <w:rPr>
          <w:rFonts w:ascii="宋体" w:hAnsi="宋体"/>
          <w:szCs w:val="24"/>
        </w:rPr>
      </w:pPr>
      <w:bookmarkStart w:id="5" w:name="_Toc26731"/>
      <w:r>
        <w:rPr>
          <w:rFonts w:ascii="宋体" w:hAnsi="宋体"/>
          <w:szCs w:val="24"/>
        </w:rPr>
        <w:t>投标人可拒绝接受延期要求。同意延长有效期的投标人不能修改投标文件。</w:t>
      </w:r>
      <w:bookmarkEnd w:id="5"/>
      <w:r>
        <w:rPr>
          <w:rFonts w:ascii="宋体" w:hAnsi="宋体"/>
          <w:szCs w:val="24"/>
        </w:rPr>
        <w:t xml:space="preserve">  </w:t>
      </w:r>
    </w:p>
    <w:p>
      <w:pPr>
        <w:snapToGrid w:val="0"/>
        <w:spacing w:line="360" w:lineRule="auto"/>
        <w:ind w:firstLine="480" w:firstLineChars="200"/>
        <w:jc w:val="left"/>
        <w:outlineLvl w:val="0"/>
        <w:rPr>
          <w:rFonts w:hint="eastAsia" w:ascii="宋体" w:hAnsi="宋体"/>
          <w:b/>
          <w:sz w:val="24"/>
        </w:rPr>
      </w:pPr>
      <w:r>
        <w:rPr>
          <w:rFonts w:hint="eastAsia" w:ascii="宋体" w:hAnsi="宋体"/>
          <w:sz w:val="24"/>
        </w:rPr>
        <w:t>4.</w:t>
      </w:r>
      <w:r>
        <w:rPr>
          <w:rFonts w:ascii="宋体" w:hAnsi="宋体"/>
          <w:sz w:val="24"/>
        </w:rPr>
        <w:t>中标人的投标文件自开标之日起至合同履行完毕止均应保持有效。</w:t>
      </w:r>
    </w:p>
    <w:p>
      <w:pPr>
        <w:snapToGrid w:val="0"/>
        <w:spacing w:before="120" w:beforeLines="50" w:line="360" w:lineRule="auto"/>
        <w:ind w:firstLine="472" w:firstLineChars="196"/>
        <w:jc w:val="left"/>
        <w:outlineLvl w:val="0"/>
        <w:rPr>
          <w:rFonts w:ascii="宋体" w:hAnsi="宋体"/>
          <w:b/>
          <w:sz w:val="24"/>
          <w:szCs w:val="20"/>
        </w:rPr>
      </w:pPr>
      <w:r>
        <w:rPr>
          <w:rFonts w:hint="eastAsia" w:ascii="宋体" w:hAnsi="宋体"/>
          <w:b/>
          <w:sz w:val="24"/>
        </w:rPr>
        <w:t>（五）投标文件的签署和份数</w:t>
      </w:r>
    </w:p>
    <w:p>
      <w:pPr>
        <w:snapToGrid w:val="0"/>
        <w:spacing w:line="312" w:lineRule="auto"/>
        <w:ind w:firstLine="480" w:firstLineChars="200"/>
        <w:jc w:val="left"/>
        <w:rPr>
          <w:rFonts w:hint="eastAsia" w:ascii="宋体" w:hAnsi="宋体"/>
          <w:b/>
          <w:bCs/>
          <w:sz w:val="24"/>
        </w:rPr>
      </w:pPr>
      <w:r>
        <w:rPr>
          <w:rFonts w:ascii="宋体" w:hAnsi="宋体"/>
          <w:sz w:val="24"/>
        </w:rPr>
        <w:t>1</w:t>
      </w:r>
      <w:r>
        <w:rPr>
          <w:rFonts w:hint="eastAsia" w:ascii="宋体" w:hAnsi="宋体"/>
          <w:sz w:val="24"/>
        </w:rPr>
        <w:t>.</w:t>
      </w:r>
      <w:r>
        <w:rPr>
          <w:rFonts w:ascii="宋体" w:hAnsi="宋体"/>
          <w:sz w:val="24"/>
        </w:rPr>
        <w:t>1</w:t>
      </w:r>
      <w:r>
        <w:rPr>
          <w:rFonts w:hint="eastAsia" w:ascii="宋体" w:hAnsi="宋体"/>
          <w:sz w:val="24"/>
        </w:rPr>
        <w:t>.投标人应认真阅读招标文件所有内容，按</w:t>
      </w:r>
      <w:r>
        <w:rPr>
          <w:rFonts w:ascii="宋体" w:hAnsi="宋体"/>
          <w:sz w:val="24"/>
        </w:rPr>
        <w:t>本招标文件规定的</w:t>
      </w:r>
      <w:r>
        <w:rPr>
          <w:rFonts w:hint="eastAsia" w:ascii="宋体" w:hAnsi="宋体"/>
          <w:sz w:val="24"/>
        </w:rPr>
        <w:t>要求、编制</w:t>
      </w:r>
      <w:r>
        <w:rPr>
          <w:rFonts w:ascii="宋体" w:hAnsi="宋体"/>
          <w:sz w:val="24"/>
        </w:rPr>
        <w:t>顺序</w:t>
      </w:r>
      <w:r>
        <w:rPr>
          <w:rFonts w:hint="eastAsia" w:ascii="宋体" w:hAnsi="宋体"/>
          <w:sz w:val="24"/>
        </w:rPr>
        <w:t>和统一</w:t>
      </w:r>
      <w:r>
        <w:rPr>
          <w:rFonts w:ascii="宋体" w:hAnsi="宋体"/>
          <w:sz w:val="24"/>
        </w:rPr>
        <w:t>格式编制投标文件</w:t>
      </w:r>
      <w:r>
        <w:rPr>
          <w:rFonts w:hint="eastAsia" w:ascii="宋体" w:hAnsi="宋体"/>
          <w:sz w:val="24"/>
        </w:rPr>
        <w:t>并标注页码</w:t>
      </w:r>
      <w:r>
        <w:rPr>
          <w:rFonts w:ascii="宋体" w:hAnsi="宋体"/>
          <w:sz w:val="24"/>
        </w:rPr>
        <w:t>，</w:t>
      </w:r>
      <w:r>
        <w:rPr>
          <w:rFonts w:hint="eastAsia" w:ascii="宋体" w:hAnsi="宋体"/>
          <w:b/>
          <w:bCs/>
          <w:sz w:val="24"/>
        </w:rPr>
        <w:t>电子投标文件须根据评分标准进行关联定位。</w:t>
      </w:r>
      <w:r>
        <w:rPr>
          <w:rFonts w:ascii="宋体" w:hAnsi="宋体"/>
          <w:sz w:val="24"/>
        </w:rPr>
        <w:t>投标文件</w:t>
      </w:r>
      <w:r>
        <w:rPr>
          <w:rFonts w:hint="eastAsia" w:ascii="宋体" w:hAnsi="宋体"/>
          <w:sz w:val="24"/>
        </w:rPr>
        <w:t>因</w:t>
      </w:r>
      <w:r>
        <w:rPr>
          <w:rFonts w:ascii="宋体" w:hAnsi="宋体"/>
          <w:sz w:val="24"/>
        </w:rPr>
        <w:t>内容不完整、编排混乱</w:t>
      </w:r>
      <w:r>
        <w:rPr>
          <w:rFonts w:hint="eastAsia" w:ascii="宋体" w:hAnsi="宋体"/>
          <w:sz w:val="24"/>
        </w:rPr>
        <w:t>，</w:t>
      </w:r>
      <w:r>
        <w:rPr>
          <w:rFonts w:hint="eastAsia" w:ascii="宋体" w:hAnsi="宋体"/>
          <w:b/>
          <w:bCs/>
          <w:sz w:val="24"/>
        </w:rPr>
        <w:t>或者电子投标文件未按评分标准进行关联定位或者关联定位不准确，</w:t>
      </w:r>
      <w:r>
        <w:rPr>
          <w:rFonts w:ascii="宋体" w:hAnsi="宋体"/>
          <w:sz w:val="24"/>
        </w:rPr>
        <w:t>导致投标文件被误读、漏读或者查找不到相关内容的，是投标人的责任。</w:t>
      </w:r>
      <w:r>
        <w:rPr>
          <w:rFonts w:hint="eastAsia" w:ascii="宋体" w:hAnsi="宋体"/>
          <w:b/>
          <w:sz w:val="24"/>
        </w:rPr>
        <w:t>电子投标文件须</w:t>
      </w:r>
      <w:r>
        <w:rPr>
          <w:rFonts w:hint="eastAsia" w:ascii="宋体" w:hAnsi="宋体"/>
          <w:b/>
          <w:bCs/>
          <w:sz w:val="24"/>
        </w:rPr>
        <w:t>按政采云平台供应商项目采购-电子招投标操作指南</w:t>
      </w:r>
      <w:r>
        <w:rPr>
          <w:rFonts w:hint="eastAsia" w:ascii="宋体" w:hAnsi="宋体"/>
          <w:b/>
          <w:sz w:val="24"/>
        </w:rPr>
        <w:t>及本招标文件要求制作和加密。</w:t>
      </w:r>
      <w:r>
        <w:rPr>
          <w:rFonts w:hint="eastAsia" w:ascii="宋体" w:hAnsi="宋体"/>
          <w:b/>
          <w:bCs/>
          <w:sz w:val="24"/>
        </w:rPr>
        <w:t>（操作指南下载网址：</w:t>
      </w:r>
    </w:p>
    <w:p>
      <w:pPr>
        <w:snapToGrid w:val="0"/>
        <w:spacing w:line="312" w:lineRule="auto"/>
        <w:jc w:val="left"/>
        <w:rPr>
          <w:rFonts w:hint="eastAsia" w:ascii="宋体" w:hAnsi="宋体"/>
          <w:b/>
          <w:bCs/>
          <w:sz w:val="24"/>
        </w:rPr>
      </w:pPr>
      <w:r>
        <w:rPr>
          <w:rFonts w:hint="eastAsia" w:ascii="宋体" w:hAnsi="宋体"/>
          <w:b/>
          <w:bCs/>
          <w:sz w:val="24"/>
        </w:rPr>
        <w:t>https://help.zcygov.cn/web/site_2/2018/12-28/2573.html）</w:t>
      </w:r>
    </w:p>
    <w:p>
      <w:pPr>
        <w:snapToGrid w:val="0"/>
        <w:spacing w:line="312" w:lineRule="auto"/>
        <w:ind w:firstLine="482" w:firstLineChars="200"/>
        <w:jc w:val="left"/>
        <w:rPr>
          <w:rFonts w:hint="eastAsia" w:ascii="宋体" w:hAnsi="宋体"/>
          <w:b/>
          <w:bCs/>
          <w:sz w:val="24"/>
        </w:rPr>
      </w:pPr>
      <w:r>
        <w:rPr>
          <w:rFonts w:hint="eastAsia" w:ascii="宋体" w:hAnsi="宋体"/>
          <w:b/>
          <w:bCs/>
          <w:sz w:val="24"/>
        </w:rPr>
        <w:t>2.电子投标文件（包括资格响应文件、报价要求响应文件、商务技术响应文件）中招标文件要求加盖公章的部分均采用CA签章。电子投标文件的封面格式详见附件1。</w:t>
      </w:r>
    </w:p>
    <w:p>
      <w:pPr>
        <w:snapToGrid w:val="0"/>
        <w:spacing w:line="312" w:lineRule="auto"/>
        <w:ind w:firstLine="482" w:firstLineChars="200"/>
        <w:jc w:val="left"/>
        <w:rPr>
          <w:rFonts w:hint="eastAsia" w:ascii="宋体" w:hAnsi="宋体"/>
          <w:b/>
          <w:bCs/>
          <w:sz w:val="24"/>
        </w:rPr>
      </w:pPr>
      <w:r>
        <w:rPr>
          <w:rFonts w:hint="eastAsia" w:ascii="宋体" w:hAnsi="宋体"/>
          <w:b/>
          <w:bCs/>
          <w:sz w:val="24"/>
        </w:rPr>
        <w:t>3.中标方在领取中标通知书前，须向金华市公共资源交易中心东阳分中心提供纸质投标文件；中标方须提供</w:t>
      </w:r>
      <w:r>
        <w:rPr>
          <w:rFonts w:hint="eastAsia" w:ascii="宋体" w:hAnsi="宋体"/>
          <w:sz w:val="24"/>
        </w:rPr>
        <w:t>资格响应文件、报价要求响应文件、商务技术响应文件</w:t>
      </w:r>
      <w:r>
        <w:rPr>
          <w:rFonts w:hint="eastAsia" w:ascii="宋体" w:hAnsi="宋体"/>
          <w:b/>
          <w:bCs/>
          <w:sz w:val="24"/>
        </w:rPr>
        <w:t>正本各1份、副本各2份，分别编制并单独装订成册；封面应注明“正本”、“副本”字样。（递交或邮寄地址：浙江省东阳市艺海北路388号东阳市行政服务中心B幢西区14楼，金华市公共资源交易中心东阳分中心；电话：0579-86691729）</w:t>
      </w:r>
    </w:p>
    <w:p>
      <w:pPr>
        <w:snapToGrid w:val="0"/>
        <w:spacing w:line="360" w:lineRule="auto"/>
        <w:ind w:firstLine="480" w:firstLineChars="200"/>
        <w:jc w:val="left"/>
        <w:rPr>
          <w:rFonts w:ascii="宋体" w:hAnsi="宋体"/>
          <w:sz w:val="24"/>
        </w:rPr>
      </w:pPr>
      <w:r>
        <w:rPr>
          <w:rFonts w:hint="eastAsia" w:ascii="宋体" w:hAnsi="宋体"/>
          <w:sz w:val="24"/>
        </w:rPr>
        <w:t>4.</w:t>
      </w:r>
      <w:r>
        <w:rPr>
          <w:rFonts w:ascii="宋体" w:hAnsi="宋体"/>
          <w:sz w:val="24"/>
        </w:rPr>
        <w:t>投标文件</w:t>
      </w:r>
      <w:r>
        <w:rPr>
          <w:rFonts w:hint="eastAsia" w:ascii="宋体" w:hAnsi="宋体"/>
          <w:sz w:val="24"/>
        </w:rPr>
        <w:t>纸质版本</w:t>
      </w:r>
      <w:r>
        <w:rPr>
          <w:rFonts w:ascii="宋体" w:hAnsi="宋体"/>
          <w:sz w:val="24"/>
        </w:rPr>
        <w:t>需打印或用不褪色的墨水填写，投标文件</w:t>
      </w:r>
      <w:r>
        <w:rPr>
          <w:rFonts w:hint="eastAsia" w:ascii="宋体" w:hAnsi="宋体"/>
          <w:sz w:val="24"/>
        </w:rPr>
        <w:t>纸质版本</w:t>
      </w:r>
      <w:r>
        <w:rPr>
          <w:rFonts w:ascii="宋体" w:hAnsi="宋体"/>
          <w:sz w:val="24"/>
        </w:rPr>
        <w:t>正本除本</w:t>
      </w:r>
      <w:r>
        <w:rPr>
          <w:rFonts w:hint="eastAsia" w:ascii="宋体" w:hAnsi="宋体"/>
          <w:sz w:val="24"/>
        </w:rPr>
        <w:t>《</w:t>
      </w:r>
      <w:r>
        <w:rPr>
          <w:rFonts w:ascii="宋体" w:hAnsi="宋体"/>
          <w:sz w:val="24"/>
        </w:rPr>
        <w:t>投标人须知</w:t>
      </w:r>
      <w:r>
        <w:rPr>
          <w:rFonts w:hint="eastAsia" w:ascii="宋体" w:hAnsi="宋体"/>
          <w:sz w:val="24"/>
        </w:rPr>
        <w:t>》</w:t>
      </w:r>
      <w:r>
        <w:rPr>
          <w:rFonts w:ascii="宋体" w:hAnsi="宋体"/>
          <w:sz w:val="24"/>
        </w:rPr>
        <w:t>中规定的可提供复印件外均须提供原件。副本</w:t>
      </w:r>
      <w:r>
        <w:rPr>
          <w:rFonts w:hint="eastAsia" w:ascii="宋体" w:hAnsi="宋体"/>
          <w:sz w:val="24"/>
        </w:rPr>
        <w:t>可</w:t>
      </w:r>
      <w:r>
        <w:rPr>
          <w:rFonts w:ascii="宋体" w:hAnsi="宋体"/>
          <w:sz w:val="24"/>
        </w:rPr>
        <w:t>为正本的复印件。</w:t>
      </w:r>
    </w:p>
    <w:p>
      <w:pPr>
        <w:snapToGrid w:val="0"/>
        <w:spacing w:line="360" w:lineRule="auto"/>
        <w:ind w:firstLine="482" w:firstLineChars="200"/>
        <w:jc w:val="left"/>
        <w:rPr>
          <w:rFonts w:ascii="宋体" w:hAnsi="宋体"/>
          <w:b/>
          <w:sz w:val="24"/>
        </w:rPr>
      </w:pPr>
      <w:r>
        <w:rPr>
          <w:rFonts w:hint="eastAsia" w:ascii="宋体" w:hAnsi="宋体"/>
          <w:b/>
          <w:sz w:val="24"/>
        </w:rPr>
        <w:t>5. 招标</w:t>
      </w:r>
      <w:r>
        <w:rPr>
          <w:rFonts w:ascii="宋体" w:hAnsi="宋体"/>
          <w:b/>
          <w:sz w:val="24"/>
        </w:rPr>
        <w:t>文件</w:t>
      </w:r>
      <w:r>
        <w:rPr>
          <w:rFonts w:hint="eastAsia" w:ascii="宋体" w:hAnsi="宋体"/>
          <w:b/>
          <w:sz w:val="24"/>
        </w:rPr>
        <w:t>对签字、盖章有特别要求的地方，纸质版本投标文件无论正本或副本（副本可以是正本的复印件）必须</w:t>
      </w:r>
      <w:r>
        <w:rPr>
          <w:rFonts w:ascii="宋体" w:hAnsi="宋体"/>
          <w:b/>
          <w:sz w:val="24"/>
        </w:rPr>
        <w:t>由投标人法定代表人或法定代表</w:t>
      </w:r>
      <w:r>
        <w:rPr>
          <w:rFonts w:hint="eastAsia" w:ascii="宋体" w:hAnsi="宋体"/>
          <w:b/>
          <w:sz w:val="24"/>
        </w:rPr>
        <w:t>人的</w:t>
      </w:r>
      <w:r>
        <w:rPr>
          <w:rFonts w:ascii="宋体" w:hAnsi="宋体"/>
          <w:b/>
          <w:sz w:val="24"/>
        </w:rPr>
        <w:t>授权</w:t>
      </w:r>
      <w:r>
        <w:rPr>
          <w:rFonts w:hint="eastAsia" w:ascii="宋体" w:hAnsi="宋体"/>
          <w:b/>
          <w:sz w:val="24"/>
        </w:rPr>
        <w:t>委托</w:t>
      </w:r>
      <w:r>
        <w:rPr>
          <w:rFonts w:ascii="宋体" w:hAnsi="宋体"/>
          <w:b/>
          <w:sz w:val="24"/>
        </w:rPr>
        <w:t>人签署</w:t>
      </w:r>
      <w:r>
        <w:rPr>
          <w:rFonts w:hint="eastAsia" w:ascii="宋体" w:hAnsi="宋体"/>
          <w:b/>
          <w:sz w:val="24"/>
        </w:rPr>
        <w:t>并加盖单位公章。</w:t>
      </w:r>
      <w:r>
        <w:rPr>
          <w:rFonts w:hint="eastAsia" w:ascii="宋体" w:hAnsi="宋体"/>
          <w:b/>
          <w:bCs/>
          <w:sz w:val="24"/>
        </w:rPr>
        <w:t>电子投标文件中有签字要求的部分，投标人可以将签字后的扫描件上传至政采云系统，有</w:t>
      </w:r>
      <w:r>
        <w:rPr>
          <w:rFonts w:hint="eastAsia" w:ascii="宋体" w:hAnsi="宋体"/>
          <w:b/>
          <w:sz w:val="24"/>
        </w:rPr>
        <w:t>盖章要求的部分，</w:t>
      </w:r>
      <w:r>
        <w:rPr>
          <w:rFonts w:hint="eastAsia" w:ascii="宋体" w:hAnsi="宋体"/>
          <w:b/>
          <w:bCs/>
          <w:sz w:val="24"/>
        </w:rPr>
        <w:t>要求采用CA签章。</w:t>
      </w:r>
      <w:r>
        <w:rPr>
          <w:rFonts w:ascii="宋体" w:hAnsi="宋体"/>
          <w:b/>
          <w:sz w:val="24"/>
        </w:rPr>
        <w:t>投标人应写全称。</w:t>
      </w:r>
    </w:p>
    <w:p>
      <w:pPr>
        <w:snapToGrid w:val="0"/>
        <w:spacing w:line="360" w:lineRule="auto"/>
        <w:ind w:firstLine="480" w:firstLineChars="200"/>
        <w:jc w:val="left"/>
        <w:rPr>
          <w:rFonts w:hint="eastAsia" w:ascii="宋体" w:hAnsi="宋体"/>
          <w:sz w:val="24"/>
        </w:rPr>
      </w:pPr>
      <w:r>
        <w:rPr>
          <w:rFonts w:hint="eastAsia" w:ascii="宋体" w:hAnsi="宋体"/>
          <w:sz w:val="24"/>
        </w:rPr>
        <w:t>6.</w:t>
      </w:r>
      <w:r>
        <w:rPr>
          <w:rFonts w:hint="eastAsia" w:ascii="宋体" w:hAnsi="宋体"/>
          <w:b/>
          <w:sz w:val="24"/>
        </w:rPr>
        <w:t>纸质投标文件须与</w:t>
      </w:r>
      <w:r>
        <w:rPr>
          <w:rFonts w:hint="eastAsia" w:ascii="宋体" w:hAnsi="宋体"/>
          <w:sz w:val="24"/>
        </w:rPr>
        <w:t>电子投标文件保持一致。如有篡改，一经发现，将被列入不良行为。</w:t>
      </w:r>
    </w:p>
    <w:p>
      <w:pPr>
        <w:snapToGrid w:val="0"/>
        <w:spacing w:before="120" w:beforeLines="50" w:line="360" w:lineRule="auto"/>
        <w:jc w:val="left"/>
        <w:rPr>
          <w:rFonts w:hint="eastAsia" w:ascii="宋体" w:hAnsi="宋体"/>
          <w:b/>
          <w:sz w:val="24"/>
        </w:rPr>
      </w:pPr>
      <w:r>
        <w:rPr>
          <w:rFonts w:hint="eastAsia" w:ascii="宋体" w:hAnsi="宋体"/>
          <w:b/>
          <w:sz w:val="24"/>
        </w:rPr>
        <w:t>（六）投标文件的递交、修改和撤回</w:t>
      </w:r>
    </w:p>
    <w:p>
      <w:pPr>
        <w:snapToGrid w:val="0"/>
        <w:spacing w:before="120" w:beforeLines="50" w:after="120" w:afterLines="50" w:line="312" w:lineRule="auto"/>
        <w:ind w:firstLine="482" w:firstLineChars="200"/>
        <w:outlineLvl w:val="1"/>
        <w:rPr>
          <w:rFonts w:hint="eastAsia" w:ascii="宋体" w:hAnsi="宋体"/>
          <w:b/>
          <w:bCs/>
          <w:sz w:val="24"/>
        </w:rPr>
      </w:pPr>
      <w:r>
        <w:rPr>
          <w:rFonts w:hint="eastAsia" w:ascii="宋体" w:hAnsi="宋体"/>
          <w:b/>
          <w:bCs/>
          <w:sz w:val="24"/>
        </w:rPr>
        <w:t>1、电子投标文件按政采云平台供应商项目采购-电子招投标操作指南（网址：</w:t>
      </w:r>
      <w:r>
        <w:rPr>
          <w:rFonts w:ascii="宋体" w:hAnsi="宋体"/>
          <w:b/>
          <w:bCs/>
          <w:sz w:val="24"/>
        </w:rPr>
        <w:fldChar w:fldCharType="begin"/>
      </w:r>
      <w:r>
        <w:rPr>
          <w:rFonts w:ascii="宋体" w:hAnsi="宋体"/>
          <w:b/>
          <w:bCs/>
          <w:sz w:val="24"/>
        </w:rPr>
        <w:instrText xml:space="preserve"> HYPERLINK "https://help.zcygov.cn/web/site_2/2018/12-28/2573.html）及本招标文件规定的的要求、编制顺序和统一格式编制电子投标文件并进行关联定位。" </w:instrText>
      </w:r>
      <w:r>
        <w:rPr>
          <w:rFonts w:ascii="宋体" w:hAnsi="宋体"/>
          <w:b/>
          <w:bCs/>
          <w:sz w:val="24"/>
        </w:rPr>
        <w:fldChar w:fldCharType="separate"/>
      </w:r>
      <w:r>
        <w:rPr>
          <w:rStyle w:val="49"/>
          <w:rFonts w:ascii="宋体" w:hAnsi="宋体"/>
          <w:b/>
          <w:bCs/>
          <w:color w:val="auto"/>
          <w:sz w:val="24"/>
        </w:rPr>
        <w:t>https://help.zcygov.cn/web/site_2/2018/12-28/2573.html</w:t>
      </w:r>
      <w:r>
        <w:rPr>
          <w:rStyle w:val="49"/>
          <w:rFonts w:hint="eastAsia" w:ascii="宋体" w:hAnsi="宋体"/>
          <w:b/>
          <w:bCs/>
          <w:color w:val="auto"/>
          <w:sz w:val="24"/>
        </w:rPr>
        <w:t>）及本招标文件规定的</w:t>
      </w:r>
      <w:r>
        <w:rPr>
          <w:rStyle w:val="49"/>
          <w:rFonts w:ascii="宋体" w:hAnsi="宋体"/>
          <w:b/>
          <w:bCs/>
          <w:color w:val="auto"/>
          <w:sz w:val="24"/>
        </w:rPr>
        <w:t>的</w:t>
      </w:r>
      <w:r>
        <w:rPr>
          <w:rStyle w:val="49"/>
          <w:rFonts w:hint="eastAsia" w:ascii="宋体" w:hAnsi="宋体"/>
          <w:b/>
          <w:bCs/>
          <w:color w:val="auto"/>
          <w:sz w:val="24"/>
        </w:rPr>
        <w:t>要求、编制</w:t>
      </w:r>
      <w:r>
        <w:rPr>
          <w:rStyle w:val="49"/>
          <w:rFonts w:ascii="宋体" w:hAnsi="宋体"/>
          <w:b/>
          <w:bCs/>
          <w:color w:val="auto"/>
          <w:sz w:val="24"/>
        </w:rPr>
        <w:t>顺序</w:t>
      </w:r>
      <w:r>
        <w:rPr>
          <w:rStyle w:val="49"/>
          <w:rFonts w:hint="eastAsia" w:ascii="宋体" w:hAnsi="宋体"/>
          <w:b/>
          <w:bCs/>
          <w:color w:val="auto"/>
          <w:sz w:val="24"/>
        </w:rPr>
        <w:t>和统一</w:t>
      </w:r>
      <w:r>
        <w:rPr>
          <w:rStyle w:val="49"/>
          <w:rFonts w:ascii="宋体" w:hAnsi="宋体"/>
          <w:b/>
          <w:bCs/>
          <w:color w:val="auto"/>
          <w:sz w:val="24"/>
        </w:rPr>
        <w:t>格式</w:t>
      </w:r>
      <w:r>
        <w:rPr>
          <w:rStyle w:val="49"/>
          <w:rFonts w:hint="eastAsia" w:ascii="宋体" w:hAnsi="宋体"/>
          <w:b/>
          <w:bCs/>
          <w:color w:val="auto"/>
          <w:sz w:val="24"/>
        </w:rPr>
        <w:t>编制电子投标文件并进行关联定位。</w:t>
      </w:r>
      <w:r>
        <w:rPr>
          <w:rFonts w:ascii="宋体" w:hAnsi="宋体"/>
          <w:b/>
          <w:bCs/>
          <w:sz w:val="24"/>
        </w:rPr>
        <w:fldChar w:fldCharType="end"/>
      </w:r>
    </w:p>
    <w:p>
      <w:pPr>
        <w:snapToGrid w:val="0"/>
        <w:spacing w:line="312" w:lineRule="auto"/>
        <w:ind w:firstLine="480" w:firstLineChars="200"/>
        <w:jc w:val="left"/>
        <w:rPr>
          <w:rFonts w:hint="eastAsia" w:ascii="宋体" w:hAnsi="宋体"/>
          <w:b/>
          <w:sz w:val="24"/>
        </w:rPr>
      </w:pP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pPr>
        <w:autoSpaceDE w:val="0"/>
        <w:autoSpaceDN w:val="0"/>
        <w:adjustRightInd w:val="0"/>
        <w:snapToGrid w:val="0"/>
        <w:spacing w:line="312" w:lineRule="auto"/>
        <w:ind w:firstLine="482" w:firstLineChars="200"/>
        <w:rPr>
          <w:rFonts w:hint="eastAsia" w:ascii="宋体" w:hAnsi="宋体"/>
          <w:sz w:val="24"/>
        </w:rPr>
      </w:pPr>
      <w:r>
        <w:rPr>
          <w:rFonts w:hint="eastAsia" w:ascii="宋体" w:hAnsi="宋体"/>
          <w:b/>
          <w:sz w:val="24"/>
        </w:rPr>
        <w:t>2、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pPr>
        <w:snapToGrid w:val="0"/>
        <w:spacing w:before="120" w:beforeLines="50" w:after="120" w:afterLines="50" w:line="312" w:lineRule="auto"/>
        <w:ind w:firstLine="482" w:firstLineChars="200"/>
        <w:outlineLvl w:val="1"/>
        <w:rPr>
          <w:rFonts w:hint="eastAsia" w:ascii="宋体" w:hAnsi="宋体"/>
          <w:b/>
          <w:bCs/>
          <w:sz w:val="24"/>
        </w:rPr>
      </w:pPr>
      <w:r>
        <w:rPr>
          <w:rFonts w:hint="eastAsia" w:ascii="宋体" w:hAnsi="宋体"/>
          <w:b/>
          <w:bCs/>
          <w:sz w:val="24"/>
        </w:rPr>
        <w:t xml:space="preserve">3、投标人可以在投标截止时间前将电子备份投标文件（经政采云电子交易客户端和CA驱动制作出的后缀名为“bfbs”的加密电子备份投标文件）发送至邮箱：1046387519@qq.com，逾期发送或发错后缀名的电子备份投标文件将被视为无效；电子备份投标文件的提交不作强制性要求。电子备份投标文件的递交截止时间：投标人应当在2020年 </w:t>
      </w:r>
      <w:r>
        <w:rPr>
          <w:rFonts w:hint="eastAsia" w:ascii="宋体" w:hAnsi="宋体"/>
          <w:b/>
          <w:bCs/>
          <w:sz w:val="24"/>
          <w:lang w:val="en-US" w:eastAsia="zh-CN"/>
        </w:rPr>
        <w:t>1</w:t>
      </w:r>
      <w:r>
        <w:rPr>
          <w:rFonts w:hint="eastAsia" w:ascii="宋体" w:hAnsi="宋体"/>
          <w:b/>
          <w:bCs/>
          <w:sz w:val="24"/>
        </w:rPr>
        <w:t>月</w:t>
      </w:r>
      <w:r>
        <w:rPr>
          <w:rFonts w:hint="eastAsia" w:ascii="宋体" w:hAnsi="宋体"/>
          <w:b/>
          <w:bCs/>
          <w:sz w:val="24"/>
          <w:lang w:val="en-US" w:eastAsia="zh-CN"/>
        </w:rPr>
        <w:t>2</w:t>
      </w:r>
      <w:r>
        <w:rPr>
          <w:rFonts w:hint="eastAsia" w:ascii="宋体" w:hAnsi="宋体"/>
          <w:b/>
          <w:bCs/>
          <w:sz w:val="24"/>
          <w:lang w:val="en-US" w:eastAsia="zh-CN"/>
        </w:rPr>
        <w:t>1</w:t>
      </w:r>
      <w:r>
        <w:rPr>
          <w:rFonts w:hint="eastAsia" w:ascii="宋体" w:hAnsi="宋体"/>
          <w:b/>
          <w:bCs/>
          <w:sz w:val="24"/>
        </w:rPr>
        <w:t>日9：00时前，逾期未递交的视为自动放弃递交电子备份投标文件。</w:t>
      </w:r>
    </w:p>
    <w:p>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4、未按规定上传的电子投标文件将被拒绝，由此造成投标文件解密失败或被误投的风险由投标人承担。</w:t>
      </w:r>
    </w:p>
    <w:p>
      <w:pPr>
        <w:spacing w:line="480" w:lineRule="exact"/>
        <w:ind w:firstLine="482" w:firstLineChars="200"/>
        <w:rPr>
          <w:rFonts w:hint="eastAsia"/>
          <w:sz w:val="24"/>
        </w:rPr>
      </w:pPr>
      <w:r>
        <w:rPr>
          <w:rFonts w:hint="eastAsia" w:ascii="宋体" w:hAnsi="宋体"/>
          <w:b/>
          <w:bCs/>
          <w:sz w:val="24"/>
        </w:rPr>
        <w:t>5、</w:t>
      </w:r>
      <w:r>
        <w:rPr>
          <w:rFonts w:hint="eastAsia"/>
          <w:b/>
          <w:bCs/>
          <w:sz w:val="24"/>
        </w:rPr>
        <w:t xml:space="preserve"> </w:t>
      </w: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计算机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p>
      <w:pPr>
        <w:spacing w:line="480" w:lineRule="exact"/>
        <w:ind w:firstLine="482" w:firstLineChars="200"/>
        <w:rPr>
          <w:rFonts w:hint="eastAsia"/>
          <w:b/>
          <w:bCs/>
          <w:sz w:val="24"/>
        </w:rPr>
      </w:pPr>
      <w:r>
        <w:rPr>
          <w:rFonts w:hint="eastAsia" w:ascii="宋体" w:hAnsi="宋体"/>
          <w:b/>
          <w:bCs/>
          <w:sz w:val="24"/>
        </w:rPr>
        <w:t>6、电子投标文件无法解密或解密失败时，投标人提供了电子备份投标文件的，以电子备份投标文件作为评审依据；否则视为投标文件无效。投标文件已按时解密的，电子备份投标文件自动失效。</w:t>
      </w:r>
    </w:p>
    <w:p>
      <w:pPr>
        <w:snapToGrid w:val="0"/>
        <w:spacing w:line="360" w:lineRule="auto"/>
        <w:ind w:firstLine="480" w:firstLineChars="200"/>
        <w:jc w:val="left"/>
        <w:rPr>
          <w:rFonts w:hint="eastAsia" w:ascii="宋体" w:hAnsi="宋体"/>
          <w:sz w:val="24"/>
        </w:rPr>
      </w:pPr>
      <w:r>
        <w:rPr>
          <w:rFonts w:hint="eastAsia" w:ascii="宋体" w:hAnsi="宋体"/>
          <w:sz w:val="24"/>
        </w:rPr>
        <w:t>7、投标截止时间后，投标人不得撤回、修改投标文件。修改后重新递交的投标文件应当按本招标文件的要求签署、盖章。</w:t>
      </w:r>
    </w:p>
    <w:p>
      <w:pPr>
        <w:snapToGrid w:val="0"/>
        <w:spacing w:before="120" w:beforeLines="50" w:line="360" w:lineRule="auto"/>
        <w:ind w:firstLine="472" w:firstLineChars="196"/>
        <w:outlineLvl w:val="2"/>
        <w:rPr>
          <w:rFonts w:ascii="宋体" w:hAnsi="宋体"/>
          <w:b/>
          <w:sz w:val="24"/>
        </w:rPr>
      </w:pPr>
      <w:r>
        <w:rPr>
          <w:rFonts w:hint="eastAsia" w:ascii="宋体" w:hAnsi="宋体"/>
          <w:b/>
          <w:sz w:val="24"/>
        </w:rPr>
        <w:t>（七）投标无效的情形</w:t>
      </w:r>
    </w:p>
    <w:p>
      <w:pPr>
        <w:snapToGrid w:val="0"/>
        <w:spacing w:line="312" w:lineRule="auto"/>
        <w:ind w:firstLine="470" w:firstLineChars="196"/>
        <w:rPr>
          <w:rFonts w:hint="eastAsia" w:ascii="宋体" w:hAnsi="宋体"/>
          <w:sz w:val="24"/>
        </w:rPr>
      </w:pPr>
      <w:r>
        <w:rPr>
          <w:rFonts w:hint="eastAsia" w:ascii="宋体" w:hAnsi="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pPr>
        <w:snapToGrid w:val="0"/>
        <w:spacing w:line="312" w:lineRule="auto"/>
        <w:ind w:firstLine="472" w:firstLineChars="196"/>
        <w:rPr>
          <w:rFonts w:ascii="宋体" w:hAnsi="宋体"/>
          <w:b/>
          <w:sz w:val="24"/>
        </w:rPr>
      </w:pPr>
      <w:r>
        <w:rPr>
          <w:rFonts w:hint="eastAsia" w:ascii="宋体" w:hAnsi="宋体"/>
          <w:b/>
          <w:sz w:val="24"/>
        </w:rPr>
        <w:t>1.有下列情形之一的，视为投标人串通投标，其投标无效：</w:t>
      </w:r>
    </w:p>
    <w:p>
      <w:pPr>
        <w:snapToGrid w:val="0"/>
        <w:spacing w:line="312" w:lineRule="auto"/>
        <w:ind w:firstLine="470" w:firstLineChars="196"/>
        <w:rPr>
          <w:rFonts w:hint="eastAsia" w:ascii="宋体" w:hAnsi="宋体"/>
          <w:sz w:val="24"/>
        </w:rPr>
      </w:pPr>
      <w:r>
        <w:rPr>
          <w:rFonts w:hint="eastAsia" w:ascii="宋体" w:hAnsi="宋体"/>
          <w:sz w:val="24"/>
        </w:rPr>
        <w:t>A.不同投标人的投标文件由同一单位或者个人编制；</w:t>
      </w:r>
    </w:p>
    <w:p>
      <w:pPr>
        <w:snapToGrid w:val="0"/>
        <w:spacing w:line="312" w:lineRule="auto"/>
        <w:ind w:firstLine="470" w:firstLineChars="196"/>
        <w:rPr>
          <w:rFonts w:hint="eastAsia" w:ascii="宋体" w:hAnsi="宋体"/>
          <w:sz w:val="24"/>
        </w:rPr>
      </w:pPr>
      <w:r>
        <w:rPr>
          <w:rFonts w:hint="eastAsia" w:ascii="宋体" w:hAnsi="宋体"/>
          <w:sz w:val="24"/>
        </w:rPr>
        <w:t>B.不同投标人委托同一单位或者个人办理投标事宜；</w:t>
      </w:r>
    </w:p>
    <w:p>
      <w:pPr>
        <w:snapToGrid w:val="0"/>
        <w:spacing w:line="312" w:lineRule="auto"/>
        <w:ind w:firstLine="470" w:firstLineChars="196"/>
        <w:rPr>
          <w:rFonts w:hint="eastAsia" w:ascii="宋体" w:hAnsi="宋体"/>
          <w:sz w:val="24"/>
        </w:rPr>
      </w:pPr>
      <w:r>
        <w:rPr>
          <w:rFonts w:hint="eastAsia" w:ascii="宋体" w:hAnsi="宋体"/>
          <w:sz w:val="24"/>
        </w:rPr>
        <w:t>C.不同投标人的投标文件载明的项目管理成员或者联系人员为同一人；</w:t>
      </w:r>
    </w:p>
    <w:p>
      <w:pPr>
        <w:snapToGrid w:val="0"/>
        <w:spacing w:line="312" w:lineRule="auto"/>
        <w:ind w:firstLine="470" w:firstLineChars="196"/>
        <w:rPr>
          <w:rFonts w:hint="eastAsia" w:ascii="宋体" w:hAnsi="宋体"/>
          <w:sz w:val="24"/>
        </w:rPr>
      </w:pPr>
      <w:r>
        <w:rPr>
          <w:rFonts w:hint="eastAsia" w:ascii="宋体" w:hAnsi="宋体"/>
          <w:sz w:val="24"/>
        </w:rPr>
        <w:t xml:space="preserve">D.不同投标人的投标文件异常一致或者投标报价呈规律性差异； </w:t>
      </w:r>
    </w:p>
    <w:p>
      <w:pPr>
        <w:snapToGrid w:val="0"/>
        <w:spacing w:line="312" w:lineRule="auto"/>
        <w:ind w:firstLine="470" w:firstLineChars="196"/>
        <w:rPr>
          <w:rFonts w:hint="eastAsia" w:ascii="宋体" w:hAnsi="宋体"/>
          <w:sz w:val="24"/>
        </w:rPr>
      </w:pPr>
      <w:r>
        <w:rPr>
          <w:rFonts w:hint="eastAsia" w:ascii="宋体" w:hAnsi="宋体"/>
          <w:sz w:val="24"/>
        </w:rPr>
        <w:t>E.不同投标人的投标文件相互混装；</w:t>
      </w:r>
    </w:p>
    <w:p>
      <w:pPr>
        <w:snapToGrid w:val="0"/>
        <w:spacing w:line="312" w:lineRule="auto"/>
        <w:ind w:firstLine="470" w:firstLineChars="196"/>
        <w:rPr>
          <w:rFonts w:hint="eastAsia" w:ascii="宋体" w:hAnsi="宋体"/>
          <w:sz w:val="24"/>
        </w:rPr>
      </w:pPr>
      <w:r>
        <w:rPr>
          <w:rFonts w:hint="eastAsia" w:ascii="宋体" w:hAnsi="宋体"/>
          <w:sz w:val="24"/>
        </w:rPr>
        <w:t>F.其他严重扰乱招投标程序的。</w:t>
      </w:r>
    </w:p>
    <w:p>
      <w:pPr>
        <w:snapToGrid w:val="0"/>
        <w:spacing w:line="360" w:lineRule="auto"/>
        <w:ind w:firstLine="472" w:firstLineChars="196"/>
        <w:rPr>
          <w:rFonts w:ascii="宋体" w:hAnsi="宋体"/>
          <w:b/>
          <w:bCs/>
          <w:sz w:val="24"/>
        </w:rPr>
      </w:pPr>
      <w:r>
        <w:rPr>
          <w:rFonts w:hint="eastAsia" w:ascii="宋体" w:hAnsi="宋体"/>
          <w:b/>
          <w:bCs/>
          <w:sz w:val="24"/>
        </w:rPr>
        <w:t>2.</w:t>
      </w:r>
      <w:r>
        <w:rPr>
          <w:rFonts w:ascii="宋体" w:hAnsi="宋体"/>
          <w:b/>
          <w:bCs/>
          <w:sz w:val="24"/>
        </w:rPr>
        <w:t>在符合性审查和商务评审时，如发现下列情形之一的，投标文件将被视为无效：</w:t>
      </w:r>
    </w:p>
    <w:p>
      <w:pPr>
        <w:snapToGrid w:val="0"/>
        <w:spacing w:line="360" w:lineRule="auto"/>
        <w:ind w:firstLine="470" w:firstLineChars="196"/>
        <w:rPr>
          <w:rFonts w:hint="eastAsia" w:ascii="宋体" w:hAnsi="宋体"/>
          <w:sz w:val="24"/>
        </w:rPr>
      </w:pPr>
      <w:r>
        <w:rPr>
          <w:rFonts w:hint="eastAsia" w:ascii="宋体" w:hAnsi="宋体"/>
          <w:sz w:val="24"/>
        </w:rPr>
        <w:t>（1）资信及商务标内有商务报价出现的；</w:t>
      </w:r>
    </w:p>
    <w:p>
      <w:pPr>
        <w:snapToGrid w:val="0"/>
        <w:spacing w:line="360" w:lineRule="auto"/>
        <w:ind w:firstLine="470" w:firstLineChars="196"/>
        <w:rPr>
          <w:rFonts w:hint="eastAsia" w:ascii="宋体" w:hAnsi="宋体"/>
          <w:sz w:val="24"/>
        </w:rPr>
      </w:pPr>
      <w:r>
        <w:rPr>
          <w:rFonts w:hint="eastAsia" w:ascii="宋体" w:hAnsi="宋体"/>
          <w:sz w:val="24"/>
        </w:rPr>
        <w:t>（2</w:t>
      </w:r>
      <w:r>
        <w:rPr>
          <w:rFonts w:ascii="宋体" w:hAnsi="宋体"/>
          <w:sz w:val="24"/>
        </w:rPr>
        <w:t>）超出经营范围投标的</w:t>
      </w:r>
      <w:r>
        <w:rPr>
          <w:rFonts w:hint="eastAsia" w:ascii="宋体" w:hAnsi="宋体"/>
          <w:sz w:val="24"/>
        </w:rPr>
        <w:t>；</w:t>
      </w:r>
    </w:p>
    <w:p>
      <w:pPr>
        <w:snapToGrid w:val="0"/>
        <w:spacing w:line="360" w:lineRule="auto"/>
        <w:ind w:firstLine="470" w:firstLineChars="196"/>
        <w:rPr>
          <w:rFonts w:hint="eastAsia" w:ascii="宋体" w:hAnsi="宋体"/>
          <w:sz w:val="24"/>
        </w:rPr>
      </w:pPr>
      <w:r>
        <w:rPr>
          <w:rFonts w:hint="eastAsia" w:ascii="宋体" w:hAnsi="宋体"/>
          <w:sz w:val="24"/>
        </w:rPr>
        <w:t>（3</w:t>
      </w:r>
      <w:r>
        <w:rPr>
          <w:rFonts w:ascii="宋体" w:hAnsi="宋体"/>
          <w:sz w:val="24"/>
        </w:rPr>
        <w:t>）资格证明文件不全的，或者不符合招标文件标明的资格要求的</w:t>
      </w:r>
      <w:r>
        <w:rPr>
          <w:rFonts w:hint="eastAsia" w:ascii="宋体" w:hAnsi="宋体"/>
          <w:sz w:val="24"/>
        </w:rPr>
        <w:t>；</w:t>
      </w:r>
    </w:p>
    <w:p>
      <w:pPr>
        <w:snapToGrid w:val="0"/>
        <w:spacing w:line="360" w:lineRule="auto"/>
        <w:ind w:firstLine="470" w:firstLineChars="196"/>
        <w:rPr>
          <w:rFonts w:hint="eastAsia" w:ascii="宋体" w:hAnsi="宋体"/>
          <w:bCs/>
          <w:kern w:val="0"/>
          <w:sz w:val="24"/>
        </w:rPr>
      </w:pPr>
      <w:r>
        <w:rPr>
          <w:rFonts w:hint="eastAsia" w:ascii="宋体" w:hAnsi="宋体"/>
          <w:sz w:val="24"/>
        </w:rPr>
        <w:t>（4</w:t>
      </w:r>
      <w:r>
        <w:rPr>
          <w:rFonts w:ascii="宋体" w:hAnsi="宋体"/>
          <w:sz w:val="24"/>
        </w:rPr>
        <w:t>）投标文件无法定代表人</w:t>
      </w:r>
      <w:r>
        <w:rPr>
          <w:rFonts w:hint="eastAsia" w:ascii="宋体" w:hAnsi="宋体"/>
          <w:sz w:val="24"/>
        </w:rPr>
        <w:t>（或营业执照上注明的企业负责人）</w:t>
      </w:r>
      <w:r>
        <w:rPr>
          <w:rFonts w:ascii="宋体" w:hAnsi="宋体"/>
          <w:sz w:val="24"/>
        </w:rPr>
        <w:t>签字,或未</w:t>
      </w:r>
      <w:r>
        <w:rPr>
          <w:rFonts w:hint="eastAsia" w:ascii="宋体" w:hAnsi="宋体"/>
          <w:bCs/>
          <w:kern w:val="0"/>
          <w:sz w:val="24"/>
        </w:rPr>
        <w:t>提供法定代表人授权委托书、投标声明书或者填写项目不齐全的；</w:t>
      </w:r>
    </w:p>
    <w:p>
      <w:pPr>
        <w:pStyle w:val="20"/>
        <w:snapToGrid w:val="0"/>
        <w:spacing w:line="360" w:lineRule="auto"/>
        <w:ind w:firstLine="454" w:firstLineChars="196"/>
        <w:rPr>
          <w:rFonts w:hint="eastAsia" w:hAnsi="宋体"/>
          <w:sz w:val="24"/>
        </w:rPr>
      </w:pPr>
      <w:r>
        <w:rPr>
          <w:rFonts w:hAnsi="宋体"/>
          <w:sz w:val="24"/>
          <w:szCs w:val="24"/>
        </w:rPr>
        <w:t>（</w:t>
      </w:r>
      <w:r>
        <w:rPr>
          <w:rFonts w:hint="eastAsia" w:hAnsi="宋体"/>
          <w:snapToGrid w:val="0"/>
          <w:sz w:val="24"/>
          <w:szCs w:val="24"/>
        </w:rPr>
        <w:t>5</w:t>
      </w:r>
      <w:r>
        <w:rPr>
          <w:rFonts w:hAnsi="宋体"/>
          <w:snapToGrid w:val="0"/>
          <w:sz w:val="24"/>
          <w:szCs w:val="24"/>
        </w:rPr>
        <w:t>）</w:t>
      </w:r>
      <w:r>
        <w:rPr>
          <w:rFonts w:hAnsi="宋体"/>
          <w:sz w:val="24"/>
          <w:szCs w:val="24"/>
        </w:rPr>
        <w:t>投标文件格式不规</w:t>
      </w:r>
      <w:r>
        <w:rPr>
          <w:rFonts w:hAnsi="宋体"/>
          <w:sz w:val="24"/>
        </w:rPr>
        <w:t>范、项目不齐全或者内容虚假的</w:t>
      </w:r>
      <w:r>
        <w:rPr>
          <w:rFonts w:hint="eastAsia" w:hAnsi="宋体"/>
          <w:sz w:val="24"/>
        </w:rPr>
        <w:t>；</w:t>
      </w:r>
    </w:p>
    <w:p>
      <w:pPr>
        <w:pStyle w:val="20"/>
        <w:snapToGrid w:val="0"/>
        <w:spacing w:line="360" w:lineRule="auto"/>
        <w:ind w:firstLine="454" w:firstLineChars="196"/>
        <w:rPr>
          <w:rFonts w:hint="eastAsia" w:hAnsi="宋体"/>
          <w:snapToGrid w:val="0"/>
          <w:sz w:val="24"/>
          <w:szCs w:val="24"/>
        </w:rPr>
      </w:pPr>
      <w:r>
        <w:rPr>
          <w:rFonts w:hAnsi="宋体"/>
          <w:sz w:val="24"/>
        </w:rPr>
        <w:t>（</w:t>
      </w:r>
      <w:r>
        <w:rPr>
          <w:rFonts w:hint="eastAsia" w:hAnsi="宋体"/>
          <w:sz w:val="24"/>
        </w:rPr>
        <w:t>6</w:t>
      </w:r>
      <w:r>
        <w:rPr>
          <w:rFonts w:hAnsi="宋体"/>
          <w:sz w:val="24"/>
        </w:rPr>
        <w:t>）投标文件的实质性内容未使用中文表述、意思表述不明确、前后矛盾或者使用计量单位不符合招标文件要求的（经评标委员会认定</w:t>
      </w:r>
      <w:r>
        <w:rPr>
          <w:rFonts w:hint="eastAsia" w:hAnsi="宋体"/>
          <w:sz w:val="24"/>
        </w:rPr>
        <w:t>并</w:t>
      </w:r>
      <w:r>
        <w:rPr>
          <w:rFonts w:hAnsi="宋体"/>
          <w:sz w:val="24"/>
        </w:rPr>
        <w:t>允许其当场更正的笔误除外）</w:t>
      </w:r>
      <w:r>
        <w:rPr>
          <w:rFonts w:hint="eastAsia" w:hAnsi="宋体"/>
          <w:sz w:val="24"/>
        </w:rPr>
        <w:t>；</w:t>
      </w:r>
    </w:p>
    <w:p>
      <w:pPr>
        <w:pStyle w:val="20"/>
        <w:snapToGrid w:val="0"/>
        <w:spacing w:line="360" w:lineRule="auto"/>
        <w:ind w:firstLine="454" w:firstLineChars="196"/>
        <w:rPr>
          <w:rFonts w:hint="eastAsia" w:hAnsi="宋体"/>
          <w:snapToGrid w:val="0"/>
          <w:sz w:val="24"/>
          <w:szCs w:val="24"/>
        </w:rPr>
      </w:pPr>
      <w:r>
        <w:rPr>
          <w:rFonts w:hAnsi="宋体"/>
          <w:snapToGrid w:val="0"/>
          <w:sz w:val="24"/>
          <w:szCs w:val="24"/>
        </w:rPr>
        <w:t>（</w:t>
      </w:r>
      <w:r>
        <w:rPr>
          <w:rFonts w:hint="eastAsia" w:hAnsi="宋体"/>
          <w:snapToGrid w:val="0"/>
          <w:sz w:val="24"/>
          <w:szCs w:val="24"/>
        </w:rPr>
        <w:t>7</w:t>
      </w:r>
      <w:r>
        <w:rPr>
          <w:rFonts w:hAnsi="宋体"/>
          <w:snapToGrid w:val="0"/>
          <w:sz w:val="24"/>
          <w:szCs w:val="24"/>
        </w:rPr>
        <w:t>）投标有效期、交货时间、质保期等商务条款不能满足招标文件要求的</w:t>
      </w:r>
      <w:r>
        <w:rPr>
          <w:rFonts w:hint="eastAsia" w:hAnsi="宋体"/>
          <w:snapToGrid w:val="0"/>
          <w:sz w:val="24"/>
          <w:szCs w:val="24"/>
        </w:rPr>
        <w:t>；</w:t>
      </w:r>
    </w:p>
    <w:p>
      <w:pPr>
        <w:pStyle w:val="20"/>
        <w:snapToGrid w:val="0"/>
        <w:spacing w:line="360" w:lineRule="auto"/>
        <w:ind w:firstLine="454" w:firstLineChars="196"/>
        <w:rPr>
          <w:rFonts w:hint="eastAsia" w:hAnsi="宋体"/>
          <w:snapToGrid w:val="0"/>
          <w:sz w:val="24"/>
          <w:szCs w:val="24"/>
        </w:rPr>
      </w:pPr>
      <w:r>
        <w:rPr>
          <w:rFonts w:hAnsi="宋体"/>
          <w:snapToGrid w:val="0"/>
          <w:sz w:val="24"/>
          <w:szCs w:val="24"/>
        </w:rPr>
        <w:t>（</w:t>
      </w:r>
      <w:r>
        <w:rPr>
          <w:rFonts w:hint="eastAsia" w:hAnsi="宋体"/>
          <w:snapToGrid w:val="0"/>
          <w:sz w:val="24"/>
          <w:szCs w:val="24"/>
        </w:rPr>
        <w:t>8</w:t>
      </w:r>
      <w:r>
        <w:rPr>
          <w:rFonts w:hAnsi="宋体"/>
          <w:snapToGrid w:val="0"/>
          <w:sz w:val="24"/>
          <w:szCs w:val="24"/>
        </w:rPr>
        <w:t>）</w:t>
      </w:r>
      <w:r>
        <w:rPr>
          <w:rFonts w:hint="eastAsia" w:hAnsi="宋体"/>
          <w:snapToGrid w:val="0"/>
          <w:sz w:val="24"/>
          <w:szCs w:val="24"/>
        </w:rPr>
        <w:t>未实质性</w:t>
      </w:r>
      <w:r>
        <w:rPr>
          <w:rFonts w:hAnsi="宋体"/>
          <w:snapToGrid w:val="0"/>
          <w:sz w:val="24"/>
          <w:szCs w:val="24"/>
        </w:rPr>
        <w:t>响应招标文件</w:t>
      </w:r>
      <w:r>
        <w:rPr>
          <w:rFonts w:hint="eastAsia" w:hAnsi="宋体"/>
          <w:snapToGrid w:val="0"/>
          <w:sz w:val="24"/>
          <w:szCs w:val="24"/>
        </w:rPr>
        <w:t>中</w:t>
      </w:r>
      <w:r>
        <w:rPr>
          <w:rFonts w:hAnsi="宋体"/>
          <w:snapToGrid w:val="0"/>
          <w:sz w:val="24"/>
          <w:szCs w:val="24"/>
        </w:rPr>
        <w:t>标</w:t>
      </w:r>
      <w:r>
        <w:rPr>
          <w:rFonts w:hint="eastAsia" w:hAnsi="宋体"/>
          <w:snapToGrid w:val="0"/>
          <w:sz w:val="24"/>
          <w:szCs w:val="24"/>
        </w:rPr>
        <w:t>有</w:t>
      </w:r>
      <w:r>
        <w:rPr>
          <w:rFonts w:hAnsi="宋体"/>
          <w:snapToGrid w:val="0"/>
          <w:sz w:val="24"/>
          <w:szCs w:val="24"/>
        </w:rPr>
        <w:t>“▲”</w:t>
      </w:r>
      <w:r>
        <w:rPr>
          <w:rFonts w:hint="eastAsia" w:hAnsi="宋体"/>
          <w:snapToGrid w:val="0"/>
          <w:sz w:val="24"/>
          <w:szCs w:val="24"/>
        </w:rPr>
        <w:t>条款</w:t>
      </w:r>
      <w:r>
        <w:rPr>
          <w:rFonts w:hAnsi="宋体"/>
          <w:snapToGrid w:val="0"/>
          <w:sz w:val="24"/>
          <w:szCs w:val="24"/>
        </w:rPr>
        <w:t>要求</w:t>
      </w:r>
      <w:r>
        <w:rPr>
          <w:rFonts w:hint="eastAsia" w:hAnsi="宋体"/>
          <w:snapToGrid w:val="0"/>
          <w:sz w:val="24"/>
          <w:szCs w:val="24"/>
        </w:rPr>
        <w:t>的；</w:t>
      </w:r>
    </w:p>
    <w:p>
      <w:pPr>
        <w:pStyle w:val="20"/>
        <w:snapToGrid w:val="0"/>
        <w:spacing w:line="360" w:lineRule="auto"/>
        <w:ind w:firstLine="454" w:firstLineChars="196"/>
        <w:rPr>
          <w:rFonts w:hint="eastAsia" w:hAnsi="宋体"/>
          <w:snapToGrid w:val="0"/>
          <w:sz w:val="24"/>
          <w:szCs w:val="24"/>
        </w:rPr>
      </w:pPr>
      <w:r>
        <w:rPr>
          <w:rFonts w:hint="eastAsia" w:hAnsi="宋体"/>
          <w:snapToGrid w:val="0"/>
          <w:sz w:val="24"/>
          <w:szCs w:val="24"/>
        </w:rPr>
        <w:t>（9）未提交本招标文件</w:t>
      </w:r>
      <w:r>
        <w:rPr>
          <w:rFonts w:hint="eastAsia" w:hAnsi="宋体"/>
          <w:sz w:val="24"/>
        </w:rPr>
        <w:t>资格响应文件</w:t>
      </w:r>
      <w:r>
        <w:rPr>
          <w:rFonts w:hint="eastAsia" w:hAnsi="宋体"/>
          <w:snapToGrid w:val="0"/>
          <w:sz w:val="24"/>
          <w:szCs w:val="24"/>
        </w:rPr>
        <w:t>中第（1</w:t>
      </w:r>
      <w:r>
        <w:rPr>
          <w:rFonts w:hAnsi="宋体"/>
          <w:snapToGrid w:val="0"/>
          <w:sz w:val="24"/>
          <w:szCs w:val="24"/>
        </w:rPr>
        <w:t>）</w:t>
      </w:r>
      <w:r>
        <w:rPr>
          <w:rFonts w:hint="eastAsia" w:hAnsi="宋体"/>
          <w:snapToGrid w:val="0"/>
          <w:sz w:val="24"/>
          <w:szCs w:val="24"/>
        </w:rPr>
        <w:t>、（5）、（8）条资料的；</w:t>
      </w:r>
    </w:p>
    <w:p>
      <w:pPr>
        <w:widowControl/>
        <w:snapToGrid w:val="0"/>
        <w:spacing w:line="360" w:lineRule="auto"/>
        <w:ind w:firstLine="480" w:firstLineChars="200"/>
        <w:jc w:val="left"/>
        <w:rPr>
          <w:rFonts w:hint="eastAsia" w:ascii="宋体" w:hAnsi="宋体"/>
          <w:sz w:val="24"/>
        </w:rPr>
      </w:pPr>
      <w:r>
        <w:rPr>
          <w:rFonts w:hint="eastAsia" w:hAnsi="宋体"/>
          <w:sz w:val="24"/>
        </w:rPr>
        <w:t>（</w:t>
      </w:r>
      <w:r>
        <w:rPr>
          <w:rFonts w:hint="eastAsia" w:ascii="宋体" w:hAnsi="宋体"/>
          <w:sz w:val="24"/>
        </w:rPr>
        <w:t>10）</w:t>
      </w:r>
      <w:r>
        <w:rPr>
          <w:rFonts w:hint="eastAsia" w:ascii="宋体" w:hAnsi="宋体"/>
          <w:b/>
          <w:bCs/>
          <w:sz w:val="24"/>
        </w:rPr>
        <w:t>电子投标文件解密失败的，且未在规定时间内提交电子备份投标文件的；</w:t>
      </w:r>
    </w:p>
    <w:p>
      <w:pPr>
        <w:widowControl/>
        <w:snapToGrid w:val="0"/>
        <w:spacing w:line="360" w:lineRule="auto"/>
        <w:ind w:firstLine="480" w:firstLineChars="200"/>
        <w:jc w:val="left"/>
        <w:rPr>
          <w:rFonts w:hint="eastAsia" w:ascii="宋体" w:hAnsi="宋体"/>
          <w:b/>
          <w:bCs/>
          <w:sz w:val="24"/>
        </w:rPr>
      </w:pPr>
      <w:r>
        <w:rPr>
          <w:rFonts w:hint="eastAsia" w:ascii="宋体" w:hAnsi="宋体"/>
          <w:sz w:val="24"/>
        </w:rPr>
        <w:t>（11）</w:t>
      </w:r>
      <w:r>
        <w:rPr>
          <w:rFonts w:hint="eastAsia" w:ascii="宋体" w:hAnsi="宋体"/>
          <w:b/>
          <w:bCs/>
          <w:sz w:val="24"/>
        </w:rPr>
        <w:t>电子投标文件未按规定要求进行签字、电子签章的。</w:t>
      </w:r>
    </w:p>
    <w:p>
      <w:pPr>
        <w:snapToGrid w:val="0"/>
        <w:spacing w:line="360" w:lineRule="auto"/>
        <w:ind w:firstLine="464" w:firstLineChars="200"/>
        <w:rPr>
          <w:rFonts w:hint="eastAsia" w:ascii="宋体" w:hAnsi="宋体"/>
          <w:spacing w:val="-4"/>
          <w:sz w:val="24"/>
          <w:szCs w:val="20"/>
        </w:rPr>
      </w:pPr>
      <w:r>
        <w:rPr>
          <w:rFonts w:hint="eastAsia" w:ascii="宋体" w:hAnsi="宋体"/>
          <w:spacing w:val="-4"/>
          <w:sz w:val="24"/>
          <w:szCs w:val="20"/>
        </w:rPr>
        <w:t>（12）本项目投标截止之日前三年内，相关主体在“信用中国”网站(</w:t>
      </w:r>
      <w:r>
        <w:rPr>
          <w:rFonts w:hint="eastAsia" w:ascii="宋体" w:hAnsi="宋体"/>
          <w:spacing w:val="-4"/>
          <w:sz w:val="24"/>
          <w:szCs w:val="20"/>
        </w:rPr>
        <w:fldChar w:fldCharType="begin"/>
      </w:r>
      <w:r>
        <w:rPr>
          <w:rFonts w:hint="eastAsia" w:ascii="宋体" w:hAnsi="宋体"/>
          <w:spacing w:val="-4"/>
          <w:sz w:val="24"/>
          <w:szCs w:val="20"/>
        </w:rPr>
        <w:instrText xml:space="preserve"> HYPERLINK "http://www.creditchina.gov.cn" </w:instrText>
      </w:r>
      <w:r>
        <w:rPr>
          <w:rFonts w:hint="eastAsia" w:ascii="宋体" w:hAnsi="宋体"/>
          <w:spacing w:val="-4"/>
          <w:sz w:val="24"/>
          <w:szCs w:val="20"/>
        </w:rPr>
        <w:fldChar w:fldCharType="separate"/>
      </w:r>
      <w:r>
        <w:rPr>
          <w:rFonts w:hint="eastAsia" w:ascii="宋体" w:hAnsi="宋体"/>
          <w:spacing w:val="-4"/>
          <w:sz w:val="24"/>
          <w:szCs w:val="20"/>
        </w:rPr>
        <w:t>www.creditchina.gov.cn</w:t>
      </w:r>
      <w:r>
        <w:rPr>
          <w:rFonts w:hint="eastAsia" w:ascii="宋体" w:hAnsi="宋体"/>
          <w:spacing w:val="-4"/>
          <w:sz w:val="24"/>
          <w:szCs w:val="20"/>
        </w:rPr>
        <w:fldChar w:fldCharType="end"/>
      </w:r>
      <w:r>
        <w:rPr>
          <w:rFonts w:hint="eastAsia" w:ascii="宋体" w:hAnsi="宋体"/>
          <w:spacing w:val="-4"/>
          <w:sz w:val="24"/>
          <w:szCs w:val="20"/>
        </w:rPr>
        <w:t>)、中国政府采购网(</w:t>
      </w:r>
      <w:r>
        <w:rPr>
          <w:rFonts w:hint="eastAsia" w:ascii="宋体" w:hAnsi="宋体"/>
          <w:spacing w:val="-4"/>
          <w:sz w:val="24"/>
          <w:szCs w:val="20"/>
        </w:rPr>
        <w:fldChar w:fldCharType="begin"/>
      </w:r>
      <w:r>
        <w:rPr>
          <w:rFonts w:hint="eastAsia" w:ascii="宋体" w:hAnsi="宋体"/>
          <w:spacing w:val="-4"/>
          <w:sz w:val="24"/>
          <w:szCs w:val="20"/>
        </w:rPr>
        <w:instrText xml:space="preserve"> HYPERLINK "http://www.ccgp.gov.cn" </w:instrText>
      </w:r>
      <w:r>
        <w:rPr>
          <w:rFonts w:hint="eastAsia" w:ascii="宋体" w:hAnsi="宋体"/>
          <w:spacing w:val="-4"/>
          <w:sz w:val="24"/>
          <w:szCs w:val="20"/>
        </w:rPr>
        <w:fldChar w:fldCharType="separate"/>
      </w:r>
      <w:r>
        <w:rPr>
          <w:rFonts w:hint="eastAsia" w:ascii="宋体" w:hAnsi="宋体"/>
          <w:spacing w:val="-4"/>
          <w:sz w:val="24"/>
          <w:szCs w:val="20"/>
        </w:rPr>
        <w:t>www.ccgp.gov.cn</w:t>
      </w:r>
      <w:r>
        <w:rPr>
          <w:rFonts w:hint="eastAsia" w:ascii="宋体" w:hAnsi="宋体"/>
          <w:spacing w:val="-4"/>
          <w:sz w:val="24"/>
          <w:szCs w:val="20"/>
        </w:rPr>
        <w:fldChar w:fldCharType="end"/>
      </w:r>
      <w:r>
        <w:rPr>
          <w:rFonts w:hint="eastAsia" w:ascii="宋体" w:hAnsi="宋体"/>
          <w:spacing w:val="-4"/>
          <w:sz w:val="24"/>
          <w:szCs w:val="20"/>
        </w:rPr>
        <w:t>)有失信行为或被列入受惩黑名单。</w:t>
      </w:r>
    </w:p>
    <w:p>
      <w:pPr>
        <w:pStyle w:val="20"/>
        <w:snapToGrid w:val="0"/>
        <w:spacing w:line="360" w:lineRule="auto"/>
        <w:ind w:firstLine="454" w:firstLineChars="196"/>
        <w:rPr>
          <w:rFonts w:hint="eastAsia" w:hAnsi="宋体"/>
          <w:sz w:val="24"/>
          <w:szCs w:val="24"/>
        </w:rPr>
      </w:pPr>
      <w:r>
        <w:rPr>
          <w:rFonts w:hint="eastAsia" w:hAnsi="宋体"/>
          <w:sz w:val="24"/>
          <w:szCs w:val="24"/>
        </w:rPr>
        <w:t>（13）</w:t>
      </w:r>
      <w:r>
        <w:rPr>
          <w:rFonts w:hAnsi="宋体"/>
          <w:sz w:val="24"/>
          <w:szCs w:val="24"/>
        </w:rPr>
        <w:t>投标文件有招标方不能接受的附加条件的</w:t>
      </w:r>
      <w:r>
        <w:rPr>
          <w:rFonts w:hint="eastAsia" w:hAnsi="宋体"/>
          <w:sz w:val="24"/>
          <w:szCs w:val="24"/>
        </w:rPr>
        <w:t>。</w:t>
      </w:r>
    </w:p>
    <w:p>
      <w:pPr>
        <w:pStyle w:val="20"/>
        <w:snapToGrid w:val="0"/>
        <w:spacing w:line="360" w:lineRule="auto"/>
        <w:ind w:firstLine="457" w:firstLineChars="196"/>
        <w:rPr>
          <w:rFonts w:hAnsi="宋体"/>
          <w:b/>
          <w:bCs/>
          <w:sz w:val="24"/>
          <w:szCs w:val="24"/>
        </w:rPr>
      </w:pPr>
      <w:r>
        <w:rPr>
          <w:rFonts w:hint="eastAsia" w:hAnsi="宋体"/>
          <w:b/>
          <w:bCs/>
          <w:sz w:val="24"/>
          <w:szCs w:val="24"/>
        </w:rPr>
        <w:t>3.</w:t>
      </w:r>
      <w:r>
        <w:rPr>
          <w:rFonts w:hAnsi="宋体"/>
          <w:b/>
          <w:bCs/>
          <w:sz w:val="24"/>
          <w:szCs w:val="24"/>
        </w:rPr>
        <w:t>在技术评审时，如发现下列情形之一的，投标文件将被视为无效：</w:t>
      </w:r>
    </w:p>
    <w:p>
      <w:pPr>
        <w:snapToGrid w:val="0"/>
        <w:spacing w:line="360" w:lineRule="auto"/>
        <w:ind w:firstLine="470" w:firstLineChars="196"/>
        <w:rPr>
          <w:rFonts w:hint="eastAsia" w:ascii="宋体" w:hAnsi="宋体"/>
          <w:sz w:val="24"/>
        </w:rPr>
      </w:pPr>
      <w:r>
        <w:rPr>
          <w:rFonts w:hint="eastAsia" w:ascii="宋体" w:hAnsi="宋体"/>
          <w:sz w:val="24"/>
        </w:rPr>
        <w:t>（1）技术标内有商务报价出现的；</w:t>
      </w:r>
    </w:p>
    <w:p>
      <w:pPr>
        <w:pStyle w:val="20"/>
        <w:snapToGrid w:val="0"/>
        <w:spacing w:line="360" w:lineRule="auto"/>
        <w:ind w:firstLine="454" w:firstLineChars="196"/>
        <w:rPr>
          <w:rFonts w:hint="eastAsia" w:hAnsi="宋体"/>
          <w:sz w:val="24"/>
          <w:szCs w:val="24"/>
        </w:rPr>
      </w:pPr>
      <w:r>
        <w:rPr>
          <w:rFonts w:hAnsi="宋体"/>
          <w:sz w:val="24"/>
          <w:szCs w:val="24"/>
        </w:rPr>
        <w:t>（</w:t>
      </w:r>
      <w:r>
        <w:rPr>
          <w:rFonts w:hint="eastAsia" w:hAnsi="宋体"/>
          <w:sz w:val="24"/>
          <w:szCs w:val="24"/>
        </w:rPr>
        <w:t>2</w:t>
      </w:r>
      <w:r>
        <w:rPr>
          <w:rFonts w:hAnsi="宋体"/>
          <w:sz w:val="24"/>
          <w:szCs w:val="24"/>
        </w:rPr>
        <w:t>）未提供或未如实提供投标货物的技术参数，或者投标文件标明的响应或偏离与事实不符或虚假投标的</w:t>
      </w:r>
      <w:r>
        <w:rPr>
          <w:rFonts w:hint="eastAsia" w:hAnsi="宋体"/>
          <w:sz w:val="24"/>
          <w:szCs w:val="24"/>
        </w:rPr>
        <w:t>；</w:t>
      </w:r>
    </w:p>
    <w:p>
      <w:pPr>
        <w:pStyle w:val="20"/>
        <w:snapToGrid w:val="0"/>
        <w:spacing w:line="360" w:lineRule="auto"/>
        <w:ind w:firstLine="454" w:firstLineChars="196"/>
        <w:rPr>
          <w:rFonts w:hint="eastAsia" w:hAnsi="宋体"/>
          <w:sz w:val="24"/>
          <w:szCs w:val="24"/>
        </w:rPr>
      </w:pPr>
      <w:r>
        <w:rPr>
          <w:rFonts w:hAnsi="宋体"/>
          <w:sz w:val="24"/>
          <w:szCs w:val="24"/>
        </w:rPr>
        <w:t>（</w:t>
      </w:r>
      <w:r>
        <w:rPr>
          <w:rFonts w:hint="eastAsia" w:hAnsi="宋体"/>
          <w:sz w:val="24"/>
          <w:szCs w:val="24"/>
        </w:rPr>
        <w:t>3</w:t>
      </w:r>
      <w:r>
        <w:rPr>
          <w:rFonts w:hAnsi="宋体"/>
          <w:sz w:val="24"/>
          <w:szCs w:val="24"/>
        </w:rPr>
        <w:t>）</w:t>
      </w:r>
      <w:r>
        <w:rPr>
          <w:rFonts w:hAnsi="宋体"/>
          <w:snapToGrid w:val="0"/>
          <w:sz w:val="24"/>
          <w:szCs w:val="24"/>
        </w:rPr>
        <w:t>明显不符合招标文件</w:t>
      </w:r>
      <w:r>
        <w:rPr>
          <w:rFonts w:hint="eastAsia" w:hAnsi="宋体"/>
          <w:snapToGrid w:val="0"/>
          <w:sz w:val="24"/>
          <w:szCs w:val="24"/>
        </w:rPr>
        <w:t>要求</w:t>
      </w:r>
      <w:r>
        <w:rPr>
          <w:rFonts w:hAnsi="宋体"/>
          <w:snapToGrid w:val="0"/>
          <w:sz w:val="24"/>
          <w:szCs w:val="24"/>
        </w:rPr>
        <w:t>的规格型号、质量标准，或者</w:t>
      </w:r>
      <w:r>
        <w:rPr>
          <w:rFonts w:hint="eastAsia" w:hAnsi="宋体"/>
          <w:snapToGrid w:val="0"/>
          <w:sz w:val="24"/>
          <w:szCs w:val="24"/>
        </w:rPr>
        <w:t>与</w:t>
      </w:r>
      <w:r>
        <w:rPr>
          <w:rFonts w:hAnsi="宋体"/>
          <w:sz w:val="24"/>
          <w:szCs w:val="24"/>
        </w:rPr>
        <w:t>招标文件中标</w:t>
      </w:r>
      <w:r>
        <w:rPr>
          <w:rFonts w:hint="eastAsia" w:hAnsi="宋体"/>
          <w:sz w:val="24"/>
          <w:szCs w:val="24"/>
        </w:rPr>
        <w:t>有</w:t>
      </w:r>
      <w:r>
        <w:rPr>
          <w:rFonts w:hAnsi="宋体"/>
          <w:sz w:val="24"/>
          <w:szCs w:val="24"/>
        </w:rPr>
        <w:t>“▲”的技术指标、主要功能项目发生实质性偏离的</w:t>
      </w:r>
      <w:r>
        <w:rPr>
          <w:rFonts w:hint="eastAsia" w:hAnsi="宋体"/>
          <w:sz w:val="24"/>
          <w:szCs w:val="24"/>
        </w:rPr>
        <w:t>；</w:t>
      </w:r>
    </w:p>
    <w:p>
      <w:pPr>
        <w:pStyle w:val="20"/>
        <w:snapToGrid w:val="0"/>
        <w:spacing w:line="360" w:lineRule="auto"/>
        <w:ind w:firstLine="454" w:firstLineChars="196"/>
        <w:rPr>
          <w:rFonts w:hint="eastAsia" w:hAnsi="宋体"/>
          <w:sz w:val="24"/>
          <w:szCs w:val="24"/>
        </w:rPr>
      </w:pPr>
      <w:r>
        <w:rPr>
          <w:rFonts w:hAnsi="宋体"/>
          <w:sz w:val="24"/>
          <w:szCs w:val="24"/>
        </w:rPr>
        <w:t>（</w:t>
      </w:r>
      <w:r>
        <w:rPr>
          <w:rFonts w:hint="eastAsia" w:hAnsi="宋体"/>
          <w:sz w:val="24"/>
          <w:szCs w:val="24"/>
        </w:rPr>
        <w:t>4</w:t>
      </w:r>
      <w:r>
        <w:rPr>
          <w:rFonts w:hAnsi="宋体"/>
          <w:sz w:val="24"/>
          <w:szCs w:val="24"/>
        </w:rPr>
        <w:t>）投标技术方案不明确，存在一个或一个以上备选（替代）投标方案的</w:t>
      </w:r>
      <w:r>
        <w:rPr>
          <w:rFonts w:hint="eastAsia" w:hAnsi="宋体"/>
          <w:sz w:val="24"/>
          <w:szCs w:val="24"/>
        </w:rPr>
        <w:t>；</w:t>
      </w:r>
    </w:p>
    <w:p>
      <w:pPr>
        <w:pStyle w:val="20"/>
        <w:snapToGrid w:val="0"/>
        <w:spacing w:line="360" w:lineRule="auto"/>
        <w:ind w:firstLine="464" w:firstLineChars="200"/>
        <w:rPr>
          <w:rFonts w:hint="eastAsia" w:hAnsi="宋体"/>
          <w:sz w:val="24"/>
          <w:szCs w:val="24"/>
        </w:rPr>
      </w:pPr>
      <w:r>
        <w:rPr>
          <w:rFonts w:hint="eastAsia" w:hAnsi="宋体"/>
          <w:sz w:val="24"/>
          <w:szCs w:val="24"/>
        </w:rPr>
        <w:t>（5）与其他参加本次投标供应商的投标文件（技术文件）的文字表述内容相同连续20行以上或者差错相同2处以上的。</w:t>
      </w:r>
    </w:p>
    <w:p>
      <w:pPr>
        <w:widowControl/>
        <w:snapToGrid w:val="0"/>
        <w:spacing w:line="500" w:lineRule="exact"/>
        <w:ind w:firstLine="480" w:firstLineChars="200"/>
        <w:jc w:val="left"/>
        <w:rPr>
          <w:rFonts w:hint="eastAsia" w:ascii="宋体" w:hAnsi="宋体"/>
          <w:sz w:val="24"/>
        </w:rPr>
      </w:pPr>
      <w:r>
        <w:rPr>
          <w:rFonts w:hint="eastAsia" w:ascii="宋体" w:hAnsi="宋体"/>
          <w:sz w:val="24"/>
        </w:rPr>
        <w:t>（6）</w:t>
      </w:r>
      <w:r>
        <w:rPr>
          <w:rFonts w:hint="eastAsia" w:ascii="宋体" w:hAnsi="宋体"/>
          <w:b/>
          <w:bCs/>
          <w:sz w:val="24"/>
        </w:rPr>
        <w:t>电子投标文件解密失败的，且未在规定时间内提交电子备份投标文件的；</w:t>
      </w:r>
    </w:p>
    <w:p>
      <w:pPr>
        <w:widowControl/>
        <w:snapToGrid w:val="0"/>
        <w:spacing w:line="500" w:lineRule="exact"/>
        <w:ind w:firstLine="480" w:firstLineChars="200"/>
        <w:jc w:val="left"/>
        <w:rPr>
          <w:rFonts w:hint="eastAsia" w:hAnsi="宋体"/>
          <w:sz w:val="24"/>
        </w:rPr>
      </w:pPr>
      <w:r>
        <w:rPr>
          <w:rFonts w:hint="eastAsia" w:ascii="宋体" w:hAnsi="宋体"/>
          <w:sz w:val="24"/>
        </w:rPr>
        <w:t>（7）</w:t>
      </w:r>
      <w:r>
        <w:rPr>
          <w:rFonts w:hint="eastAsia" w:ascii="宋体" w:hAnsi="宋体"/>
          <w:b/>
          <w:bCs/>
          <w:sz w:val="24"/>
        </w:rPr>
        <w:t>电子投标文件未按规定要求进行签字、电子签章的。</w:t>
      </w:r>
    </w:p>
    <w:p>
      <w:pPr>
        <w:pStyle w:val="20"/>
        <w:snapToGrid w:val="0"/>
        <w:spacing w:line="360" w:lineRule="auto"/>
        <w:ind w:firstLine="457" w:firstLineChars="196"/>
        <w:rPr>
          <w:rFonts w:hAnsi="宋体"/>
          <w:b/>
          <w:bCs/>
          <w:sz w:val="24"/>
          <w:szCs w:val="24"/>
        </w:rPr>
      </w:pPr>
      <w:r>
        <w:rPr>
          <w:rFonts w:hint="eastAsia" w:hAnsi="宋体"/>
          <w:b/>
          <w:bCs/>
          <w:sz w:val="24"/>
          <w:szCs w:val="24"/>
        </w:rPr>
        <w:t>4.</w:t>
      </w:r>
      <w:r>
        <w:rPr>
          <w:rFonts w:hAnsi="宋体"/>
          <w:b/>
          <w:bCs/>
          <w:sz w:val="24"/>
          <w:szCs w:val="24"/>
        </w:rPr>
        <w:t>在报价评审时，如发现下列情形之一的，投标文件将被视为无效：</w:t>
      </w:r>
    </w:p>
    <w:p>
      <w:pPr>
        <w:pStyle w:val="20"/>
        <w:snapToGrid w:val="0"/>
        <w:spacing w:line="360" w:lineRule="auto"/>
        <w:ind w:firstLine="464" w:firstLineChars="200"/>
        <w:rPr>
          <w:rFonts w:hint="eastAsia" w:hAnsi="宋体"/>
          <w:sz w:val="24"/>
          <w:szCs w:val="24"/>
        </w:rPr>
      </w:pPr>
      <w:r>
        <w:rPr>
          <w:rFonts w:hint="eastAsia" w:hAnsi="宋体"/>
          <w:sz w:val="24"/>
          <w:szCs w:val="24"/>
        </w:rPr>
        <w:t>（1）未采用人民币报价或者未按照招标文件标明的币种报价的；</w:t>
      </w:r>
    </w:p>
    <w:p>
      <w:pPr>
        <w:pStyle w:val="20"/>
        <w:snapToGrid w:val="0"/>
        <w:spacing w:line="360" w:lineRule="auto"/>
        <w:ind w:firstLine="464" w:firstLineChars="200"/>
        <w:rPr>
          <w:rFonts w:hint="eastAsia" w:hAnsi="宋体"/>
          <w:sz w:val="24"/>
          <w:szCs w:val="24"/>
        </w:rPr>
      </w:pPr>
      <w:r>
        <w:rPr>
          <w:rFonts w:hint="eastAsia" w:hAnsi="宋体"/>
          <w:sz w:val="24"/>
          <w:szCs w:val="24"/>
        </w:rPr>
        <w:t>（2）报价超出招标文件规定的预算金额或者最高限价的；</w:t>
      </w:r>
    </w:p>
    <w:p>
      <w:pPr>
        <w:pStyle w:val="20"/>
        <w:snapToGrid w:val="0"/>
        <w:spacing w:line="360" w:lineRule="auto"/>
        <w:ind w:firstLine="464" w:firstLineChars="200"/>
        <w:rPr>
          <w:rFonts w:hint="eastAsia" w:hAnsi="宋体"/>
          <w:sz w:val="24"/>
          <w:szCs w:val="24"/>
        </w:rPr>
      </w:pPr>
      <w:r>
        <w:rPr>
          <w:rFonts w:hint="eastAsia" w:hAnsi="宋体"/>
          <w:sz w:val="24"/>
          <w:szCs w:val="24"/>
        </w:rPr>
        <w:t>（3）投标报价具有选择性。</w:t>
      </w:r>
    </w:p>
    <w:p>
      <w:pPr>
        <w:pStyle w:val="20"/>
        <w:snapToGrid w:val="0"/>
        <w:spacing w:line="360" w:lineRule="auto"/>
        <w:ind w:firstLine="464" w:firstLineChars="200"/>
        <w:rPr>
          <w:rFonts w:hint="eastAsia" w:hAnsi="宋体"/>
          <w:sz w:val="24"/>
          <w:szCs w:val="24"/>
        </w:rPr>
      </w:pPr>
      <w:r>
        <w:rPr>
          <w:rFonts w:hint="eastAsia" w:hAnsi="宋体"/>
          <w:sz w:val="24"/>
          <w:szCs w:val="24"/>
        </w:rPr>
        <w:t>（4）投标报价文件格式不符合招标文件要求格式的；</w:t>
      </w:r>
    </w:p>
    <w:p>
      <w:pPr>
        <w:pStyle w:val="20"/>
        <w:snapToGrid w:val="0"/>
        <w:spacing w:line="312" w:lineRule="auto"/>
        <w:ind w:firstLine="457" w:firstLineChars="196"/>
        <w:rPr>
          <w:rFonts w:hint="eastAsia" w:hAnsi="宋体"/>
          <w:b/>
          <w:bCs/>
          <w:sz w:val="24"/>
          <w:szCs w:val="24"/>
        </w:rPr>
      </w:pPr>
      <w:r>
        <w:rPr>
          <w:rFonts w:hint="eastAsia" w:hAnsi="宋体"/>
          <w:b/>
          <w:bCs/>
          <w:sz w:val="24"/>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napToGrid w:val="0"/>
        <w:spacing w:line="500" w:lineRule="exact"/>
        <w:ind w:firstLine="480" w:firstLineChars="200"/>
        <w:jc w:val="left"/>
        <w:rPr>
          <w:rFonts w:hint="eastAsia" w:ascii="宋体" w:hAnsi="宋体"/>
          <w:sz w:val="24"/>
        </w:rPr>
      </w:pPr>
      <w:r>
        <w:rPr>
          <w:rFonts w:hint="eastAsia" w:ascii="宋体" w:hAnsi="宋体"/>
          <w:sz w:val="24"/>
        </w:rPr>
        <w:t>（6）</w:t>
      </w:r>
      <w:r>
        <w:rPr>
          <w:rFonts w:hint="eastAsia" w:ascii="宋体" w:hAnsi="宋体"/>
          <w:b/>
          <w:bCs/>
          <w:sz w:val="24"/>
        </w:rPr>
        <w:t>电子投标文件解密失败的，且未在规定时间内提交电子备份投标文件的；</w:t>
      </w:r>
    </w:p>
    <w:p>
      <w:pPr>
        <w:widowControl/>
        <w:snapToGrid w:val="0"/>
        <w:spacing w:line="500" w:lineRule="exact"/>
        <w:ind w:firstLine="480" w:firstLineChars="200"/>
        <w:jc w:val="left"/>
        <w:rPr>
          <w:rFonts w:hint="eastAsia" w:ascii="宋体" w:hAnsi="宋体"/>
          <w:sz w:val="24"/>
        </w:rPr>
      </w:pPr>
      <w:r>
        <w:rPr>
          <w:rFonts w:hint="eastAsia" w:ascii="宋体" w:hAnsi="宋体"/>
          <w:sz w:val="24"/>
        </w:rPr>
        <w:t>（7）</w:t>
      </w:r>
      <w:r>
        <w:rPr>
          <w:rFonts w:hint="eastAsia" w:ascii="宋体" w:hAnsi="宋体"/>
          <w:b/>
          <w:bCs/>
          <w:sz w:val="24"/>
        </w:rPr>
        <w:t>电子投标文件未按规定要求进行签字、电子签章的。</w:t>
      </w:r>
    </w:p>
    <w:p>
      <w:pPr>
        <w:pStyle w:val="20"/>
        <w:snapToGrid w:val="0"/>
        <w:spacing w:line="360" w:lineRule="auto"/>
        <w:ind w:firstLine="457" w:firstLineChars="196"/>
        <w:rPr>
          <w:rFonts w:hint="eastAsia" w:hAnsi="宋体"/>
          <w:b/>
          <w:sz w:val="24"/>
          <w:szCs w:val="24"/>
        </w:rPr>
      </w:pPr>
      <w:r>
        <w:rPr>
          <w:rFonts w:hint="eastAsia" w:hAnsi="宋体"/>
          <w:b/>
          <w:sz w:val="24"/>
          <w:szCs w:val="24"/>
        </w:rPr>
        <w:t>5.</w:t>
      </w:r>
      <w:r>
        <w:rPr>
          <w:rFonts w:hAnsi="宋体"/>
          <w:b/>
          <w:sz w:val="24"/>
          <w:szCs w:val="24"/>
        </w:rPr>
        <w:t>被拒绝的投标文件为无效。</w:t>
      </w:r>
    </w:p>
    <w:p>
      <w:pPr>
        <w:pStyle w:val="20"/>
        <w:snapToGrid w:val="0"/>
        <w:spacing w:line="360" w:lineRule="auto"/>
        <w:ind w:firstLine="457" w:firstLineChars="196"/>
        <w:rPr>
          <w:rFonts w:hint="eastAsia" w:hAnsi="宋体"/>
          <w:b/>
          <w:sz w:val="24"/>
          <w:szCs w:val="24"/>
        </w:rPr>
      </w:pPr>
      <w:r>
        <w:rPr>
          <w:rFonts w:hint="eastAsia" w:hAnsi="宋体"/>
          <w:b/>
          <w:sz w:val="24"/>
          <w:szCs w:val="24"/>
        </w:rPr>
        <w:t>6．对仅出现以上1、2、3情形之一中小项情况的，经审定凡没有实质性影响和损害的，可不作无效标处理。</w:t>
      </w:r>
    </w:p>
    <w:p>
      <w:pPr>
        <w:pStyle w:val="20"/>
        <w:snapToGrid w:val="0"/>
        <w:spacing w:line="360" w:lineRule="auto"/>
        <w:ind w:firstLine="457" w:firstLineChars="196"/>
        <w:outlineLvl w:val="1"/>
        <w:rPr>
          <w:rFonts w:hint="eastAsia" w:hAnsi="宋体"/>
          <w:b/>
          <w:snapToGrid w:val="0"/>
          <w:sz w:val="24"/>
          <w:szCs w:val="24"/>
        </w:rPr>
      </w:pPr>
      <w:r>
        <w:rPr>
          <w:rFonts w:hint="eastAsia" w:hAnsi="宋体"/>
          <w:b/>
          <w:sz w:val="24"/>
          <w:szCs w:val="24"/>
        </w:rPr>
        <w:t>四、开标</w:t>
      </w:r>
    </w:p>
    <w:p>
      <w:pPr>
        <w:pStyle w:val="24"/>
        <w:snapToGrid w:val="0"/>
        <w:spacing w:beforeLines="0" w:after="0" w:afterLines="0" w:line="360" w:lineRule="auto"/>
        <w:ind w:firstLine="472" w:firstLineChars="196"/>
        <w:rPr>
          <w:rFonts w:hAnsi="宋体"/>
          <w:b/>
        </w:rPr>
      </w:pPr>
      <w:r>
        <w:rPr>
          <w:rFonts w:hAnsi="宋体"/>
          <w:b/>
        </w:rPr>
        <w:t>（一）开标准备</w:t>
      </w:r>
    </w:p>
    <w:p>
      <w:pPr>
        <w:snapToGrid w:val="0"/>
        <w:spacing w:line="380" w:lineRule="exact"/>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pPr>
        <w:snapToGrid w:val="0"/>
        <w:spacing w:before="120" w:beforeLines="50" w:line="360" w:lineRule="auto"/>
        <w:ind w:firstLine="472" w:firstLineChars="196"/>
        <w:jc w:val="left"/>
        <w:outlineLvl w:val="1"/>
        <w:rPr>
          <w:rFonts w:hint="eastAsia"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p>
      <w:pPr>
        <w:snapToGrid w:val="0"/>
        <w:spacing w:line="312" w:lineRule="auto"/>
        <w:ind w:firstLine="482" w:firstLineChars="200"/>
        <w:rPr>
          <w:rFonts w:ascii="宋体" w:hAnsi="宋体" w:cs="Arial"/>
          <w:b/>
          <w:sz w:val="24"/>
        </w:rPr>
      </w:pPr>
      <w:r>
        <w:rPr>
          <w:rFonts w:hint="eastAsia" w:ascii="宋体" w:hAnsi="宋体" w:cs="Arial"/>
          <w:b/>
          <w:sz w:val="24"/>
        </w:rPr>
        <w:t>投标截止时间后及评审过程中，有效投标人不足3家的标项，则予以废标。</w:t>
      </w:r>
    </w:p>
    <w:p>
      <w:pPr>
        <w:pStyle w:val="24"/>
        <w:numPr>
          <w:ilvl w:val="0"/>
          <w:numId w:val="36"/>
        </w:numPr>
        <w:snapToGrid w:val="0"/>
        <w:spacing w:before="76" w:beforeLines="0" w:after="76" w:afterLines="0" w:line="360" w:lineRule="auto"/>
        <w:rPr>
          <w:rFonts w:hint="eastAsia" w:hAnsi="宋体"/>
          <w:b/>
        </w:rPr>
      </w:pPr>
      <w:r>
        <w:rPr>
          <w:rFonts w:hAnsi="宋体"/>
          <w:b/>
        </w:rPr>
        <w:t>开标程序：</w:t>
      </w:r>
    </w:p>
    <w:p>
      <w:pPr>
        <w:spacing w:line="440" w:lineRule="exact"/>
        <w:ind w:firstLine="482" w:firstLineChars="200"/>
        <w:rPr>
          <w:rFonts w:hint="eastAsia" w:ascii="宋体" w:hAnsi="宋体"/>
          <w:b/>
          <w:bCs/>
          <w:sz w:val="24"/>
        </w:rPr>
      </w:pPr>
      <w:r>
        <w:rPr>
          <w:rFonts w:hint="eastAsia" w:ascii="宋体" w:hAnsi="宋体"/>
          <w:b/>
          <w:bCs/>
          <w:sz w:val="24"/>
        </w:rPr>
        <w:t>1、本项目原则上采用政采云电子招投标系统进行开标及评审，但有下情形之一的，按以下情况处理：</w:t>
      </w:r>
    </w:p>
    <w:p>
      <w:pPr>
        <w:pStyle w:val="24"/>
        <w:adjustRightInd w:val="0"/>
        <w:snapToGrid w:val="0"/>
        <w:spacing w:before="120" w:after="120" w:line="500" w:lineRule="exact"/>
        <w:ind w:firstLine="482" w:firstLineChars="200"/>
        <w:rPr>
          <w:rFonts w:hint="eastAsia" w:hAnsi="宋体"/>
          <w:b/>
          <w:u w:val="single"/>
        </w:rPr>
      </w:pPr>
      <w:r>
        <w:rPr>
          <w:rFonts w:hint="eastAsia" w:hAnsi="宋体" w:cs="Arial"/>
          <w:b/>
          <w:u w:val="single"/>
        </w:rPr>
        <w:t>（1）若投标人的电子投标文件在规定时间内无法解密或解密失败，工作人员将开启投标人递交的</w:t>
      </w:r>
      <w:r>
        <w:rPr>
          <w:rFonts w:hint="eastAsia" w:hAnsi="宋体"/>
          <w:b/>
          <w:u w:val="single"/>
        </w:rPr>
        <w:t>电子备份投标文件，以完成开标。</w:t>
      </w:r>
    </w:p>
    <w:p>
      <w:pPr>
        <w:pStyle w:val="24"/>
        <w:snapToGrid w:val="0"/>
        <w:spacing w:before="120" w:after="120" w:line="460" w:lineRule="exact"/>
        <w:ind w:firstLine="482" w:firstLineChars="200"/>
        <w:rPr>
          <w:rFonts w:hint="eastAsia" w:hAnsi="宋体"/>
          <w:b/>
          <w:bCs/>
        </w:rPr>
      </w:pPr>
      <w:r>
        <w:rPr>
          <w:rFonts w:hint="eastAsia" w:hAnsi="宋体"/>
          <w:b/>
          <w:u w:val="single"/>
        </w:rPr>
        <w:t>（2）</w:t>
      </w:r>
      <w:r>
        <w:rPr>
          <w:rFonts w:hint="eastAsia" w:hAnsi="宋体" w:cs="Arial"/>
          <w:b/>
          <w:u w:val="single"/>
        </w:rPr>
        <w:t>若投标人的电子投标文件在规定时间内无法解密或解密失败，或者因政采云平台原因无法读取或电子开评标无法正常进行时，工作人员将上传投标人的电子备份投标文件，以完成开标。</w:t>
      </w:r>
    </w:p>
    <w:p>
      <w:pPr>
        <w:pStyle w:val="24"/>
        <w:snapToGrid w:val="0"/>
        <w:spacing w:before="76" w:beforeLines="0" w:after="76" w:afterLines="0" w:line="240" w:lineRule="auto"/>
        <w:ind w:left="567"/>
        <w:rPr>
          <w:rFonts w:hint="eastAsia" w:hAnsi="宋体"/>
          <w:b/>
          <w:bCs/>
        </w:rPr>
      </w:pPr>
      <w:r>
        <w:rPr>
          <w:rFonts w:hint="eastAsia" w:hAnsi="宋体"/>
          <w:b/>
          <w:bCs/>
        </w:rPr>
        <w:t>2、开标及评审程序</w:t>
      </w:r>
    </w:p>
    <w:p>
      <w:pPr>
        <w:spacing w:line="440" w:lineRule="exact"/>
        <w:ind w:firstLine="482" w:firstLineChars="200"/>
        <w:rPr>
          <w:rFonts w:hint="eastAsia" w:ascii="宋体" w:hAnsi="宋体" w:cs="Arial"/>
          <w:b/>
          <w:sz w:val="24"/>
        </w:rPr>
      </w:pPr>
      <w:r>
        <w:rPr>
          <w:rFonts w:hint="eastAsia" w:ascii="宋体" w:hAnsi="宋体"/>
          <w:b/>
          <w:bCs/>
          <w:sz w:val="24"/>
        </w:rPr>
        <w:t>（1）投标截止时间后，</w:t>
      </w:r>
      <w:r>
        <w:rPr>
          <w:rFonts w:hint="eastAsia" w:ascii="宋体" w:hAnsi="宋体" w:cs="Arial"/>
          <w:b/>
          <w:sz w:val="24"/>
        </w:rPr>
        <w:t>投标人</w:t>
      </w:r>
      <w:r>
        <w:rPr>
          <w:rFonts w:hint="eastAsia" w:ascii="宋体" w:hAnsi="宋体" w:cs="Arial"/>
          <w:b/>
          <w:bCs/>
          <w:sz w:val="24"/>
        </w:rPr>
        <w:t>须</w:t>
      </w:r>
      <w:r>
        <w:rPr>
          <w:rFonts w:hint="eastAsia" w:ascii="宋体" w:hAnsi="宋体" w:cs="Arial"/>
          <w:b/>
          <w:sz w:val="24"/>
        </w:rPr>
        <w:t>登录政采云平台，用“项目采购-开标评标”功能对电子投标文件进行在线解密。在线解密电子投标文件时间为</w:t>
      </w:r>
      <w:r>
        <w:rPr>
          <w:rFonts w:hint="eastAsia" w:ascii="宋体" w:hAnsi="宋体"/>
          <w:b/>
          <w:bCs/>
          <w:sz w:val="24"/>
        </w:rPr>
        <w:t>投标截止时间</w:t>
      </w:r>
      <w:r>
        <w:rPr>
          <w:rFonts w:hint="eastAsia" w:ascii="宋体" w:hAnsi="宋体" w:cs="Arial"/>
          <w:b/>
          <w:sz w:val="24"/>
        </w:rPr>
        <w:t>起半个小时内。</w:t>
      </w:r>
    </w:p>
    <w:p>
      <w:pPr>
        <w:spacing w:line="440" w:lineRule="exact"/>
        <w:ind w:firstLine="482" w:firstLineChars="200"/>
        <w:rPr>
          <w:rFonts w:hint="eastAsia" w:ascii="宋体" w:hAnsi="宋体"/>
          <w:b/>
          <w:bCs/>
          <w:sz w:val="24"/>
        </w:rPr>
      </w:pPr>
      <w:r>
        <w:rPr>
          <w:rFonts w:hint="eastAsia" w:ascii="宋体" w:hAnsi="宋体"/>
          <w:b/>
          <w:bCs/>
          <w:sz w:val="24"/>
        </w:rPr>
        <w:t>（2）由采购人代表对资格审查文件进行评审，评标委员会对商务技术响应文件进行评审；</w:t>
      </w:r>
    </w:p>
    <w:p>
      <w:pPr>
        <w:spacing w:line="440" w:lineRule="exact"/>
        <w:ind w:firstLine="482" w:firstLineChars="200"/>
        <w:rPr>
          <w:rFonts w:hint="eastAsia" w:ascii="宋体" w:hAnsi="宋体"/>
          <w:b/>
          <w:bCs/>
          <w:sz w:val="24"/>
        </w:rPr>
      </w:pPr>
      <w:r>
        <w:rPr>
          <w:rFonts w:hint="eastAsia" w:ascii="宋体" w:hAnsi="宋体"/>
          <w:b/>
          <w:bCs/>
          <w:sz w:val="24"/>
        </w:rPr>
        <w:t>（3）在系统上公开资格审查和技术商务评审结果；</w:t>
      </w:r>
    </w:p>
    <w:p>
      <w:pPr>
        <w:spacing w:line="440" w:lineRule="exact"/>
        <w:ind w:firstLine="482" w:firstLineChars="200"/>
        <w:rPr>
          <w:rFonts w:hint="eastAsia" w:ascii="宋体" w:hAnsi="宋体"/>
          <w:b/>
          <w:bCs/>
          <w:sz w:val="24"/>
        </w:rPr>
      </w:pPr>
      <w:r>
        <w:rPr>
          <w:rFonts w:hint="eastAsia" w:ascii="宋体" w:hAnsi="宋体"/>
          <w:b/>
          <w:bCs/>
          <w:sz w:val="24"/>
        </w:rPr>
        <w:t>（4）在系统上公开报价开标情况；</w:t>
      </w:r>
    </w:p>
    <w:p>
      <w:pPr>
        <w:spacing w:line="440" w:lineRule="exact"/>
        <w:ind w:firstLine="482" w:firstLineChars="200"/>
        <w:rPr>
          <w:rFonts w:hint="eastAsia" w:ascii="宋体" w:hAnsi="宋体"/>
          <w:b/>
          <w:bCs/>
          <w:sz w:val="24"/>
        </w:rPr>
      </w:pPr>
      <w:r>
        <w:rPr>
          <w:rFonts w:hint="eastAsia" w:ascii="宋体" w:hAnsi="宋体"/>
          <w:b/>
          <w:bCs/>
          <w:sz w:val="24"/>
        </w:rPr>
        <w:t>（5）评标委员会对报价情况进行评审；</w:t>
      </w:r>
    </w:p>
    <w:p>
      <w:pPr>
        <w:spacing w:line="440" w:lineRule="exact"/>
        <w:ind w:firstLine="482" w:firstLineChars="200"/>
        <w:rPr>
          <w:rFonts w:hint="eastAsia" w:ascii="宋体" w:hAnsi="宋体"/>
          <w:b/>
          <w:bCs/>
          <w:sz w:val="24"/>
        </w:rPr>
      </w:pPr>
      <w:r>
        <w:rPr>
          <w:rFonts w:hint="eastAsia" w:ascii="宋体" w:hAnsi="宋体"/>
          <w:b/>
          <w:bCs/>
          <w:sz w:val="24"/>
        </w:rPr>
        <w:t>（6）在系统上公布评审结果。</w:t>
      </w:r>
    </w:p>
    <w:p>
      <w:pPr>
        <w:spacing w:line="440" w:lineRule="exact"/>
        <w:ind w:firstLine="482" w:firstLineChars="200"/>
        <w:rPr>
          <w:rFonts w:hint="eastAsia"/>
        </w:rPr>
      </w:pPr>
      <w:r>
        <w:rPr>
          <w:rFonts w:hint="eastAsia" w:ascii="宋体" w:hAnsi="宋体"/>
          <w:b/>
          <w:bCs/>
          <w:sz w:val="24"/>
        </w:rPr>
        <w:t>特别说明：政采云公司如对电子化开标及评审程序有调整的，按调整后的程序操作。</w:t>
      </w:r>
    </w:p>
    <w:p>
      <w:pPr>
        <w:pStyle w:val="24"/>
        <w:snapToGrid w:val="0"/>
        <w:spacing w:beforeLines="0" w:afterLines="0" w:line="360" w:lineRule="auto"/>
        <w:ind w:left="842" w:leftChars="267" w:hanging="281" w:hangingChars="100"/>
        <w:outlineLvl w:val="1"/>
        <w:rPr>
          <w:rFonts w:hint="eastAsia" w:hAnsi="宋体"/>
          <w:b/>
          <w:sz w:val="28"/>
          <w:szCs w:val="28"/>
        </w:rPr>
      </w:pPr>
      <w:r>
        <w:rPr>
          <w:rFonts w:hint="eastAsia" w:hAnsi="宋体"/>
          <w:b/>
          <w:sz w:val="28"/>
          <w:szCs w:val="28"/>
        </w:rPr>
        <w:t>五、评标</w:t>
      </w:r>
    </w:p>
    <w:p>
      <w:pPr>
        <w:pStyle w:val="24"/>
        <w:snapToGrid w:val="0"/>
        <w:spacing w:beforeLines="0" w:afterLines="0" w:line="360" w:lineRule="auto"/>
        <w:ind w:left="720" w:leftChars="228" w:hanging="241" w:hangingChars="100"/>
        <w:rPr>
          <w:rFonts w:hAnsi="宋体"/>
          <w:b/>
        </w:rPr>
      </w:pPr>
      <w:r>
        <w:rPr>
          <w:rFonts w:hAnsi="宋体"/>
          <w:b/>
        </w:rPr>
        <w:t>（一）组建评标委员会</w:t>
      </w:r>
    </w:p>
    <w:p>
      <w:pPr>
        <w:pStyle w:val="24"/>
        <w:snapToGrid w:val="0"/>
        <w:spacing w:beforeLines="0" w:afterLines="0" w:line="360" w:lineRule="auto"/>
        <w:ind w:firstLine="480" w:firstLineChars="200"/>
        <w:rPr>
          <w:rFonts w:hAnsi="宋体"/>
        </w:rPr>
      </w:pPr>
      <w:r>
        <w:rPr>
          <w:rFonts w:hAnsi="宋体"/>
        </w:rPr>
        <w:t>本项目评标委员会由政府采购评审专家</w:t>
      </w:r>
      <w:r>
        <w:rPr>
          <w:rFonts w:hint="eastAsia" w:hAnsi="宋体"/>
          <w:u w:val="single"/>
        </w:rPr>
        <w:t>4</w:t>
      </w:r>
      <w:r>
        <w:rPr>
          <w:rFonts w:hAnsi="宋体"/>
        </w:rPr>
        <w:t>人和采购人代表</w:t>
      </w:r>
      <w:r>
        <w:rPr>
          <w:rFonts w:hint="eastAsia" w:hAnsi="宋体"/>
          <w:u w:val="single"/>
        </w:rPr>
        <w:t>1</w:t>
      </w:r>
      <w:r>
        <w:rPr>
          <w:rFonts w:hAnsi="宋体"/>
        </w:rPr>
        <w:t>人,共</w:t>
      </w:r>
      <w:r>
        <w:rPr>
          <w:rFonts w:hint="eastAsia" w:hAnsi="宋体"/>
          <w:u w:val="single"/>
        </w:rPr>
        <w:t>5</w:t>
      </w:r>
      <w:r>
        <w:rPr>
          <w:rFonts w:hAnsi="宋体"/>
        </w:rPr>
        <w:t>人组成。</w:t>
      </w:r>
    </w:p>
    <w:p>
      <w:pPr>
        <w:pStyle w:val="24"/>
        <w:snapToGrid w:val="0"/>
        <w:spacing w:beforeLines="0" w:afterLines="0" w:line="360" w:lineRule="auto"/>
        <w:ind w:left="720" w:leftChars="228" w:hanging="241" w:hangingChars="100"/>
        <w:rPr>
          <w:rFonts w:hAnsi="宋体"/>
          <w:b/>
        </w:rPr>
      </w:pPr>
      <w:r>
        <w:rPr>
          <w:rFonts w:hAnsi="宋体"/>
          <w:b/>
        </w:rPr>
        <w:t>（二）评标的方式</w:t>
      </w:r>
    </w:p>
    <w:p>
      <w:pPr>
        <w:pStyle w:val="24"/>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pPr>
        <w:pStyle w:val="24"/>
        <w:numPr>
          <w:ilvl w:val="0"/>
          <w:numId w:val="36"/>
        </w:numPr>
        <w:snapToGrid w:val="0"/>
        <w:spacing w:beforeLines="0" w:afterLines="0" w:line="360" w:lineRule="auto"/>
        <w:rPr>
          <w:rFonts w:hAnsi="宋体"/>
          <w:b/>
          <w:bCs/>
        </w:rPr>
      </w:pPr>
      <w:r>
        <w:rPr>
          <w:rFonts w:hAnsi="宋体"/>
          <w:b/>
          <w:bCs/>
        </w:rPr>
        <w:t>评标程序</w:t>
      </w:r>
    </w:p>
    <w:p>
      <w:pPr>
        <w:snapToGrid w:val="0"/>
        <w:spacing w:line="312" w:lineRule="auto"/>
        <w:ind w:firstLine="472" w:firstLineChars="196"/>
        <w:rPr>
          <w:rFonts w:hint="eastAsia" w:ascii="宋体" w:hAnsi="宋体"/>
          <w:b/>
          <w:bCs/>
          <w:sz w:val="24"/>
        </w:rPr>
      </w:pPr>
      <w:r>
        <w:rPr>
          <w:rFonts w:hint="eastAsia" w:ascii="宋体" w:hAnsi="宋体"/>
          <w:b/>
          <w:bCs/>
          <w:sz w:val="24"/>
        </w:rPr>
        <w:t>1.资格审查</w:t>
      </w:r>
    </w:p>
    <w:p>
      <w:pPr>
        <w:snapToGrid w:val="0"/>
        <w:spacing w:line="312" w:lineRule="auto"/>
        <w:ind w:firstLine="420" w:firstLineChars="200"/>
      </w:pPr>
      <w:r>
        <w:rPr>
          <w:rFonts w:hint="eastAsia" w:ascii="宋体" w:hAnsi="宋体"/>
          <w:szCs w:val="21"/>
        </w:rPr>
        <w:t>采购人依法对投标人的资格进行审查。</w:t>
      </w:r>
    </w:p>
    <w:p>
      <w:pPr>
        <w:snapToGrid w:val="0"/>
        <w:spacing w:line="360" w:lineRule="auto"/>
        <w:ind w:firstLine="472" w:firstLineChars="196"/>
        <w:rPr>
          <w:rFonts w:ascii="宋体" w:hAnsi="宋体"/>
          <w:b/>
          <w:bCs/>
          <w:sz w:val="24"/>
          <w:szCs w:val="20"/>
        </w:rPr>
      </w:pPr>
      <w:r>
        <w:rPr>
          <w:rFonts w:hint="eastAsia" w:ascii="宋体" w:hAnsi="宋体"/>
          <w:b/>
          <w:bCs/>
          <w:sz w:val="24"/>
        </w:rPr>
        <w:t>2.</w:t>
      </w:r>
      <w:r>
        <w:rPr>
          <w:rFonts w:ascii="宋体" w:hAnsi="宋体"/>
          <w:b/>
          <w:bCs/>
          <w:sz w:val="24"/>
        </w:rPr>
        <w:t>形式审查</w:t>
      </w:r>
    </w:p>
    <w:p>
      <w:pPr>
        <w:snapToGrid w:val="0"/>
        <w:spacing w:line="360" w:lineRule="auto"/>
        <w:ind w:firstLine="480" w:firstLineChars="200"/>
        <w:rPr>
          <w:rFonts w:hint="eastAsia" w:ascii="宋体" w:hAnsi="宋体"/>
          <w:b/>
          <w:sz w:val="24"/>
          <w:szCs w:val="20"/>
        </w:rPr>
      </w:pPr>
      <w:r>
        <w:rPr>
          <w:rFonts w:hint="eastAsia" w:ascii="宋体" w:hAnsi="宋体"/>
          <w:sz w:val="24"/>
        </w:rPr>
        <w:t>招标方工作人员协助评标委员会对投标人的资格</w:t>
      </w:r>
      <w:r>
        <w:rPr>
          <w:rFonts w:ascii="宋体" w:hAnsi="宋体"/>
          <w:sz w:val="24"/>
        </w:rPr>
        <w:t>和投标文件的完整性、合法性等进行审查。</w:t>
      </w:r>
    </w:p>
    <w:p>
      <w:pPr>
        <w:snapToGrid w:val="0"/>
        <w:spacing w:line="360" w:lineRule="auto"/>
        <w:ind w:firstLine="472" w:firstLineChars="196"/>
        <w:rPr>
          <w:rFonts w:ascii="宋体" w:hAnsi="宋体"/>
          <w:b/>
          <w:bCs/>
          <w:sz w:val="24"/>
          <w:szCs w:val="20"/>
        </w:rPr>
      </w:pPr>
      <w:r>
        <w:rPr>
          <w:rFonts w:ascii="宋体" w:hAnsi="宋体"/>
          <w:b/>
          <w:bCs/>
          <w:sz w:val="24"/>
        </w:rPr>
        <w:t>2</w:t>
      </w:r>
      <w:r>
        <w:rPr>
          <w:rFonts w:hint="eastAsia" w:ascii="宋体" w:hAnsi="宋体"/>
          <w:b/>
          <w:bCs/>
          <w:sz w:val="24"/>
        </w:rPr>
        <w:t>.</w:t>
      </w:r>
      <w:r>
        <w:rPr>
          <w:rFonts w:ascii="宋体" w:hAnsi="宋体"/>
          <w:b/>
          <w:bCs/>
          <w:sz w:val="24"/>
        </w:rPr>
        <w:t>实质审查与比较</w:t>
      </w:r>
    </w:p>
    <w:p>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1）评标委员会审查投标文件的实质性内容是否符合招标文件的实质性要求。</w:t>
      </w:r>
    </w:p>
    <w:p>
      <w:pPr>
        <w:spacing w:line="360" w:lineRule="auto"/>
        <w:ind w:firstLine="482" w:firstLineChars="200"/>
        <w:rPr>
          <w:rFonts w:hint="eastAsia" w:ascii="宋体" w:hAnsi="宋体"/>
          <w:b/>
          <w:bCs/>
          <w:sz w:val="24"/>
        </w:rPr>
      </w:pPr>
      <w:r>
        <w:rPr>
          <w:rFonts w:hint="eastAsia" w:ascii="宋体" w:hAnsi="宋体"/>
          <w:b/>
          <w:bCs/>
          <w:sz w:val="24"/>
        </w:rPr>
        <w:t>（2）评标委员会将对投标人的投标文件进行审查、核对,如有疑问,将对投标人进行电子询标,投标人须在规定的时间内向评标委员会澄清有关问题,并在政采云上进行询标答复。</w:t>
      </w:r>
    </w:p>
    <w:p>
      <w:pPr>
        <w:snapToGrid w:val="0"/>
        <w:spacing w:line="360" w:lineRule="auto"/>
        <w:ind w:firstLine="482" w:firstLineChars="200"/>
      </w:pPr>
      <w:r>
        <w:rPr>
          <w:rFonts w:hint="eastAsia" w:ascii="宋体" w:hAnsi="宋体"/>
          <w:b/>
          <w:bCs/>
          <w:sz w:val="24"/>
        </w:rPr>
        <w:t>投标人代表未在规定的时间内进行澄清、拒绝澄清或者澄清的内容改变了投标文件的实质性内容的，评标委员会有权对该投标文件作出不利于投标人的评判。</w:t>
      </w:r>
      <w:r>
        <w:rPr>
          <w:rFonts w:hint="eastAsia" w:ascii="宋体" w:hAnsi="宋体" w:cs="宋体"/>
          <w:b/>
          <w:bCs/>
          <w:sz w:val="24"/>
        </w:rPr>
        <w:t>评标委员会认为投标人不符合招标文件实质性要求明确时，可不经过询标而直接予以无效标认定，但代理机构应将无效标原因当场告知投标人。</w:t>
      </w:r>
    </w:p>
    <w:p>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技术、商务、资信及其他分按照评标委员会成员的独立评分结果的算术平均分计算，</w:t>
      </w:r>
      <w:r>
        <w:rPr>
          <w:rFonts w:ascii="宋体" w:hAnsi="宋体"/>
          <w:sz w:val="24"/>
        </w:rPr>
        <w:t>由指定专人进行计算复核。</w:t>
      </w:r>
    </w:p>
    <w:p>
      <w:pPr>
        <w:snapToGrid w:val="0"/>
        <w:spacing w:line="360" w:lineRule="auto"/>
        <w:ind w:firstLine="480" w:firstLineChars="200"/>
        <w:rPr>
          <w:rFonts w:hint="eastAsia" w:ascii="宋体" w:hAnsi="宋体"/>
          <w:sz w:val="24"/>
          <w:szCs w:val="20"/>
        </w:rPr>
      </w:pPr>
      <w:r>
        <w:rPr>
          <w:rFonts w:hint="eastAsia" w:ascii="宋体" w:hAnsi="宋体"/>
          <w:sz w:val="24"/>
        </w:rPr>
        <w:t>（</w:t>
      </w:r>
      <w:r>
        <w:rPr>
          <w:rFonts w:ascii="宋体" w:hAnsi="宋体"/>
          <w:sz w:val="24"/>
        </w:rPr>
        <w:t>4）</w:t>
      </w:r>
      <w:r>
        <w:rPr>
          <w:rFonts w:hint="eastAsia" w:ascii="宋体" w:hAnsi="宋体"/>
          <w:sz w:val="24"/>
        </w:rPr>
        <w:t>招标方工作人员协助</w:t>
      </w:r>
      <w:r>
        <w:rPr>
          <w:rFonts w:ascii="宋体" w:hAnsi="宋体"/>
          <w:sz w:val="24"/>
        </w:rPr>
        <w:t>评标委员会</w:t>
      </w:r>
      <w:r>
        <w:rPr>
          <w:rFonts w:hint="eastAsia" w:ascii="宋体" w:hAnsi="宋体"/>
          <w:sz w:val="24"/>
        </w:rPr>
        <w:t>审核投标报价有无计算错误，政采云系统</w:t>
      </w:r>
      <w:r>
        <w:rPr>
          <w:rFonts w:ascii="宋体" w:hAnsi="宋体"/>
          <w:sz w:val="24"/>
        </w:rPr>
        <w:t>根据</w:t>
      </w:r>
      <w:r>
        <w:rPr>
          <w:rFonts w:hint="eastAsia" w:ascii="宋体" w:hAnsi="宋体"/>
          <w:sz w:val="24"/>
        </w:rPr>
        <w:t>本项目的评分标准</w:t>
      </w:r>
      <w:r>
        <w:rPr>
          <w:rFonts w:ascii="宋体" w:hAnsi="宋体"/>
          <w:sz w:val="24"/>
        </w:rPr>
        <w:t>计算各投标人的报价得分</w:t>
      </w:r>
      <w:r>
        <w:rPr>
          <w:rFonts w:hint="eastAsia" w:ascii="宋体" w:hAnsi="宋体"/>
          <w:sz w:val="24"/>
        </w:rPr>
        <w:t>。</w:t>
      </w:r>
    </w:p>
    <w:p>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5）评标委员会完成评标后,</w:t>
      </w:r>
      <w:r>
        <w:rPr>
          <w:rFonts w:hint="eastAsia" w:ascii="宋体" w:hAnsi="宋体"/>
          <w:sz w:val="24"/>
        </w:rPr>
        <w:t>招标方工作人员通过政采云系统</w:t>
      </w:r>
      <w:r>
        <w:rPr>
          <w:rFonts w:ascii="宋体" w:hAnsi="宋体"/>
          <w:sz w:val="24"/>
        </w:rPr>
        <w:t>对各部分得分</w:t>
      </w:r>
      <w:r>
        <w:rPr>
          <w:rFonts w:hint="eastAsia" w:ascii="宋体" w:hAnsi="宋体"/>
          <w:sz w:val="24"/>
        </w:rPr>
        <w:t>进行</w:t>
      </w:r>
      <w:r>
        <w:rPr>
          <w:rFonts w:ascii="宋体" w:hAnsi="宋体"/>
          <w:sz w:val="24"/>
        </w:rPr>
        <w:t>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并</w:t>
      </w:r>
      <w:r>
        <w:rPr>
          <w:rFonts w:ascii="宋体" w:hAnsi="宋体"/>
          <w:sz w:val="24"/>
        </w:rPr>
        <w:t>起草评标报告。</w:t>
      </w:r>
    </w:p>
    <w:p>
      <w:pPr>
        <w:snapToGrid w:val="0"/>
        <w:spacing w:line="360" w:lineRule="auto"/>
        <w:ind w:firstLine="482" w:firstLineChars="200"/>
        <w:rPr>
          <w:rFonts w:ascii="宋体" w:hAnsi="宋体"/>
          <w:b/>
          <w:sz w:val="24"/>
          <w:szCs w:val="20"/>
        </w:rPr>
      </w:pPr>
      <w:r>
        <w:rPr>
          <w:rFonts w:hint="eastAsia" w:ascii="宋体" w:hAnsi="宋体"/>
          <w:b/>
          <w:sz w:val="24"/>
        </w:rPr>
        <w:t>（四）澄清问题的形式</w:t>
      </w:r>
    </w:p>
    <w:p>
      <w:pPr>
        <w:snapToGrid w:val="0"/>
        <w:spacing w:line="360" w:lineRule="auto"/>
        <w:ind w:firstLine="480" w:firstLineChars="200"/>
        <w:rPr>
          <w:rFonts w:ascii="宋体" w:hAnsi="宋体"/>
          <w:sz w:val="24"/>
          <w:szCs w:val="20"/>
        </w:rPr>
      </w:pPr>
      <w:r>
        <w:rPr>
          <w:rFonts w:hint="eastAsia" w:ascii="宋体" w:hAnsi="宋体"/>
          <w:sz w:val="24"/>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内容。</w:t>
      </w:r>
    </w:p>
    <w:p>
      <w:pPr>
        <w:pStyle w:val="24"/>
        <w:snapToGrid w:val="0"/>
        <w:spacing w:beforeLines="0" w:afterLines="0" w:line="360" w:lineRule="auto"/>
        <w:ind w:left="720" w:leftChars="228" w:hanging="241" w:hangingChars="100"/>
        <w:rPr>
          <w:rFonts w:hAnsi="宋体"/>
          <w:b/>
        </w:rPr>
      </w:pPr>
      <w:r>
        <w:rPr>
          <w:rFonts w:hAnsi="宋体"/>
          <w:b/>
        </w:rPr>
        <w:t>（五）错误修正</w:t>
      </w:r>
    </w:p>
    <w:p>
      <w:pPr>
        <w:pStyle w:val="24"/>
        <w:snapToGrid w:val="0"/>
        <w:spacing w:beforeLines="0" w:afterLines="0" w:line="360" w:lineRule="auto"/>
        <w:ind w:left="719" w:leftChars="228" w:hanging="240" w:hangingChars="100"/>
        <w:rPr>
          <w:rFonts w:hAnsi="宋体"/>
        </w:rPr>
      </w:pPr>
      <w:r>
        <w:rPr>
          <w:rFonts w:hAnsi="宋体"/>
        </w:rPr>
        <w:t>投标文件如果出现计算或表达上的错误，修正错误的原则如下：</w:t>
      </w:r>
    </w:p>
    <w:p>
      <w:pPr>
        <w:snapToGrid w:val="0"/>
        <w:spacing w:line="360" w:lineRule="auto"/>
        <w:ind w:firstLine="480" w:firstLineChars="200"/>
        <w:rPr>
          <w:rFonts w:hint="eastAsia" w:ascii="宋体" w:hAnsi="宋体" w:cs="Arial"/>
          <w:kern w:val="0"/>
          <w:sz w:val="24"/>
        </w:rPr>
      </w:pPr>
      <w:r>
        <w:rPr>
          <w:rFonts w:ascii="宋体" w:hAnsi="宋体"/>
          <w:sz w:val="24"/>
        </w:rPr>
        <w:t>1</w:t>
      </w:r>
      <w:r>
        <w:rPr>
          <w:rFonts w:hint="eastAsia" w:ascii="宋体" w:hAnsi="宋体"/>
          <w:sz w:val="24"/>
        </w:rPr>
        <w:t>.开标一览表总价与投标报价明细表汇总数不一致的，</w:t>
      </w:r>
      <w:r>
        <w:rPr>
          <w:rFonts w:hint="eastAsia" w:ascii="宋体" w:hAnsi="宋体" w:cs="Arial"/>
          <w:kern w:val="0"/>
          <w:sz w:val="24"/>
        </w:rPr>
        <w:t>以开标一览表为准；</w:t>
      </w:r>
    </w:p>
    <w:p>
      <w:pPr>
        <w:pStyle w:val="24"/>
        <w:snapToGrid w:val="0"/>
        <w:spacing w:beforeLines="0" w:afterLines="0" w:line="360" w:lineRule="auto"/>
        <w:ind w:firstLine="480" w:firstLineChars="200"/>
        <w:rPr>
          <w:rFonts w:hint="eastAsia" w:hAnsi="宋体"/>
        </w:rPr>
      </w:pPr>
      <w:r>
        <w:rPr>
          <w:rFonts w:hAnsi="宋体"/>
        </w:rPr>
        <w:t>2</w:t>
      </w:r>
      <w:r>
        <w:rPr>
          <w:rFonts w:hint="eastAsia" w:hAnsi="宋体"/>
        </w:rPr>
        <w:t>.</w:t>
      </w:r>
      <w:r>
        <w:rPr>
          <w:rFonts w:hAnsi="宋体"/>
        </w:rPr>
        <w:t>投标文件的大写金额和小写金额不一致的，以大写金额为准</w:t>
      </w:r>
      <w:r>
        <w:rPr>
          <w:rFonts w:hint="eastAsia" w:hAnsi="宋体"/>
        </w:rPr>
        <w:t>；</w:t>
      </w:r>
    </w:p>
    <w:p>
      <w:pPr>
        <w:pStyle w:val="24"/>
        <w:snapToGrid w:val="0"/>
        <w:spacing w:beforeLines="0" w:afterLines="0" w:line="360" w:lineRule="auto"/>
        <w:ind w:firstLine="480" w:firstLineChars="200"/>
        <w:rPr>
          <w:rFonts w:hint="eastAsia" w:hAnsi="宋体"/>
        </w:rPr>
      </w:pPr>
      <w:r>
        <w:rPr>
          <w:rFonts w:hAnsi="宋体"/>
        </w:rPr>
        <w:t>3</w:t>
      </w:r>
      <w:r>
        <w:rPr>
          <w:rFonts w:hint="eastAsia" w:hAnsi="宋体"/>
        </w:rPr>
        <w:t>.</w:t>
      </w:r>
      <w:r>
        <w:rPr>
          <w:rFonts w:hAnsi="宋体"/>
        </w:rPr>
        <w:t>总价金额与按单价汇总金额不一致的，以单价金额计算结果为准</w:t>
      </w:r>
      <w:r>
        <w:rPr>
          <w:rFonts w:hint="eastAsia" w:hAnsi="宋体"/>
        </w:rPr>
        <w:t>；</w:t>
      </w:r>
    </w:p>
    <w:p>
      <w:pPr>
        <w:pStyle w:val="24"/>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对不同文字文本投标文件的解释发生异议的，以中文文本为准。</w:t>
      </w:r>
    </w:p>
    <w:p>
      <w:pPr>
        <w:pStyle w:val="24"/>
        <w:snapToGrid w:val="0"/>
        <w:spacing w:beforeLines="0" w:afterLines="0" w:line="312" w:lineRule="auto"/>
        <w:ind w:firstLine="482" w:firstLineChars="200"/>
        <w:rPr>
          <w:rFonts w:hAnsi="宋体"/>
          <w:b/>
          <w:bCs/>
        </w:rPr>
      </w:pPr>
      <w:r>
        <w:rPr>
          <w:rFonts w:hint="eastAsia" w:hAnsi="宋体"/>
          <w:b/>
          <w:bCs/>
        </w:rPr>
        <w:t>同时出现两种以上不一致的，按照前款规定的顺序修正。修正后的报价经</w:t>
      </w:r>
      <w:r>
        <w:rPr>
          <w:rFonts w:hAnsi="宋体"/>
          <w:b/>
          <w:bCs/>
        </w:rPr>
        <w:t>投标人同意</w:t>
      </w:r>
      <w:r>
        <w:rPr>
          <w:rFonts w:hint="eastAsia" w:hAnsi="宋体"/>
          <w:b/>
          <w:bCs/>
        </w:rPr>
        <w:t>并签字确认</w:t>
      </w:r>
      <w:r>
        <w:rPr>
          <w:rFonts w:hAnsi="宋体"/>
          <w:b/>
          <w:bCs/>
        </w:rPr>
        <w:t>，</w:t>
      </w:r>
      <w:r>
        <w:rPr>
          <w:rFonts w:hint="eastAsia" w:hAnsi="宋体"/>
          <w:b/>
          <w:bCs/>
        </w:rPr>
        <w:t>经投标人确认</w:t>
      </w:r>
      <w:r>
        <w:rPr>
          <w:rFonts w:hAnsi="宋体"/>
          <w:b/>
          <w:bCs/>
        </w:rPr>
        <w:t>后的投标报价对投标人具有</w:t>
      </w:r>
      <w:r>
        <w:rPr>
          <w:rFonts w:hint="eastAsia" w:hAnsi="宋体"/>
          <w:b/>
          <w:bCs/>
        </w:rPr>
        <w:t>约束力，投标人不确认的，如</w:t>
      </w:r>
      <w:r>
        <w:rPr>
          <w:rFonts w:hAnsi="宋体"/>
          <w:b/>
          <w:bCs/>
        </w:rPr>
        <w:t>果投标人不接受修正后的报价，则其投标将</w:t>
      </w:r>
      <w:r>
        <w:rPr>
          <w:rFonts w:hint="eastAsia" w:hAnsi="宋体"/>
          <w:b/>
          <w:bCs/>
        </w:rPr>
        <w:t>作为无效投标处理</w:t>
      </w:r>
      <w:r>
        <w:rPr>
          <w:rFonts w:hAnsi="宋体"/>
          <w:b/>
          <w:bCs/>
        </w:rPr>
        <w:t>。</w:t>
      </w:r>
    </w:p>
    <w:p>
      <w:pPr>
        <w:pStyle w:val="24"/>
        <w:tabs>
          <w:tab w:val="left" w:pos="630"/>
        </w:tabs>
        <w:snapToGrid w:val="0"/>
        <w:spacing w:beforeLines="0" w:afterLines="0" w:line="360" w:lineRule="auto"/>
        <w:ind w:firstLine="472" w:firstLineChars="196"/>
        <w:rPr>
          <w:rFonts w:hAnsi="宋体"/>
          <w:b/>
        </w:rPr>
      </w:pPr>
      <w:r>
        <w:rPr>
          <w:rFonts w:hAnsi="宋体"/>
          <w:b/>
        </w:rPr>
        <w:t>（六）评标原则</w:t>
      </w:r>
      <w:r>
        <w:rPr>
          <w:rFonts w:hint="eastAsia" w:hAnsi="宋体"/>
          <w:b/>
        </w:rPr>
        <w:t>、</w:t>
      </w:r>
      <w:r>
        <w:rPr>
          <w:rFonts w:hAnsi="宋体"/>
          <w:b/>
        </w:rPr>
        <w:t>办法</w:t>
      </w:r>
      <w:r>
        <w:rPr>
          <w:rFonts w:hint="eastAsia" w:hAnsi="宋体"/>
          <w:b/>
        </w:rPr>
        <w:t>及依据</w:t>
      </w:r>
    </w:p>
    <w:p>
      <w:pPr>
        <w:pStyle w:val="24"/>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w:t>
      </w:r>
      <w:r>
        <w:rPr>
          <w:rFonts w:hint="eastAsia" w:hAnsi="宋体"/>
        </w:rPr>
        <w:t>；</w:t>
      </w:r>
      <w:r>
        <w:rPr>
          <w:rFonts w:hAnsi="宋体"/>
        </w:rPr>
        <w:t>不得向外界透露任何与评标有关的内容</w:t>
      </w:r>
      <w:r>
        <w:rPr>
          <w:rFonts w:hint="eastAsia" w:hAnsi="宋体"/>
        </w:rPr>
        <w:t>；</w:t>
      </w:r>
      <w:r>
        <w:rPr>
          <w:rFonts w:hAnsi="宋体"/>
        </w:rPr>
        <w:t>任何单位和个人不得干扰、影响评标的正常进行</w:t>
      </w:r>
      <w:r>
        <w:rPr>
          <w:rFonts w:hint="eastAsia" w:hAnsi="宋体"/>
        </w:rPr>
        <w:t>；</w:t>
      </w:r>
      <w:r>
        <w:rPr>
          <w:rFonts w:hAnsi="宋体"/>
        </w:rPr>
        <w:t>评标委员会及有关工作人员不得私下与投标人接触。</w:t>
      </w:r>
    </w:p>
    <w:p>
      <w:pPr>
        <w:pStyle w:val="24"/>
        <w:snapToGrid w:val="0"/>
        <w:spacing w:beforeLines="0" w:afterLines="0" w:line="360" w:lineRule="auto"/>
        <w:ind w:firstLine="480" w:firstLineChars="200"/>
        <w:rPr>
          <w:rFonts w:hint="eastAsia" w:hAnsi="宋体"/>
        </w:rPr>
      </w:pPr>
      <w:r>
        <w:rPr>
          <w:rFonts w:hAnsi="宋体"/>
        </w:rPr>
        <w:t>2</w:t>
      </w:r>
      <w:r>
        <w:rPr>
          <w:rFonts w:hint="eastAsia" w:hAnsi="宋体"/>
        </w:rPr>
        <w:t>.</w:t>
      </w:r>
      <w:r>
        <w:rPr>
          <w:rFonts w:hAnsi="宋体"/>
        </w:rPr>
        <w:t>评标办法。本项目评标办法是</w:t>
      </w:r>
      <w:r>
        <w:rPr>
          <w:rFonts w:hint="eastAsia" w:hAnsi="宋体"/>
          <w:u w:val="single"/>
        </w:rPr>
        <w:t>综合评分法</w:t>
      </w:r>
      <w:r>
        <w:rPr>
          <w:rFonts w:hAnsi="宋体"/>
        </w:rPr>
        <w:t>，具体评标内容及评分标准等详见《第四章：评标办法及评分标准》。</w:t>
      </w:r>
    </w:p>
    <w:p>
      <w:pPr>
        <w:pStyle w:val="24"/>
        <w:snapToGrid w:val="0"/>
        <w:spacing w:beforeLines="0" w:afterLines="0" w:line="360" w:lineRule="auto"/>
        <w:ind w:firstLine="480" w:firstLineChars="200"/>
        <w:rPr>
          <w:rFonts w:hint="eastAsia" w:hAnsi="宋体"/>
        </w:rPr>
      </w:pPr>
      <w:r>
        <w:rPr>
          <w:rFonts w:hint="eastAsia" w:hAnsi="宋体"/>
        </w:rPr>
        <w:t>3、评标依据：评标委员会决定投标的响应性只根据投标文件的内容，而不寻求外部的证据。</w:t>
      </w:r>
    </w:p>
    <w:p>
      <w:pPr>
        <w:pStyle w:val="24"/>
        <w:snapToGrid w:val="0"/>
        <w:spacing w:beforeLines="0" w:afterLines="0" w:line="360" w:lineRule="auto"/>
        <w:ind w:firstLine="472" w:firstLineChars="196"/>
        <w:rPr>
          <w:rFonts w:hAnsi="宋体"/>
          <w:b/>
        </w:rPr>
      </w:pPr>
      <w:r>
        <w:rPr>
          <w:rFonts w:hAnsi="宋体"/>
          <w:b/>
        </w:rPr>
        <w:t>（七）评标过程的监控</w:t>
      </w:r>
    </w:p>
    <w:p>
      <w:pPr>
        <w:pStyle w:val="24"/>
        <w:snapToGrid w:val="0"/>
        <w:spacing w:beforeLines="0" w:afterLines="0" w:line="360" w:lineRule="auto"/>
        <w:ind w:firstLine="480" w:firstLineChars="200"/>
        <w:rPr>
          <w:rFonts w:hAnsi="宋体"/>
        </w:rPr>
      </w:pPr>
      <w:r>
        <w:rPr>
          <w:rFonts w:hAnsi="宋体"/>
        </w:rPr>
        <w:t>本项目评标过程实行全程录音、录像监控</w:t>
      </w:r>
      <w:r>
        <w:rPr>
          <w:rFonts w:hint="eastAsia" w:hAnsi="宋体"/>
        </w:rPr>
        <w:t>，同时</w:t>
      </w:r>
      <w:r>
        <w:rPr>
          <w:rFonts w:hAnsi="宋体"/>
        </w:rPr>
        <w:t>聘请</w:t>
      </w:r>
      <w:r>
        <w:rPr>
          <w:rFonts w:hint="eastAsia" w:hAnsi="宋体"/>
          <w:u w:val="single"/>
        </w:rPr>
        <w:t>东阳市</w:t>
      </w:r>
      <w:r>
        <w:rPr>
          <w:rFonts w:hAnsi="宋体"/>
        </w:rPr>
        <w:t>公证处公证员进行现场监督，投标人在评标过程中所进行的</w:t>
      </w:r>
      <w:r>
        <w:rPr>
          <w:rFonts w:hint="eastAsia" w:hAnsi="宋体"/>
        </w:rPr>
        <w:t>试</w:t>
      </w:r>
      <w:r>
        <w:rPr>
          <w:rFonts w:hAnsi="宋体"/>
        </w:rPr>
        <w:t>图影响评标结果的不公正活动，可能导致其投标被拒绝。</w:t>
      </w:r>
    </w:p>
    <w:p>
      <w:pPr>
        <w:pStyle w:val="24"/>
        <w:snapToGrid w:val="0"/>
        <w:spacing w:beforeLines="0" w:afterLines="0" w:line="360" w:lineRule="auto"/>
        <w:ind w:firstLine="551" w:firstLineChars="196"/>
        <w:outlineLvl w:val="1"/>
        <w:rPr>
          <w:rFonts w:hint="eastAsia" w:hAnsi="宋体"/>
          <w:b/>
          <w:sz w:val="28"/>
          <w:szCs w:val="28"/>
        </w:rPr>
      </w:pPr>
      <w:r>
        <w:rPr>
          <w:rFonts w:hint="eastAsia" w:hAnsi="宋体"/>
          <w:b/>
          <w:sz w:val="28"/>
          <w:szCs w:val="28"/>
        </w:rPr>
        <w:t>六、定标</w:t>
      </w:r>
    </w:p>
    <w:p>
      <w:pPr>
        <w:pStyle w:val="24"/>
        <w:snapToGrid w:val="0"/>
        <w:spacing w:before="120" w:after="120" w:line="360" w:lineRule="auto"/>
        <w:ind w:firstLine="472" w:firstLineChars="196"/>
        <w:outlineLvl w:val="1"/>
        <w:rPr>
          <w:rFonts w:hint="eastAsia" w:hAnsi="宋体"/>
          <w:b/>
          <w:bCs/>
        </w:rPr>
      </w:pPr>
      <w:r>
        <w:rPr>
          <w:rFonts w:hint="eastAsia" w:hAnsi="宋体"/>
          <w:b/>
          <w:bCs/>
        </w:rPr>
        <w:t>（一）确定中标人。本项目由采购人授权评标委员会确定中标人。</w:t>
      </w:r>
    </w:p>
    <w:p>
      <w:pPr>
        <w:pStyle w:val="24"/>
        <w:snapToGrid w:val="0"/>
        <w:spacing w:before="120" w:after="120" w:line="360" w:lineRule="auto"/>
        <w:ind w:firstLine="470" w:firstLineChars="196"/>
        <w:outlineLvl w:val="1"/>
        <w:rPr>
          <w:rFonts w:hint="eastAsia" w:hAnsi="宋体"/>
          <w:bCs/>
        </w:rPr>
      </w:pPr>
      <w:r>
        <w:rPr>
          <w:rFonts w:hint="eastAsia" w:hAnsi="宋体"/>
          <w:bCs/>
        </w:rPr>
        <w:t>1．出现下列情形之一的，采购单位或评标委员会可以直接确定排名第二的候选供应商为中标成交供应商。</w:t>
      </w:r>
    </w:p>
    <w:p>
      <w:pPr>
        <w:pStyle w:val="24"/>
        <w:snapToGrid w:val="0"/>
        <w:spacing w:before="120" w:after="120" w:line="360" w:lineRule="auto"/>
        <w:ind w:firstLine="470" w:firstLineChars="196"/>
        <w:outlineLvl w:val="1"/>
        <w:rPr>
          <w:rFonts w:hint="eastAsia" w:hAnsi="宋体"/>
          <w:bCs/>
        </w:rPr>
      </w:pPr>
      <w:r>
        <w:rPr>
          <w:rFonts w:hint="eastAsia" w:hAnsi="宋体"/>
          <w:bCs/>
        </w:rPr>
        <w:t>（1）排名第一的候选供应商，因自身原因放弃中标成交或因不可抗力不能履行合同的；</w:t>
      </w:r>
    </w:p>
    <w:p>
      <w:pPr>
        <w:pStyle w:val="24"/>
        <w:snapToGrid w:val="0"/>
        <w:spacing w:before="120" w:after="120" w:line="360" w:lineRule="auto"/>
        <w:ind w:firstLine="470" w:firstLineChars="196"/>
        <w:outlineLvl w:val="1"/>
        <w:rPr>
          <w:rFonts w:hint="eastAsia" w:hAnsi="宋体"/>
          <w:bCs/>
        </w:rPr>
      </w:pPr>
      <w:r>
        <w:rPr>
          <w:rFonts w:hint="eastAsia" w:hAnsi="宋体"/>
          <w:bCs/>
        </w:rPr>
        <w:t>（2）经质疑，采购组织机构审查确认因排名第一的候选供应商在本次采购活动中存在违法违规行为或其他原因使质疑成立的。</w:t>
      </w:r>
    </w:p>
    <w:p>
      <w:pPr>
        <w:pStyle w:val="24"/>
        <w:snapToGrid w:val="0"/>
        <w:spacing w:before="120" w:after="120" w:line="360" w:lineRule="auto"/>
        <w:ind w:firstLine="470" w:firstLineChars="196"/>
        <w:outlineLvl w:val="1"/>
        <w:rPr>
          <w:rFonts w:hint="eastAsia" w:hAnsi="宋体"/>
          <w:bCs/>
        </w:rPr>
      </w:pPr>
      <w:r>
        <w:rPr>
          <w:rFonts w:hint="eastAsia" w:hAnsi="宋体"/>
          <w:bCs/>
        </w:rPr>
        <w:t>2.招标方一般将在2个工作日内把中标结果发布在发布招标公告的网站上进行公告，公告经发布后不再以其他方式通知投标人，视同书面送达。</w:t>
      </w:r>
    </w:p>
    <w:p>
      <w:pPr>
        <w:pStyle w:val="24"/>
        <w:snapToGrid w:val="0"/>
        <w:spacing w:before="120" w:after="120" w:line="360" w:lineRule="auto"/>
        <w:ind w:firstLine="470" w:firstLineChars="196"/>
        <w:outlineLvl w:val="1"/>
        <w:rPr>
          <w:rFonts w:hint="eastAsia" w:hAnsi="宋体"/>
          <w:bCs/>
        </w:rPr>
      </w:pPr>
      <w:r>
        <w:rPr>
          <w:rFonts w:hint="eastAsia" w:hAnsi="宋体"/>
          <w:bCs/>
        </w:rPr>
        <w:t>3.投标人对评标结果无异议的，采购人应在收到评标报告后5个工作日内对评标结果进行确认。如有投标人对评标结果提出质疑的，采购人可在质疑处理完毕后确定中标人。</w:t>
      </w:r>
    </w:p>
    <w:p>
      <w:pPr>
        <w:pStyle w:val="24"/>
        <w:snapToGrid w:val="0"/>
        <w:spacing w:beforeLines="0" w:afterLines="0" w:line="360" w:lineRule="auto"/>
        <w:ind w:firstLine="470" w:firstLineChars="196"/>
        <w:outlineLvl w:val="1"/>
        <w:rPr>
          <w:rFonts w:hint="eastAsia" w:hAnsi="宋体"/>
          <w:bCs/>
        </w:rPr>
      </w:pPr>
      <w:r>
        <w:rPr>
          <w:rFonts w:hint="eastAsia" w:hAnsi="宋体"/>
          <w:bCs/>
        </w:rPr>
        <w:t>4.评标委员会依法确定中标人后2个工作日内，招标方以书面形式发出《中标通知书》,并同时在相关网站上发布中标公告。</w:t>
      </w:r>
    </w:p>
    <w:p>
      <w:pPr>
        <w:pStyle w:val="24"/>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pPr>
        <w:snapToGrid w:val="0"/>
        <w:ind w:firstLine="472" w:firstLineChars="196"/>
        <w:rPr>
          <w:rFonts w:ascii="宋体" w:hAnsi="宋体"/>
          <w:b/>
          <w:bCs/>
          <w:sz w:val="24"/>
          <w:szCs w:val="20"/>
        </w:rPr>
      </w:pPr>
      <w:r>
        <w:rPr>
          <w:rFonts w:hint="eastAsia" w:ascii="宋体" w:hAnsi="宋体"/>
          <w:b/>
          <w:bCs/>
          <w:sz w:val="24"/>
        </w:rPr>
        <w:t>（一）签订合同</w:t>
      </w:r>
    </w:p>
    <w:p>
      <w:pPr>
        <w:tabs>
          <w:tab w:val="left" w:pos="6660"/>
        </w:tabs>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.招标方与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中标人拖延、拒签合同的,将取消中标资格</w:t>
      </w:r>
      <w:r>
        <w:rPr>
          <w:rFonts w:hint="eastAsia" w:ascii="宋体" w:hAnsi="宋体"/>
          <w:sz w:val="24"/>
        </w:rPr>
        <w:t>，并按有关规定报有关部门处罚</w:t>
      </w:r>
      <w:r>
        <w:rPr>
          <w:rFonts w:ascii="宋体" w:hAnsi="宋体"/>
          <w:sz w:val="24"/>
        </w:rPr>
        <w:t>。</w:t>
      </w:r>
    </w:p>
    <w:p>
      <w:pPr>
        <w:pStyle w:val="24"/>
        <w:snapToGrid w:val="0"/>
        <w:spacing w:before="120" w:after="120" w:line="360" w:lineRule="auto"/>
        <w:jc w:val="center"/>
        <w:rPr>
          <w:rFonts w:hint="eastAsia" w:ascii="黑体" w:hAnsi="宋体" w:eastAsia="黑体"/>
          <w:sz w:val="30"/>
          <w:szCs w:val="30"/>
        </w:rPr>
      </w:pPr>
      <w:r>
        <w:rPr>
          <w:rFonts w:ascii="黑体" w:hAnsi="宋体" w:eastAsia="黑体"/>
          <w:sz w:val="30"/>
          <w:szCs w:val="30"/>
        </w:rPr>
        <w:br w:type="page"/>
      </w:r>
      <w:r>
        <w:rPr>
          <w:rFonts w:hint="eastAsia" w:ascii="黑体" w:hAnsi="宋体" w:eastAsia="黑体"/>
          <w:sz w:val="30"/>
          <w:szCs w:val="30"/>
        </w:rPr>
        <w:t>第四章评标办法及评分标准</w:t>
      </w:r>
    </w:p>
    <w:p>
      <w:pPr>
        <w:pStyle w:val="24"/>
        <w:snapToGrid w:val="0"/>
        <w:spacing w:before="120" w:after="120" w:line="360" w:lineRule="auto"/>
        <w:jc w:val="center"/>
        <w:rPr>
          <w:rFonts w:hint="eastAsia" w:ascii="黑体" w:hAnsi="宋体" w:eastAsia="黑体"/>
          <w:sz w:val="30"/>
          <w:szCs w:val="30"/>
        </w:rPr>
      </w:pP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pPr>
        <w:spacing w:before="120" w:beforeLines="50" w:line="360" w:lineRule="auto"/>
        <w:ind w:firstLine="480" w:firstLineChars="200"/>
        <w:rPr>
          <w:rFonts w:hint="eastAsia" w:ascii="宋体" w:hAnsi="宋体"/>
          <w:sz w:val="24"/>
        </w:rPr>
      </w:pPr>
      <w:r>
        <w:rPr>
          <w:rFonts w:hint="eastAsia" w:ascii="宋体" w:hAnsi="宋体"/>
          <w:sz w:val="24"/>
        </w:rPr>
        <w:t>本办法适用于</w:t>
      </w:r>
      <w:r>
        <w:rPr>
          <w:rFonts w:hint="eastAsia" w:ascii="宋体" w:hAnsi="宋体"/>
          <w:b/>
          <w:bCs/>
          <w:sz w:val="24"/>
        </w:rPr>
        <w:t>东阳市教育网升级改造及运维服务项目</w:t>
      </w:r>
      <w:r>
        <w:rPr>
          <w:rFonts w:hint="eastAsia" w:ascii="宋体" w:hAnsi="宋体"/>
          <w:sz w:val="24"/>
        </w:rPr>
        <w:t>的评标。</w:t>
      </w:r>
    </w:p>
    <w:p>
      <w:pPr>
        <w:spacing w:before="120" w:beforeLines="50" w:after="120" w:afterLines="50" w:line="360" w:lineRule="auto"/>
        <w:ind w:firstLine="551" w:firstLineChars="196"/>
        <w:rPr>
          <w:rFonts w:hint="eastAsia" w:ascii="宋体" w:hAnsi="宋体"/>
          <w:b/>
          <w:sz w:val="28"/>
          <w:szCs w:val="28"/>
        </w:rPr>
      </w:pPr>
      <w:r>
        <w:rPr>
          <w:rFonts w:hint="eastAsia" w:ascii="宋体" w:hAnsi="宋体"/>
          <w:b/>
          <w:sz w:val="28"/>
          <w:szCs w:val="28"/>
        </w:rPr>
        <w:t>一、总则</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1、本次评标采用综合评分法，总分为100分（价格分、技术、商务、资信及其他分的分值详见各个标的评标内容）。合格投标人的评标得分为各项目汇总得分，中标候选资格按评标综合得分由高到低顺序排列，得分相同的，按投标报价由低到高顺序排列；得分且投标报价相同的，按技术、商务、资信及其他分得分由高到低顺序排列。排名第一的投标人为中标候选人,排名第二的投标人为候补中标候选人……其他投标人中标候选资格依此类推。</w:t>
      </w:r>
      <w:r>
        <w:rPr>
          <w:rFonts w:hint="eastAsia" w:ascii="宋体" w:hAnsi="宋体"/>
          <w:bCs/>
          <w:sz w:val="24"/>
        </w:rPr>
        <w:t>评分过程中采用四舍五入法，并保留小数2位。</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投标人评标</w:t>
      </w:r>
      <w:r>
        <w:rPr>
          <w:rFonts w:hint="eastAsia" w:ascii="宋体" w:hAnsi="宋体"/>
          <w:bCs/>
          <w:sz w:val="24"/>
        </w:rPr>
        <w:t>综合得分=价格分+(技术分+商务分+资信及其他分)</w:t>
      </w:r>
    </w:p>
    <w:p>
      <w:pPr>
        <w:spacing w:before="120" w:beforeLines="50" w:after="120" w:afterLines="50" w:line="360" w:lineRule="auto"/>
        <w:ind w:firstLine="562" w:firstLineChars="200"/>
        <w:rPr>
          <w:rFonts w:hint="eastAsia" w:ascii="宋体" w:hAnsi="宋体"/>
          <w:b/>
          <w:sz w:val="28"/>
          <w:szCs w:val="28"/>
        </w:rPr>
      </w:pPr>
      <w:r>
        <w:rPr>
          <w:rFonts w:hint="eastAsia" w:ascii="宋体" w:hAnsi="宋体"/>
          <w:b/>
          <w:sz w:val="28"/>
          <w:szCs w:val="28"/>
        </w:rPr>
        <w:t>二、评标内容及标准</w:t>
      </w:r>
    </w:p>
    <w:p>
      <w:pPr>
        <w:spacing w:before="120" w:beforeLines="50" w:after="120" w:afterLines="50"/>
        <w:ind w:firstLine="472" w:firstLineChars="196"/>
        <w:rPr>
          <w:rFonts w:ascii="宋体" w:hAnsi="宋体"/>
          <w:b/>
          <w:bCs/>
          <w:sz w:val="24"/>
        </w:rPr>
      </w:pPr>
      <w:r>
        <w:rPr>
          <w:rFonts w:ascii="宋体" w:hAnsi="宋体"/>
          <w:b/>
          <w:bCs/>
          <w:sz w:val="24"/>
        </w:rPr>
        <w:t>（</w:t>
      </w:r>
      <w:r>
        <w:rPr>
          <w:rFonts w:hint="eastAsia" w:ascii="宋体" w:hAnsi="宋体"/>
          <w:b/>
          <w:bCs/>
          <w:sz w:val="24"/>
        </w:rPr>
        <w:t>一</w:t>
      </w:r>
      <w:r>
        <w:rPr>
          <w:rFonts w:ascii="宋体" w:hAnsi="宋体"/>
          <w:b/>
          <w:bCs/>
          <w:sz w:val="24"/>
        </w:rPr>
        <w:t>）价格分（</w:t>
      </w:r>
      <w:r>
        <w:rPr>
          <w:rFonts w:hint="eastAsia" w:ascii="宋体" w:hAnsi="宋体"/>
          <w:b/>
          <w:bCs/>
          <w:sz w:val="24"/>
        </w:rPr>
        <w:t>25</w:t>
      </w:r>
      <w:r>
        <w:rPr>
          <w:rFonts w:ascii="宋体" w:hAnsi="宋体"/>
          <w:b/>
          <w:bCs/>
          <w:sz w:val="24"/>
        </w:rPr>
        <w:t>分）</w:t>
      </w:r>
    </w:p>
    <w:p>
      <w:pPr>
        <w:pStyle w:val="20"/>
        <w:spacing w:before="120" w:beforeLines="50" w:after="120" w:afterLines="50" w:line="400" w:lineRule="exact"/>
        <w:ind w:firstLine="464" w:firstLineChars="200"/>
        <w:rPr>
          <w:rFonts w:hAnsi="宋体"/>
          <w:bCs/>
          <w:sz w:val="24"/>
        </w:rPr>
      </w:pPr>
      <w:r>
        <w:rPr>
          <w:rFonts w:hint="eastAsia" w:hAnsi="宋体"/>
          <w:bCs/>
          <w:sz w:val="24"/>
        </w:rPr>
        <w:t>1、价格分采用低价优先法计算，取所有进入报价评审的投标人中投标价格最低的投标报价为评标基准价，其他投标人的价格分按照下列公式计算：</w:t>
      </w:r>
    </w:p>
    <w:p>
      <w:pPr>
        <w:spacing w:before="120" w:beforeLines="50" w:after="120" w:afterLines="50"/>
        <w:ind w:firstLine="470" w:firstLineChars="196"/>
        <w:rPr>
          <w:rFonts w:ascii="宋体" w:hAnsi="宋体"/>
          <w:bCs/>
          <w:spacing w:val="-4"/>
          <w:sz w:val="24"/>
          <w:szCs w:val="20"/>
        </w:rPr>
      </w:pPr>
      <w:r>
        <w:rPr>
          <w:rFonts w:hint="eastAsia" w:hAnsi="宋体"/>
          <w:bCs/>
          <w:sz w:val="24"/>
        </w:rPr>
        <w:t>价格分=（评标基准价/投标报价</w:t>
      </w:r>
      <w:r>
        <w:rPr>
          <w:rFonts w:hint="eastAsia" w:ascii="宋体" w:hAnsi="宋体"/>
          <w:bCs/>
          <w:spacing w:val="-4"/>
          <w:sz w:val="24"/>
          <w:szCs w:val="20"/>
        </w:rPr>
        <w:t>）×25分</w:t>
      </w:r>
    </w:p>
    <w:p>
      <w:pPr>
        <w:tabs>
          <w:tab w:val="left" w:pos="982"/>
        </w:tabs>
        <w:snapToGrid w:val="0"/>
        <w:ind w:left="-2" w:leftChars="-1" w:firstLine="512" w:firstLineChars="220"/>
        <w:rPr>
          <w:rFonts w:ascii="宋体" w:hAnsi="宋体"/>
          <w:b/>
          <w:spacing w:val="-4"/>
          <w:sz w:val="24"/>
        </w:rPr>
      </w:pPr>
      <w:r>
        <w:rPr>
          <w:rFonts w:hint="eastAsia" w:ascii="宋体" w:hAnsi="宋体"/>
          <w:b/>
          <w:spacing w:val="-4"/>
          <w:sz w:val="24"/>
        </w:rPr>
        <w:t>2、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的规定，对小型和微型企业、监狱企业、残疾人福利性单位生产的产品价格给予6%～10%的扣除，用扣除后的价格参与评审。本项目的扣除比例为6 %。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pPr>
        <w:pStyle w:val="37"/>
        <w:spacing w:before="72" w:beforeLines="30" w:beforeAutospacing="0" w:after="72" w:afterLines="30" w:afterAutospacing="0" w:line="320" w:lineRule="exact"/>
        <w:ind w:firstLine="466" w:firstLineChars="200"/>
        <w:rPr>
          <w:bCs/>
          <w:color w:val="auto"/>
        </w:rPr>
      </w:pPr>
      <w:r>
        <w:rPr>
          <w:rFonts w:hint="eastAsia"/>
          <w:b/>
          <w:color w:val="auto"/>
          <w:spacing w:val="-4"/>
          <w:kern w:val="2"/>
        </w:rPr>
        <w:t>小微企业的评审价格=小微企业的投标报价 － 小型、微型企业生产的产品</w:t>
      </w:r>
      <w:r>
        <w:rPr>
          <w:rFonts w:hint="eastAsia"/>
          <w:b/>
          <w:color w:val="auto"/>
          <w:spacing w:val="-4"/>
          <w:kern w:val="2"/>
          <w:lang w:val="en-GB"/>
        </w:rPr>
        <w:t>金额合计</w:t>
      </w:r>
      <w:r>
        <w:rPr>
          <w:rFonts w:hint="eastAsia"/>
          <w:b/>
          <w:color w:val="auto"/>
          <w:spacing w:val="-4"/>
          <w:kern w:val="2"/>
        </w:rPr>
        <w:t>×6%</w:t>
      </w:r>
    </w:p>
    <w:p>
      <w:pPr>
        <w:pStyle w:val="20"/>
        <w:spacing w:line="360" w:lineRule="auto"/>
        <w:ind w:firstLine="466" w:firstLineChars="200"/>
        <w:rPr>
          <w:rFonts w:hAnsi="宋体"/>
          <w:b/>
          <w:sz w:val="24"/>
          <w:szCs w:val="24"/>
        </w:rPr>
      </w:pPr>
      <w:r>
        <w:rPr>
          <w:rFonts w:hint="eastAsia" w:hAnsi="宋体"/>
          <w:b/>
          <w:sz w:val="24"/>
          <w:szCs w:val="24"/>
        </w:rPr>
        <w:t>（二）技术分、商务分、资信及其他分，共7</w:t>
      </w:r>
      <w:r>
        <w:rPr>
          <w:rFonts w:hint="eastAsia" w:hAnsi="宋体"/>
          <w:b/>
          <w:sz w:val="24"/>
          <w:szCs w:val="24"/>
          <w:lang w:val="en-US" w:eastAsia="zh-CN"/>
        </w:rPr>
        <w:t>5</w:t>
      </w:r>
      <w:r>
        <w:rPr>
          <w:rFonts w:hint="eastAsia" w:hAnsi="宋体"/>
          <w:b/>
          <w:sz w:val="24"/>
          <w:szCs w:val="24"/>
        </w:rPr>
        <w:t>分。</w:t>
      </w:r>
    </w:p>
    <w:p>
      <w:pPr>
        <w:pStyle w:val="20"/>
        <w:spacing w:before="120" w:beforeLines="50" w:after="120" w:afterLines="50" w:line="320" w:lineRule="exact"/>
        <w:ind w:firstLine="466" w:firstLineChars="200"/>
        <w:rPr>
          <w:rFonts w:hAnsi="宋体"/>
          <w:b/>
          <w:sz w:val="24"/>
          <w:szCs w:val="24"/>
        </w:rPr>
      </w:pPr>
      <w:r>
        <w:rPr>
          <w:rFonts w:hint="eastAsia" w:hAnsi="宋体"/>
          <w:b/>
          <w:sz w:val="24"/>
          <w:szCs w:val="24"/>
        </w:rPr>
        <w:t>所有投标人均开启报价文件并唱标，符合第三章（八）特别说明1.规定的情况时，多个供应商按一个供应商计算，具体入围供应商选择按“第三章（八）特别说明”规定处理。评审过程中有效投标人不足3名时，本标项予以废标，择期将重新组织招标。</w:t>
      </w:r>
    </w:p>
    <w:p>
      <w:pPr>
        <w:spacing w:line="400" w:lineRule="exact"/>
        <w:ind w:firstLine="472" w:firstLineChars="196"/>
        <w:rPr>
          <w:rFonts w:ascii="宋体" w:hAnsi="宋体"/>
          <w:b/>
          <w:bCs/>
          <w:sz w:val="24"/>
        </w:rPr>
      </w:pPr>
      <w:r>
        <w:rPr>
          <w:rFonts w:hint="eastAsia" w:ascii="宋体" w:hAnsi="宋体"/>
          <w:b/>
          <w:bCs/>
          <w:sz w:val="24"/>
        </w:rPr>
        <w:t>（三）技术、商务、资信及其他分的计算</w:t>
      </w:r>
    </w:p>
    <w:p>
      <w:pPr>
        <w:spacing w:before="120" w:beforeLines="50" w:after="120" w:afterLines="50" w:line="276" w:lineRule="auto"/>
        <w:ind w:firstLine="480" w:firstLineChars="200"/>
        <w:rPr>
          <w:rFonts w:ascii="宋体" w:hAnsi="宋体"/>
          <w:sz w:val="24"/>
        </w:rPr>
      </w:pPr>
      <w:r>
        <w:rPr>
          <w:rFonts w:hint="eastAsia" w:ascii="宋体" w:hAnsi="宋体"/>
          <w:sz w:val="24"/>
        </w:rPr>
        <w:t>技术、商务及其它、资信分按照评标委员会成员的独立评分结果的算术平均分计算，计算公式为：</w:t>
      </w:r>
    </w:p>
    <w:p>
      <w:pPr>
        <w:spacing w:before="120" w:beforeLines="50" w:after="120" w:afterLines="50" w:line="276" w:lineRule="auto"/>
        <w:ind w:firstLine="495"/>
        <w:rPr>
          <w:rFonts w:hint="eastAsia" w:ascii="宋体" w:hAnsi="宋体"/>
          <w:b/>
          <w:sz w:val="24"/>
          <w:highlight w:val="none"/>
        </w:rPr>
      </w:pPr>
      <w:r>
        <w:rPr>
          <w:rFonts w:hint="eastAsia" w:ascii="宋体" w:hAnsi="宋体"/>
          <w:sz w:val="24"/>
          <w:highlight w:val="none"/>
        </w:rPr>
        <w:t>技术、商务及其它、资信分=评标委员会所有成员评分合计数/评标委员会组成人员数</w:t>
      </w:r>
    </w:p>
    <w:p>
      <w:pPr>
        <w:spacing w:line="360" w:lineRule="auto"/>
        <w:rPr>
          <w:rFonts w:hint="eastAsia" w:ascii="宋体" w:hAnsi="宋体"/>
          <w:b/>
          <w:sz w:val="24"/>
          <w:highlight w:val="none"/>
        </w:rPr>
      </w:pPr>
      <w:r>
        <w:rPr>
          <w:rFonts w:hint="eastAsia" w:ascii="宋体" w:hAnsi="宋体"/>
          <w:b/>
          <w:sz w:val="24"/>
          <w:highlight w:val="none"/>
        </w:rPr>
        <w:t>附件：评分表格式（技术、商务、资信及其他分，共75分）</w:t>
      </w:r>
    </w:p>
    <w:tbl>
      <w:tblPr>
        <w:tblStyle w:val="42"/>
        <w:tblW w:w="9322" w:type="dxa"/>
        <w:tblInd w:w="135" w:type="dxa"/>
        <w:tblLayout w:type="fixed"/>
        <w:tblCellMar>
          <w:top w:w="0" w:type="dxa"/>
          <w:left w:w="108" w:type="dxa"/>
          <w:bottom w:w="0" w:type="dxa"/>
          <w:right w:w="108" w:type="dxa"/>
        </w:tblCellMar>
      </w:tblPr>
      <w:tblGrid>
        <w:gridCol w:w="608"/>
        <w:gridCol w:w="1241"/>
        <w:gridCol w:w="6623"/>
        <w:gridCol w:w="850"/>
      </w:tblGrid>
      <w:tr>
        <w:tblPrEx>
          <w:tblCellMar>
            <w:top w:w="0" w:type="dxa"/>
            <w:left w:w="108" w:type="dxa"/>
            <w:bottom w:w="0" w:type="dxa"/>
            <w:right w:w="108" w:type="dxa"/>
          </w:tblCellMar>
        </w:tblPrEx>
        <w:trPr>
          <w:trHeight w:val="548" w:hRule="atLeast"/>
        </w:trPr>
        <w:tc>
          <w:tcPr>
            <w:tcW w:w="608" w:type="dxa"/>
            <w:tcBorders>
              <w:top w:val="single" w:color="auto" w:sz="8" w:space="0"/>
              <w:left w:val="single" w:color="auto" w:sz="8" w:space="0"/>
              <w:bottom w:val="single" w:color="auto" w:sz="8" w:space="0"/>
              <w:right w:val="single" w:color="auto" w:sz="8" w:space="0"/>
            </w:tcBorders>
            <w:noWrap w:val="0"/>
            <w:vAlign w:val="center"/>
          </w:tcPr>
          <w:p>
            <w:pPr>
              <w:pStyle w:val="34"/>
              <w:spacing w:after="120"/>
              <w:ind w:firstLine="0" w:firstLineChars="0"/>
              <w:jc w:val="center"/>
              <w:rPr>
                <w:rFonts w:hint="eastAsia" w:ascii="宋体" w:eastAsia="宋体" w:cs="宋体"/>
                <w:b/>
                <w:bCs/>
                <w:highlight w:val="none"/>
              </w:rPr>
            </w:pPr>
            <w:r>
              <w:rPr>
                <w:rFonts w:hint="eastAsia" w:ascii="宋体" w:eastAsia="宋体" w:cs="宋体"/>
                <w:b/>
                <w:bCs/>
                <w:highlight w:val="none"/>
              </w:rPr>
              <w:t>序号</w:t>
            </w:r>
          </w:p>
        </w:tc>
        <w:tc>
          <w:tcPr>
            <w:tcW w:w="1241" w:type="dxa"/>
            <w:tcBorders>
              <w:top w:val="single" w:color="auto" w:sz="8" w:space="0"/>
              <w:left w:val="single" w:color="auto" w:sz="8" w:space="0"/>
              <w:bottom w:val="single" w:color="auto" w:sz="8" w:space="0"/>
              <w:right w:val="single" w:color="auto" w:sz="8" w:space="0"/>
            </w:tcBorders>
            <w:noWrap w:val="0"/>
            <w:vAlign w:val="center"/>
          </w:tcPr>
          <w:p>
            <w:pPr>
              <w:pStyle w:val="34"/>
              <w:spacing w:after="120"/>
              <w:ind w:firstLine="0" w:firstLineChars="0"/>
              <w:jc w:val="center"/>
              <w:rPr>
                <w:rFonts w:hint="eastAsia" w:ascii="宋体" w:eastAsia="宋体" w:cs="宋体"/>
                <w:b/>
                <w:bCs/>
                <w:highlight w:val="none"/>
              </w:rPr>
            </w:pPr>
            <w:r>
              <w:rPr>
                <w:rFonts w:hint="eastAsia" w:ascii="宋体" w:eastAsia="宋体" w:cs="宋体"/>
                <w:b/>
                <w:bCs/>
                <w:highlight w:val="none"/>
              </w:rPr>
              <w:t>评审内容</w:t>
            </w:r>
          </w:p>
        </w:tc>
        <w:tc>
          <w:tcPr>
            <w:tcW w:w="6623" w:type="dxa"/>
            <w:tcBorders>
              <w:top w:val="single" w:color="auto" w:sz="8" w:space="0"/>
              <w:left w:val="nil"/>
              <w:bottom w:val="single" w:color="auto" w:sz="8" w:space="0"/>
              <w:right w:val="single" w:color="auto" w:sz="8" w:space="0"/>
            </w:tcBorders>
            <w:noWrap w:val="0"/>
            <w:vAlign w:val="center"/>
          </w:tcPr>
          <w:p>
            <w:pPr>
              <w:pStyle w:val="34"/>
              <w:spacing w:after="120"/>
              <w:ind w:firstLine="482"/>
              <w:jc w:val="center"/>
              <w:rPr>
                <w:rFonts w:hint="eastAsia" w:ascii="宋体" w:eastAsia="宋体" w:cs="宋体"/>
                <w:b/>
                <w:bCs/>
                <w:highlight w:val="none"/>
              </w:rPr>
            </w:pPr>
            <w:r>
              <w:rPr>
                <w:rFonts w:hint="eastAsia" w:ascii="宋体" w:eastAsia="宋体" w:cs="宋体"/>
                <w:b/>
                <w:bCs/>
                <w:highlight w:val="none"/>
              </w:rPr>
              <w:t>评分标准</w:t>
            </w:r>
          </w:p>
        </w:tc>
        <w:tc>
          <w:tcPr>
            <w:tcW w:w="850" w:type="dxa"/>
            <w:tcBorders>
              <w:top w:val="single" w:color="auto" w:sz="8" w:space="0"/>
              <w:left w:val="nil"/>
              <w:bottom w:val="single" w:color="auto" w:sz="8" w:space="0"/>
              <w:right w:val="single" w:color="auto" w:sz="8" w:space="0"/>
            </w:tcBorders>
            <w:noWrap w:val="0"/>
            <w:vAlign w:val="center"/>
          </w:tcPr>
          <w:p>
            <w:pPr>
              <w:pStyle w:val="34"/>
              <w:spacing w:after="120"/>
              <w:ind w:firstLine="0" w:firstLineChars="0"/>
              <w:jc w:val="center"/>
              <w:rPr>
                <w:rFonts w:hint="eastAsia" w:ascii="宋体" w:eastAsia="宋体" w:cs="宋体"/>
                <w:b/>
                <w:bCs/>
                <w:highlight w:val="none"/>
              </w:rPr>
            </w:pPr>
            <w:r>
              <w:rPr>
                <w:rFonts w:hint="eastAsia" w:ascii="宋体" w:eastAsia="宋体" w:cs="宋体"/>
                <w:b/>
                <w:bCs/>
                <w:highlight w:val="none"/>
              </w:rPr>
              <w:t>分值</w:t>
            </w:r>
          </w:p>
        </w:tc>
      </w:tr>
      <w:tr>
        <w:tblPrEx>
          <w:tblCellMar>
            <w:top w:w="0" w:type="dxa"/>
            <w:left w:w="108" w:type="dxa"/>
            <w:bottom w:w="0" w:type="dxa"/>
            <w:right w:w="108" w:type="dxa"/>
          </w:tblCellMar>
        </w:tblPrEx>
        <w:trPr>
          <w:trHeight w:val="548" w:hRule="atLeast"/>
        </w:trPr>
        <w:tc>
          <w:tcPr>
            <w:tcW w:w="608" w:type="dxa"/>
            <w:tcBorders>
              <w:top w:val="single" w:color="auto" w:sz="8" w:space="0"/>
              <w:left w:val="single" w:color="auto" w:sz="8" w:space="0"/>
              <w:bottom w:val="single" w:color="auto" w:sz="8" w:space="0"/>
              <w:right w:val="single" w:color="auto" w:sz="8" w:space="0"/>
            </w:tcBorders>
            <w:noWrap w:val="0"/>
            <w:vAlign w:val="center"/>
          </w:tcPr>
          <w:p>
            <w:pPr>
              <w:pStyle w:val="34"/>
              <w:spacing w:after="120"/>
              <w:ind w:firstLine="0" w:firstLineChars="0"/>
              <w:jc w:val="center"/>
              <w:rPr>
                <w:rFonts w:hint="eastAsia" w:ascii="宋体" w:eastAsia="宋体" w:cs="宋体"/>
                <w:b/>
                <w:bCs/>
              </w:rPr>
            </w:pPr>
            <w:r>
              <w:rPr>
                <w:rFonts w:hint="eastAsia" w:ascii="宋体" w:eastAsia="宋体" w:cs="宋体"/>
                <w:b/>
                <w:bCs/>
              </w:rPr>
              <w:t>一、</w:t>
            </w:r>
          </w:p>
        </w:tc>
        <w:tc>
          <w:tcPr>
            <w:tcW w:w="1241" w:type="dxa"/>
            <w:tcBorders>
              <w:top w:val="single" w:color="auto" w:sz="8" w:space="0"/>
              <w:left w:val="single" w:color="auto" w:sz="8" w:space="0"/>
              <w:bottom w:val="single" w:color="auto" w:sz="8" w:space="0"/>
              <w:right w:val="single" w:color="auto" w:sz="8" w:space="0"/>
            </w:tcBorders>
            <w:noWrap w:val="0"/>
            <w:vAlign w:val="center"/>
          </w:tcPr>
          <w:p>
            <w:pPr>
              <w:pStyle w:val="34"/>
              <w:spacing w:after="120"/>
              <w:ind w:firstLine="0" w:firstLineChars="0"/>
              <w:jc w:val="center"/>
              <w:rPr>
                <w:rFonts w:hint="eastAsia" w:ascii="宋体" w:eastAsia="宋体" w:cs="宋体"/>
                <w:b/>
                <w:bCs/>
              </w:rPr>
            </w:pPr>
            <w:r>
              <w:rPr>
                <w:rFonts w:hint="eastAsia" w:ascii="宋体" w:eastAsia="宋体" w:cs="宋体"/>
                <w:b/>
                <w:bCs/>
              </w:rPr>
              <w:t>商务分</w:t>
            </w:r>
          </w:p>
        </w:tc>
        <w:tc>
          <w:tcPr>
            <w:tcW w:w="6623" w:type="dxa"/>
            <w:tcBorders>
              <w:top w:val="single" w:color="auto" w:sz="8" w:space="0"/>
              <w:left w:val="nil"/>
              <w:bottom w:val="single" w:color="auto" w:sz="8" w:space="0"/>
              <w:right w:val="single" w:color="auto" w:sz="8" w:space="0"/>
            </w:tcBorders>
            <w:noWrap w:val="0"/>
            <w:vAlign w:val="center"/>
          </w:tcPr>
          <w:p>
            <w:pPr>
              <w:pStyle w:val="34"/>
              <w:spacing w:after="120"/>
              <w:ind w:firstLine="482"/>
              <w:jc w:val="center"/>
              <w:rPr>
                <w:rFonts w:hint="eastAsia" w:ascii="宋体" w:eastAsia="宋体" w:cs="宋体"/>
                <w:b/>
                <w:bCs/>
              </w:rPr>
            </w:pPr>
          </w:p>
        </w:tc>
        <w:tc>
          <w:tcPr>
            <w:tcW w:w="850" w:type="dxa"/>
            <w:tcBorders>
              <w:top w:val="single" w:color="auto" w:sz="8" w:space="0"/>
              <w:left w:val="nil"/>
              <w:bottom w:val="single" w:color="auto" w:sz="8" w:space="0"/>
              <w:right w:val="single" w:color="auto" w:sz="8" w:space="0"/>
            </w:tcBorders>
            <w:noWrap w:val="0"/>
            <w:vAlign w:val="center"/>
          </w:tcPr>
          <w:p>
            <w:pPr>
              <w:pStyle w:val="34"/>
              <w:spacing w:after="120"/>
              <w:ind w:firstLine="0" w:firstLineChars="0"/>
              <w:jc w:val="center"/>
              <w:rPr>
                <w:rFonts w:hint="eastAsia" w:ascii="宋体" w:eastAsia="宋体" w:cs="宋体"/>
                <w:b/>
                <w:bCs/>
              </w:rPr>
            </w:pPr>
            <w:r>
              <w:rPr>
                <w:rFonts w:hint="eastAsia" w:ascii="宋体" w:eastAsia="宋体" w:cs="宋体"/>
                <w:b/>
                <w:bCs/>
              </w:rPr>
              <w:t>2</w:t>
            </w:r>
            <w:r>
              <w:rPr>
                <w:rFonts w:hint="eastAsia" w:ascii="宋体" w:eastAsia="宋体" w:cs="宋体"/>
                <w:b/>
                <w:bCs/>
                <w:lang w:val="en-US" w:eastAsia="zh-CN"/>
              </w:rPr>
              <w:t>2</w:t>
            </w:r>
            <w:r>
              <w:rPr>
                <w:rFonts w:hint="eastAsia" w:ascii="宋体" w:eastAsia="宋体" w:cs="宋体"/>
                <w:b/>
                <w:bCs/>
              </w:rPr>
              <w:t>分</w:t>
            </w:r>
          </w:p>
        </w:tc>
      </w:tr>
      <w:tr>
        <w:tblPrEx>
          <w:tblCellMar>
            <w:top w:w="0" w:type="dxa"/>
            <w:left w:w="108" w:type="dxa"/>
            <w:bottom w:w="0" w:type="dxa"/>
            <w:right w:w="108" w:type="dxa"/>
          </w:tblCellMar>
        </w:tblPrEx>
        <w:trPr>
          <w:trHeight w:val="913" w:hRule="atLeast"/>
        </w:trPr>
        <w:tc>
          <w:tcPr>
            <w:tcW w:w="608" w:type="dxa"/>
            <w:tcBorders>
              <w:top w:val="single" w:color="auto" w:sz="8" w:space="0"/>
              <w:left w:val="single" w:color="auto" w:sz="8" w:space="0"/>
              <w:bottom w:val="single" w:color="auto" w:sz="8" w:space="0"/>
              <w:right w:val="single" w:color="auto" w:sz="8" w:space="0"/>
            </w:tcBorders>
            <w:noWrap w:val="0"/>
            <w:vAlign w:val="center"/>
          </w:tcPr>
          <w:p>
            <w:pPr>
              <w:spacing w:line="420" w:lineRule="exact"/>
              <w:jc w:val="center"/>
              <w:rPr>
                <w:rFonts w:hint="eastAsia" w:ascii="宋体" w:hAnsi="宋体" w:cs="宋体"/>
                <w:spacing w:val="4"/>
                <w:sz w:val="24"/>
              </w:rPr>
            </w:pPr>
            <w:r>
              <w:rPr>
                <w:rFonts w:hint="eastAsia" w:ascii="宋体" w:hAnsi="宋体" w:cs="宋体"/>
                <w:spacing w:val="4"/>
                <w:sz w:val="24"/>
              </w:rPr>
              <w:t>1</w:t>
            </w:r>
          </w:p>
        </w:tc>
        <w:tc>
          <w:tcPr>
            <w:tcW w:w="1241" w:type="dxa"/>
            <w:tcBorders>
              <w:top w:val="single" w:color="auto" w:sz="8" w:space="0"/>
              <w:left w:val="single" w:color="auto" w:sz="8" w:space="0"/>
              <w:bottom w:val="single" w:color="auto" w:sz="8" w:space="0"/>
              <w:right w:val="single" w:color="auto" w:sz="8" w:space="0"/>
            </w:tcBorders>
            <w:noWrap w:val="0"/>
            <w:vAlign w:val="center"/>
          </w:tcPr>
          <w:p>
            <w:pPr>
              <w:spacing w:line="420" w:lineRule="exact"/>
              <w:jc w:val="center"/>
              <w:rPr>
                <w:rFonts w:hint="eastAsia" w:ascii="宋体" w:hAnsi="宋体" w:cs="宋体"/>
                <w:spacing w:val="4"/>
                <w:sz w:val="24"/>
              </w:rPr>
            </w:pPr>
            <w:r>
              <w:rPr>
                <w:rFonts w:hint="eastAsia" w:ascii="宋体" w:hAnsi="宋体" w:cs="宋体"/>
                <w:sz w:val="24"/>
              </w:rPr>
              <w:t>企业资质</w:t>
            </w:r>
          </w:p>
        </w:tc>
        <w:tc>
          <w:tcPr>
            <w:tcW w:w="6623" w:type="dxa"/>
            <w:tcBorders>
              <w:top w:val="single" w:color="auto" w:sz="8" w:space="0"/>
              <w:left w:val="nil"/>
              <w:bottom w:val="single" w:color="auto" w:sz="8" w:space="0"/>
              <w:right w:val="single" w:color="auto" w:sz="8" w:space="0"/>
            </w:tcBorders>
            <w:noWrap w:val="0"/>
            <w:vAlign w:val="center"/>
          </w:tcPr>
          <w:p>
            <w:pPr>
              <w:jc w:val="left"/>
              <w:rPr>
                <w:rFonts w:hint="eastAsia" w:ascii="宋体" w:hAnsi="宋体" w:cs="宋体"/>
                <w:spacing w:val="4"/>
                <w:sz w:val="24"/>
              </w:rPr>
            </w:pPr>
            <w:r>
              <w:rPr>
                <w:rFonts w:hint="eastAsia" w:ascii="宋体" w:hAnsi="宋体" w:cs="宋体"/>
                <w:spacing w:val="4"/>
                <w:sz w:val="24"/>
              </w:rPr>
              <w:t>投标人具有ISO9001质量管理体系认证、ISO14001环境管理体系认证、ISO27001信息安全管理体系，ISO45001职业健康安全管理体系，每提供一项得1分，最高4分。（需提供相关证明材料及其复印件）。</w:t>
            </w:r>
          </w:p>
        </w:tc>
        <w:tc>
          <w:tcPr>
            <w:tcW w:w="850" w:type="dxa"/>
            <w:tcBorders>
              <w:top w:val="single" w:color="auto" w:sz="8" w:space="0"/>
              <w:left w:val="nil"/>
              <w:bottom w:val="single" w:color="auto" w:sz="8" w:space="0"/>
              <w:right w:val="single" w:color="auto" w:sz="8" w:space="0"/>
            </w:tcBorders>
            <w:noWrap w:val="0"/>
            <w:vAlign w:val="center"/>
          </w:tcPr>
          <w:p>
            <w:pPr>
              <w:spacing w:line="420" w:lineRule="exact"/>
              <w:jc w:val="center"/>
              <w:rPr>
                <w:rFonts w:hint="eastAsia" w:ascii="宋体" w:hAnsi="宋体" w:cs="宋体"/>
                <w:spacing w:val="4"/>
                <w:sz w:val="24"/>
              </w:rPr>
            </w:pPr>
            <w:r>
              <w:rPr>
                <w:rFonts w:hint="eastAsia" w:ascii="宋体" w:hAnsi="宋体" w:cs="宋体"/>
                <w:spacing w:val="4"/>
                <w:sz w:val="24"/>
              </w:rPr>
              <w:t>4</w:t>
            </w:r>
          </w:p>
        </w:tc>
      </w:tr>
      <w:tr>
        <w:tblPrEx>
          <w:tblCellMar>
            <w:top w:w="0" w:type="dxa"/>
            <w:left w:w="108" w:type="dxa"/>
            <w:bottom w:w="0" w:type="dxa"/>
            <w:right w:w="108" w:type="dxa"/>
          </w:tblCellMar>
        </w:tblPrEx>
        <w:trPr>
          <w:trHeight w:val="509" w:hRule="atLeast"/>
        </w:trPr>
        <w:tc>
          <w:tcPr>
            <w:tcW w:w="608" w:type="dxa"/>
            <w:vMerge w:val="restart"/>
            <w:tcBorders>
              <w:top w:val="single" w:color="auto" w:sz="8" w:space="0"/>
              <w:left w:val="single" w:color="auto" w:sz="8" w:space="0"/>
              <w:right w:val="single" w:color="auto" w:sz="8" w:space="0"/>
            </w:tcBorders>
            <w:noWrap w:val="0"/>
            <w:vAlign w:val="center"/>
          </w:tcPr>
          <w:p>
            <w:pPr>
              <w:spacing w:line="420" w:lineRule="exact"/>
              <w:jc w:val="center"/>
              <w:rPr>
                <w:rFonts w:hint="eastAsia" w:ascii="宋体" w:hAnsi="宋体" w:cs="宋体"/>
                <w:color w:val="000000"/>
                <w:spacing w:val="4"/>
                <w:sz w:val="24"/>
              </w:rPr>
            </w:pPr>
            <w:r>
              <w:rPr>
                <w:rFonts w:hint="eastAsia" w:ascii="宋体" w:hAnsi="宋体" w:cs="宋体"/>
                <w:color w:val="000000"/>
                <w:spacing w:val="4"/>
                <w:sz w:val="24"/>
              </w:rPr>
              <w:t>2</w:t>
            </w:r>
          </w:p>
        </w:tc>
        <w:tc>
          <w:tcPr>
            <w:tcW w:w="1241" w:type="dxa"/>
            <w:vMerge w:val="restart"/>
            <w:tcBorders>
              <w:top w:val="single" w:color="auto" w:sz="8" w:space="0"/>
              <w:left w:val="single" w:color="auto" w:sz="8" w:space="0"/>
              <w:right w:val="single" w:color="auto" w:sz="8" w:space="0"/>
            </w:tcBorders>
            <w:noWrap w:val="0"/>
            <w:vAlign w:val="center"/>
          </w:tcPr>
          <w:p>
            <w:pPr>
              <w:spacing w:line="420" w:lineRule="exact"/>
              <w:jc w:val="center"/>
              <w:rPr>
                <w:rFonts w:hint="eastAsia" w:ascii="宋体" w:hAnsi="宋体" w:cs="宋体"/>
                <w:color w:val="000000"/>
                <w:spacing w:val="4"/>
                <w:sz w:val="24"/>
              </w:rPr>
            </w:pPr>
            <w:r>
              <w:rPr>
                <w:rFonts w:hint="eastAsia" w:ascii="宋体" w:hAnsi="宋体" w:cs="宋体"/>
                <w:color w:val="000000"/>
                <w:spacing w:val="4"/>
                <w:sz w:val="24"/>
              </w:rPr>
              <w:t>企业业务能力</w:t>
            </w:r>
          </w:p>
        </w:tc>
        <w:tc>
          <w:tcPr>
            <w:tcW w:w="6623" w:type="dxa"/>
            <w:tcBorders>
              <w:top w:val="single" w:color="auto" w:sz="8" w:space="0"/>
              <w:left w:val="nil"/>
              <w:bottom w:val="single" w:color="auto" w:sz="4" w:space="0"/>
              <w:right w:val="single" w:color="auto" w:sz="8" w:space="0"/>
            </w:tcBorders>
            <w:noWrap w:val="0"/>
            <w:vAlign w:val="center"/>
          </w:tcPr>
          <w:p>
            <w:pPr>
              <w:jc w:val="left"/>
              <w:rPr>
                <w:rFonts w:hint="eastAsia" w:ascii="宋体" w:hAnsi="宋体" w:cs="宋体"/>
                <w:spacing w:val="4"/>
                <w:sz w:val="24"/>
                <w:highlight w:val="none"/>
              </w:rPr>
            </w:pPr>
            <w:r>
              <w:rPr>
                <w:rFonts w:hint="eastAsia" w:ascii="宋体" w:hAnsi="宋体" w:cs="宋体"/>
                <w:spacing w:val="4"/>
                <w:sz w:val="24"/>
                <w:highlight w:val="none"/>
              </w:rPr>
              <w:t>根据投标人本地区县光纤基础资源、出口带宽资源、网络质量、公司应急通信能力情况等，酌情打分0-</w:t>
            </w:r>
            <w:r>
              <w:rPr>
                <w:rFonts w:hint="eastAsia" w:ascii="宋体" w:hAnsi="宋体" w:cs="宋体"/>
                <w:spacing w:val="4"/>
                <w:sz w:val="24"/>
                <w:highlight w:val="none"/>
                <w:lang w:val="en-US" w:eastAsia="zh-CN"/>
              </w:rPr>
              <w:t>3</w:t>
            </w:r>
            <w:r>
              <w:rPr>
                <w:rFonts w:hint="eastAsia" w:ascii="宋体" w:hAnsi="宋体" w:cs="宋体"/>
                <w:spacing w:val="4"/>
                <w:sz w:val="24"/>
                <w:highlight w:val="none"/>
              </w:rPr>
              <w:t>分。需提供相关资料佐证以上内容。</w:t>
            </w:r>
          </w:p>
        </w:tc>
        <w:tc>
          <w:tcPr>
            <w:tcW w:w="850" w:type="dxa"/>
            <w:tcBorders>
              <w:top w:val="single" w:color="auto" w:sz="8" w:space="0"/>
              <w:left w:val="nil"/>
              <w:bottom w:val="single" w:color="auto" w:sz="4" w:space="0"/>
              <w:right w:val="single" w:color="auto" w:sz="8" w:space="0"/>
            </w:tcBorders>
            <w:noWrap w:val="0"/>
            <w:vAlign w:val="center"/>
          </w:tcPr>
          <w:p>
            <w:pPr>
              <w:spacing w:line="420" w:lineRule="exact"/>
              <w:jc w:val="center"/>
              <w:rPr>
                <w:rFonts w:hint="eastAsia" w:ascii="宋体" w:hAnsi="宋体" w:eastAsia="宋体" w:cs="宋体"/>
                <w:color w:val="000000"/>
                <w:spacing w:val="4"/>
                <w:sz w:val="24"/>
                <w:highlight w:val="none"/>
                <w:lang w:eastAsia="zh-CN"/>
              </w:rPr>
            </w:pPr>
            <w:r>
              <w:rPr>
                <w:rFonts w:hint="eastAsia" w:ascii="宋体" w:hAnsi="宋体" w:cs="宋体"/>
                <w:color w:val="000000"/>
                <w:spacing w:val="4"/>
                <w:sz w:val="24"/>
                <w:highlight w:val="none"/>
                <w:lang w:val="en-US" w:eastAsia="zh-CN"/>
              </w:rPr>
              <w:t>3</w:t>
            </w:r>
          </w:p>
        </w:tc>
      </w:tr>
      <w:tr>
        <w:tblPrEx>
          <w:tblCellMar>
            <w:top w:w="0" w:type="dxa"/>
            <w:left w:w="108" w:type="dxa"/>
            <w:bottom w:w="0" w:type="dxa"/>
            <w:right w:w="108" w:type="dxa"/>
          </w:tblCellMar>
        </w:tblPrEx>
        <w:trPr>
          <w:trHeight w:val="424" w:hRule="atLeast"/>
        </w:trPr>
        <w:tc>
          <w:tcPr>
            <w:tcW w:w="608" w:type="dxa"/>
            <w:vMerge w:val="continue"/>
            <w:tcBorders>
              <w:left w:val="single" w:color="auto" w:sz="8" w:space="0"/>
              <w:bottom w:val="single" w:color="auto" w:sz="8" w:space="0"/>
              <w:right w:val="single" w:color="auto" w:sz="8" w:space="0"/>
            </w:tcBorders>
            <w:noWrap w:val="0"/>
            <w:vAlign w:val="center"/>
          </w:tcPr>
          <w:p>
            <w:pPr>
              <w:spacing w:line="420" w:lineRule="exact"/>
              <w:jc w:val="center"/>
              <w:rPr>
                <w:rFonts w:hint="eastAsia" w:ascii="宋体" w:hAnsi="宋体" w:cs="宋体"/>
                <w:color w:val="000000"/>
                <w:spacing w:val="4"/>
                <w:sz w:val="24"/>
              </w:rPr>
            </w:pPr>
          </w:p>
        </w:tc>
        <w:tc>
          <w:tcPr>
            <w:tcW w:w="1241" w:type="dxa"/>
            <w:vMerge w:val="continue"/>
            <w:tcBorders>
              <w:left w:val="single" w:color="auto" w:sz="8" w:space="0"/>
              <w:bottom w:val="single" w:color="auto" w:sz="8" w:space="0"/>
              <w:right w:val="single" w:color="auto" w:sz="8" w:space="0"/>
            </w:tcBorders>
            <w:noWrap w:val="0"/>
            <w:vAlign w:val="center"/>
          </w:tcPr>
          <w:p>
            <w:pPr>
              <w:spacing w:line="420" w:lineRule="exact"/>
              <w:jc w:val="center"/>
              <w:rPr>
                <w:rFonts w:hint="eastAsia" w:ascii="宋体" w:hAnsi="宋体" w:cs="宋体"/>
                <w:color w:val="000000"/>
                <w:spacing w:val="4"/>
                <w:sz w:val="24"/>
              </w:rPr>
            </w:pPr>
          </w:p>
        </w:tc>
        <w:tc>
          <w:tcPr>
            <w:tcW w:w="6623" w:type="dxa"/>
            <w:tcBorders>
              <w:top w:val="single" w:color="auto" w:sz="4" w:space="0"/>
              <w:left w:val="nil"/>
              <w:bottom w:val="single" w:color="auto" w:sz="8" w:space="0"/>
              <w:right w:val="single" w:color="auto" w:sz="8" w:space="0"/>
            </w:tcBorders>
            <w:noWrap w:val="0"/>
            <w:vAlign w:val="center"/>
          </w:tcPr>
          <w:p>
            <w:pPr>
              <w:jc w:val="left"/>
              <w:rPr>
                <w:rFonts w:hint="eastAsia" w:ascii="宋体" w:hAnsi="宋体" w:cs="宋体"/>
                <w:spacing w:val="4"/>
                <w:sz w:val="24"/>
                <w:highlight w:val="none"/>
              </w:rPr>
            </w:pPr>
            <w:r>
              <w:rPr>
                <w:rFonts w:hint="eastAsia" w:ascii="宋体" w:hAnsi="宋体" w:cs="宋体"/>
                <w:spacing w:val="4"/>
                <w:sz w:val="24"/>
                <w:highlight w:val="none"/>
              </w:rPr>
              <w:t>根据投标人提供的当地IDC机房资源情况、网络核心机房及汇聚机房资源情况（机房环境、后备电源）等，酌情打分0-</w:t>
            </w:r>
            <w:r>
              <w:rPr>
                <w:rFonts w:hint="eastAsia" w:ascii="宋体" w:hAnsi="宋体" w:cs="宋体"/>
                <w:spacing w:val="4"/>
                <w:sz w:val="24"/>
                <w:highlight w:val="none"/>
                <w:lang w:val="en-US" w:eastAsia="zh-CN"/>
              </w:rPr>
              <w:t>3</w:t>
            </w:r>
            <w:r>
              <w:rPr>
                <w:rFonts w:hint="eastAsia" w:ascii="宋体" w:hAnsi="宋体" w:cs="宋体"/>
                <w:spacing w:val="4"/>
                <w:sz w:val="24"/>
                <w:highlight w:val="none"/>
              </w:rPr>
              <w:t>分。需提供相关资料佐证以上内容。</w:t>
            </w:r>
          </w:p>
        </w:tc>
        <w:tc>
          <w:tcPr>
            <w:tcW w:w="850" w:type="dxa"/>
            <w:tcBorders>
              <w:top w:val="single" w:color="auto" w:sz="4" w:space="0"/>
              <w:left w:val="nil"/>
              <w:bottom w:val="single" w:color="auto" w:sz="8" w:space="0"/>
              <w:right w:val="single" w:color="auto" w:sz="8" w:space="0"/>
            </w:tcBorders>
            <w:noWrap w:val="0"/>
            <w:vAlign w:val="center"/>
          </w:tcPr>
          <w:p>
            <w:pPr>
              <w:spacing w:line="420" w:lineRule="exact"/>
              <w:jc w:val="center"/>
              <w:rPr>
                <w:rFonts w:hint="eastAsia" w:ascii="宋体" w:hAnsi="宋体" w:eastAsia="宋体" w:cs="宋体"/>
                <w:color w:val="000000"/>
                <w:spacing w:val="4"/>
                <w:sz w:val="24"/>
                <w:highlight w:val="none"/>
                <w:lang w:eastAsia="zh-CN"/>
              </w:rPr>
            </w:pPr>
            <w:r>
              <w:rPr>
                <w:rFonts w:hint="eastAsia" w:ascii="宋体" w:hAnsi="宋体" w:cs="宋体"/>
                <w:color w:val="000000"/>
                <w:spacing w:val="4"/>
                <w:sz w:val="24"/>
                <w:highlight w:val="none"/>
                <w:lang w:val="en-US" w:eastAsia="zh-CN"/>
              </w:rPr>
              <w:t>3</w:t>
            </w:r>
          </w:p>
        </w:tc>
      </w:tr>
      <w:tr>
        <w:tblPrEx>
          <w:tblCellMar>
            <w:top w:w="0" w:type="dxa"/>
            <w:left w:w="108" w:type="dxa"/>
            <w:bottom w:w="0" w:type="dxa"/>
            <w:right w:w="108" w:type="dxa"/>
          </w:tblCellMar>
        </w:tblPrEx>
        <w:trPr>
          <w:trHeight w:val="913" w:hRule="atLeast"/>
        </w:trPr>
        <w:tc>
          <w:tcPr>
            <w:tcW w:w="608" w:type="dxa"/>
            <w:tcBorders>
              <w:top w:val="single" w:color="auto" w:sz="8" w:space="0"/>
              <w:left w:val="single" w:color="auto" w:sz="8" w:space="0"/>
              <w:bottom w:val="single" w:color="auto" w:sz="8" w:space="0"/>
              <w:right w:val="single" w:color="auto" w:sz="8" w:space="0"/>
            </w:tcBorders>
            <w:noWrap w:val="0"/>
            <w:vAlign w:val="center"/>
          </w:tcPr>
          <w:p>
            <w:pPr>
              <w:spacing w:line="420" w:lineRule="exact"/>
              <w:jc w:val="center"/>
              <w:rPr>
                <w:rFonts w:hint="eastAsia" w:ascii="宋体" w:hAnsi="宋体" w:cs="宋体"/>
                <w:color w:val="000000"/>
                <w:spacing w:val="4"/>
                <w:sz w:val="24"/>
              </w:rPr>
            </w:pPr>
            <w:r>
              <w:rPr>
                <w:rFonts w:hint="eastAsia" w:ascii="宋体" w:hAnsi="宋体" w:cs="宋体"/>
                <w:color w:val="000000"/>
                <w:spacing w:val="4"/>
                <w:sz w:val="24"/>
              </w:rPr>
              <w:t>3</w:t>
            </w:r>
          </w:p>
        </w:tc>
        <w:tc>
          <w:tcPr>
            <w:tcW w:w="1241" w:type="dxa"/>
            <w:tcBorders>
              <w:top w:val="single" w:color="auto" w:sz="8" w:space="0"/>
              <w:left w:val="single" w:color="auto" w:sz="8" w:space="0"/>
              <w:bottom w:val="single" w:color="auto" w:sz="8" w:space="0"/>
              <w:right w:val="single" w:color="auto" w:sz="8" w:space="0"/>
            </w:tcBorders>
            <w:noWrap w:val="0"/>
            <w:vAlign w:val="center"/>
          </w:tcPr>
          <w:p>
            <w:pPr>
              <w:spacing w:line="420" w:lineRule="exact"/>
              <w:jc w:val="center"/>
              <w:rPr>
                <w:rFonts w:hint="eastAsia" w:ascii="宋体" w:hAnsi="宋体" w:cs="宋体"/>
                <w:color w:val="000000"/>
                <w:spacing w:val="4"/>
                <w:sz w:val="24"/>
              </w:rPr>
            </w:pPr>
            <w:r>
              <w:rPr>
                <w:rFonts w:hint="eastAsia" w:ascii="宋体" w:hAnsi="宋体" w:cs="宋体"/>
                <w:color w:val="000000"/>
                <w:spacing w:val="4"/>
                <w:sz w:val="24"/>
              </w:rPr>
              <w:t>项目业绩</w:t>
            </w:r>
          </w:p>
        </w:tc>
        <w:tc>
          <w:tcPr>
            <w:tcW w:w="6623" w:type="dxa"/>
            <w:tcBorders>
              <w:top w:val="single" w:color="auto" w:sz="8" w:space="0"/>
              <w:left w:val="nil"/>
              <w:bottom w:val="single" w:color="auto" w:sz="8" w:space="0"/>
              <w:right w:val="single" w:color="auto" w:sz="8" w:space="0"/>
            </w:tcBorders>
            <w:noWrap w:val="0"/>
            <w:vAlign w:val="center"/>
          </w:tcPr>
          <w:p>
            <w:pPr>
              <w:jc w:val="left"/>
              <w:rPr>
                <w:rFonts w:hint="eastAsia" w:ascii="宋体" w:hAnsi="宋体" w:cs="宋体"/>
                <w:strike/>
                <w:color w:val="auto"/>
                <w:spacing w:val="4"/>
                <w:sz w:val="24"/>
                <w:highlight w:val="none"/>
              </w:rPr>
            </w:pPr>
            <w:r>
              <w:rPr>
                <w:rFonts w:hint="eastAsia" w:ascii="宋体" w:hAnsi="宋体" w:cs="宋体"/>
                <w:color w:val="auto"/>
                <w:spacing w:val="4"/>
                <w:sz w:val="24"/>
                <w:highlight w:val="none"/>
              </w:rPr>
              <w:t>根据投标人提供2015年1月以来的类似项目类似业绩情况，提供一个业绩得1分，最高得5分。（提供业绩合同、中标通知书复印件）</w:t>
            </w:r>
          </w:p>
        </w:tc>
        <w:tc>
          <w:tcPr>
            <w:tcW w:w="850" w:type="dxa"/>
            <w:tcBorders>
              <w:top w:val="single" w:color="auto" w:sz="8" w:space="0"/>
              <w:left w:val="nil"/>
              <w:bottom w:val="single" w:color="auto" w:sz="8" w:space="0"/>
              <w:right w:val="single" w:color="auto" w:sz="8" w:space="0"/>
            </w:tcBorders>
            <w:noWrap w:val="0"/>
            <w:vAlign w:val="center"/>
          </w:tcPr>
          <w:p>
            <w:pPr>
              <w:spacing w:line="420" w:lineRule="exact"/>
              <w:jc w:val="center"/>
              <w:rPr>
                <w:rFonts w:ascii="宋体" w:hAnsi="宋体" w:cs="宋体"/>
                <w:color w:val="auto"/>
                <w:spacing w:val="4"/>
                <w:sz w:val="24"/>
                <w:highlight w:val="none"/>
              </w:rPr>
            </w:pPr>
            <w:r>
              <w:rPr>
                <w:rFonts w:hint="eastAsia" w:ascii="宋体" w:hAnsi="宋体" w:cs="宋体"/>
                <w:color w:val="auto"/>
                <w:spacing w:val="4"/>
                <w:sz w:val="24"/>
                <w:highlight w:val="none"/>
              </w:rPr>
              <w:t>5</w:t>
            </w:r>
          </w:p>
        </w:tc>
      </w:tr>
      <w:tr>
        <w:tblPrEx>
          <w:tblCellMar>
            <w:top w:w="0" w:type="dxa"/>
            <w:left w:w="108" w:type="dxa"/>
            <w:bottom w:w="0" w:type="dxa"/>
            <w:right w:w="108" w:type="dxa"/>
          </w:tblCellMar>
        </w:tblPrEx>
        <w:trPr>
          <w:trHeight w:val="913" w:hRule="atLeast"/>
        </w:trPr>
        <w:tc>
          <w:tcPr>
            <w:tcW w:w="608" w:type="dxa"/>
            <w:tcBorders>
              <w:top w:val="single" w:color="auto" w:sz="8" w:space="0"/>
              <w:left w:val="single" w:color="auto" w:sz="8" w:space="0"/>
              <w:bottom w:val="single" w:color="auto" w:sz="8" w:space="0"/>
              <w:right w:val="single" w:color="auto" w:sz="8" w:space="0"/>
            </w:tcBorders>
            <w:noWrap w:val="0"/>
            <w:vAlign w:val="center"/>
          </w:tcPr>
          <w:p>
            <w:pPr>
              <w:spacing w:line="420" w:lineRule="exact"/>
              <w:jc w:val="center"/>
              <w:rPr>
                <w:rFonts w:ascii="宋体" w:hAnsi="宋体" w:cs="宋体"/>
                <w:color w:val="000000"/>
                <w:spacing w:val="4"/>
                <w:sz w:val="24"/>
              </w:rPr>
            </w:pPr>
            <w:r>
              <w:rPr>
                <w:rFonts w:hint="eastAsia" w:ascii="宋体" w:hAnsi="宋体" w:cs="宋体"/>
                <w:color w:val="000000"/>
                <w:spacing w:val="4"/>
                <w:sz w:val="24"/>
              </w:rPr>
              <w:t>4</w:t>
            </w:r>
          </w:p>
        </w:tc>
        <w:tc>
          <w:tcPr>
            <w:tcW w:w="1241" w:type="dxa"/>
            <w:tcBorders>
              <w:top w:val="single" w:color="auto" w:sz="8" w:space="0"/>
              <w:left w:val="single" w:color="auto" w:sz="8" w:space="0"/>
              <w:bottom w:val="single" w:color="auto" w:sz="8" w:space="0"/>
              <w:right w:val="single" w:color="auto" w:sz="8" w:space="0"/>
            </w:tcBorders>
            <w:noWrap w:val="0"/>
            <w:vAlign w:val="center"/>
          </w:tcPr>
          <w:p>
            <w:pPr>
              <w:spacing w:line="420" w:lineRule="exact"/>
              <w:jc w:val="center"/>
              <w:rPr>
                <w:rFonts w:hint="eastAsia" w:ascii="宋体" w:hAnsi="宋体" w:cs="宋体"/>
                <w:color w:val="000000"/>
                <w:spacing w:val="4"/>
                <w:sz w:val="24"/>
              </w:rPr>
            </w:pPr>
            <w:r>
              <w:rPr>
                <w:rFonts w:hint="eastAsia" w:ascii="宋体" w:hAnsi="宋体" w:cs="宋体"/>
                <w:color w:val="000000"/>
                <w:spacing w:val="4"/>
                <w:sz w:val="24"/>
              </w:rPr>
              <w:t>项目团队</w:t>
            </w:r>
          </w:p>
        </w:tc>
        <w:tc>
          <w:tcPr>
            <w:tcW w:w="6623" w:type="dxa"/>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auto"/>
                <w:spacing w:val="4"/>
                <w:sz w:val="24"/>
              </w:rPr>
            </w:pPr>
            <w:r>
              <w:rPr>
                <w:rFonts w:hint="eastAsia" w:ascii="宋体" w:hAnsi="宋体" w:cs="宋体"/>
                <w:color w:val="auto"/>
                <w:spacing w:val="4"/>
                <w:sz w:val="24"/>
              </w:rPr>
              <w:t>根据投标人拟投入本项目实施团队整体配置情况打分，投标方拟配备的项目经理具有CCIE或HCIE或H3CIE认证证书的得2分，</w:t>
            </w:r>
          </w:p>
          <w:p>
            <w:pPr>
              <w:jc w:val="left"/>
              <w:rPr>
                <w:rFonts w:hint="eastAsia" w:ascii="宋体" w:hAnsi="宋体" w:cs="宋体"/>
                <w:color w:val="auto"/>
                <w:spacing w:val="4"/>
                <w:sz w:val="24"/>
              </w:rPr>
            </w:pPr>
            <w:r>
              <w:rPr>
                <w:rFonts w:hint="eastAsia" w:ascii="宋体" w:hAnsi="宋体" w:cs="宋体"/>
                <w:color w:val="auto"/>
                <w:spacing w:val="4"/>
                <w:sz w:val="24"/>
              </w:rPr>
              <w:t>项目实施团队具有HCNP认证工程师的，一个得1分，最高得2分。</w:t>
            </w:r>
          </w:p>
          <w:p>
            <w:pPr>
              <w:jc w:val="left"/>
              <w:rPr>
                <w:rFonts w:hint="eastAsia" w:ascii="宋体" w:hAnsi="宋体" w:cs="宋体"/>
                <w:color w:val="auto"/>
                <w:spacing w:val="4"/>
                <w:sz w:val="24"/>
              </w:rPr>
            </w:pPr>
            <w:r>
              <w:rPr>
                <w:rFonts w:hint="eastAsia" w:ascii="宋体" w:hAnsi="宋体" w:cs="宋体"/>
                <w:color w:val="auto"/>
                <w:spacing w:val="4"/>
                <w:sz w:val="24"/>
              </w:rPr>
              <w:t>具有ACP或OCP认证的，每人得0.5分，最高得1分。</w:t>
            </w:r>
          </w:p>
          <w:p>
            <w:pPr>
              <w:jc w:val="left"/>
              <w:rPr>
                <w:rFonts w:hint="eastAsia" w:ascii="宋体" w:hAnsi="宋体" w:cs="宋体"/>
                <w:color w:val="auto"/>
                <w:spacing w:val="4"/>
                <w:sz w:val="24"/>
              </w:rPr>
            </w:pPr>
            <w:r>
              <w:rPr>
                <w:rFonts w:hint="eastAsia" w:ascii="宋体" w:hAnsi="宋体" w:cs="宋体"/>
                <w:color w:val="auto"/>
                <w:spacing w:val="4"/>
                <w:sz w:val="24"/>
              </w:rPr>
              <w:t>项目实施人员具备HCIE或 CCIE证书的每人得1分，最高得2分。</w:t>
            </w:r>
          </w:p>
          <w:p>
            <w:pPr>
              <w:jc w:val="left"/>
              <w:rPr>
                <w:rFonts w:hint="eastAsia" w:ascii="宋体" w:hAnsi="宋体" w:cs="宋体"/>
                <w:color w:val="auto"/>
                <w:spacing w:val="4"/>
                <w:sz w:val="24"/>
              </w:rPr>
            </w:pPr>
            <w:r>
              <w:rPr>
                <w:rFonts w:hint="eastAsia" w:ascii="宋体" w:hAnsi="宋体" w:cs="宋体"/>
                <w:color w:val="auto"/>
                <w:spacing w:val="4"/>
                <w:sz w:val="24"/>
              </w:rPr>
              <w:t>以上实施人员需提供证书复印件并出具近3个月社保证明。</w:t>
            </w:r>
          </w:p>
        </w:tc>
        <w:tc>
          <w:tcPr>
            <w:tcW w:w="850" w:type="dxa"/>
            <w:tcBorders>
              <w:top w:val="single" w:color="auto" w:sz="8" w:space="0"/>
              <w:left w:val="nil"/>
              <w:bottom w:val="single" w:color="auto" w:sz="8" w:space="0"/>
              <w:right w:val="single" w:color="auto" w:sz="8" w:space="0"/>
            </w:tcBorders>
            <w:noWrap w:val="0"/>
            <w:vAlign w:val="center"/>
          </w:tcPr>
          <w:p>
            <w:pPr>
              <w:spacing w:line="420" w:lineRule="exact"/>
              <w:jc w:val="center"/>
              <w:rPr>
                <w:rFonts w:ascii="宋体" w:hAnsi="宋体" w:cs="宋体"/>
                <w:color w:val="auto"/>
                <w:spacing w:val="4"/>
                <w:sz w:val="24"/>
              </w:rPr>
            </w:pPr>
            <w:r>
              <w:rPr>
                <w:rFonts w:hint="eastAsia" w:ascii="宋体" w:hAnsi="宋体" w:cs="宋体"/>
                <w:color w:val="auto"/>
                <w:spacing w:val="4"/>
                <w:sz w:val="24"/>
              </w:rPr>
              <w:t>7</w:t>
            </w:r>
          </w:p>
        </w:tc>
      </w:tr>
      <w:tr>
        <w:tblPrEx>
          <w:tblCellMar>
            <w:top w:w="0" w:type="dxa"/>
            <w:left w:w="108" w:type="dxa"/>
            <w:bottom w:w="0" w:type="dxa"/>
            <w:right w:w="108" w:type="dxa"/>
          </w:tblCellMar>
        </w:tblPrEx>
        <w:trPr>
          <w:trHeight w:val="571" w:hRule="atLeast"/>
        </w:trPr>
        <w:tc>
          <w:tcPr>
            <w:tcW w:w="608" w:type="dxa"/>
            <w:tcBorders>
              <w:top w:val="single" w:color="auto" w:sz="8" w:space="0"/>
              <w:left w:val="single" w:color="auto" w:sz="8" w:space="0"/>
              <w:bottom w:val="single" w:color="auto" w:sz="8" w:space="0"/>
              <w:right w:val="single" w:color="auto" w:sz="8" w:space="0"/>
            </w:tcBorders>
            <w:noWrap w:val="0"/>
            <w:vAlign w:val="center"/>
          </w:tcPr>
          <w:p>
            <w:pPr>
              <w:spacing w:line="420" w:lineRule="exact"/>
              <w:jc w:val="center"/>
              <w:rPr>
                <w:rFonts w:hint="eastAsia" w:ascii="宋体" w:hAnsi="宋体" w:cs="宋体"/>
                <w:b/>
                <w:bCs/>
                <w:color w:val="000000"/>
                <w:sz w:val="24"/>
              </w:rPr>
            </w:pPr>
            <w:r>
              <w:rPr>
                <w:rFonts w:hint="eastAsia" w:ascii="宋体" w:hAnsi="宋体" w:cs="宋体"/>
                <w:b/>
                <w:bCs/>
                <w:color w:val="000000"/>
                <w:sz w:val="24"/>
              </w:rPr>
              <w:t>二、</w:t>
            </w:r>
          </w:p>
        </w:tc>
        <w:tc>
          <w:tcPr>
            <w:tcW w:w="1241" w:type="dxa"/>
            <w:tcBorders>
              <w:top w:val="single" w:color="auto" w:sz="8" w:space="0"/>
              <w:left w:val="single" w:color="auto" w:sz="8" w:space="0"/>
              <w:bottom w:val="single" w:color="auto" w:sz="8" w:space="0"/>
              <w:right w:val="single" w:color="auto" w:sz="8" w:space="0"/>
            </w:tcBorders>
            <w:noWrap w:val="0"/>
            <w:vAlign w:val="center"/>
          </w:tcPr>
          <w:p>
            <w:pPr>
              <w:spacing w:line="420" w:lineRule="exact"/>
              <w:jc w:val="center"/>
              <w:rPr>
                <w:rFonts w:hint="eastAsia" w:ascii="宋体" w:hAnsi="宋体" w:cs="宋体"/>
                <w:b/>
                <w:bCs/>
                <w:color w:val="000000"/>
                <w:sz w:val="24"/>
              </w:rPr>
            </w:pPr>
            <w:r>
              <w:rPr>
                <w:rFonts w:hint="eastAsia" w:ascii="宋体" w:hAnsi="宋体" w:cs="宋体"/>
                <w:b/>
                <w:bCs/>
                <w:color w:val="000000"/>
                <w:sz w:val="24"/>
              </w:rPr>
              <w:t>技术分</w:t>
            </w:r>
          </w:p>
        </w:tc>
        <w:tc>
          <w:tcPr>
            <w:tcW w:w="6623" w:type="dxa"/>
            <w:tcBorders>
              <w:top w:val="single" w:color="auto" w:sz="8" w:space="0"/>
              <w:left w:val="nil"/>
              <w:bottom w:val="single" w:color="auto" w:sz="8" w:space="0"/>
              <w:right w:val="single" w:color="auto" w:sz="8" w:space="0"/>
            </w:tcBorders>
            <w:noWrap w:val="0"/>
            <w:vAlign w:val="center"/>
          </w:tcPr>
          <w:p>
            <w:pPr>
              <w:jc w:val="left"/>
              <w:rPr>
                <w:rFonts w:hint="eastAsia" w:ascii="宋体" w:hAnsi="宋体" w:cs="宋体"/>
                <w:strike/>
                <w:color w:val="000000"/>
                <w:spacing w:val="4"/>
                <w:sz w:val="24"/>
                <w:highlight w:val="red"/>
              </w:rPr>
            </w:pPr>
          </w:p>
        </w:tc>
        <w:tc>
          <w:tcPr>
            <w:tcW w:w="850" w:type="dxa"/>
            <w:tcBorders>
              <w:top w:val="single" w:color="auto" w:sz="8" w:space="0"/>
              <w:left w:val="nil"/>
              <w:bottom w:val="single" w:color="auto" w:sz="8" w:space="0"/>
              <w:right w:val="single" w:color="auto" w:sz="8" w:space="0"/>
            </w:tcBorders>
            <w:noWrap w:val="0"/>
            <w:vAlign w:val="center"/>
          </w:tcPr>
          <w:p>
            <w:pPr>
              <w:spacing w:line="420" w:lineRule="exact"/>
              <w:jc w:val="center"/>
              <w:rPr>
                <w:rFonts w:ascii="宋体" w:hAnsi="宋体" w:cs="宋体"/>
                <w:b/>
                <w:bCs/>
                <w:color w:val="000000"/>
                <w:spacing w:val="4"/>
                <w:sz w:val="24"/>
              </w:rPr>
            </w:pPr>
            <w:r>
              <w:rPr>
                <w:rFonts w:hint="eastAsia" w:ascii="宋体" w:hAnsi="宋体" w:cs="宋体"/>
                <w:b/>
                <w:bCs/>
                <w:color w:val="000000"/>
                <w:spacing w:val="4"/>
                <w:sz w:val="24"/>
                <w:lang w:val="en-US" w:eastAsia="zh-CN"/>
              </w:rPr>
              <w:t>3</w:t>
            </w:r>
            <w:r>
              <w:rPr>
                <w:rFonts w:hint="eastAsia" w:ascii="宋体" w:hAnsi="宋体" w:cs="宋体"/>
                <w:b/>
                <w:bCs/>
                <w:color w:val="000000"/>
                <w:spacing w:val="4"/>
                <w:sz w:val="24"/>
                <w:lang w:val="en-US" w:eastAsia="zh-CN"/>
              </w:rPr>
              <w:t>1</w:t>
            </w:r>
            <w:r>
              <w:rPr>
                <w:rFonts w:hint="eastAsia" w:ascii="宋体" w:hAnsi="宋体" w:cs="宋体"/>
                <w:b/>
                <w:bCs/>
                <w:color w:val="000000"/>
                <w:spacing w:val="4"/>
                <w:sz w:val="24"/>
              </w:rPr>
              <w:t>分</w:t>
            </w:r>
          </w:p>
        </w:tc>
      </w:tr>
      <w:tr>
        <w:tblPrEx>
          <w:tblCellMar>
            <w:top w:w="0" w:type="dxa"/>
            <w:left w:w="108" w:type="dxa"/>
            <w:bottom w:w="0" w:type="dxa"/>
            <w:right w:w="108" w:type="dxa"/>
          </w:tblCellMar>
        </w:tblPrEx>
        <w:trPr>
          <w:trHeight w:val="1196" w:hRule="atLeast"/>
        </w:trPr>
        <w:tc>
          <w:tcPr>
            <w:tcW w:w="608" w:type="dxa"/>
            <w:vMerge w:val="restart"/>
            <w:tcBorders>
              <w:top w:val="nil"/>
              <w:left w:val="single" w:color="auto" w:sz="4" w:space="0"/>
              <w:right w:val="single" w:color="auto" w:sz="4" w:space="0"/>
            </w:tcBorders>
            <w:noWrap w:val="0"/>
            <w:vAlign w:val="center"/>
          </w:tcPr>
          <w:p>
            <w:pPr>
              <w:widowControl/>
              <w:spacing w:line="420" w:lineRule="exact"/>
              <w:jc w:val="center"/>
              <w:rPr>
                <w:rFonts w:hint="eastAsia" w:ascii="宋体" w:hAnsi="宋体" w:cs="宋体"/>
                <w:color w:val="000000"/>
                <w:spacing w:val="4"/>
                <w:sz w:val="24"/>
              </w:rPr>
            </w:pPr>
            <w:r>
              <w:rPr>
                <w:rFonts w:hint="eastAsia" w:ascii="宋体" w:hAnsi="宋体" w:cs="宋体"/>
                <w:color w:val="000000"/>
                <w:spacing w:val="4"/>
                <w:sz w:val="24"/>
              </w:rPr>
              <w:t>5</w:t>
            </w:r>
          </w:p>
        </w:tc>
        <w:tc>
          <w:tcPr>
            <w:tcW w:w="1241" w:type="dxa"/>
            <w:vMerge w:val="restart"/>
            <w:tcBorders>
              <w:top w:val="nil"/>
              <w:left w:val="single" w:color="auto" w:sz="4" w:space="0"/>
              <w:right w:val="single" w:color="auto" w:sz="4" w:space="0"/>
            </w:tcBorders>
            <w:noWrap w:val="0"/>
            <w:vAlign w:val="center"/>
          </w:tcPr>
          <w:p>
            <w:pPr>
              <w:widowControl/>
              <w:spacing w:line="420" w:lineRule="exact"/>
              <w:jc w:val="center"/>
              <w:rPr>
                <w:rFonts w:hint="eastAsia" w:ascii="宋体" w:hAnsi="宋体" w:cs="宋体"/>
                <w:color w:val="000000"/>
                <w:spacing w:val="4"/>
                <w:sz w:val="24"/>
              </w:rPr>
            </w:pPr>
            <w:r>
              <w:rPr>
                <w:rFonts w:hint="eastAsia" w:ascii="宋体" w:hAnsi="宋体" w:cs="宋体"/>
                <w:color w:val="000000"/>
                <w:spacing w:val="4"/>
                <w:sz w:val="24"/>
              </w:rPr>
              <w:t>技术部分</w:t>
            </w:r>
          </w:p>
        </w:tc>
        <w:tc>
          <w:tcPr>
            <w:tcW w:w="6623" w:type="dxa"/>
            <w:tcBorders>
              <w:top w:val="single" w:color="auto" w:sz="8" w:space="0"/>
              <w:left w:val="nil"/>
              <w:bottom w:val="single" w:color="auto" w:sz="4" w:space="0"/>
              <w:right w:val="single" w:color="auto" w:sz="8" w:space="0"/>
            </w:tcBorders>
            <w:noWrap w:val="0"/>
            <w:vAlign w:val="center"/>
          </w:tcPr>
          <w:p>
            <w:pPr>
              <w:spacing w:line="320" w:lineRule="exact"/>
              <w:jc w:val="left"/>
              <w:rPr>
                <w:rFonts w:ascii="宋体" w:hAnsi="宋体" w:cs="宋体"/>
                <w:color w:val="000000"/>
                <w:spacing w:val="4"/>
                <w:szCs w:val="21"/>
                <w:highlight w:val="none"/>
              </w:rPr>
            </w:pPr>
            <w:r>
              <w:rPr>
                <w:rFonts w:hint="eastAsia" w:ascii="宋体" w:hAnsi="宋体" w:cs="宋体"/>
                <w:color w:val="000000"/>
                <w:spacing w:val="4"/>
                <w:sz w:val="24"/>
                <w:highlight w:val="none"/>
              </w:rPr>
              <w:t>根据投标方对现有网络拓扑、系统硬件资源、业务和数据状况分析，</w:t>
            </w:r>
            <w:r>
              <w:rPr>
                <w:rFonts w:hint="eastAsia" w:ascii="宋体" w:hAnsi="宋体"/>
                <w:color w:val="auto"/>
                <w:kern w:val="0"/>
                <w:sz w:val="24"/>
                <w:highlight w:val="none"/>
              </w:rPr>
              <w:t>对城域网建设与管理提供合理化建议情况</w:t>
            </w:r>
            <w:r>
              <w:rPr>
                <w:rFonts w:hint="eastAsia" w:ascii="宋体" w:hAnsi="宋体" w:cs="宋体"/>
                <w:color w:val="auto"/>
                <w:spacing w:val="4"/>
                <w:sz w:val="24"/>
                <w:highlight w:val="none"/>
              </w:rPr>
              <w:t>酌情打分0-4分；</w:t>
            </w:r>
          </w:p>
        </w:tc>
        <w:tc>
          <w:tcPr>
            <w:tcW w:w="850" w:type="dxa"/>
            <w:tcBorders>
              <w:top w:val="single" w:color="auto" w:sz="8" w:space="0"/>
              <w:left w:val="nil"/>
              <w:bottom w:val="single" w:color="auto" w:sz="4" w:space="0"/>
              <w:right w:val="single" w:color="auto" w:sz="8" w:space="0"/>
            </w:tcBorders>
            <w:noWrap w:val="0"/>
            <w:vAlign w:val="center"/>
          </w:tcPr>
          <w:p>
            <w:pPr>
              <w:widowControl/>
              <w:spacing w:line="420" w:lineRule="exact"/>
              <w:jc w:val="center"/>
              <w:rPr>
                <w:rFonts w:hint="eastAsia" w:ascii="宋体" w:hAnsi="宋体" w:cs="宋体"/>
                <w:color w:val="000000"/>
                <w:spacing w:val="4"/>
                <w:sz w:val="24"/>
                <w:highlight w:val="none"/>
              </w:rPr>
            </w:pPr>
            <w:r>
              <w:rPr>
                <w:rFonts w:hint="eastAsia" w:ascii="宋体" w:hAnsi="宋体" w:cs="宋体"/>
                <w:color w:val="000000"/>
                <w:spacing w:val="4"/>
                <w:sz w:val="24"/>
                <w:highlight w:val="none"/>
              </w:rPr>
              <w:t>4</w:t>
            </w:r>
          </w:p>
        </w:tc>
      </w:tr>
      <w:tr>
        <w:tblPrEx>
          <w:tblCellMar>
            <w:top w:w="0" w:type="dxa"/>
            <w:left w:w="108" w:type="dxa"/>
            <w:bottom w:w="0" w:type="dxa"/>
            <w:right w:w="108" w:type="dxa"/>
          </w:tblCellMar>
        </w:tblPrEx>
        <w:trPr>
          <w:trHeight w:val="964" w:hRule="atLeast"/>
        </w:trPr>
        <w:tc>
          <w:tcPr>
            <w:tcW w:w="608" w:type="dxa"/>
            <w:vMerge w:val="continue"/>
            <w:tcBorders>
              <w:top w:val="nil"/>
              <w:left w:val="single" w:color="auto" w:sz="4" w:space="0"/>
              <w:right w:val="single" w:color="auto" w:sz="4" w:space="0"/>
            </w:tcBorders>
            <w:noWrap w:val="0"/>
            <w:vAlign w:val="center"/>
          </w:tcPr>
          <w:p>
            <w:pPr>
              <w:widowControl/>
              <w:spacing w:line="420" w:lineRule="exact"/>
              <w:jc w:val="center"/>
              <w:rPr>
                <w:rFonts w:hint="eastAsia" w:ascii="宋体" w:hAnsi="宋体" w:cs="宋体"/>
                <w:color w:val="000000"/>
                <w:spacing w:val="4"/>
                <w:sz w:val="24"/>
              </w:rPr>
            </w:pPr>
          </w:p>
        </w:tc>
        <w:tc>
          <w:tcPr>
            <w:tcW w:w="1241" w:type="dxa"/>
            <w:vMerge w:val="continue"/>
            <w:tcBorders>
              <w:top w:val="nil"/>
              <w:left w:val="single" w:color="auto" w:sz="4" w:space="0"/>
              <w:right w:val="single" w:color="auto" w:sz="4" w:space="0"/>
            </w:tcBorders>
            <w:noWrap w:val="0"/>
            <w:vAlign w:val="center"/>
          </w:tcPr>
          <w:p>
            <w:pPr>
              <w:widowControl/>
              <w:spacing w:line="420" w:lineRule="exact"/>
              <w:jc w:val="center"/>
              <w:rPr>
                <w:rFonts w:hint="eastAsia" w:ascii="宋体" w:hAnsi="宋体" w:cs="宋体"/>
                <w:color w:val="000000"/>
                <w:spacing w:val="4"/>
                <w:sz w:val="24"/>
              </w:rPr>
            </w:pPr>
          </w:p>
        </w:tc>
        <w:tc>
          <w:tcPr>
            <w:tcW w:w="6623" w:type="dxa"/>
            <w:tcBorders>
              <w:top w:val="single" w:color="auto" w:sz="4" w:space="0"/>
              <w:left w:val="nil"/>
              <w:bottom w:val="single" w:color="auto" w:sz="4" w:space="0"/>
              <w:right w:val="single" w:color="auto" w:sz="8" w:space="0"/>
            </w:tcBorders>
            <w:noWrap w:val="0"/>
            <w:vAlign w:val="center"/>
          </w:tcPr>
          <w:p>
            <w:pPr>
              <w:jc w:val="left"/>
              <w:rPr>
                <w:rFonts w:hint="eastAsia" w:ascii="宋体" w:hAnsi="宋体" w:cs="宋体"/>
                <w:color w:val="000000"/>
                <w:spacing w:val="4"/>
                <w:sz w:val="24"/>
                <w:highlight w:val="none"/>
              </w:rPr>
            </w:pPr>
            <w:r>
              <w:rPr>
                <w:rFonts w:hint="eastAsia" w:ascii="宋体" w:hAnsi="宋体" w:cs="宋体"/>
                <w:color w:val="000000"/>
                <w:spacing w:val="4"/>
                <w:sz w:val="24"/>
                <w:highlight w:val="none"/>
              </w:rPr>
              <w:t>1.根据投标人提供的系统维护方案；定期巡检方案；系统应急预案；数据保障服务方案等情况酌情打分0-</w:t>
            </w:r>
            <w:r>
              <w:rPr>
                <w:rFonts w:hint="eastAsia" w:ascii="宋体" w:hAnsi="宋体" w:cs="宋体"/>
                <w:color w:val="000000"/>
                <w:spacing w:val="4"/>
                <w:sz w:val="24"/>
                <w:highlight w:val="none"/>
                <w:lang w:val="en-US" w:eastAsia="zh-CN"/>
              </w:rPr>
              <w:t>3</w:t>
            </w:r>
            <w:r>
              <w:rPr>
                <w:rFonts w:hint="eastAsia" w:ascii="宋体" w:hAnsi="宋体" w:cs="宋体"/>
                <w:color w:val="000000"/>
                <w:spacing w:val="4"/>
                <w:sz w:val="24"/>
                <w:highlight w:val="none"/>
              </w:rPr>
              <w:t>分；</w:t>
            </w:r>
          </w:p>
          <w:p>
            <w:pPr>
              <w:jc w:val="left"/>
              <w:rPr>
                <w:rFonts w:hint="eastAsia" w:ascii="宋体" w:hAnsi="宋体" w:cs="宋体"/>
                <w:color w:val="000000"/>
                <w:spacing w:val="4"/>
                <w:sz w:val="24"/>
                <w:highlight w:val="none"/>
              </w:rPr>
            </w:pPr>
            <w:r>
              <w:rPr>
                <w:rFonts w:hint="eastAsia" w:ascii="宋体" w:hAnsi="宋体" w:cs="宋体"/>
                <w:color w:val="000000"/>
                <w:spacing w:val="4"/>
                <w:sz w:val="24"/>
                <w:highlight w:val="none"/>
              </w:rPr>
              <w:t>2.根据投标方承诺的故障响应程度、人员配置及故障解决方案能力，0-</w:t>
            </w:r>
            <w:r>
              <w:rPr>
                <w:rFonts w:hint="eastAsia" w:ascii="宋体" w:hAnsi="宋体" w:cs="宋体"/>
                <w:color w:val="000000"/>
                <w:spacing w:val="4"/>
                <w:sz w:val="24"/>
                <w:highlight w:val="none"/>
                <w:lang w:val="en-US" w:eastAsia="zh-CN"/>
              </w:rPr>
              <w:t>3</w:t>
            </w:r>
            <w:r>
              <w:rPr>
                <w:rFonts w:hint="eastAsia" w:ascii="宋体" w:hAnsi="宋体" w:cs="宋体"/>
                <w:color w:val="000000"/>
                <w:spacing w:val="4"/>
                <w:sz w:val="24"/>
                <w:highlight w:val="none"/>
              </w:rPr>
              <w:t>分</w:t>
            </w:r>
          </w:p>
        </w:tc>
        <w:tc>
          <w:tcPr>
            <w:tcW w:w="850" w:type="dxa"/>
            <w:tcBorders>
              <w:top w:val="single" w:color="auto" w:sz="4" w:space="0"/>
              <w:left w:val="nil"/>
              <w:bottom w:val="single" w:color="auto" w:sz="4" w:space="0"/>
              <w:right w:val="single" w:color="auto" w:sz="8" w:space="0"/>
            </w:tcBorders>
            <w:noWrap w:val="0"/>
            <w:vAlign w:val="center"/>
          </w:tcPr>
          <w:p>
            <w:pPr>
              <w:spacing w:line="420" w:lineRule="exact"/>
              <w:jc w:val="center"/>
              <w:rPr>
                <w:rFonts w:hint="eastAsia" w:ascii="宋体" w:hAnsi="宋体" w:eastAsia="宋体" w:cs="宋体"/>
                <w:color w:val="000000"/>
                <w:spacing w:val="4"/>
                <w:sz w:val="24"/>
                <w:highlight w:val="none"/>
                <w:lang w:eastAsia="zh-CN"/>
              </w:rPr>
            </w:pPr>
            <w:r>
              <w:rPr>
                <w:rFonts w:hint="eastAsia" w:ascii="宋体" w:hAnsi="宋体" w:cs="宋体"/>
                <w:color w:val="000000"/>
                <w:spacing w:val="4"/>
                <w:sz w:val="24"/>
                <w:highlight w:val="none"/>
                <w:lang w:val="en-US" w:eastAsia="zh-CN"/>
              </w:rPr>
              <w:t>6</w:t>
            </w:r>
          </w:p>
        </w:tc>
      </w:tr>
      <w:tr>
        <w:tblPrEx>
          <w:tblCellMar>
            <w:top w:w="0" w:type="dxa"/>
            <w:left w:w="108" w:type="dxa"/>
            <w:bottom w:w="0" w:type="dxa"/>
            <w:right w:w="108" w:type="dxa"/>
          </w:tblCellMar>
        </w:tblPrEx>
        <w:trPr>
          <w:trHeight w:val="578" w:hRule="atLeast"/>
        </w:trPr>
        <w:tc>
          <w:tcPr>
            <w:tcW w:w="608" w:type="dxa"/>
            <w:vMerge w:val="continue"/>
            <w:tcBorders>
              <w:top w:val="nil"/>
              <w:left w:val="single" w:color="auto" w:sz="4" w:space="0"/>
              <w:right w:val="single" w:color="auto" w:sz="4" w:space="0"/>
            </w:tcBorders>
            <w:noWrap w:val="0"/>
            <w:vAlign w:val="center"/>
          </w:tcPr>
          <w:p>
            <w:pPr>
              <w:widowControl/>
              <w:spacing w:line="420" w:lineRule="exact"/>
              <w:jc w:val="center"/>
              <w:rPr>
                <w:rFonts w:hint="eastAsia" w:ascii="宋体" w:hAnsi="宋体" w:cs="宋体"/>
                <w:color w:val="000000"/>
                <w:spacing w:val="4"/>
                <w:sz w:val="24"/>
              </w:rPr>
            </w:pPr>
          </w:p>
        </w:tc>
        <w:tc>
          <w:tcPr>
            <w:tcW w:w="1241" w:type="dxa"/>
            <w:vMerge w:val="continue"/>
            <w:tcBorders>
              <w:top w:val="nil"/>
              <w:left w:val="single" w:color="auto" w:sz="4" w:space="0"/>
              <w:right w:val="single" w:color="auto" w:sz="4" w:space="0"/>
            </w:tcBorders>
            <w:noWrap w:val="0"/>
            <w:vAlign w:val="center"/>
          </w:tcPr>
          <w:p>
            <w:pPr>
              <w:widowControl/>
              <w:spacing w:line="420" w:lineRule="exact"/>
              <w:jc w:val="center"/>
              <w:rPr>
                <w:rFonts w:hint="eastAsia" w:ascii="宋体" w:hAnsi="宋体" w:cs="宋体"/>
                <w:color w:val="000000"/>
                <w:spacing w:val="4"/>
                <w:sz w:val="24"/>
              </w:rPr>
            </w:pPr>
          </w:p>
        </w:tc>
        <w:tc>
          <w:tcPr>
            <w:tcW w:w="6623" w:type="dxa"/>
            <w:tcBorders>
              <w:top w:val="single" w:color="auto" w:sz="4" w:space="0"/>
              <w:left w:val="nil"/>
              <w:bottom w:val="single" w:color="auto" w:sz="8" w:space="0"/>
              <w:right w:val="single" w:color="auto" w:sz="8" w:space="0"/>
            </w:tcBorders>
            <w:noWrap w:val="0"/>
            <w:vAlign w:val="center"/>
          </w:tcPr>
          <w:p>
            <w:pPr>
              <w:jc w:val="left"/>
              <w:rPr>
                <w:rFonts w:hint="eastAsia" w:ascii="宋体" w:hAnsi="宋体" w:cs="宋体"/>
                <w:color w:val="000000"/>
                <w:spacing w:val="4"/>
                <w:sz w:val="24"/>
                <w:highlight w:val="none"/>
              </w:rPr>
            </w:pPr>
            <w:r>
              <w:rPr>
                <w:rFonts w:hint="eastAsia" w:ascii="宋体" w:hAnsi="宋体" w:cs="宋体"/>
                <w:color w:val="000000"/>
                <w:spacing w:val="4"/>
                <w:sz w:val="24"/>
                <w:highlight w:val="none"/>
              </w:rPr>
              <w:t>提供教育城域网培训方案、计划的可行性及合理性酌情在0-</w:t>
            </w:r>
            <w:r>
              <w:rPr>
                <w:rFonts w:hint="eastAsia" w:ascii="宋体" w:hAnsi="宋体" w:cs="宋体"/>
                <w:color w:val="000000"/>
                <w:spacing w:val="4"/>
                <w:sz w:val="24"/>
                <w:highlight w:val="none"/>
                <w:lang w:val="en-US" w:eastAsia="zh-CN"/>
              </w:rPr>
              <w:t>3</w:t>
            </w:r>
            <w:r>
              <w:rPr>
                <w:rFonts w:hint="eastAsia" w:ascii="宋体" w:hAnsi="宋体" w:cs="宋体"/>
                <w:color w:val="000000"/>
                <w:spacing w:val="4"/>
                <w:sz w:val="24"/>
                <w:highlight w:val="none"/>
              </w:rPr>
              <w:t>之间给分。</w:t>
            </w:r>
          </w:p>
        </w:tc>
        <w:tc>
          <w:tcPr>
            <w:tcW w:w="850" w:type="dxa"/>
            <w:tcBorders>
              <w:top w:val="single" w:color="auto" w:sz="4" w:space="0"/>
              <w:left w:val="nil"/>
              <w:bottom w:val="single" w:color="auto" w:sz="8" w:space="0"/>
              <w:right w:val="single" w:color="auto" w:sz="8" w:space="0"/>
            </w:tcBorders>
            <w:noWrap w:val="0"/>
            <w:vAlign w:val="center"/>
          </w:tcPr>
          <w:p>
            <w:pPr>
              <w:spacing w:line="420" w:lineRule="exact"/>
              <w:jc w:val="center"/>
              <w:rPr>
                <w:rFonts w:hint="eastAsia" w:ascii="宋体" w:hAnsi="宋体" w:eastAsia="宋体" w:cs="宋体"/>
                <w:color w:val="000000"/>
                <w:spacing w:val="4"/>
                <w:sz w:val="24"/>
                <w:highlight w:val="none"/>
                <w:lang w:eastAsia="zh-CN"/>
              </w:rPr>
            </w:pPr>
            <w:r>
              <w:rPr>
                <w:rFonts w:hint="eastAsia" w:ascii="宋体" w:hAnsi="宋体" w:cs="宋体"/>
                <w:color w:val="000000"/>
                <w:spacing w:val="4"/>
                <w:sz w:val="24"/>
                <w:highlight w:val="none"/>
                <w:lang w:val="en-US" w:eastAsia="zh-CN"/>
              </w:rPr>
              <w:t>3</w:t>
            </w:r>
          </w:p>
        </w:tc>
      </w:tr>
      <w:tr>
        <w:tblPrEx>
          <w:tblCellMar>
            <w:top w:w="0" w:type="dxa"/>
            <w:left w:w="108" w:type="dxa"/>
            <w:bottom w:w="0" w:type="dxa"/>
            <w:right w:w="108" w:type="dxa"/>
          </w:tblCellMar>
        </w:tblPrEx>
        <w:trPr>
          <w:trHeight w:val="485" w:hRule="atLeast"/>
        </w:trPr>
        <w:tc>
          <w:tcPr>
            <w:tcW w:w="608"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spacing w:val="4"/>
                <w:sz w:val="24"/>
              </w:rPr>
            </w:pPr>
          </w:p>
        </w:tc>
        <w:tc>
          <w:tcPr>
            <w:tcW w:w="1241"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spacing w:val="4"/>
                <w:sz w:val="24"/>
              </w:rPr>
            </w:pPr>
          </w:p>
        </w:tc>
        <w:tc>
          <w:tcPr>
            <w:tcW w:w="6623" w:type="dxa"/>
            <w:tcBorders>
              <w:top w:val="nil"/>
              <w:left w:val="nil"/>
              <w:bottom w:val="single" w:color="auto" w:sz="8" w:space="0"/>
              <w:right w:val="single" w:color="auto" w:sz="8" w:space="0"/>
            </w:tcBorders>
            <w:noWrap w:val="0"/>
            <w:vAlign w:val="center"/>
          </w:tcPr>
          <w:p>
            <w:pPr>
              <w:widowControl/>
              <w:jc w:val="left"/>
              <w:rPr>
                <w:rFonts w:ascii="宋体" w:hAnsi="宋体" w:cs="宋体"/>
                <w:strike/>
                <w:color w:val="000000"/>
                <w:spacing w:val="4"/>
                <w:sz w:val="24"/>
                <w:highlight w:val="none"/>
              </w:rPr>
            </w:pPr>
            <w:r>
              <w:rPr>
                <w:rFonts w:hint="eastAsia" w:ascii="宋体" w:hAnsi="宋体" w:cs="宋体"/>
                <w:color w:val="000000"/>
                <w:spacing w:val="4"/>
                <w:sz w:val="24"/>
                <w:highlight w:val="none"/>
              </w:rPr>
              <w:t>根据投标方提供的具体实施方案（含实施计划排期，预案处理等）合理性评分，实施方案有质量保证措施、现场安全文明施工措施、劳动力安排保证措施、工期保证措施,酌情打分，0-3分；</w:t>
            </w:r>
          </w:p>
        </w:tc>
        <w:tc>
          <w:tcPr>
            <w:tcW w:w="850" w:type="dxa"/>
            <w:tcBorders>
              <w:top w:val="single" w:color="auto" w:sz="4" w:space="0"/>
              <w:left w:val="nil"/>
              <w:bottom w:val="single" w:color="auto" w:sz="8" w:space="0"/>
              <w:right w:val="single" w:color="auto" w:sz="8" w:space="0"/>
            </w:tcBorders>
            <w:noWrap w:val="0"/>
            <w:vAlign w:val="center"/>
          </w:tcPr>
          <w:p>
            <w:pPr>
              <w:widowControl/>
              <w:spacing w:line="420" w:lineRule="exact"/>
              <w:jc w:val="center"/>
              <w:rPr>
                <w:rFonts w:hint="eastAsia" w:ascii="宋体" w:hAnsi="宋体" w:cs="宋体"/>
                <w:color w:val="000000"/>
                <w:spacing w:val="4"/>
                <w:sz w:val="24"/>
                <w:highlight w:val="none"/>
              </w:rPr>
            </w:pPr>
            <w:r>
              <w:rPr>
                <w:rFonts w:hint="eastAsia" w:ascii="宋体" w:hAnsi="宋体" w:cs="宋体"/>
                <w:color w:val="000000"/>
                <w:spacing w:val="4"/>
                <w:sz w:val="24"/>
                <w:highlight w:val="none"/>
              </w:rPr>
              <w:t>3</w:t>
            </w:r>
          </w:p>
        </w:tc>
      </w:tr>
      <w:tr>
        <w:tblPrEx>
          <w:tblCellMar>
            <w:top w:w="0" w:type="dxa"/>
            <w:left w:w="108" w:type="dxa"/>
            <w:bottom w:w="0" w:type="dxa"/>
            <w:right w:w="108" w:type="dxa"/>
          </w:tblCellMar>
        </w:tblPrEx>
        <w:trPr>
          <w:trHeight w:val="611" w:hRule="atLeast"/>
        </w:trPr>
        <w:tc>
          <w:tcPr>
            <w:tcW w:w="608"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spacing w:val="4"/>
                <w:sz w:val="24"/>
              </w:rPr>
            </w:pPr>
          </w:p>
        </w:tc>
        <w:tc>
          <w:tcPr>
            <w:tcW w:w="1241"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spacing w:val="4"/>
                <w:sz w:val="24"/>
              </w:rPr>
            </w:pPr>
          </w:p>
        </w:tc>
        <w:tc>
          <w:tcPr>
            <w:tcW w:w="6623" w:type="dxa"/>
            <w:tcBorders>
              <w:top w:val="nil"/>
              <w:left w:val="nil"/>
              <w:bottom w:val="single" w:color="auto" w:sz="4" w:space="0"/>
              <w:right w:val="single" w:color="auto" w:sz="8" w:space="0"/>
            </w:tcBorders>
            <w:noWrap w:val="0"/>
            <w:vAlign w:val="center"/>
          </w:tcPr>
          <w:p>
            <w:pPr>
              <w:jc w:val="left"/>
              <w:rPr>
                <w:rFonts w:hint="eastAsia" w:ascii="宋体" w:hAnsi="宋体" w:cs="宋体"/>
                <w:strike/>
                <w:color w:val="000000"/>
                <w:spacing w:val="4"/>
                <w:sz w:val="24"/>
                <w:highlight w:val="none"/>
              </w:rPr>
            </w:pPr>
            <w:r>
              <w:rPr>
                <w:rFonts w:hint="eastAsia" w:ascii="宋体" w:hAnsi="宋体" w:cs="宋体"/>
                <w:color w:val="000000"/>
                <w:spacing w:val="4"/>
                <w:sz w:val="24"/>
                <w:highlight w:val="none"/>
              </w:rPr>
              <w:t>根据设备选型及技术参数的先进性、科学性、扩展性及IPV6支持情况、平台监控情况等，酌情打分，0-3分；</w:t>
            </w:r>
          </w:p>
        </w:tc>
        <w:tc>
          <w:tcPr>
            <w:tcW w:w="850" w:type="dxa"/>
            <w:tcBorders>
              <w:top w:val="nil"/>
              <w:left w:val="nil"/>
              <w:bottom w:val="single" w:color="auto" w:sz="4" w:space="0"/>
              <w:right w:val="single" w:color="auto" w:sz="8" w:space="0"/>
            </w:tcBorders>
            <w:noWrap w:val="0"/>
            <w:vAlign w:val="center"/>
          </w:tcPr>
          <w:p>
            <w:pPr>
              <w:widowControl/>
              <w:spacing w:line="420" w:lineRule="exact"/>
              <w:jc w:val="center"/>
              <w:rPr>
                <w:rFonts w:hint="eastAsia" w:ascii="宋体" w:hAnsi="宋体" w:cs="宋体"/>
                <w:color w:val="000000"/>
                <w:spacing w:val="4"/>
                <w:sz w:val="24"/>
                <w:highlight w:val="none"/>
              </w:rPr>
            </w:pPr>
            <w:r>
              <w:rPr>
                <w:rFonts w:hint="eastAsia" w:ascii="宋体" w:hAnsi="宋体" w:cs="宋体"/>
                <w:color w:val="000000"/>
                <w:spacing w:val="4"/>
                <w:sz w:val="24"/>
                <w:highlight w:val="none"/>
              </w:rPr>
              <w:t>3</w:t>
            </w:r>
          </w:p>
        </w:tc>
      </w:tr>
      <w:tr>
        <w:tblPrEx>
          <w:tblCellMar>
            <w:top w:w="0" w:type="dxa"/>
            <w:left w:w="108" w:type="dxa"/>
            <w:bottom w:w="0" w:type="dxa"/>
            <w:right w:w="108" w:type="dxa"/>
          </w:tblCellMar>
        </w:tblPrEx>
        <w:trPr>
          <w:trHeight w:val="1070" w:hRule="atLeast"/>
        </w:trPr>
        <w:tc>
          <w:tcPr>
            <w:tcW w:w="608"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spacing w:val="4"/>
                <w:sz w:val="24"/>
              </w:rPr>
            </w:pPr>
          </w:p>
        </w:tc>
        <w:tc>
          <w:tcPr>
            <w:tcW w:w="1241"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spacing w:val="4"/>
                <w:sz w:val="24"/>
              </w:rPr>
            </w:pPr>
          </w:p>
        </w:tc>
        <w:tc>
          <w:tcPr>
            <w:tcW w:w="6623" w:type="dxa"/>
            <w:tcBorders>
              <w:top w:val="single" w:color="auto" w:sz="4" w:space="0"/>
              <w:left w:val="nil"/>
              <w:right w:val="single" w:color="auto" w:sz="8" w:space="0"/>
            </w:tcBorders>
            <w:noWrap w:val="0"/>
            <w:vAlign w:val="center"/>
          </w:tcPr>
          <w:p>
            <w:pPr>
              <w:jc w:val="left"/>
              <w:rPr>
                <w:rFonts w:hint="eastAsia" w:ascii="宋体" w:hAnsi="宋体" w:cs="宋体"/>
                <w:color w:val="000000"/>
                <w:spacing w:val="4"/>
                <w:sz w:val="24"/>
                <w:highlight w:val="none"/>
              </w:rPr>
            </w:pPr>
            <w:r>
              <w:rPr>
                <w:rFonts w:hint="eastAsia" w:ascii="宋体" w:hAnsi="宋体"/>
                <w:color w:val="000000"/>
                <w:spacing w:val="4"/>
                <w:sz w:val="24"/>
                <w:highlight w:val="none"/>
              </w:rPr>
              <w:t>根据指供服务所需的产品主要设备配置情况、总体性能符合标书要求得</w:t>
            </w:r>
            <w:r>
              <w:rPr>
                <w:rFonts w:hint="eastAsia" w:ascii="宋体" w:hAnsi="宋体"/>
                <w:color w:val="000000"/>
                <w:spacing w:val="4"/>
                <w:sz w:val="24"/>
                <w:highlight w:val="none"/>
                <w:lang w:val="en-US" w:eastAsia="zh-CN"/>
              </w:rPr>
              <w:t>8</w:t>
            </w:r>
            <w:r>
              <w:rPr>
                <w:rFonts w:hint="eastAsia" w:ascii="宋体" w:hAnsi="宋体"/>
                <w:color w:val="000000"/>
                <w:spacing w:val="4"/>
                <w:sz w:val="24"/>
                <w:highlight w:val="none"/>
              </w:rPr>
              <w:t>分；负偏离每项扣1分，扣完为止。</w:t>
            </w:r>
          </w:p>
        </w:tc>
        <w:tc>
          <w:tcPr>
            <w:tcW w:w="850" w:type="dxa"/>
            <w:tcBorders>
              <w:top w:val="single" w:color="auto" w:sz="4" w:space="0"/>
              <w:left w:val="nil"/>
              <w:bottom w:val="single" w:color="auto" w:sz="4" w:space="0"/>
              <w:right w:val="single" w:color="auto" w:sz="8" w:space="0"/>
            </w:tcBorders>
            <w:noWrap w:val="0"/>
            <w:vAlign w:val="center"/>
          </w:tcPr>
          <w:p>
            <w:pPr>
              <w:spacing w:line="420" w:lineRule="exact"/>
              <w:jc w:val="center"/>
              <w:rPr>
                <w:rFonts w:ascii="宋体" w:hAnsi="宋体" w:cs="宋体"/>
                <w:color w:val="000000"/>
                <w:spacing w:val="4"/>
                <w:sz w:val="24"/>
                <w:highlight w:val="none"/>
              </w:rPr>
            </w:pPr>
            <w:r>
              <w:rPr>
                <w:rFonts w:hint="eastAsia" w:ascii="宋体" w:hAnsi="宋体" w:cs="宋体"/>
                <w:color w:val="000000"/>
                <w:spacing w:val="4"/>
                <w:sz w:val="24"/>
                <w:highlight w:val="none"/>
              </w:rPr>
              <w:t>8</w:t>
            </w:r>
          </w:p>
        </w:tc>
      </w:tr>
      <w:tr>
        <w:tblPrEx>
          <w:tblCellMar>
            <w:top w:w="0" w:type="dxa"/>
            <w:left w:w="108" w:type="dxa"/>
            <w:bottom w:w="0" w:type="dxa"/>
            <w:right w:w="108" w:type="dxa"/>
          </w:tblCellMar>
        </w:tblPrEx>
        <w:trPr>
          <w:trHeight w:val="2513" w:hRule="atLeast"/>
        </w:trPr>
        <w:tc>
          <w:tcPr>
            <w:tcW w:w="60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pacing w:val="4"/>
                <w:sz w:val="24"/>
              </w:rPr>
            </w:pPr>
          </w:p>
        </w:tc>
        <w:tc>
          <w:tcPr>
            <w:tcW w:w="1241"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spacing w:val="4"/>
                <w:sz w:val="24"/>
              </w:rPr>
            </w:pPr>
          </w:p>
        </w:tc>
        <w:tc>
          <w:tcPr>
            <w:tcW w:w="6623" w:type="dxa"/>
            <w:tcBorders>
              <w:top w:val="single" w:color="auto" w:sz="4" w:space="0"/>
              <w:left w:val="nil"/>
              <w:bottom w:val="single" w:color="auto" w:sz="4" w:space="0"/>
              <w:right w:val="single" w:color="auto" w:sz="8" w:space="0"/>
            </w:tcBorders>
            <w:noWrap w:val="0"/>
            <w:vAlign w:val="center"/>
          </w:tcPr>
          <w:p>
            <w:pPr>
              <w:widowControl/>
              <w:jc w:val="left"/>
              <w:rPr>
                <w:rFonts w:hint="eastAsia" w:ascii="宋体" w:hAnsi="宋体" w:cs="宋体"/>
                <w:sz w:val="24"/>
              </w:rPr>
            </w:pPr>
            <w:r>
              <w:rPr>
                <w:rFonts w:hint="eastAsia" w:ascii="宋体" w:hAnsi="宋体" w:cs="宋体"/>
                <w:sz w:val="24"/>
              </w:rPr>
              <w:t>投标上网行为管理设备产品厂家为国家标准《信息安全技术信息系统安全审计产品技术要求和测试评价方法》的主要起草单位（提供相关证明材料）得1分。</w:t>
            </w:r>
          </w:p>
          <w:p>
            <w:pPr>
              <w:widowControl/>
              <w:jc w:val="left"/>
              <w:rPr>
                <w:rFonts w:hint="eastAsia" w:ascii="宋体" w:hAnsi="宋体" w:cs="宋体"/>
                <w:sz w:val="24"/>
              </w:rPr>
            </w:pPr>
            <w:r>
              <w:rPr>
                <w:rFonts w:hint="eastAsia" w:ascii="宋体" w:hAnsi="宋体" w:cs="宋体"/>
                <w:sz w:val="24"/>
              </w:rPr>
              <w:t>投标产品大数</w:t>
            </w:r>
            <w:r>
              <w:rPr>
                <w:rFonts w:hint="eastAsia" w:ascii="宋体" w:hAnsi="宋体" w:cs="宋体"/>
                <w:color w:val="000000"/>
                <w:spacing w:val="4"/>
                <w:sz w:val="24"/>
              </w:rPr>
              <w:t>据平台态势感知系统厂家具有</w:t>
            </w:r>
            <w:r>
              <w:rPr>
                <w:rFonts w:hint="eastAsia" w:ascii="宋体" w:hAnsi="宋体" w:cs="宋体"/>
                <w:sz w:val="24"/>
              </w:rPr>
              <w:t>国家信息安全测评信息安全服务资质证书（安全工程类三级及以上）得1分；</w:t>
            </w:r>
          </w:p>
          <w:p>
            <w:pPr>
              <w:widowControl/>
              <w:jc w:val="left"/>
              <w:rPr>
                <w:rFonts w:hint="eastAsia" w:ascii="宋体" w:hAnsi="宋体" w:cs="宋体"/>
                <w:sz w:val="24"/>
              </w:rPr>
            </w:pPr>
            <w:r>
              <w:rPr>
                <w:rFonts w:hint="eastAsia" w:ascii="宋体" w:hAnsi="宋体" w:cs="宋体"/>
                <w:color w:val="000000"/>
                <w:spacing w:val="4"/>
                <w:sz w:val="24"/>
              </w:rPr>
              <w:t>具有</w:t>
            </w:r>
            <w:r>
              <w:rPr>
                <w:rFonts w:hint="eastAsia" w:ascii="宋体" w:hAnsi="宋体" w:cs="宋体"/>
                <w:sz w:val="24"/>
              </w:rPr>
              <w:t>国家信息安全测评信息安全服务资质证书（风险评估二级及以上）得1分；</w:t>
            </w:r>
          </w:p>
          <w:p>
            <w:pPr>
              <w:widowControl/>
              <w:jc w:val="left"/>
              <w:rPr>
                <w:rFonts w:hint="eastAsia" w:ascii="宋体" w:hAnsi="宋体" w:cs="宋体"/>
                <w:color w:val="000000"/>
                <w:spacing w:val="4"/>
                <w:sz w:val="24"/>
              </w:rPr>
            </w:pPr>
            <w:r>
              <w:rPr>
                <w:rFonts w:hint="eastAsia" w:ascii="宋体" w:hAnsi="宋体" w:cs="宋体"/>
                <w:color w:val="000000"/>
                <w:spacing w:val="4"/>
                <w:sz w:val="24"/>
              </w:rPr>
              <w:t>具有</w:t>
            </w:r>
            <w:r>
              <w:rPr>
                <w:rFonts w:hint="eastAsia" w:ascii="宋体" w:hAnsi="宋体" w:cs="宋体"/>
                <w:sz w:val="24"/>
              </w:rPr>
              <w:t>信息安全服务资质认证证书（信息安全风险评估一级及以上）得1分；</w:t>
            </w:r>
          </w:p>
        </w:tc>
        <w:tc>
          <w:tcPr>
            <w:tcW w:w="850" w:type="dxa"/>
            <w:tcBorders>
              <w:top w:val="single" w:color="auto" w:sz="4" w:space="0"/>
              <w:left w:val="nil"/>
              <w:bottom w:val="single" w:color="auto" w:sz="8" w:space="0"/>
              <w:right w:val="single" w:color="auto" w:sz="8" w:space="0"/>
            </w:tcBorders>
            <w:noWrap w:val="0"/>
            <w:vAlign w:val="center"/>
          </w:tcPr>
          <w:p>
            <w:pPr>
              <w:spacing w:line="420" w:lineRule="exact"/>
              <w:jc w:val="center"/>
              <w:rPr>
                <w:rFonts w:hint="eastAsia" w:ascii="宋体" w:hAnsi="宋体" w:cs="宋体"/>
                <w:color w:val="000000"/>
                <w:spacing w:val="4"/>
                <w:sz w:val="24"/>
              </w:rPr>
            </w:pPr>
            <w:r>
              <w:rPr>
                <w:rFonts w:hint="eastAsia" w:ascii="宋体" w:hAnsi="宋体" w:cs="宋体"/>
                <w:color w:val="000000"/>
                <w:spacing w:val="4"/>
                <w:sz w:val="24"/>
              </w:rPr>
              <w:t>4</w:t>
            </w:r>
          </w:p>
        </w:tc>
      </w:tr>
      <w:tr>
        <w:tblPrEx>
          <w:tblCellMar>
            <w:top w:w="0" w:type="dxa"/>
            <w:left w:w="108" w:type="dxa"/>
            <w:bottom w:w="0" w:type="dxa"/>
            <w:right w:w="108" w:type="dxa"/>
          </w:tblCellMar>
        </w:tblPrEx>
        <w:trPr>
          <w:trHeight w:val="824"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b/>
                <w:bCs/>
                <w:color w:val="000000"/>
                <w:sz w:val="24"/>
              </w:rPr>
            </w:pPr>
            <w:r>
              <w:rPr>
                <w:rFonts w:hint="eastAsia" w:ascii="宋体" w:hAnsi="宋体" w:cs="宋体"/>
                <w:b/>
                <w:bCs/>
                <w:color w:val="000000"/>
                <w:sz w:val="24"/>
              </w:rPr>
              <w:t>三、</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b/>
                <w:bCs/>
                <w:color w:val="000000"/>
                <w:sz w:val="24"/>
              </w:rPr>
            </w:pPr>
            <w:r>
              <w:rPr>
                <w:rFonts w:hint="eastAsia" w:ascii="宋体" w:hAnsi="宋体" w:cs="宋体"/>
                <w:b/>
                <w:bCs/>
                <w:color w:val="000000"/>
                <w:sz w:val="24"/>
              </w:rPr>
              <w:t>资信及其他</w:t>
            </w:r>
          </w:p>
        </w:tc>
        <w:tc>
          <w:tcPr>
            <w:tcW w:w="6623" w:type="dxa"/>
            <w:tcBorders>
              <w:top w:val="single" w:color="auto" w:sz="4" w:space="0"/>
              <w:left w:val="nil"/>
              <w:bottom w:val="single" w:color="auto" w:sz="8" w:space="0"/>
              <w:right w:val="single" w:color="auto" w:sz="8" w:space="0"/>
            </w:tcBorders>
            <w:noWrap w:val="0"/>
            <w:vAlign w:val="center"/>
          </w:tcPr>
          <w:p>
            <w:pPr>
              <w:widowControl/>
              <w:jc w:val="left"/>
              <w:rPr>
                <w:rFonts w:hint="eastAsia" w:ascii="宋体" w:hAnsi="宋体" w:cs="宋体"/>
                <w:color w:val="000000"/>
                <w:spacing w:val="4"/>
                <w:sz w:val="24"/>
              </w:rPr>
            </w:pPr>
          </w:p>
        </w:tc>
        <w:tc>
          <w:tcPr>
            <w:tcW w:w="850" w:type="dxa"/>
            <w:tcBorders>
              <w:top w:val="nil"/>
              <w:left w:val="nil"/>
              <w:bottom w:val="single" w:color="auto" w:sz="8" w:space="0"/>
              <w:right w:val="single" w:color="auto" w:sz="8" w:space="0"/>
            </w:tcBorders>
            <w:noWrap w:val="0"/>
            <w:vAlign w:val="center"/>
          </w:tcPr>
          <w:p>
            <w:pPr>
              <w:snapToGrid w:val="0"/>
              <w:jc w:val="center"/>
              <w:rPr>
                <w:rFonts w:ascii="宋体" w:hAnsi="宋体" w:cs="宋体"/>
                <w:color w:val="000000"/>
                <w:spacing w:val="4"/>
                <w:sz w:val="24"/>
              </w:rPr>
            </w:pPr>
            <w:r>
              <w:rPr>
                <w:rFonts w:hint="eastAsia" w:ascii="宋体" w:hAnsi="宋体" w:cs="宋体"/>
                <w:b/>
                <w:bCs/>
                <w:color w:val="000000"/>
                <w:spacing w:val="4"/>
                <w:sz w:val="24"/>
                <w:lang w:val="en-US" w:eastAsia="zh-CN"/>
              </w:rPr>
              <w:t>2</w:t>
            </w:r>
            <w:r>
              <w:rPr>
                <w:rFonts w:hint="eastAsia" w:ascii="宋体" w:hAnsi="宋体" w:cs="宋体"/>
                <w:b/>
                <w:bCs/>
                <w:color w:val="000000"/>
                <w:spacing w:val="4"/>
                <w:sz w:val="24"/>
                <w:lang w:val="en-US" w:eastAsia="zh-CN"/>
              </w:rPr>
              <w:t>2</w:t>
            </w:r>
            <w:r>
              <w:rPr>
                <w:rFonts w:hint="eastAsia" w:ascii="宋体" w:hAnsi="宋体" w:cs="宋体"/>
                <w:b/>
                <w:bCs/>
                <w:color w:val="000000"/>
                <w:spacing w:val="4"/>
                <w:sz w:val="24"/>
              </w:rPr>
              <w:t>分</w:t>
            </w:r>
          </w:p>
        </w:tc>
      </w:tr>
      <w:tr>
        <w:tblPrEx>
          <w:tblCellMar>
            <w:top w:w="0" w:type="dxa"/>
            <w:left w:w="108" w:type="dxa"/>
            <w:bottom w:w="0" w:type="dxa"/>
            <w:right w:w="108" w:type="dxa"/>
          </w:tblCellMar>
        </w:tblPrEx>
        <w:trPr>
          <w:trHeight w:val="364"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pacing w:val="4"/>
                <w:sz w:val="24"/>
              </w:rPr>
            </w:pPr>
            <w:r>
              <w:rPr>
                <w:rFonts w:hint="eastAsia" w:ascii="宋体" w:hAnsi="宋体" w:cs="宋体"/>
                <w:color w:val="000000"/>
                <w:spacing w:val="4"/>
                <w:sz w:val="24"/>
              </w:rPr>
              <w:t>6</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spacing w:val="4"/>
                <w:sz w:val="24"/>
              </w:rPr>
            </w:pPr>
            <w:r>
              <w:rPr>
                <w:rFonts w:hint="eastAsia" w:ascii="宋体" w:hAnsi="宋体" w:cs="宋体"/>
                <w:color w:val="000000"/>
                <w:spacing w:val="4"/>
                <w:sz w:val="24"/>
              </w:rPr>
              <w:t>节能环保</w:t>
            </w:r>
          </w:p>
        </w:tc>
        <w:tc>
          <w:tcPr>
            <w:tcW w:w="6623" w:type="dxa"/>
            <w:tcBorders>
              <w:top w:val="single" w:color="auto" w:sz="4" w:space="0"/>
              <w:left w:val="nil"/>
              <w:bottom w:val="single" w:color="auto" w:sz="8" w:space="0"/>
              <w:right w:val="single" w:color="auto" w:sz="8" w:space="0"/>
            </w:tcBorders>
            <w:noWrap w:val="0"/>
            <w:vAlign w:val="center"/>
          </w:tcPr>
          <w:p>
            <w:pPr>
              <w:widowControl/>
              <w:jc w:val="left"/>
              <w:rPr>
                <w:rFonts w:hint="eastAsia" w:ascii="宋体" w:hAnsi="宋体" w:cs="宋体"/>
                <w:spacing w:val="4"/>
                <w:sz w:val="24"/>
                <w:highlight w:val="none"/>
              </w:rPr>
            </w:pPr>
            <w:r>
              <w:rPr>
                <w:rFonts w:hint="eastAsia" w:ascii="宋体" w:hAnsi="宋体"/>
                <w:sz w:val="24"/>
                <w:highlight w:val="none"/>
              </w:rPr>
              <w:t>主要产品节能环保情况，提供市场监管总局关于发布参与实施政府采购节能产品、环境标志产品认证机构名录的公告（2019第16号）通过《参与实施政府采购节能产品认证机构名录》认证机构认证的环保、节能产品认证证书或者证书的查询网址及截图</w:t>
            </w:r>
            <w:r>
              <w:rPr>
                <w:rFonts w:hint="eastAsia" w:ascii="宋体" w:hAnsi="宋体"/>
                <w:kern w:val="0"/>
                <w:sz w:val="24"/>
                <w:highlight w:val="none"/>
              </w:rPr>
              <w:t>。</w:t>
            </w:r>
            <w:r>
              <w:rPr>
                <w:rFonts w:hint="eastAsia" w:ascii="宋体" w:hAnsi="宋体" w:cs="宋体"/>
                <w:spacing w:val="4"/>
                <w:sz w:val="24"/>
                <w:highlight w:val="none"/>
              </w:rPr>
              <w:t>根据数量和占比酌情打分，0-</w:t>
            </w:r>
            <w:r>
              <w:rPr>
                <w:rFonts w:hint="eastAsia" w:ascii="宋体" w:hAnsi="宋体" w:cs="宋体"/>
                <w:spacing w:val="4"/>
                <w:sz w:val="24"/>
                <w:highlight w:val="none"/>
                <w:lang w:val="en-US" w:eastAsia="zh-CN"/>
              </w:rPr>
              <w:t>1</w:t>
            </w:r>
            <w:r>
              <w:rPr>
                <w:rFonts w:hint="eastAsia" w:ascii="宋体" w:hAnsi="宋体" w:cs="宋体"/>
                <w:spacing w:val="4"/>
                <w:sz w:val="24"/>
                <w:highlight w:val="none"/>
              </w:rPr>
              <w:t>分。</w:t>
            </w:r>
          </w:p>
        </w:tc>
        <w:tc>
          <w:tcPr>
            <w:tcW w:w="850" w:type="dxa"/>
            <w:tcBorders>
              <w:top w:val="nil"/>
              <w:left w:val="nil"/>
              <w:bottom w:val="single" w:color="auto" w:sz="8" w:space="0"/>
              <w:right w:val="single" w:color="auto" w:sz="8" w:space="0"/>
            </w:tcBorders>
            <w:noWrap w:val="0"/>
            <w:vAlign w:val="center"/>
          </w:tcPr>
          <w:p>
            <w:pPr>
              <w:snapToGrid w:val="0"/>
              <w:jc w:val="center"/>
              <w:rPr>
                <w:rFonts w:hint="eastAsia" w:ascii="宋体" w:hAnsi="宋体" w:eastAsia="宋体" w:cs="宋体"/>
                <w:spacing w:val="4"/>
                <w:sz w:val="24"/>
                <w:highlight w:val="none"/>
                <w:lang w:eastAsia="zh-CN"/>
              </w:rPr>
            </w:pPr>
            <w:r>
              <w:rPr>
                <w:rFonts w:hint="eastAsia" w:ascii="宋体" w:hAnsi="宋体" w:cs="宋体"/>
                <w:spacing w:val="4"/>
                <w:sz w:val="24"/>
                <w:highlight w:val="none"/>
                <w:lang w:val="en-US" w:eastAsia="zh-CN"/>
              </w:rPr>
              <w:t>1</w:t>
            </w:r>
          </w:p>
        </w:tc>
      </w:tr>
      <w:tr>
        <w:tblPrEx>
          <w:tblCellMar>
            <w:top w:w="0" w:type="dxa"/>
            <w:left w:w="108" w:type="dxa"/>
            <w:bottom w:w="0" w:type="dxa"/>
            <w:right w:w="108" w:type="dxa"/>
          </w:tblCellMar>
        </w:tblPrEx>
        <w:trPr>
          <w:trHeight w:val="1720"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pacing w:val="4"/>
                <w:sz w:val="24"/>
              </w:rPr>
            </w:pPr>
            <w:r>
              <w:rPr>
                <w:rFonts w:hint="eastAsia" w:ascii="宋体" w:hAnsi="宋体" w:cs="宋体"/>
                <w:color w:val="000000"/>
                <w:spacing w:val="4"/>
                <w:sz w:val="24"/>
              </w:rPr>
              <w:t>7</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spacing w:val="4"/>
                <w:sz w:val="24"/>
              </w:rPr>
            </w:pPr>
            <w:r>
              <w:rPr>
                <w:rFonts w:hint="eastAsia" w:ascii="宋体" w:hAnsi="宋体" w:cs="宋体"/>
                <w:color w:val="000000"/>
                <w:spacing w:val="4"/>
                <w:sz w:val="24"/>
              </w:rPr>
              <w:t>品牌知名度</w:t>
            </w:r>
          </w:p>
        </w:tc>
        <w:tc>
          <w:tcPr>
            <w:tcW w:w="6623" w:type="dxa"/>
            <w:tcBorders>
              <w:top w:val="single" w:color="auto" w:sz="4" w:space="0"/>
              <w:left w:val="nil"/>
              <w:bottom w:val="single" w:color="auto" w:sz="8" w:space="0"/>
              <w:right w:val="single" w:color="auto" w:sz="8" w:space="0"/>
            </w:tcBorders>
            <w:noWrap w:val="0"/>
            <w:vAlign w:val="center"/>
          </w:tcPr>
          <w:p>
            <w:pPr>
              <w:widowControl/>
              <w:jc w:val="left"/>
              <w:rPr>
                <w:rFonts w:hint="eastAsia" w:ascii="宋体" w:hAnsi="宋体" w:cs="宋体"/>
                <w:color w:val="000000"/>
                <w:spacing w:val="4"/>
                <w:sz w:val="24"/>
                <w:highlight w:val="none"/>
              </w:rPr>
            </w:pPr>
            <w:r>
              <w:rPr>
                <w:rFonts w:hint="eastAsia" w:ascii="宋体" w:hAnsi="宋体" w:cs="宋体"/>
                <w:color w:val="000000"/>
                <w:spacing w:val="4"/>
                <w:sz w:val="24"/>
                <w:highlight w:val="none"/>
              </w:rPr>
              <w:t>根据品牌实力、产品质量、</w:t>
            </w:r>
            <w:r>
              <w:rPr>
                <w:rFonts w:hint="eastAsia" w:ascii="宋体" w:hAnsi="宋体" w:cs="宋体"/>
                <w:color w:val="000000"/>
                <w:spacing w:val="4"/>
                <w:sz w:val="24"/>
                <w:highlight w:val="none"/>
                <w:lang w:eastAsia="zh-CN"/>
              </w:rPr>
              <w:t>产品</w:t>
            </w:r>
            <w:r>
              <w:rPr>
                <w:rFonts w:hint="eastAsia" w:ascii="宋体" w:hAnsi="宋体" w:cs="宋体"/>
                <w:color w:val="000000"/>
                <w:spacing w:val="4"/>
                <w:sz w:val="24"/>
                <w:highlight w:val="none"/>
              </w:rPr>
              <w:t>市场</w:t>
            </w:r>
            <w:r>
              <w:rPr>
                <w:rFonts w:hint="eastAsia" w:ascii="宋体" w:hAnsi="宋体" w:cs="宋体"/>
                <w:color w:val="000000"/>
                <w:spacing w:val="4"/>
                <w:sz w:val="24"/>
                <w:highlight w:val="none"/>
                <w:lang w:eastAsia="zh-CN"/>
              </w:rPr>
              <w:t>情况</w:t>
            </w:r>
            <w:r>
              <w:rPr>
                <w:rFonts w:hint="eastAsia" w:ascii="宋体" w:hAnsi="宋体" w:cs="宋体"/>
                <w:color w:val="000000"/>
                <w:spacing w:val="4"/>
                <w:sz w:val="24"/>
                <w:highlight w:val="none"/>
              </w:rPr>
              <w:t>等酌情打分。0-4分。品牌实力雄厚，市场</w:t>
            </w:r>
            <w:r>
              <w:rPr>
                <w:rFonts w:hint="eastAsia" w:ascii="宋体" w:hAnsi="宋体" w:cs="宋体"/>
                <w:color w:val="000000"/>
                <w:spacing w:val="4"/>
                <w:sz w:val="24"/>
                <w:highlight w:val="none"/>
                <w:lang w:eastAsia="zh-CN"/>
              </w:rPr>
              <w:t>情况良好</w:t>
            </w:r>
            <w:r>
              <w:rPr>
                <w:rFonts w:hint="eastAsia" w:ascii="宋体" w:hAnsi="宋体" w:cs="宋体"/>
                <w:color w:val="000000"/>
                <w:spacing w:val="4"/>
                <w:sz w:val="24"/>
                <w:highlight w:val="none"/>
              </w:rPr>
              <w:t>，产品质量稳定的，产品使用口碑好的，得4分；品牌实力、市场</w:t>
            </w:r>
            <w:r>
              <w:rPr>
                <w:rFonts w:hint="eastAsia" w:ascii="宋体" w:hAnsi="宋体" w:cs="宋体"/>
                <w:color w:val="000000"/>
                <w:spacing w:val="4"/>
                <w:sz w:val="24"/>
                <w:highlight w:val="none"/>
                <w:lang w:eastAsia="zh-CN"/>
              </w:rPr>
              <w:t>情况</w:t>
            </w:r>
            <w:r>
              <w:rPr>
                <w:rFonts w:hint="eastAsia" w:ascii="宋体" w:hAnsi="宋体" w:cs="宋体"/>
                <w:color w:val="000000"/>
                <w:spacing w:val="4"/>
                <w:sz w:val="24"/>
                <w:highlight w:val="none"/>
              </w:rPr>
              <w:t>一般，质量比较稳定的，产品使用口碑一般的，得2-3分；品牌实力、市场</w:t>
            </w:r>
            <w:r>
              <w:rPr>
                <w:rFonts w:hint="eastAsia" w:ascii="宋体" w:hAnsi="宋体" w:cs="宋体"/>
                <w:color w:val="000000"/>
                <w:spacing w:val="4"/>
                <w:sz w:val="24"/>
                <w:highlight w:val="none"/>
                <w:lang w:eastAsia="zh-CN"/>
              </w:rPr>
              <w:t>情况</w:t>
            </w:r>
            <w:r>
              <w:rPr>
                <w:rFonts w:hint="eastAsia" w:ascii="宋体" w:hAnsi="宋体" w:cs="宋体"/>
                <w:color w:val="000000"/>
                <w:spacing w:val="4"/>
                <w:sz w:val="24"/>
                <w:highlight w:val="none"/>
              </w:rPr>
              <w:t>较差，质量不稳定的，产品使用口碑差的，得1分。</w:t>
            </w:r>
          </w:p>
        </w:tc>
        <w:tc>
          <w:tcPr>
            <w:tcW w:w="85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spacing w:val="4"/>
                <w:sz w:val="24"/>
                <w:highlight w:val="none"/>
              </w:rPr>
            </w:pPr>
            <w:r>
              <w:rPr>
                <w:rFonts w:hint="eastAsia" w:ascii="宋体" w:hAnsi="宋体" w:cs="宋体"/>
                <w:color w:val="000000"/>
                <w:spacing w:val="4"/>
                <w:sz w:val="24"/>
                <w:highlight w:val="none"/>
              </w:rPr>
              <w:t>4</w:t>
            </w:r>
          </w:p>
        </w:tc>
      </w:tr>
      <w:tr>
        <w:tblPrEx>
          <w:tblCellMar>
            <w:top w:w="0" w:type="dxa"/>
            <w:left w:w="108" w:type="dxa"/>
            <w:bottom w:w="0" w:type="dxa"/>
            <w:right w:w="108" w:type="dxa"/>
          </w:tblCellMar>
        </w:tblPrEx>
        <w:trPr>
          <w:trHeight w:val="1009"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spacing w:val="4"/>
                <w:sz w:val="24"/>
              </w:rPr>
            </w:pPr>
            <w:r>
              <w:rPr>
                <w:rFonts w:hint="eastAsia" w:ascii="宋体" w:hAnsi="宋体" w:cs="宋体"/>
                <w:color w:val="000000"/>
                <w:spacing w:val="4"/>
                <w:sz w:val="24"/>
              </w:rPr>
              <w:t>8</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000000"/>
                <w:kern w:val="0"/>
                <w:sz w:val="24"/>
              </w:rPr>
            </w:pPr>
            <w:r>
              <w:rPr>
                <w:rFonts w:hint="eastAsia" w:ascii="宋体" w:hAnsi="宋体"/>
                <w:color w:val="000000"/>
                <w:kern w:val="0"/>
                <w:sz w:val="24"/>
              </w:rPr>
              <w:t>备品备件</w:t>
            </w:r>
          </w:p>
        </w:tc>
        <w:tc>
          <w:tcPr>
            <w:tcW w:w="6623" w:type="dxa"/>
            <w:tcBorders>
              <w:top w:val="single" w:color="auto" w:sz="4" w:space="0"/>
              <w:left w:val="nil"/>
              <w:bottom w:val="single" w:color="auto" w:sz="8" w:space="0"/>
              <w:right w:val="single" w:color="auto" w:sz="8" w:space="0"/>
            </w:tcBorders>
            <w:noWrap w:val="0"/>
            <w:vAlign w:val="center"/>
          </w:tcPr>
          <w:p>
            <w:pPr>
              <w:spacing w:line="320" w:lineRule="exact"/>
              <w:rPr>
                <w:rFonts w:hint="eastAsia" w:ascii="宋体" w:hAnsi="宋体"/>
                <w:color w:val="auto"/>
                <w:kern w:val="0"/>
                <w:sz w:val="24"/>
                <w:highlight w:val="none"/>
              </w:rPr>
            </w:pPr>
            <w:r>
              <w:rPr>
                <w:rFonts w:hint="eastAsia" w:ascii="宋体" w:hAnsi="宋体"/>
                <w:color w:val="auto"/>
                <w:kern w:val="0"/>
                <w:sz w:val="24"/>
                <w:highlight w:val="none"/>
              </w:rPr>
              <w:t>依据投标人对本项目的优惠承诺情况和提供的备品备件情况，酌情在0-4之间给分</w:t>
            </w:r>
          </w:p>
        </w:tc>
        <w:tc>
          <w:tcPr>
            <w:tcW w:w="850" w:type="dxa"/>
            <w:tcBorders>
              <w:top w:val="nil"/>
              <w:left w:val="nil"/>
              <w:bottom w:val="single" w:color="auto" w:sz="8" w:space="0"/>
              <w:right w:val="single" w:color="auto" w:sz="8" w:space="0"/>
            </w:tcBorders>
            <w:noWrap w:val="0"/>
            <w:vAlign w:val="center"/>
          </w:tcPr>
          <w:p>
            <w:pPr>
              <w:spacing w:line="320" w:lineRule="exact"/>
              <w:jc w:val="center"/>
              <w:rPr>
                <w:rFonts w:hint="eastAsia" w:ascii="宋体" w:hAnsi="宋体" w:cs="宋体"/>
                <w:color w:val="auto"/>
                <w:spacing w:val="4"/>
                <w:sz w:val="24"/>
                <w:highlight w:val="none"/>
              </w:rPr>
            </w:pPr>
            <w:r>
              <w:rPr>
                <w:rFonts w:hint="eastAsia" w:ascii="宋体" w:hAnsi="宋体" w:cs="宋体"/>
                <w:color w:val="auto"/>
                <w:spacing w:val="4"/>
                <w:sz w:val="24"/>
                <w:highlight w:val="none"/>
              </w:rPr>
              <w:t>4</w:t>
            </w:r>
          </w:p>
        </w:tc>
      </w:tr>
      <w:tr>
        <w:tblPrEx>
          <w:tblCellMar>
            <w:top w:w="0" w:type="dxa"/>
            <w:left w:w="108" w:type="dxa"/>
            <w:bottom w:w="0" w:type="dxa"/>
            <w:right w:w="108" w:type="dxa"/>
          </w:tblCellMar>
        </w:tblPrEx>
        <w:trPr>
          <w:trHeight w:val="940"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pacing w:val="4"/>
                <w:sz w:val="24"/>
                <w:highlight w:val="none"/>
              </w:rPr>
            </w:pPr>
            <w:r>
              <w:rPr>
                <w:rFonts w:hint="eastAsia" w:ascii="宋体" w:hAnsi="宋体" w:cs="宋体"/>
                <w:color w:val="auto"/>
                <w:spacing w:val="4"/>
                <w:sz w:val="24"/>
                <w:highlight w:val="none"/>
              </w:rPr>
              <w:t>9</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auto"/>
                <w:kern w:val="0"/>
                <w:sz w:val="24"/>
                <w:highlight w:val="none"/>
              </w:rPr>
            </w:pPr>
            <w:r>
              <w:rPr>
                <w:rFonts w:hint="eastAsia" w:ascii="宋体" w:hAnsi="宋体"/>
                <w:color w:val="auto"/>
                <w:kern w:val="0"/>
                <w:sz w:val="24"/>
                <w:highlight w:val="none"/>
              </w:rPr>
              <w:t>原设备利旧情况</w:t>
            </w:r>
          </w:p>
        </w:tc>
        <w:tc>
          <w:tcPr>
            <w:tcW w:w="6623" w:type="dxa"/>
            <w:tcBorders>
              <w:top w:val="single" w:color="auto" w:sz="4" w:space="0"/>
              <w:left w:val="nil"/>
              <w:bottom w:val="single" w:color="auto" w:sz="8" w:space="0"/>
              <w:right w:val="single" w:color="auto" w:sz="8" w:space="0"/>
            </w:tcBorders>
            <w:noWrap w:val="0"/>
            <w:vAlign w:val="center"/>
          </w:tcPr>
          <w:p>
            <w:pPr>
              <w:spacing w:line="320" w:lineRule="exact"/>
              <w:rPr>
                <w:rFonts w:hint="eastAsia" w:ascii="宋体" w:hAnsi="宋体"/>
                <w:color w:val="auto"/>
                <w:kern w:val="0"/>
                <w:sz w:val="24"/>
                <w:highlight w:val="none"/>
              </w:rPr>
            </w:pPr>
            <w:r>
              <w:rPr>
                <w:rFonts w:hint="eastAsia" w:ascii="宋体" w:hAnsi="宋体"/>
                <w:color w:val="auto"/>
                <w:kern w:val="0"/>
                <w:sz w:val="24"/>
                <w:highlight w:val="none"/>
              </w:rPr>
              <w:t>提供原设备利旧方案，并承诺及时提供维护、更换服务，满足业务使用要求的，酌情在0-4之间给分。</w:t>
            </w:r>
          </w:p>
        </w:tc>
        <w:tc>
          <w:tcPr>
            <w:tcW w:w="850" w:type="dxa"/>
            <w:tcBorders>
              <w:top w:val="nil"/>
              <w:left w:val="nil"/>
              <w:bottom w:val="single" w:color="auto" w:sz="8" w:space="0"/>
              <w:right w:val="single" w:color="auto" w:sz="8" w:space="0"/>
            </w:tcBorders>
            <w:noWrap w:val="0"/>
            <w:vAlign w:val="center"/>
          </w:tcPr>
          <w:p>
            <w:pPr>
              <w:spacing w:line="320" w:lineRule="exact"/>
              <w:jc w:val="center"/>
              <w:rPr>
                <w:rFonts w:hint="eastAsia" w:ascii="宋体" w:hAnsi="宋体"/>
                <w:color w:val="auto"/>
                <w:kern w:val="0"/>
                <w:sz w:val="24"/>
                <w:highlight w:val="none"/>
              </w:rPr>
            </w:pPr>
            <w:r>
              <w:rPr>
                <w:rFonts w:hint="eastAsia" w:ascii="宋体" w:hAnsi="宋体"/>
                <w:color w:val="auto"/>
                <w:kern w:val="0"/>
                <w:sz w:val="24"/>
                <w:highlight w:val="none"/>
              </w:rPr>
              <w:t>4</w:t>
            </w:r>
          </w:p>
        </w:tc>
      </w:tr>
      <w:tr>
        <w:tblPrEx>
          <w:tblCellMar>
            <w:top w:w="0" w:type="dxa"/>
            <w:left w:w="108" w:type="dxa"/>
            <w:bottom w:w="0" w:type="dxa"/>
            <w:right w:w="108" w:type="dxa"/>
          </w:tblCellMar>
        </w:tblPrEx>
        <w:trPr>
          <w:trHeight w:val="364" w:hRule="atLeast"/>
        </w:trPr>
        <w:tc>
          <w:tcPr>
            <w:tcW w:w="608"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color w:val="000000"/>
                <w:spacing w:val="4"/>
                <w:sz w:val="24"/>
              </w:rPr>
            </w:pPr>
            <w:r>
              <w:rPr>
                <w:rFonts w:hint="eastAsia" w:ascii="宋体" w:hAnsi="宋体" w:cs="宋体"/>
                <w:color w:val="000000"/>
                <w:spacing w:val="4"/>
                <w:sz w:val="24"/>
              </w:rPr>
              <w:t>10</w:t>
            </w:r>
          </w:p>
        </w:tc>
        <w:tc>
          <w:tcPr>
            <w:tcW w:w="1241" w:type="dxa"/>
            <w:vMerge w:val="restart"/>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spacing w:val="4"/>
                <w:sz w:val="24"/>
              </w:rPr>
            </w:pPr>
            <w:r>
              <w:rPr>
                <w:rFonts w:hint="eastAsia" w:ascii="宋体" w:hAnsi="宋体" w:cs="宋体"/>
                <w:color w:val="000000"/>
                <w:spacing w:val="4"/>
                <w:sz w:val="24"/>
              </w:rPr>
              <w:t>服务部分</w:t>
            </w:r>
          </w:p>
        </w:tc>
        <w:tc>
          <w:tcPr>
            <w:tcW w:w="6623" w:type="dxa"/>
            <w:tcBorders>
              <w:top w:val="single" w:color="auto" w:sz="4" w:space="0"/>
              <w:left w:val="nil"/>
              <w:bottom w:val="single" w:color="auto" w:sz="4" w:space="0"/>
              <w:right w:val="single" w:color="auto" w:sz="8" w:space="0"/>
            </w:tcBorders>
            <w:noWrap w:val="0"/>
            <w:vAlign w:val="center"/>
          </w:tcPr>
          <w:p>
            <w:pPr>
              <w:widowControl/>
              <w:jc w:val="left"/>
              <w:rPr>
                <w:rFonts w:hint="eastAsia" w:ascii="宋体" w:hAnsi="宋体" w:cs="宋体"/>
                <w:color w:val="000000"/>
                <w:spacing w:val="4"/>
                <w:sz w:val="24"/>
              </w:rPr>
            </w:pPr>
            <w:r>
              <w:rPr>
                <w:rFonts w:hint="eastAsia" w:ascii="宋体" w:hAnsi="宋体" w:cs="宋体"/>
                <w:color w:val="000000"/>
                <w:spacing w:val="4"/>
                <w:sz w:val="24"/>
              </w:rPr>
              <w:t>据投标方</w:t>
            </w:r>
            <w:r>
              <w:rPr>
                <w:rFonts w:hint="eastAsia" w:ascii="宋体" w:hAnsi="宋体" w:cs="宋体"/>
                <w:color w:val="000000"/>
                <w:spacing w:val="4"/>
                <w:sz w:val="24"/>
                <w:highlight w:val="none"/>
              </w:rPr>
              <w:t>承诺的故障响应程度、</w:t>
            </w:r>
            <w:r>
              <w:rPr>
                <w:rFonts w:hint="eastAsia" w:ascii="宋体" w:hAnsi="宋体" w:cs="宋体"/>
                <w:color w:val="000000"/>
                <w:spacing w:val="4"/>
                <w:sz w:val="24"/>
                <w:highlight w:val="none"/>
                <w:lang w:eastAsia="zh-CN"/>
              </w:rPr>
              <w:t>投标人售后服务网点的便捷性</w:t>
            </w:r>
            <w:r>
              <w:rPr>
                <w:rFonts w:hint="eastAsia" w:ascii="宋体" w:hAnsi="宋体" w:cs="宋体"/>
                <w:color w:val="000000"/>
                <w:spacing w:val="4"/>
                <w:sz w:val="24"/>
                <w:highlight w:val="none"/>
              </w:rPr>
              <w:t>及故障解决方案</w:t>
            </w:r>
            <w:r>
              <w:rPr>
                <w:rFonts w:hint="eastAsia" w:ascii="宋体" w:hAnsi="宋体" w:cs="宋体"/>
                <w:color w:val="000000"/>
                <w:spacing w:val="4"/>
                <w:sz w:val="24"/>
              </w:rPr>
              <w:t>能力进行打分。本项最高得4分。</w:t>
            </w:r>
          </w:p>
        </w:tc>
        <w:tc>
          <w:tcPr>
            <w:tcW w:w="850" w:type="dxa"/>
            <w:tcBorders>
              <w:top w:val="nil"/>
              <w:left w:val="nil"/>
              <w:bottom w:val="single" w:color="auto" w:sz="4" w:space="0"/>
              <w:right w:val="single" w:color="auto" w:sz="8" w:space="0"/>
            </w:tcBorders>
            <w:noWrap w:val="0"/>
            <w:vAlign w:val="center"/>
          </w:tcPr>
          <w:p>
            <w:pPr>
              <w:widowControl/>
              <w:spacing w:line="420" w:lineRule="exact"/>
              <w:jc w:val="center"/>
              <w:rPr>
                <w:rFonts w:hint="eastAsia" w:ascii="宋体" w:hAnsi="宋体" w:cs="宋体"/>
                <w:color w:val="000000"/>
                <w:spacing w:val="4"/>
                <w:sz w:val="24"/>
              </w:rPr>
            </w:pPr>
            <w:r>
              <w:rPr>
                <w:rFonts w:hint="eastAsia" w:ascii="宋体" w:hAnsi="宋体" w:cs="宋体"/>
                <w:color w:val="000000"/>
                <w:spacing w:val="4"/>
                <w:sz w:val="24"/>
              </w:rPr>
              <w:t>4</w:t>
            </w:r>
          </w:p>
        </w:tc>
      </w:tr>
      <w:tr>
        <w:tblPrEx>
          <w:tblCellMar>
            <w:top w:w="0" w:type="dxa"/>
            <w:left w:w="108" w:type="dxa"/>
            <w:bottom w:w="0" w:type="dxa"/>
            <w:right w:w="108" w:type="dxa"/>
          </w:tblCellMar>
        </w:tblPrEx>
        <w:trPr>
          <w:trHeight w:val="983" w:hRule="atLeast"/>
        </w:trPr>
        <w:tc>
          <w:tcPr>
            <w:tcW w:w="608" w:type="dxa"/>
            <w:vMerge w:val="continue"/>
            <w:tcBorders>
              <w:top w:val="nil"/>
              <w:left w:val="single" w:color="auto" w:sz="4" w:space="0"/>
              <w:bottom w:val="nil"/>
              <w:right w:val="single" w:color="auto" w:sz="4" w:space="0"/>
            </w:tcBorders>
            <w:noWrap w:val="0"/>
            <w:vAlign w:val="center"/>
          </w:tcPr>
          <w:p>
            <w:pPr>
              <w:widowControl/>
              <w:jc w:val="center"/>
              <w:rPr>
                <w:rFonts w:hint="eastAsia" w:ascii="宋体" w:hAnsi="宋体" w:cs="宋体"/>
                <w:color w:val="000000"/>
                <w:spacing w:val="4"/>
                <w:sz w:val="24"/>
              </w:rPr>
            </w:pPr>
          </w:p>
        </w:tc>
        <w:tc>
          <w:tcPr>
            <w:tcW w:w="1241" w:type="dxa"/>
            <w:vMerge w:val="continue"/>
            <w:tcBorders>
              <w:top w:val="nil"/>
              <w:left w:val="single" w:color="auto" w:sz="4" w:space="0"/>
              <w:bottom w:val="nil"/>
              <w:right w:val="single" w:color="auto" w:sz="4" w:space="0"/>
            </w:tcBorders>
            <w:noWrap w:val="0"/>
            <w:vAlign w:val="center"/>
          </w:tcPr>
          <w:p>
            <w:pPr>
              <w:widowControl/>
              <w:jc w:val="left"/>
              <w:rPr>
                <w:rFonts w:hint="eastAsia" w:ascii="宋体" w:hAnsi="宋体" w:cs="宋体"/>
                <w:color w:val="000000"/>
                <w:spacing w:val="4"/>
                <w:sz w:val="24"/>
              </w:rPr>
            </w:pPr>
          </w:p>
        </w:tc>
        <w:tc>
          <w:tcPr>
            <w:tcW w:w="6623" w:type="dxa"/>
            <w:tcBorders>
              <w:top w:val="single" w:color="auto" w:sz="4" w:space="0"/>
              <w:left w:val="nil"/>
              <w:bottom w:val="single" w:color="auto" w:sz="4" w:space="0"/>
              <w:right w:val="single" w:color="auto" w:sz="8" w:space="0"/>
            </w:tcBorders>
            <w:noWrap w:val="0"/>
            <w:vAlign w:val="center"/>
          </w:tcPr>
          <w:p>
            <w:pPr>
              <w:widowControl/>
              <w:spacing w:line="420" w:lineRule="exact"/>
              <w:jc w:val="left"/>
              <w:rPr>
                <w:rFonts w:hint="eastAsia" w:ascii="宋体" w:hAnsi="宋体" w:cs="仿宋"/>
                <w:color w:val="auto"/>
                <w:sz w:val="24"/>
                <w:highlight w:val="none"/>
              </w:rPr>
            </w:pPr>
            <w:r>
              <w:rPr>
                <w:rFonts w:hint="eastAsia" w:ascii="宋体" w:hAnsi="宋体" w:cs="仿宋"/>
                <w:color w:val="auto"/>
                <w:sz w:val="24"/>
                <w:highlight w:val="none"/>
              </w:rPr>
              <w:t>投标人在项目所在地有</w:t>
            </w:r>
            <w:r>
              <w:rPr>
                <w:rFonts w:hint="eastAsia" w:ascii="宋体" w:hAnsi="宋体"/>
                <w:color w:val="auto"/>
                <w:spacing w:val="4"/>
                <w:sz w:val="24"/>
                <w:szCs w:val="24"/>
                <w:highlight w:val="none"/>
              </w:rPr>
              <w:t>8个（含）</w:t>
            </w:r>
            <w:r>
              <w:rPr>
                <w:rFonts w:hint="eastAsia" w:ascii="宋体" w:hAnsi="宋体" w:cs="仿宋"/>
                <w:color w:val="auto"/>
                <w:sz w:val="24"/>
                <w:highlight w:val="none"/>
              </w:rPr>
              <w:t>办事处或</w:t>
            </w:r>
            <w:r>
              <w:rPr>
                <w:rFonts w:hint="eastAsia" w:ascii="宋体" w:hAnsi="宋体" w:cs="仿宋"/>
                <w:color w:val="auto"/>
                <w:sz w:val="24"/>
                <w:highlight w:val="none"/>
                <w:lang w:eastAsia="zh-CN"/>
              </w:rPr>
              <w:t>服务网点</w:t>
            </w:r>
            <w:r>
              <w:rPr>
                <w:rFonts w:hint="eastAsia" w:ascii="宋体" w:hAnsi="宋体" w:cs="仿宋"/>
                <w:color w:val="auto"/>
                <w:sz w:val="24"/>
                <w:highlight w:val="none"/>
              </w:rPr>
              <w:t>，或者承诺中标后在项目所在地设立</w:t>
            </w:r>
            <w:r>
              <w:rPr>
                <w:rFonts w:hint="eastAsia" w:ascii="宋体" w:hAnsi="宋体" w:cs="仿宋"/>
                <w:color w:val="auto"/>
                <w:sz w:val="24"/>
                <w:highlight w:val="none"/>
                <w:lang w:eastAsia="zh-CN"/>
              </w:rPr>
              <w:t>相应数量</w:t>
            </w:r>
            <w:r>
              <w:rPr>
                <w:rFonts w:hint="eastAsia" w:ascii="宋体" w:hAnsi="宋体" w:cs="仿宋"/>
                <w:color w:val="auto"/>
                <w:sz w:val="24"/>
                <w:highlight w:val="none"/>
              </w:rPr>
              <w:t>办事处</w:t>
            </w:r>
            <w:r>
              <w:rPr>
                <w:rFonts w:hint="eastAsia" w:ascii="宋体" w:hAnsi="宋体" w:cs="仿宋"/>
                <w:color w:val="auto"/>
                <w:sz w:val="24"/>
                <w:highlight w:val="none"/>
                <w:lang w:eastAsia="zh-CN"/>
              </w:rPr>
              <w:t>或服务网点</w:t>
            </w:r>
            <w:r>
              <w:rPr>
                <w:rFonts w:hint="eastAsia" w:ascii="宋体" w:hAnsi="宋体" w:cs="仿宋"/>
                <w:color w:val="auto"/>
                <w:sz w:val="24"/>
                <w:highlight w:val="none"/>
              </w:rPr>
              <w:t>的，得2分。</w:t>
            </w:r>
          </w:p>
          <w:p>
            <w:pPr>
              <w:widowControl/>
              <w:spacing w:line="420" w:lineRule="exact"/>
              <w:jc w:val="left"/>
              <w:rPr>
                <w:rFonts w:hint="eastAsia" w:ascii="宋体" w:hAnsi="宋体" w:cs="仿宋"/>
                <w:color w:val="auto"/>
                <w:sz w:val="24"/>
                <w:highlight w:val="none"/>
              </w:rPr>
            </w:pPr>
            <w:r>
              <w:rPr>
                <w:rFonts w:hint="eastAsia" w:ascii="宋体" w:hAnsi="宋体" w:cs="仿宋"/>
                <w:color w:val="auto"/>
                <w:sz w:val="24"/>
                <w:highlight w:val="none"/>
              </w:rPr>
              <w:t>根据投标人提供服务的人力、设备等投入力度、完备程度等。酌情打分，0-2分。</w:t>
            </w:r>
          </w:p>
        </w:tc>
        <w:tc>
          <w:tcPr>
            <w:tcW w:w="850" w:type="dxa"/>
            <w:tcBorders>
              <w:top w:val="nil"/>
              <w:left w:val="nil"/>
              <w:bottom w:val="single" w:color="auto" w:sz="4" w:space="0"/>
              <w:right w:val="single" w:color="auto" w:sz="8" w:space="0"/>
            </w:tcBorders>
            <w:noWrap w:val="0"/>
            <w:vAlign w:val="center"/>
          </w:tcPr>
          <w:p>
            <w:pPr>
              <w:widowControl/>
              <w:spacing w:line="420" w:lineRule="exact"/>
              <w:jc w:val="center"/>
              <w:rPr>
                <w:rFonts w:hint="eastAsia" w:ascii="宋体" w:hAnsi="宋体" w:eastAsia="宋体" w:cs="宋体"/>
                <w:color w:val="auto"/>
                <w:spacing w:val="4"/>
                <w:sz w:val="24"/>
                <w:highlight w:val="none"/>
                <w:lang w:eastAsia="zh-CN"/>
              </w:rPr>
            </w:pPr>
            <w:r>
              <w:rPr>
                <w:rFonts w:hint="eastAsia" w:ascii="宋体" w:hAnsi="宋体" w:cs="宋体"/>
                <w:color w:val="auto"/>
                <w:spacing w:val="4"/>
                <w:sz w:val="24"/>
                <w:highlight w:val="none"/>
                <w:lang w:val="en-US" w:eastAsia="zh-CN"/>
              </w:rPr>
              <w:t>4</w:t>
            </w:r>
          </w:p>
        </w:tc>
      </w:tr>
      <w:tr>
        <w:tblPrEx>
          <w:tblCellMar>
            <w:top w:w="0" w:type="dxa"/>
            <w:left w:w="108" w:type="dxa"/>
            <w:bottom w:w="0" w:type="dxa"/>
            <w:right w:w="108" w:type="dxa"/>
          </w:tblCellMar>
        </w:tblPrEx>
        <w:trPr>
          <w:trHeight w:val="418"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pacing w:val="4"/>
                <w:sz w:val="24"/>
              </w:rPr>
            </w:pPr>
            <w:r>
              <w:rPr>
                <w:rFonts w:hint="eastAsia" w:ascii="宋体" w:hAnsi="宋体" w:cs="宋体"/>
                <w:color w:val="000000"/>
                <w:spacing w:val="4"/>
                <w:sz w:val="24"/>
              </w:rPr>
              <w:t>11</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spacing w:val="4"/>
                <w:sz w:val="24"/>
                <w:highlight w:val="none"/>
              </w:rPr>
            </w:pPr>
            <w:r>
              <w:rPr>
                <w:rFonts w:hint="eastAsia" w:ascii="宋体" w:hAnsi="宋体" w:cs="宋体"/>
                <w:sz w:val="24"/>
                <w:highlight w:val="none"/>
              </w:rPr>
              <w:t>电子投标文件关联性</w:t>
            </w:r>
          </w:p>
        </w:tc>
        <w:tc>
          <w:tcPr>
            <w:tcW w:w="6623" w:type="dxa"/>
            <w:tcBorders>
              <w:top w:val="single" w:color="auto" w:sz="4" w:space="0"/>
              <w:left w:val="nil"/>
              <w:bottom w:val="single" w:color="auto" w:sz="4" w:space="0"/>
              <w:right w:val="single" w:color="auto" w:sz="8" w:space="0"/>
            </w:tcBorders>
            <w:noWrap w:val="0"/>
            <w:vAlign w:val="center"/>
          </w:tcPr>
          <w:p>
            <w:pPr>
              <w:widowControl/>
              <w:jc w:val="left"/>
              <w:rPr>
                <w:rFonts w:hint="eastAsia" w:ascii="宋体" w:hAnsi="宋体" w:cs="宋体"/>
                <w:color w:val="000000"/>
                <w:spacing w:val="4"/>
                <w:sz w:val="24"/>
                <w:highlight w:val="none"/>
              </w:rPr>
            </w:pPr>
            <w:r>
              <w:rPr>
                <w:rFonts w:hint="eastAsia" w:ascii="宋体" w:hAnsi="宋体" w:cs="宋体"/>
                <w:sz w:val="24"/>
                <w:highlight w:val="none"/>
              </w:rPr>
              <w:t>根据投标人提供的电子投标文件中对评分标准关联情况的精准性，在0-</w:t>
            </w:r>
            <w:r>
              <w:rPr>
                <w:rFonts w:hint="eastAsia" w:ascii="宋体" w:hAnsi="宋体" w:cs="宋体"/>
                <w:sz w:val="24"/>
                <w:highlight w:val="none"/>
                <w:lang w:val="en-US" w:eastAsia="zh-CN"/>
              </w:rPr>
              <w:t>1</w:t>
            </w:r>
            <w:r>
              <w:rPr>
                <w:rFonts w:hint="eastAsia" w:ascii="宋体" w:hAnsi="宋体" w:cs="宋体"/>
                <w:sz w:val="24"/>
                <w:highlight w:val="none"/>
              </w:rPr>
              <w:t>分之间酌情打分。</w:t>
            </w:r>
          </w:p>
        </w:tc>
        <w:tc>
          <w:tcPr>
            <w:tcW w:w="850" w:type="dxa"/>
            <w:tcBorders>
              <w:top w:val="single" w:color="auto" w:sz="4" w:space="0"/>
              <w:left w:val="nil"/>
              <w:bottom w:val="single" w:color="auto" w:sz="4" w:space="0"/>
              <w:right w:val="single" w:color="auto" w:sz="8" w:space="0"/>
            </w:tcBorders>
            <w:noWrap w:val="0"/>
            <w:vAlign w:val="center"/>
          </w:tcPr>
          <w:p>
            <w:pPr>
              <w:widowControl/>
              <w:spacing w:line="420" w:lineRule="exact"/>
              <w:jc w:val="center"/>
              <w:rPr>
                <w:rFonts w:hint="eastAsia" w:ascii="宋体" w:hAnsi="宋体" w:eastAsia="宋体" w:cs="宋体"/>
                <w:color w:val="000000"/>
                <w:spacing w:val="4"/>
                <w:sz w:val="24"/>
                <w:highlight w:val="none"/>
                <w:lang w:eastAsia="zh-CN"/>
              </w:rPr>
            </w:pPr>
            <w:r>
              <w:rPr>
                <w:rFonts w:hint="eastAsia" w:ascii="宋体" w:hAnsi="宋体" w:cs="宋体"/>
                <w:sz w:val="24"/>
                <w:highlight w:val="none"/>
                <w:lang w:val="en-US" w:eastAsia="zh-CN"/>
              </w:rPr>
              <w:t>1</w:t>
            </w:r>
          </w:p>
        </w:tc>
      </w:tr>
    </w:tbl>
    <w:p>
      <w:pPr>
        <w:spacing w:line="360" w:lineRule="auto"/>
        <w:rPr>
          <w:rFonts w:hint="eastAsia" w:ascii="宋体" w:hAnsi="宋体"/>
          <w:b/>
          <w:sz w:val="24"/>
        </w:rPr>
      </w:pPr>
    </w:p>
    <w:p>
      <w:pPr>
        <w:tabs>
          <w:tab w:val="left" w:pos="1154"/>
        </w:tabs>
        <w:spacing w:line="360" w:lineRule="auto"/>
        <w:rPr>
          <w:rFonts w:ascii="黑体" w:hAnsi="宋体" w:eastAsia="黑体"/>
          <w:sz w:val="30"/>
          <w:szCs w:val="30"/>
        </w:rPr>
      </w:pPr>
      <w:r>
        <w:rPr>
          <w:rFonts w:hint="eastAsia" w:ascii="黑体" w:hAnsi="宋体" w:eastAsia="黑体"/>
          <w:sz w:val="30"/>
          <w:szCs w:val="30"/>
        </w:rPr>
        <w:t xml:space="preserve">           </w:t>
      </w:r>
    </w:p>
    <w:p>
      <w:pPr>
        <w:tabs>
          <w:tab w:val="left" w:pos="1154"/>
        </w:tabs>
        <w:spacing w:line="360" w:lineRule="auto"/>
        <w:rPr>
          <w:rFonts w:ascii="宋体" w:hAnsi="宋体"/>
          <w:b/>
          <w:sz w:val="30"/>
        </w:rPr>
      </w:pPr>
      <w:r>
        <w:rPr>
          <w:rFonts w:ascii="黑体" w:hAnsi="宋体" w:eastAsia="黑体"/>
          <w:sz w:val="30"/>
          <w:szCs w:val="30"/>
        </w:rPr>
        <w:br w:type="page"/>
      </w:r>
      <w:r>
        <w:rPr>
          <w:rFonts w:hint="eastAsia" w:ascii="黑体" w:hAnsi="宋体" w:eastAsia="黑体"/>
          <w:sz w:val="30"/>
          <w:szCs w:val="30"/>
        </w:rPr>
        <w:t xml:space="preserve">           </w:t>
      </w:r>
      <w:r>
        <w:rPr>
          <w:rFonts w:hint="eastAsia" w:ascii="宋体" w:hAnsi="宋体"/>
          <w:b/>
          <w:sz w:val="30"/>
        </w:rPr>
        <w:t>第五章  东阳市政府采购合同（样本）</w:t>
      </w:r>
    </w:p>
    <w:p>
      <w:pPr>
        <w:pStyle w:val="24"/>
        <w:snapToGrid w:val="0"/>
        <w:spacing w:before="120" w:after="120" w:line="336" w:lineRule="auto"/>
        <w:rPr>
          <w:rFonts w:hint="eastAsia" w:hAnsi="宋体"/>
        </w:rPr>
      </w:pPr>
      <w:r>
        <w:rPr>
          <w:rFonts w:hAnsi="宋体"/>
        </w:rPr>
        <w:t>项目名称：</w:t>
      </w:r>
      <w:r>
        <w:rPr>
          <w:rFonts w:hint="eastAsia" w:hAnsi="宋体"/>
        </w:rPr>
        <w:t xml:space="preserve">                    </w:t>
      </w:r>
      <w:r>
        <w:rPr>
          <w:rFonts w:hAnsi="宋体"/>
        </w:rPr>
        <w:t>项目编号：</w:t>
      </w:r>
      <w:r>
        <w:rPr>
          <w:rFonts w:hint="eastAsia" w:hAnsi="宋体"/>
        </w:rPr>
        <w:t xml:space="preserve">                     合同号：</w:t>
      </w:r>
    </w:p>
    <w:p>
      <w:pPr>
        <w:pStyle w:val="24"/>
        <w:snapToGrid w:val="0"/>
        <w:spacing w:before="120" w:after="120" w:line="336" w:lineRule="auto"/>
        <w:rPr>
          <w:rFonts w:hint="eastAsia" w:hAnsi="宋体"/>
        </w:rPr>
      </w:pPr>
      <w:r>
        <w:rPr>
          <w:rFonts w:hAnsi="宋体"/>
        </w:rPr>
        <w:t>甲方（买方）</w:t>
      </w:r>
      <w:r>
        <w:rPr>
          <w:rFonts w:hint="eastAsia" w:hAnsi="宋体"/>
        </w:rPr>
        <w:t>：</w:t>
      </w:r>
    </w:p>
    <w:p>
      <w:pPr>
        <w:pStyle w:val="24"/>
        <w:snapToGrid w:val="0"/>
        <w:spacing w:before="120" w:after="120" w:line="336" w:lineRule="auto"/>
        <w:rPr>
          <w:rFonts w:hint="eastAsia" w:hAnsi="宋体"/>
        </w:rPr>
      </w:pPr>
      <w:r>
        <w:rPr>
          <w:rFonts w:hAnsi="宋体"/>
        </w:rPr>
        <w:t>乙方（卖方）</w:t>
      </w:r>
      <w:r>
        <w:rPr>
          <w:rFonts w:hint="eastAsia" w:hAnsi="宋体"/>
        </w:rPr>
        <w:t>：</w:t>
      </w:r>
    </w:p>
    <w:p>
      <w:pPr>
        <w:pStyle w:val="24"/>
        <w:snapToGrid w:val="0"/>
        <w:spacing w:before="120" w:after="120" w:line="336" w:lineRule="auto"/>
        <w:rPr>
          <w:rFonts w:hint="eastAsia" w:hAnsi="宋体"/>
        </w:rPr>
      </w:pPr>
      <w:r>
        <w:rPr>
          <w:rFonts w:hint="eastAsia" w:hAnsi="宋体"/>
        </w:rPr>
        <w:t>鉴证方（招标方）：</w:t>
      </w:r>
    </w:p>
    <w:p>
      <w:pPr>
        <w:pStyle w:val="24"/>
        <w:snapToGrid w:val="0"/>
        <w:spacing w:before="0" w:beforeLines="0" w:after="0" w:afterLines="0" w:line="336" w:lineRule="auto"/>
        <w:ind w:firstLine="480" w:firstLineChars="200"/>
        <w:rPr>
          <w:rFonts w:hAnsi="宋体"/>
          <w:b/>
        </w:rPr>
      </w:pPr>
      <w:r>
        <w:rPr>
          <w:rFonts w:hAnsi="宋体"/>
        </w:rPr>
        <w:t>甲、乙双方根据</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日东阳市公共资源交易</w:t>
      </w:r>
      <w:r>
        <w:rPr>
          <w:rFonts w:hAnsi="宋体"/>
        </w:rPr>
        <w:t>中心关于</w:t>
      </w:r>
      <w:r>
        <w:rPr>
          <w:rFonts w:hint="eastAsia" w:hAnsi="宋体"/>
          <w:u w:val="single"/>
        </w:rPr>
        <w:t xml:space="preserve">     </w:t>
      </w:r>
      <w:r>
        <w:rPr>
          <w:rFonts w:hAnsi="宋体"/>
        </w:rPr>
        <w:t>项目公开招标</w:t>
      </w:r>
      <w:r>
        <w:rPr>
          <w:rFonts w:hint="eastAsia" w:hAnsi="宋体"/>
        </w:rPr>
        <w:t>的</w:t>
      </w:r>
      <w:r>
        <w:rPr>
          <w:rFonts w:hAnsi="宋体"/>
        </w:rPr>
        <w:t>结果，签署本合同。</w:t>
      </w:r>
    </w:p>
    <w:p>
      <w:pPr>
        <w:pStyle w:val="24"/>
        <w:snapToGrid w:val="0"/>
        <w:spacing w:before="0" w:beforeLines="0" w:after="0" w:afterLines="0" w:line="336" w:lineRule="auto"/>
        <w:rPr>
          <w:rFonts w:hAnsi="宋体"/>
          <w:b/>
        </w:rPr>
      </w:pPr>
      <w:r>
        <w:rPr>
          <w:rFonts w:hAnsi="宋体"/>
          <w:b/>
        </w:rPr>
        <w:t>一、</w:t>
      </w:r>
      <w:r>
        <w:rPr>
          <w:rFonts w:hint="eastAsia" w:hAnsi="宋体"/>
          <w:b/>
        </w:rPr>
        <w:t>服务内容</w:t>
      </w:r>
    </w:p>
    <w:p>
      <w:pPr>
        <w:pStyle w:val="24"/>
        <w:snapToGrid w:val="0"/>
        <w:spacing w:before="0" w:beforeLines="0" w:after="0" w:afterLines="0" w:line="336" w:lineRule="auto"/>
        <w:ind w:firstLine="480" w:firstLineChars="200"/>
        <w:rPr>
          <w:rFonts w:hAnsi="宋体"/>
        </w:rPr>
      </w:pPr>
      <w:r>
        <w:rPr>
          <w:rFonts w:hAnsi="宋体"/>
        </w:rPr>
        <w:t>1.</w:t>
      </w:r>
      <w:r>
        <w:rPr>
          <w:rFonts w:hint="eastAsia" w:hAnsi="宋体"/>
        </w:rPr>
        <w:t xml:space="preserve"> 服务内容</w:t>
      </w:r>
      <w:r>
        <w:rPr>
          <w:rFonts w:hAnsi="宋体"/>
        </w:rPr>
        <w:t>：</w:t>
      </w:r>
    </w:p>
    <w:p>
      <w:pPr>
        <w:pStyle w:val="24"/>
        <w:snapToGrid w:val="0"/>
        <w:spacing w:before="0" w:beforeLines="0" w:after="0" w:afterLines="0" w:line="336" w:lineRule="auto"/>
        <w:ind w:firstLine="480" w:firstLineChars="200"/>
        <w:rPr>
          <w:rFonts w:hint="eastAsia" w:hAnsi="宋体"/>
        </w:rPr>
      </w:pPr>
      <w:r>
        <w:rPr>
          <w:rFonts w:hint="eastAsia" w:hAnsi="宋体"/>
        </w:rPr>
        <w:t>2</w:t>
      </w:r>
      <w:r>
        <w:rPr>
          <w:rFonts w:hAnsi="宋体"/>
        </w:rPr>
        <w:t>. 数量</w:t>
      </w:r>
      <w:r>
        <w:rPr>
          <w:rFonts w:hint="eastAsia" w:hAnsi="宋体"/>
        </w:rPr>
        <w:t>：</w:t>
      </w:r>
    </w:p>
    <w:p>
      <w:pPr>
        <w:pStyle w:val="24"/>
        <w:snapToGrid w:val="0"/>
        <w:spacing w:before="0" w:beforeLines="0" w:after="0" w:afterLines="0" w:line="336" w:lineRule="auto"/>
        <w:ind w:firstLine="480" w:firstLineChars="200"/>
        <w:rPr>
          <w:rFonts w:hint="eastAsia" w:hAnsi="宋体"/>
        </w:rPr>
      </w:pPr>
      <w:r>
        <w:rPr>
          <w:rFonts w:hint="eastAsia" w:hAnsi="宋体"/>
        </w:rPr>
        <w:t>3</w:t>
      </w:r>
      <w:r>
        <w:rPr>
          <w:rFonts w:hAnsi="宋体"/>
        </w:rPr>
        <w:t>.</w:t>
      </w:r>
      <w:r>
        <w:rPr>
          <w:rFonts w:hint="eastAsia" w:hAnsi="宋体"/>
        </w:rPr>
        <w:t xml:space="preserve"> 单价：</w:t>
      </w:r>
    </w:p>
    <w:p>
      <w:pPr>
        <w:pStyle w:val="24"/>
        <w:snapToGrid w:val="0"/>
        <w:spacing w:before="0" w:beforeLines="0" w:after="0" w:afterLines="0" w:line="336" w:lineRule="auto"/>
        <w:ind w:firstLine="480" w:firstLineChars="200"/>
        <w:rPr>
          <w:rFonts w:hint="eastAsia" w:hAnsi="宋体"/>
        </w:rPr>
      </w:pPr>
      <w:r>
        <w:rPr>
          <w:rFonts w:hAnsi="宋体"/>
        </w:rPr>
        <w:t>4</w:t>
      </w:r>
      <w:r>
        <w:rPr>
          <w:rFonts w:hint="eastAsia" w:hAnsi="宋体"/>
        </w:rPr>
        <w:t>. 总价</w:t>
      </w:r>
      <w:r>
        <w:rPr>
          <w:rFonts w:hAnsi="宋体"/>
        </w:rPr>
        <w:t>：</w:t>
      </w:r>
    </w:p>
    <w:p>
      <w:pPr>
        <w:pStyle w:val="24"/>
        <w:snapToGrid w:val="0"/>
        <w:spacing w:before="0" w:beforeLines="0" w:after="0" w:afterLines="0" w:line="336" w:lineRule="auto"/>
        <w:ind w:firstLine="480" w:firstLineChars="200"/>
        <w:rPr>
          <w:rFonts w:hAnsi="宋体"/>
        </w:rPr>
      </w:pPr>
      <w:r>
        <w:rPr>
          <w:rFonts w:hint="eastAsia" w:hAnsi="宋体"/>
        </w:rPr>
        <w:t>5. 服务年限：</w:t>
      </w:r>
    </w:p>
    <w:p>
      <w:pPr>
        <w:pStyle w:val="24"/>
        <w:snapToGrid w:val="0"/>
        <w:spacing w:before="0" w:beforeLines="0" w:after="0" w:afterLines="0" w:line="336" w:lineRule="auto"/>
        <w:rPr>
          <w:rFonts w:hAnsi="宋体"/>
          <w:b/>
        </w:rPr>
      </w:pPr>
      <w:r>
        <w:rPr>
          <w:rFonts w:hAnsi="宋体"/>
          <w:b/>
        </w:rPr>
        <w:t>二、合同金额</w:t>
      </w:r>
    </w:p>
    <w:p>
      <w:pPr>
        <w:pStyle w:val="24"/>
        <w:snapToGrid w:val="0"/>
        <w:spacing w:before="0" w:beforeLines="0" w:after="0" w:afterLines="0" w:line="336" w:lineRule="auto"/>
        <w:ind w:firstLine="480" w:firstLineChars="200"/>
        <w:rPr>
          <w:rFonts w:hint="eastAsia" w:hAnsi="宋体"/>
        </w:rPr>
      </w:pPr>
      <w:r>
        <w:rPr>
          <w:rFonts w:hAnsi="宋体"/>
        </w:rPr>
        <w:t>本合同金额为（大写）：_______________________元（￥_________元）人民币。</w:t>
      </w:r>
    </w:p>
    <w:p>
      <w:pPr>
        <w:pStyle w:val="24"/>
        <w:snapToGrid w:val="0"/>
        <w:spacing w:before="0" w:beforeLines="0" w:after="0" w:afterLines="0" w:line="336" w:lineRule="auto"/>
        <w:rPr>
          <w:rFonts w:hAnsi="宋体"/>
          <w:b/>
        </w:rPr>
      </w:pPr>
      <w:r>
        <w:rPr>
          <w:rFonts w:hint="eastAsia" w:hAnsi="宋体"/>
          <w:b/>
        </w:rPr>
        <w:t>三</w:t>
      </w:r>
      <w:r>
        <w:rPr>
          <w:rFonts w:hAnsi="宋体"/>
          <w:b/>
        </w:rPr>
        <w:t>、技术资料</w:t>
      </w:r>
    </w:p>
    <w:p>
      <w:pPr>
        <w:pStyle w:val="24"/>
        <w:snapToGrid w:val="0"/>
        <w:spacing w:before="0" w:beforeLines="0" w:after="0" w:afterLines="0" w:line="336" w:lineRule="auto"/>
        <w:ind w:firstLine="480" w:firstLineChars="200"/>
        <w:rPr>
          <w:rFonts w:hAnsi="宋体"/>
        </w:rPr>
      </w:pPr>
      <w:r>
        <w:rPr>
          <w:rFonts w:hAnsi="宋体"/>
        </w:rPr>
        <w:t>1</w:t>
      </w:r>
      <w:r>
        <w:rPr>
          <w:rFonts w:hint="eastAsia" w:hAnsi="宋体"/>
        </w:rPr>
        <w:t>.</w:t>
      </w:r>
      <w:r>
        <w:rPr>
          <w:rFonts w:hAnsi="宋体"/>
        </w:rPr>
        <w:t>乙方应按招标文件规定的时间向甲方提供使用货物的有关技术资料。</w:t>
      </w:r>
    </w:p>
    <w:p>
      <w:pPr>
        <w:pStyle w:val="24"/>
        <w:snapToGrid w:val="0"/>
        <w:spacing w:before="0" w:beforeLines="0" w:after="0" w:afterLines="0" w:line="336" w:lineRule="auto"/>
        <w:ind w:firstLine="480" w:firstLineChars="200"/>
        <w:rPr>
          <w:rFonts w:hAnsi="宋体"/>
        </w:rPr>
      </w:pPr>
      <w:r>
        <w:rPr>
          <w:rFonts w:hAnsi="宋体"/>
        </w:rPr>
        <w:t>2</w:t>
      </w:r>
      <w:r>
        <w:rPr>
          <w:rFonts w:hint="eastAsia" w:hAnsi="宋体"/>
        </w:rPr>
        <w:t>.</w:t>
      </w:r>
      <w:r>
        <w:rPr>
          <w:rFonts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napToGrid w:val="0"/>
        <w:spacing w:before="0" w:beforeLines="0" w:after="0" w:afterLines="0" w:line="336" w:lineRule="auto"/>
        <w:rPr>
          <w:rFonts w:hAnsi="宋体"/>
          <w:b/>
        </w:rPr>
      </w:pPr>
      <w:r>
        <w:rPr>
          <w:rFonts w:hint="eastAsia" w:hAnsi="宋体"/>
          <w:b/>
        </w:rPr>
        <w:t>四</w:t>
      </w:r>
      <w:r>
        <w:rPr>
          <w:rFonts w:hAnsi="宋体"/>
          <w:b/>
        </w:rPr>
        <w:t>、知识产权</w:t>
      </w:r>
    </w:p>
    <w:p>
      <w:pPr>
        <w:pStyle w:val="24"/>
        <w:snapToGrid w:val="0"/>
        <w:spacing w:before="0" w:beforeLines="0" w:after="0" w:afterLines="0" w:line="336" w:lineRule="auto"/>
        <w:ind w:firstLine="480" w:firstLineChars="200"/>
        <w:rPr>
          <w:rFonts w:hAnsi="宋体"/>
          <w:bCs/>
        </w:rPr>
      </w:pPr>
      <w:r>
        <w:rPr>
          <w:rFonts w:hAnsi="宋体"/>
        </w:rPr>
        <w:t>乙方应保证所提供的货物或其任何一部分均不会侵犯任何第三方的知识产权</w:t>
      </w:r>
      <w:r>
        <w:rPr>
          <w:rFonts w:hAnsi="宋体"/>
          <w:bCs/>
        </w:rPr>
        <w:t>。</w:t>
      </w:r>
    </w:p>
    <w:p>
      <w:pPr>
        <w:pStyle w:val="24"/>
        <w:snapToGrid w:val="0"/>
        <w:spacing w:before="0" w:beforeLines="0" w:after="0" w:afterLines="0" w:line="336" w:lineRule="auto"/>
        <w:rPr>
          <w:rFonts w:hAnsi="宋体"/>
          <w:u w:val="single"/>
        </w:rPr>
      </w:pPr>
      <w:r>
        <w:rPr>
          <w:rFonts w:hint="eastAsia" w:hAnsi="宋体"/>
          <w:b/>
        </w:rPr>
        <w:t>五</w:t>
      </w:r>
      <w:r>
        <w:rPr>
          <w:rFonts w:hAnsi="宋体"/>
          <w:b/>
        </w:rPr>
        <w:t>、产权担保</w:t>
      </w:r>
    </w:p>
    <w:p>
      <w:pPr>
        <w:spacing w:line="500" w:lineRule="exact"/>
        <w:ind w:firstLine="480" w:firstLineChars="200"/>
        <w:rPr>
          <w:rFonts w:hint="eastAsia" w:ascii="宋体" w:hAnsi="宋体"/>
          <w:sz w:val="24"/>
        </w:rPr>
      </w:pPr>
      <w:r>
        <w:rPr>
          <w:rFonts w:hint="eastAsia" w:ascii="宋体" w:hAnsi="宋体"/>
          <w:sz w:val="24"/>
        </w:rPr>
        <w:t>本次项目采同政府购买服务的方式，乙方提供的服务所需要的软硬件设备所有权属于乙方所有，乙方保证无任何抵押、查封等产权瑕疵，否则甲方有权中止合同并追究乙方相应的责任。</w:t>
      </w:r>
    </w:p>
    <w:p>
      <w:pPr>
        <w:pStyle w:val="24"/>
        <w:snapToGrid w:val="0"/>
        <w:spacing w:before="0" w:beforeLines="0" w:after="0" w:afterLines="0" w:line="336" w:lineRule="auto"/>
        <w:rPr>
          <w:rFonts w:hAnsi="宋体"/>
          <w:b/>
        </w:rPr>
      </w:pPr>
      <w:r>
        <w:rPr>
          <w:rFonts w:hint="eastAsia" w:hAnsi="宋体"/>
          <w:b/>
        </w:rPr>
        <w:t>六、转包或分包</w:t>
      </w:r>
    </w:p>
    <w:p>
      <w:pPr>
        <w:spacing w:line="500" w:lineRule="exact"/>
        <w:ind w:firstLine="480" w:firstLineChars="200"/>
        <w:rPr>
          <w:rFonts w:hint="eastAsia" w:ascii="宋体" w:hAnsi="宋体"/>
          <w:sz w:val="24"/>
        </w:rPr>
      </w:pPr>
      <w:r>
        <w:rPr>
          <w:rFonts w:hint="eastAsia" w:ascii="宋体" w:hAnsi="宋体"/>
          <w:sz w:val="24"/>
        </w:rPr>
        <w:t>1．乙方不得将本合同转包其他供应商履行。</w:t>
      </w:r>
    </w:p>
    <w:p>
      <w:pPr>
        <w:pStyle w:val="24"/>
        <w:snapToGrid w:val="0"/>
        <w:spacing w:before="0" w:beforeLines="0" w:after="0" w:afterLines="0" w:line="360" w:lineRule="auto"/>
        <w:ind w:firstLine="480" w:firstLineChars="200"/>
        <w:rPr>
          <w:rFonts w:hint="eastAsia" w:hAnsi="宋体"/>
        </w:rPr>
      </w:pPr>
      <w:r>
        <w:rPr>
          <w:rFonts w:hint="eastAsia" w:hAns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pPr>
        <w:pStyle w:val="24"/>
        <w:snapToGrid w:val="0"/>
        <w:spacing w:before="0" w:beforeLines="0" w:after="0" w:afterLines="0" w:line="360" w:lineRule="auto"/>
        <w:rPr>
          <w:rFonts w:hint="eastAsia" w:hAnsi="宋体"/>
        </w:rPr>
      </w:pPr>
      <w:r>
        <w:rPr>
          <w:rFonts w:hint="eastAsia" w:hAnsi="宋体"/>
          <w:b/>
        </w:rPr>
        <w:t>七</w:t>
      </w:r>
      <w:r>
        <w:rPr>
          <w:rFonts w:hAnsi="宋体"/>
          <w:b/>
        </w:rPr>
        <w:t>、</w:t>
      </w:r>
      <w:r>
        <w:rPr>
          <w:rFonts w:hint="eastAsia" w:hAnsi="宋体"/>
          <w:b/>
        </w:rPr>
        <w:t>服务</w:t>
      </w:r>
      <w:r>
        <w:rPr>
          <w:rFonts w:hAnsi="宋体"/>
          <w:b/>
        </w:rPr>
        <w:t>期</w:t>
      </w:r>
    </w:p>
    <w:p>
      <w:pPr>
        <w:pStyle w:val="24"/>
        <w:snapToGrid w:val="0"/>
        <w:spacing w:before="0" w:beforeLines="0" w:after="0" w:afterLines="0" w:line="360" w:lineRule="auto"/>
        <w:ind w:firstLine="480" w:firstLineChars="200"/>
        <w:rPr>
          <w:rFonts w:hAnsi="宋体"/>
        </w:rPr>
      </w:pPr>
      <w:r>
        <w:rPr>
          <w:rFonts w:hint="eastAsia" w:hAnsi="宋体"/>
        </w:rPr>
        <w:t>服务</w:t>
      </w:r>
      <w:r>
        <w:rPr>
          <w:rFonts w:hAnsi="宋体"/>
        </w:rPr>
        <w:t>期</w:t>
      </w:r>
      <w:r>
        <w:rPr>
          <w:rFonts w:hint="eastAsia" w:hAnsi="宋体"/>
          <w:u w:val="single"/>
        </w:rPr>
        <w:t xml:space="preserve">          </w:t>
      </w:r>
      <w:r>
        <w:rPr>
          <w:rFonts w:hAnsi="宋体"/>
        </w:rPr>
        <w:t>年。（自验收合格之日起计）</w:t>
      </w:r>
    </w:p>
    <w:p>
      <w:pPr>
        <w:pStyle w:val="24"/>
        <w:snapToGrid w:val="0"/>
        <w:spacing w:before="0" w:beforeLines="0" w:after="0" w:afterLines="0" w:line="360" w:lineRule="auto"/>
        <w:rPr>
          <w:rFonts w:hAnsi="宋体"/>
          <w:b/>
        </w:rPr>
      </w:pPr>
      <w:r>
        <w:rPr>
          <w:rFonts w:hint="eastAsia" w:hAnsi="宋体"/>
          <w:b/>
        </w:rPr>
        <w:t>八</w:t>
      </w:r>
      <w:r>
        <w:rPr>
          <w:rFonts w:hAnsi="宋体"/>
          <w:b/>
        </w:rPr>
        <w:t>、</w:t>
      </w:r>
      <w:r>
        <w:rPr>
          <w:rFonts w:hint="eastAsia" w:hAnsi="宋体"/>
          <w:b/>
        </w:rPr>
        <w:t>项目进度</w:t>
      </w:r>
    </w:p>
    <w:p>
      <w:pPr>
        <w:spacing w:line="500" w:lineRule="exact"/>
        <w:rPr>
          <w:rFonts w:ascii="宋体" w:hAnsi="宋体"/>
          <w:sz w:val="24"/>
        </w:rPr>
      </w:pPr>
      <w:r>
        <w:rPr>
          <w:rFonts w:hint="eastAsia" w:eastAsia="仿宋_GB2312"/>
          <w:sz w:val="32"/>
          <w:szCs w:val="32"/>
        </w:rPr>
        <w:t xml:space="preserve">  </w:t>
      </w:r>
      <w:r>
        <w:rPr>
          <w:rFonts w:hint="eastAsia" w:ascii="宋体" w:hAnsi="宋体"/>
          <w:sz w:val="24"/>
        </w:rPr>
        <w:t>1. 合同签订后100日内完成本项目系统建设。</w:t>
      </w:r>
    </w:p>
    <w:p>
      <w:pPr>
        <w:spacing w:line="500" w:lineRule="exact"/>
        <w:ind w:firstLine="240" w:firstLineChars="100"/>
        <w:rPr>
          <w:rFonts w:hint="eastAsia" w:ascii="宋体" w:hAnsi="宋体"/>
          <w:sz w:val="24"/>
        </w:rPr>
      </w:pPr>
      <w:r>
        <w:rPr>
          <w:rFonts w:hint="eastAsia" w:ascii="宋体" w:hAnsi="宋体"/>
          <w:sz w:val="24"/>
        </w:rPr>
        <w:t>2. 完成后100日内完成本项目验收工作。</w:t>
      </w:r>
    </w:p>
    <w:p>
      <w:pPr>
        <w:spacing w:line="500" w:lineRule="exact"/>
        <w:ind w:firstLine="240" w:firstLineChars="100"/>
        <w:rPr>
          <w:rFonts w:hint="eastAsia" w:ascii="宋体" w:hAnsi="宋体"/>
          <w:sz w:val="24"/>
        </w:rPr>
      </w:pPr>
      <w:r>
        <w:rPr>
          <w:rFonts w:hint="eastAsia" w:ascii="宋体" w:hAnsi="宋体"/>
          <w:sz w:val="24"/>
        </w:rPr>
        <w:t>3. 因甲方原因造成乙方未能按期完成工作的，经甲方书面确认后，乙方工作期限可以相应顺延。</w:t>
      </w:r>
    </w:p>
    <w:p>
      <w:pPr>
        <w:pStyle w:val="24"/>
        <w:snapToGrid w:val="0"/>
        <w:spacing w:before="0" w:beforeLines="0" w:after="0" w:afterLines="0" w:line="240" w:lineRule="auto"/>
        <w:rPr>
          <w:rFonts w:hAnsi="宋体"/>
          <w:b/>
        </w:rPr>
      </w:pPr>
      <w:r>
        <w:rPr>
          <w:rFonts w:hint="eastAsia" w:hAnsi="宋体"/>
          <w:b/>
        </w:rPr>
        <w:t>九</w:t>
      </w:r>
      <w:r>
        <w:rPr>
          <w:rFonts w:hAnsi="宋体"/>
          <w:b/>
        </w:rPr>
        <w:t>、</w:t>
      </w:r>
      <w:r>
        <w:rPr>
          <w:rFonts w:hint="eastAsia" w:hAnsi="宋体"/>
          <w:b/>
        </w:rPr>
        <w:t>费用</w:t>
      </w:r>
      <w:r>
        <w:rPr>
          <w:rFonts w:hAnsi="宋体"/>
          <w:b/>
        </w:rPr>
        <w:t>支付</w:t>
      </w:r>
    </w:p>
    <w:p>
      <w:pPr>
        <w:spacing w:line="360" w:lineRule="auto"/>
        <w:ind w:firstLine="456" w:firstLineChars="190"/>
        <w:rPr>
          <w:rFonts w:hint="eastAsia" w:ascii="宋体" w:hAnsi="宋体"/>
          <w:sz w:val="24"/>
        </w:rPr>
      </w:pPr>
      <w:r>
        <w:rPr>
          <w:rFonts w:hint="eastAsia" w:ascii="宋体" w:hAnsi="宋体"/>
          <w:sz w:val="24"/>
        </w:rPr>
        <w:t>1.货款由采购人报国库直接支付。第一次付款：全部货物安装调试完毕并验收合格后，在</w:t>
      </w:r>
      <w:r>
        <w:rPr>
          <w:rFonts w:ascii="宋体" w:hAnsi="宋体"/>
          <w:sz w:val="24"/>
        </w:rPr>
        <w:t>2</w:t>
      </w:r>
      <w:r>
        <w:rPr>
          <w:rFonts w:hint="eastAsia" w:ascii="宋体" w:hAnsi="宋体"/>
          <w:sz w:val="24"/>
        </w:rPr>
        <w:t>0个工作日内付至合同总额的</w:t>
      </w:r>
      <w:r>
        <w:rPr>
          <w:rFonts w:ascii="宋体" w:hAnsi="宋体"/>
          <w:sz w:val="24"/>
        </w:rPr>
        <w:t>20</w:t>
      </w:r>
      <w:r>
        <w:rPr>
          <w:rFonts w:hint="eastAsia" w:ascii="宋体" w:hAnsi="宋体"/>
          <w:sz w:val="24"/>
        </w:rPr>
        <w:t>%，第二次、第三次、第四次、第五次付款：在验收合格满1年后付至合同总额的</w:t>
      </w:r>
      <w:r>
        <w:rPr>
          <w:rFonts w:ascii="宋体" w:hAnsi="宋体"/>
          <w:sz w:val="24"/>
        </w:rPr>
        <w:t>40</w:t>
      </w:r>
      <w:r>
        <w:rPr>
          <w:rFonts w:hint="eastAsia" w:ascii="宋体" w:hAnsi="宋体"/>
          <w:sz w:val="24"/>
        </w:rPr>
        <w:t>%、验收合格满</w:t>
      </w:r>
      <w:r>
        <w:rPr>
          <w:rFonts w:ascii="宋体" w:hAnsi="宋体"/>
          <w:sz w:val="24"/>
        </w:rPr>
        <w:t>2</w:t>
      </w:r>
      <w:r>
        <w:rPr>
          <w:rFonts w:hint="eastAsia" w:ascii="宋体" w:hAnsi="宋体"/>
          <w:sz w:val="24"/>
        </w:rPr>
        <w:t>年后付至合同总额的</w:t>
      </w:r>
      <w:r>
        <w:rPr>
          <w:rFonts w:ascii="宋体" w:hAnsi="宋体"/>
          <w:sz w:val="24"/>
        </w:rPr>
        <w:t>60</w:t>
      </w:r>
      <w:r>
        <w:rPr>
          <w:rFonts w:hint="eastAsia" w:ascii="宋体" w:hAnsi="宋体"/>
          <w:sz w:val="24"/>
        </w:rPr>
        <w:t>%、验收合格满</w:t>
      </w:r>
      <w:r>
        <w:rPr>
          <w:rFonts w:ascii="宋体" w:hAnsi="宋体"/>
          <w:sz w:val="24"/>
        </w:rPr>
        <w:t>3</w:t>
      </w:r>
      <w:r>
        <w:rPr>
          <w:rFonts w:hint="eastAsia" w:ascii="宋体" w:hAnsi="宋体"/>
          <w:sz w:val="24"/>
        </w:rPr>
        <w:t>年后付至合同总额的</w:t>
      </w:r>
      <w:r>
        <w:rPr>
          <w:rFonts w:ascii="宋体" w:hAnsi="宋体"/>
          <w:sz w:val="24"/>
        </w:rPr>
        <w:t>80</w:t>
      </w:r>
      <w:r>
        <w:rPr>
          <w:rFonts w:hint="eastAsia" w:ascii="宋体" w:hAnsi="宋体"/>
          <w:sz w:val="24"/>
        </w:rPr>
        <w:t>%、验收合格满</w:t>
      </w:r>
      <w:r>
        <w:rPr>
          <w:rFonts w:ascii="宋体" w:hAnsi="宋体"/>
          <w:sz w:val="24"/>
        </w:rPr>
        <w:t>4</w:t>
      </w:r>
      <w:r>
        <w:rPr>
          <w:rFonts w:hint="eastAsia" w:ascii="宋体" w:hAnsi="宋体"/>
          <w:sz w:val="24"/>
        </w:rPr>
        <w:t>年后付至合同总额的</w:t>
      </w:r>
      <w:r>
        <w:rPr>
          <w:rFonts w:ascii="宋体" w:hAnsi="宋体"/>
          <w:sz w:val="24"/>
        </w:rPr>
        <w:t>100</w:t>
      </w:r>
      <w:r>
        <w:rPr>
          <w:rFonts w:hint="eastAsia" w:ascii="宋体" w:hAnsi="宋体"/>
          <w:sz w:val="24"/>
        </w:rPr>
        <w:t>%。第一次付款凭东阳市政府采购验收单、发票原件；后几次付款凭东阳市政府采购售后服务满意度调查表，满意或基本满意的予以支付，不满意不予支付。</w:t>
      </w:r>
    </w:p>
    <w:p>
      <w:pPr>
        <w:snapToGrid w:val="0"/>
        <w:rPr>
          <w:rFonts w:ascii="宋体" w:hAnsi="宋体"/>
          <w:b/>
          <w:sz w:val="24"/>
          <w:szCs w:val="20"/>
        </w:rPr>
      </w:pPr>
      <w:r>
        <w:rPr>
          <w:rFonts w:hint="eastAsia" w:ascii="宋体" w:hAnsi="宋体"/>
          <w:b/>
          <w:sz w:val="24"/>
        </w:rPr>
        <w:t>十、税费</w:t>
      </w:r>
    </w:p>
    <w:p>
      <w:pPr>
        <w:snapToGrid w:val="0"/>
        <w:spacing w:line="360" w:lineRule="auto"/>
        <w:ind w:firstLine="480" w:firstLineChars="200"/>
        <w:rPr>
          <w:rFonts w:ascii="宋体" w:hAnsi="宋体"/>
          <w:sz w:val="24"/>
          <w:szCs w:val="20"/>
        </w:rPr>
      </w:pPr>
      <w:r>
        <w:rPr>
          <w:rFonts w:hint="eastAsia" w:ascii="宋体" w:hAnsi="宋体"/>
          <w:sz w:val="24"/>
        </w:rPr>
        <w:t>本合同执行中相关的一切税费均由</w:t>
      </w:r>
      <w:r>
        <w:rPr>
          <w:rFonts w:hAnsi="宋体"/>
          <w:sz w:val="24"/>
        </w:rPr>
        <w:t>乙</w:t>
      </w:r>
      <w:r>
        <w:rPr>
          <w:rFonts w:hint="eastAsia" w:ascii="宋体" w:hAnsi="宋体"/>
          <w:sz w:val="24"/>
        </w:rPr>
        <w:t>方负担。</w:t>
      </w:r>
    </w:p>
    <w:p>
      <w:pPr>
        <w:pStyle w:val="24"/>
        <w:snapToGrid w:val="0"/>
        <w:spacing w:before="0" w:beforeLines="0" w:after="0" w:afterLines="0" w:line="240" w:lineRule="auto"/>
        <w:rPr>
          <w:rFonts w:hAnsi="宋体"/>
        </w:rPr>
      </w:pPr>
      <w:r>
        <w:rPr>
          <w:rFonts w:hAnsi="宋体"/>
          <w:b/>
        </w:rPr>
        <w:t>十</w:t>
      </w:r>
      <w:r>
        <w:rPr>
          <w:rFonts w:hint="eastAsia" w:hAnsi="宋体"/>
          <w:b/>
        </w:rPr>
        <w:t>一</w:t>
      </w:r>
      <w:r>
        <w:rPr>
          <w:rFonts w:hAnsi="宋体"/>
          <w:b/>
        </w:rPr>
        <w:t>、质量保证及售后服务</w:t>
      </w:r>
    </w:p>
    <w:p>
      <w:pPr>
        <w:spacing w:line="500" w:lineRule="exact"/>
        <w:ind w:firstLine="480" w:firstLineChars="200"/>
        <w:rPr>
          <w:rFonts w:hint="eastAsia" w:ascii="宋体" w:hAnsi="宋体"/>
          <w:sz w:val="24"/>
        </w:rPr>
      </w:pPr>
      <w:r>
        <w:rPr>
          <w:rFonts w:hint="eastAsia" w:ascii="宋体" w:hAnsi="宋体"/>
          <w:sz w:val="24"/>
        </w:rPr>
        <w:t>1. 乙方应按招标文件规定的服务要求、技术要求、质量标准向甲方提供未经使用的全新产品。</w:t>
      </w:r>
    </w:p>
    <w:p>
      <w:pPr>
        <w:spacing w:line="500" w:lineRule="exact"/>
        <w:ind w:firstLine="480" w:firstLineChars="200"/>
        <w:rPr>
          <w:rFonts w:hint="eastAsia" w:ascii="宋体" w:hAnsi="宋体"/>
          <w:sz w:val="24"/>
        </w:rPr>
      </w:pPr>
      <w:r>
        <w:rPr>
          <w:rFonts w:hint="eastAsia" w:ascii="宋体" w:hAnsi="宋体"/>
          <w:sz w:val="24"/>
        </w:rPr>
        <w:t>2. 如在使用过程中发生质量问题，乙方在接到甲方通知后在2小时内到达甲方现场。</w:t>
      </w:r>
    </w:p>
    <w:p>
      <w:pPr>
        <w:spacing w:line="500" w:lineRule="exact"/>
        <w:ind w:firstLine="480" w:firstLineChars="200"/>
        <w:rPr>
          <w:rFonts w:hint="eastAsia" w:ascii="宋体" w:hAnsi="宋体"/>
          <w:sz w:val="24"/>
        </w:rPr>
      </w:pPr>
      <w:r>
        <w:rPr>
          <w:rFonts w:hint="eastAsia" w:ascii="宋体" w:hAnsi="宋体"/>
          <w:sz w:val="24"/>
        </w:rPr>
        <w:t>3. 在质保期内，乙方应对服务出现的质量及安全问题负责处理解决并承担一切费用。</w:t>
      </w:r>
    </w:p>
    <w:p>
      <w:pPr>
        <w:spacing w:line="500" w:lineRule="exact"/>
        <w:ind w:firstLine="480" w:firstLineChars="200"/>
        <w:rPr>
          <w:rFonts w:hint="eastAsia" w:ascii="宋体" w:hAnsi="宋体"/>
          <w:sz w:val="24"/>
        </w:rPr>
      </w:pPr>
      <w:r>
        <w:rPr>
          <w:rFonts w:hint="eastAsia" w:ascii="宋体" w:hAnsi="宋体"/>
          <w:sz w:val="24"/>
        </w:rPr>
        <w:t>4.上述的服务期为五年，服务期所提供的货物因甲方人为因素出现的故障不在免费保修范围内。</w:t>
      </w:r>
    </w:p>
    <w:p>
      <w:pPr>
        <w:pStyle w:val="24"/>
        <w:snapToGrid w:val="0"/>
        <w:spacing w:before="0" w:beforeLines="0" w:after="0" w:afterLines="0" w:line="360" w:lineRule="auto"/>
        <w:rPr>
          <w:rFonts w:hAnsi="宋体"/>
          <w:b/>
        </w:rPr>
      </w:pPr>
      <w:r>
        <w:rPr>
          <w:rFonts w:hAnsi="宋体"/>
          <w:b/>
        </w:rPr>
        <w:t>十</w:t>
      </w:r>
      <w:r>
        <w:rPr>
          <w:rFonts w:hint="eastAsia" w:hAnsi="宋体"/>
          <w:b/>
        </w:rPr>
        <w:t>二</w:t>
      </w:r>
      <w:r>
        <w:rPr>
          <w:rFonts w:hAnsi="宋体"/>
          <w:b/>
        </w:rPr>
        <w:t>、调试和验收</w:t>
      </w:r>
    </w:p>
    <w:p>
      <w:pPr>
        <w:pStyle w:val="24"/>
        <w:snapToGrid w:val="0"/>
        <w:spacing w:before="0" w:beforeLines="0" w:after="0" w:afterLines="0" w:line="360" w:lineRule="auto"/>
        <w:ind w:firstLine="480" w:firstLineChars="200"/>
        <w:rPr>
          <w:rFonts w:hAnsi="宋体"/>
          <w:u w:val="single"/>
        </w:rPr>
      </w:pPr>
      <w:r>
        <w:rPr>
          <w:rFonts w:hint="eastAsia" w:hAnsi="宋体"/>
        </w:rPr>
        <w:t>1.</w:t>
      </w:r>
      <w:r>
        <w:rPr>
          <w:rFonts w:hAnsi="宋体"/>
        </w:rPr>
        <w:t>甲方对乙方提供的</w:t>
      </w:r>
      <w:r>
        <w:rPr>
          <w:rFonts w:hint="eastAsia" w:hAnsi="宋体"/>
        </w:rPr>
        <w:t>服务</w:t>
      </w:r>
      <w:r>
        <w:rPr>
          <w:rFonts w:hAnsi="宋体"/>
        </w:rPr>
        <w:t>在使用前进行调试时，乙方需负责安装并培训甲方的使用操作人员，并协助甲方一起调试，直到符合技术要求，甲方才做最终验收。</w:t>
      </w:r>
    </w:p>
    <w:p>
      <w:pPr>
        <w:pStyle w:val="24"/>
        <w:snapToGrid w:val="0"/>
        <w:spacing w:before="0" w:beforeLines="0" w:after="0" w:afterLines="0" w:line="360" w:lineRule="auto"/>
        <w:ind w:firstLine="480" w:firstLineChars="200"/>
        <w:rPr>
          <w:rFonts w:hAnsi="宋体"/>
        </w:rPr>
      </w:pPr>
      <w:r>
        <w:rPr>
          <w:rFonts w:hint="eastAsia" w:hAnsi="宋体"/>
        </w:rPr>
        <w:t>2.</w:t>
      </w:r>
      <w:r>
        <w:rPr>
          <w:rFonts w:hint="eastAsia" w:hAnsi="宋体"/>
          <w:szCs w:val="21"/>
        </w:rPr>
        <w:t>项目终验：甲方按照招标文件要求，自行组织验收,交易中心或市采购办抽验，</w:t>
      </w:r>
      <w:r>
        <w:rPr>
          <w:rFonts w:hAnsi="宋体"/>
        </w:rPr>
        <w:t>验收时乙方必须在现场。</w:t>
      </w:r>
    </w:p>
    <w:p>
      <w:pPr>
        <w:pStyle w:val="24"/>
        <w:snapToGrid w:val="0"/>
        <w:spacing w:before="0" w:beforeLines="0" w:after="0" w:afterLines="0" w:line="240" w:lineRule="auto"/>
        <w:rPr>
          <w:rFonts w:hAnsi="宋体"/>
          <w:b/>
        </w:rPr>
      </w:pPr>
      <w:r>
        <w:rPr>
          <w:rFonts w:hAnsi="宋体"/>
          <w:b/>
        </w:rPr>
        <w:t>十</w:t>
      </w:r>
      <w:r>
        <w:rPr>
          <w:rFonts w:hint="eastAsia" w:hAnsi="宋体"/>
          <w:b/>
        </w:rPr>
        <w:t>三</w:t>
      </w:r>
      <w:r>
        <w:rPr>
          <w:rFonts w:hAnsi="宋体"/>
          <w:b/>
        </w:rPr>
        <w:t>、违约责任</w:t>
      </w:r>
    </w:p>
    <w:p>
      <w:pPr>
        <w:spacing w:line="500" w:lineRule="exact"/>
        <w:ind w:firstLine="480" w:firstLineChars="200"/>
        <w:rPr>
          <w:rFonts w:hint="eastAsia" w:ascii="宋体" w:hAnsi="宋体"/>
          <w:sz w:val="24"/>
          <w:szCs w:val="21"/>
        </w:rPr>
      </w:pPr>
      <w:r>
        <w:rPr>
          <w:rFonts w:hint="eastAsia" w:ascii="宋体" w:hAnsi="宋体"/>
          <w:sz w:val="24"/>
          <w:szCs w:val="21"/>
        </w:rPr>
        <w:t>1. 甲方无正当理由拒收服务的，甲方向乙方偿付拒收货款总值的百分之五违约金。</w:t>
      </w:r>
    </w:p>
    <w:p>
      <w:pPr>
        <w:spacing w:line="500" w:lineRule="exact"/>
        <w:ind w:firstLine="480" w:firstLineChars="200"/>
        <w:rPr>
          <w:rFonts w:ascii="宋体" w:hAnsi="宋体"/>
          <w:sz w:val="24"/>
          <w:szCs w:val="21"/>
        </w:rPr>
      </w:pPr>
      <w:r>
        <w:rPr>
          <w:rFonts w:ascii="宋体" w:hAnsi="宋体"/>
          <w:sz w:val="24"/>
          <w:szCs w:val="21"/>
        </w:rPr>
        <w:t>2</w:t>
      </w:r>
      <w:r>
        <w:rPr>
          <w:rFonts w:hint="eastAsia" w:ascii="宋体" w:hAnsi="宋体"/>
          <w:sz w:val="24"/>
          <w:szCs w:val="21"/>
        </w:rPr>
        <w:t>．甲方逾期支付服务费用的，</w:t>
      </w:r>
      <w:r>
        <w:rPr>
          <w:rFonts w:ascii="宋体" w:hAnsi="宋体"/>
          <w:sz w:val="24"/>
          <w:szCs w:val="21"/>
        </w:rPr>
        <w:t xml:space="preserve"> </w:t>
      </w:r>
      <w:r>
        <w:rPr>
          <w:rFonts w:hint="eastAsia" w:ascii="宋体" w:hAnsi="宋体"/>
          <w:sz w:val="24"/>
          <w:szCs w:val="21"/>
        </w:rPr>
        <w:t>甲方向乙方每日偿付一年服务费用总额万分之二的滞纳金。</w:t>
      </w:r>
    </w:p>
    <w:p>
      <w:pPr>
        <w:spacing w:line="500" w:lineRule="exact"/>
        <w:ind w:firstLine="480" w:firstLineChars="200"/>
        <w:rPr>
          <w:rFonts w:ascii="宋体" w:hAnsi="宋体"/>
          <w:sz w:val="24"/>
          <w:szCs w:val="21"/>
        </w:rPr>
      </w:pPr>
      <w:r>
        <w:rPr>
          <w:rFonts w:hint="eastAsia" w:ascii="宋体" w:hAnsi="宋体"/>
          <w:sz w:val="24"/>
          <w:szCs w:val="21"/>
        </w:rPr>
        <w:t>3. 乙方所交付货物的品种、型号、规格、数量、质量不符合合同规定标准的，甲方有权拒绝。乙方向甲方偿付合同总额的百分之五的违约金。</w:t>
      </w:r>
    </w:p>
    <w:p>
      <w:pPr>
        <w:spacing w:line="500" w:lineRule="exact"/>
        <w:ind w:firstLine="480" w:firstLineChars="200"/>
        <w:rPr>
          <w:rFonts w:ascii="宋体" w:hAnsi="宋体"/>
          <w:sz w:val="24"/>
          <w:szCs w:val="21"/>
        </w:rPr>
      </w:pPr>
      <w:r>
        <w:rPr>
          <w:rFonts w:ascii="宋体" w:hAnsi="宋体"/>
          <w:sz w:val="24"/>
          <w:szCs w:val="21"/>
        </w:rPr>
        <w:t>4</w:t>
      </w:r>
      <w:r>
        <w:rPr>
          <w:rFonts w:hint="eastAsia" w:ascii="宋体" w:hAnsi="宋体"/>
          <w:sz w:val="24"/>
          <w:szCs w:val="21"/>
        </w:rPr>
        <w:t>．乙方逾期交货的，乙方向甲方每日偿付一年服务费用总额万分之二的滞纳金。</w:t>
      </w:r>
    </w:p>
    <w:p>
      <w:pPr>
        <w:pStyle w:val="24"/>
        <w:snapToGrid w:val="0"/>
        <w:spacing w:before="0" w:beforeLines="0" w:after="0" w:afterLines="0" w:line="360" w:lineRule="auto"/>
        <w:ind w:firstLine="480" w:firstLineChars="200"/>
        <w:rPr>
          <w:rFonts w:hAnsi="宋体"/>
          <w:szCs w:val="21"/>
        </w:rPr>
      </w:pPr>
      <w:r>
        <w:rPr>
          <w:rFonts w:hAnsi="宋体"/>
          <w:szCs w:val="21"/>
        </w:rPr>
        <w:t>5</w:t>
      </w:r>
      <w:r>
        <w:rPr>
          <w:rFonts w:hint="eastAsia" w:hAnsi="宋体"/>
          <w:szCs w:val="21"/>
        </w:rPr>
        <w:t>．乙方不能交货及服务，乙方向甲方支付合同总额百分之五的违约金，并且不再退还履约保证金</w:t>
      </w:r>
    </w:p>
    <w:p>
      <w:pPr>
        <w:pStyle w:val="24"/>
        <w:snapToGrid w:val="0"/>
        <w:spacing w:before="0" w:beforeLines="0" w:after="0" w:afterLines="0" w:line="240" w:lineRule="auto"/>
        <w:rPr>
          <w:rFonts w:hAnsi="宋体"/>
          <w:b/>
        </w:rPr>
      </w:pPr>
      <w:r>
        <w:rPr>
          <w:rFonts w:hAnsi="宋体"/>
          <w:b/>
        </w:rPr>
        <w:t>十</w:t>
      </w:r>
      <w:r>
        <w:rPr>
          <w:rFonts w:hint="eastAsia" w:hAnsi="宋体"/>
          <w:b/>
        </w:rPr>
        <w:t>四</w:t>
      </w:r>
      <w:r>
        <w:rPr>
          <w:rFonts w:hAnsi="宋体"/>
          <w:b/>
        </w:rPr>
        <w:t>、不可抗力事件处理</w:t>
      </w:r>
    </w:p>
    <w:p>
      <w:pPr>
        <w:pStyle w:val="24"/>
        <w:snapToGrid w:val="0"/>
        <w:spacing w:before="0" w:beforeLines="0" w:after="0" w:afterLines="0" w:line="360" w:lineRule="auto"/>
        <w:ind w:firstLine="480" w:firstLineChars="200"/>
        <w:rPr>
          <w:rFonts w:hAnsi="宋体"/>
        </w:rPr>
      </w:pPr>
      <w:r>
        <w:rPr>
          <w:rFonts w:hAnsi="宋体"/>
        </w:rPr>
        <w:t>1</w:t>
      </w:r>
      <w:r>
        <w:rPr>
          <w:rFonts w:hint="eastAsia" w:hAnsi="宋体"/>
        </w:rPr>
        <w:t>.</w:t>
      </w:r>
      <w:r>
        <w:rPr>
          <w:rFonts w:hAnsi="宋体"/>
        </w:rPr>
        <w:t>在合同有效期内，任何一方因不可抗力事件导致不能履行合同，则合同履行期可延长，其延长期与不可抗力影响期相同。</w:t>
      </w:r>
    </w:p>
    <w:p>
      <w:pPr>
        <w:pStyle w:val="24"/>
        <w:snapToGrid w:val="0"/>
        <w:spacing w:before="0" w:beforeLines="0" w:after="0" w:afterLines="0" w:line="360" w:lineRule="auto"/>
        <w:ind w:firstLine="480" w:firstLineChars="200"/>
        <w:rPr>
          <w:rFonts w:hint="eastAsia" w:hAnsi="宋体"/>
        </w:rPr>
      </w:pPr>
      <w:r>
        <w:rPr>
          <w:rFonts w:hAnsi="宋体"/>
        </w:rPr>
        <w:t>2</w:t>
      </w:r>
      <w:r>
        <w:rPr>
          <w:rFonts w:hint="eastAsia" w:hAnsi="宋体"/>
        </w:rPr>
        <w:t>.</w:t>
      </w:r>
      <w:r>
        <w:rPr>
          <w:rFonts w:hAnsi="宋体"/>
        </w:rPr>
        <w:t>不可抗力事件发生后，应立即通知对方，并寄送有关权威机构出具的证明。</w:t>
      </w:r>
    </w:p>
    <w:p>
      <w:pPr>
        <w:pStyle w:val="24"/>
        <w:snapToGrid w:val="0"/>
        <w:spacing w:before="0" w:beforeLines="0" w:after="0" w:afterLines="0" w:line="360" w:lineRule="auto"/>
        <w:ind w:firstLine="480" w:firstLineChars="200"/>
        <w:rPr>
          <w:rFonts w:hAnsi="宋体"/>
        </w:rPr>
      </w:pPr>
      <w:r>
        <w:rPr>
          <w:rFonts w:hAnsi="宋体"/>
        </w:rPr>
        <w:t>3</w:t>
      </w:r>
      <w:r>
        <w:rPr>
          <w:rFonts w:hint="eastAsia" w:hAnsi="宋体"/>
        </w:rPr>
        <w:t>.</w:t>
      </w:r>
      <w:r>
        <w:rPr>
          <w:rFonts w:hAnsi="宋体"/>
        </w:rPr>
        <w:t>不可抗力事件延续120天以上，双方应通过友好协商，确定是否继续履行合同。</w:t>
      </w:r>
    </w:p>
    <w:p>
      <w:pPr>
        <w:pStyle w:val="24"/>
        <w:snapToGrid w:val="0"/>
        <w:spacing w:before="0" w:beforeLines="0" w:after="0" w:afterLines="0" w:line="240" w:lineRule="auto"/>
        <w:rPr>
          <w:rFonts w:hAnsi="宋体"/>
          <w:b/>
        </w:rPr>
      </w:pPr>
      <w:r>
        <w:rPr>
          <w:rFonts w:hAnsi="宋体"/>
          <w:b/>
        </w:rPr>
        <w:t>十</w:t>
      </w:r>
      <w:r>
        <w:rPr>
          <w:rFonts w:hint="eastAsia" w:hAnsi="宋体"/>
          <w:b/>
        </w:rPr>
        <w:t>五</w:t>
      </w:r>
      <w:r>
        <w:rPr>
          <w:rFonts w:hAnsi="宋体"/>
          <w:b/>
        </w:rPr>
        <w:t>、诉讼</w:t>
      </w:r>
    </w:p>
    <w:p>
      <w:pPr>
        <w:pStyle w:val="24"/>
        <w:snapToGrid w:val="0"/>
        <w:spacing w:before="0" w:beforeLines="0" w:after="0" w:afterLines="0" w:line="360" w:lineRule="auto"/>
        <w:ind w:firstLine="480" w:firstLineChars="200"/>
        <w:rPr>
          <w:rFonts w:hAnsi="宋体"/>
        </w:rPr>
      </w:pPr>
      <w:r>
        <w:rPr>
          <w:rFonts w:hAnsi="宋体"/>
        </w:rPr>
        <w:t>双方在执行合同中所发生的一切争议，应通过协商解决。如协商不成，可向</w:t>
      </w:r>
      <w:r>
        <w:rPr>
          <w:rFonts w:hint="eastAsia" w:hAnsi="宋体"/>
        </w:rPr>
        <w:t>甲方所在</w:t>
      </w:r>
      <w:r>
        <w:rPr>
          <w:rFonts w:hAnsi="宋体"/>
        </w:rPr>
        <w:t>地法院起诉。</w:t>
      </w:r>
    </w:p>
    <w:p>
      <w:pPr>
        <w:pStyle w:val="24"/>
        <w:snapToGrid w:val="0"/>
        <w:spacing w:before="0" w:beforeLines="0" w:after="0" w:afterLines="0" w:line="240" w:lineRule="auto"/>
        <w:rPr>
          <w:rFonts w:hAnsi="宋体"/>
          <w:b/>
        </w:rPr>
      </w:pPr>
      <w:r>
        <w:rPr>
          <w:rFonts w:hAnsi="宋体"/>
          <w:b/>
        </w:rPr>
        <w:t>十</w:t>
      </w:r>
      <w:r>
        <w:rPr>
          <w:rFonts w:hint="eastAsia" w:hAnsi="宋体"/>
          <w:b/>
        </w:rPr>
        <w:t>六</w:t>
      </w:r>
      <w:r>
        <w:rPr>
          <w:rFonts w:hAnsi="宋体"/>
          <w:b/>
        </w:rPr>
        <w:t>、合同生效及其它</w:t>
      </w:r>
    </w:p>
    <w:p>
      <w:pPr>
        <w:pStyle w:val="24"/>
        <w:snapToGrid w:val="0"/>
        <w:spacing w:before="0" w:beforeLines="0" w:after="0" w:afterLines="0" w:line="360" w:lineRule="auto"/>
        <w:ind w:firstLine="480" w:firstLineChars="200"/>
        <w:rPr>
          <w:rFonts w:hAnsi="宋体"/>
        </w:rPr>
      </w:pPr>
      <w:r>
        <w:rPr>
          <w:rFonts w:hAnsi="宋体"/>
        </w:rPr>
        <w:t>1</w:t>
      </w:r>
      <w:r>
        <w:rPr>
          <w:rFonts w:hint="eastAsia" w:hAnsi="宋体"/>
        </w:rPr>
        <w:t>.</w:t>
      </w:r>
      <w:r>
        <w:rPr>
          <w:rFonts w:hAnsi="宋体"/>
        </w:rPr>
        <w:t>合同经</w:t>
      </w:r>
      <w:r>
        <w:rPr>
          <w:rFonts w:hint="eastAsia" w:hAnsi="宋体"/>
        </w:rPr>
        <w:t>三</w:t>
      </w:r>
      <w:r>
        <w:rPr>
          <w:rFonts w:hAnsi="宋体"/>
        </w:rPr>
        <w:t>方法定代表人或授权代表签字并加盖单位公章后</w:t>
      </w:r>
      <w:r>
        <w:rPr>
          <w:rFonts w:hint="eastAsia" w:hAnsi="宋体"/>
        </w:rPr>
        <w:t>，报东阳市财政局采购办备案后</w:t>
      </w:r>
      <w:r>
        <w:rPr>
          <w:rFonts w:hAnsi="宋体"/>
        </w:rPr>
        <w:t>生效。</w:t>
      </w:r>
    </w:p>
    <w:p>
      <w:pPr>
        <w:pStyle w:val="24"/>
        <w:snapToGrid w:val="0"/>
        <w:spacing w:before="0" w:beforeLines="0" w:after="0" w:afterLines="0" w:line="360" w:lineRule="auto"/>
        <w:ind w:firstLine="480" w:firstLineChars="200"/>
        <w:rPr>
          <w:rFonts w:hAnsi="宋体"/>
        </w:rPr>
      </w:pPr>
      <w:r>
        <w:rPr>
          <w:rFonts w:hAnsi="宋体"/>
        </w:rPr>
        <w:t>2</w:t>
      </w:r>
      <w:r>
        <w:rPr>
          <w:rFonts w:hint="eastAsia" w:hAnsi="宋体"/>
        </w:rPr>
        <w:t>.</w:t>
      </w:r>
      <w:r>
        <w:rPr>
          <w:rFonts w:hAnsi="宋体"/>
        </w:rPr>
        <w:t>合同执行中涉及采购资金和采购内容修改或补充的，须经财政部门审批，并签书面补充协议报政府采购监督管理部门备案，方可作为主合同不可分割的一部分。</w:t>
      </w:r>
    </w:p>
    <w:p>
      <w:pPr>
        <w:pStyle w:val="24"/>
        <w:snapToGrid w:val="0"/>
        <w:spacing w:before="0" w:beforeLines="0" w:after="0" w:afterLines="0" w:line="360" w:lineRule="auto"/>
        <w:ind w:firstLine="480" w:firstLineChars="200"/>
        <w:rPr>
          <w:rFonts w:hAnsi="宋体"/>
        </w:rPr>
      </w:pPr>
      <w:r>
        <w:rPr>
          <w:rFonts w:hAnsi="宋体"/>
        </w:rPr>
        <w:t>3</w:t>
      </w:r>
      <w:r>
        <w:rPr>
          <w:rFonts w:hint="eastAsia" w:hAnsi="宋体"/>
        </w:rPr>
        <w:t>.</w:t>
      </w:r>
      <w:r>
        <w:rPr>
          <w:rFonts w:hAnsi="宋体"/>
        </w:rPr>
        <w:t>本合同未尽事宜，遵照《合同法》有关条文执行。</w:t>
      </w:r>
    </w:p>
    <w:p>
      <w:pPr>
        <w:pStyle w:val="24"/>
        <w:snapToGrid w:val="0"/>
        <w:spacing w:before="0" w:beforeLines="0" w:after="0" w:afterLines="0" w:line="360" w:lineRule="auto"/>
        <w:ind w:firstLine="480" w:firstLineChars="200"/>
        <w:rPr>
          <w:rFonts w:hint="eastAsia" w:hAnsi="宋体"/>
        </w:rPr>
      </w:pPr>
      <w:r>
        <w:rPr>
          <w:rFonts w:hAnsi="宋体"/>
        </w:rPr>
        <w:t>4</w:t>
      </w:r>
      <w:r>
        <w:rPr>
          <w:rFonts w:hint="eastAsia" w:hAnsi="宋体"/>
        </w:rPr>
        <w:t>.</w:t>
      </w:r>
      <w:r>
        <w:rPr>
          <w:rFonts w:hAnsi="宋体"/>
        </w:rPr>
        <w:t>本合同正本一式</w:t>
      </w:r>
      <w:r>
        <w:rPr>
          <w:rFonts w:hint="eastAsia" w:hAnsi="宋体"/>
        </w:rPr>
        <w:t>六</w:t>
      </w:r>
      <w:r>
        <w:rPr>
          <w:rFonts w:hAnsi="宋体"/>
        </w:rPr>
        <w:t>份，甲乙双方各执一份</w:t>
      </w:r>
      <w:r>
        <w:rPr>
          <w:rFonts w:hint="eastAsia" w:hAnsi="宋体"/>
        </w:rPr>
        <w:t>，东阳市公共资源交易中心二份，东阳市财政局采购办、东阳市公证处各执一份，</w:t>
      </w:r>
      <w:r>
        <w:rPr>
          <w:rFonts w:hAnsi="宋体"/>
        </w:rPr>
        <w:t>具有同等法律效力。</w:t>
      </w:r>
    </w:p>
    <w:p>
      <w:pPr>
        <w:pStyle w:val="24"/>
        <w:snapToGrid w:val="0"/>
        <w:spacing w:before="0" w:beforeLines="0" w:after="0" w:afterLines="0" w:line="360" w:lineRule="auto"/>
        <w:ind w:firstLine="480" w:firstLineChars="200"/>
        <w:rPr>
          <w:rFonts w:hint="eastAsia"/>
        </w:rPr>
      </w:pPr>
      <w:r>
        <w:rPr>
          <w:rFonts w:hint="eastAsia"/>
        </w:rPr>
        <w:t>5、声明：本合同样本仅供参考，甲乙双方可就招标文件的非实质性条款进行修改，但不能修改项目的工期、单价、付款方式、品牌型号、质保期等实质性条款，甲乙双方对合同的真实性负责，鉴证方只负责见证项目招标的真实性。</w:t>
      </w:r>
    </w:p>
    <w:p>
      <w:pPr>
        <w:snapToGrid w:val="0"/>
        <w:spacing w:line="360" w:lineRule="auto"/>
        <w:ind w:firstLine="120" w:firstLineChars="50"/>
        <w:rPr>
          <w:rFonts w:hint="eastAsia" w:ascii="宋体" w:hAnsi="宋体"/>
          <w:b/>
          <w:sz w:val="24"/>
        </w:rPr>
      </w:pPr>
    </w:p>
    <w:p>
      <w:pPr>
        <w:snapToGrid w:val="0"/>
        <w:spacing w:line="360" w:lineRule="auto"/>
        <w:ind w:firstLine="120" w:firstLineChars="50"/>
        <w:rPr>
          <w:rFonts w:hint="eastAsia" w:ascii="宋体" w:hAnsi="宋体"/>
          <w:b/>
          <w:sz w:val="24"/>
        </w:rPr>
      </w:pPr>
    </w:p>
    <w:p>
      <w:pPr>
        <w:snapToGrid w:val="0"/>
        <w:spacing w:line="360" w:lineRule="auto"/>
        <w:ind w:firstLine="120" w:firstLineChars="50"/>
        <w:rPr>
          <w:rFonts w:hint="eastAsia" w:ascii="宋体" w:hAnsi="宋体"/>
          <w:b/>
          <w:sz w:val="24"/>
        </w:rPr>
      </w:pPr>
    </w:p>
    <w:p>
      <w:pPr>
        <w:snapToGrid w:val="0"/>
        <w:spacing w:line="360" w:lineRule="auto"/>
        <w:ind w:firstLine="120" w:firstLineChars="50"/>
        <w:rPr>
          <w:rFonts w:hint="eastAsia" w:ascii="宋体" w:hAnsi="宋体"/>
          <w:b/>
          <w:sz w:val="24"/>
        </w:rPr>
      </w:pPr>
    </w:p>
    <w:p>
      <w:pPr>
        <w:snapToGrid w:val="0"/>
        <w:spacing w:line="360" w:lineRule="auto"/>
        <w:ind w:firstLine="120" w:firstLineChars="50"/>
        <w:rPr>
          <w:rFonts w:ascii="宋体" w:hAnsi="宋体"/>
          <w:sz w:val="24"/>
        </w:rPr>
      </w:pPr>
      <w:r>
        <w:rPr>
          <w:rFonts w:hint="eastAsia" w:ascii="宋体" w:hAnsi="宋体"/>
          <w:b/>
          <w:sz w:val="24"/>
        </w:rPr>
        <w:t>甲方（公章）：        乙方（公章）：</w:t>
      </w:r>
    </w:p>
    <w:p>
      <w:pPr>
        <w:snapToGrid w:val="0"/>
        <w:spacing w:line="360" w:lineRule="auto"/>
        <w:rPr>
          <w:rFonts w:ascii="宋体" w:hAnsi="宋体"/>
          <w:sz w:val="24"/>
        </w:rPr>
      </w:pPr>
      <w:r>
        <w:rPr>
          <w:rFonts w:hint="eastAsia" w:ascii="宋体" w:hAnsi="宋体"/>
          <w:sz w:val="24"/>
        </w:rPr>
        <w:t>法定代表人或受委托人               法定代表人或受委托人</w:t>
      </w:r>
    </w:p>
    <w:p>
      <w:pPr>
        <w:snapToGrid w:val="0"/>
        <w:spacing w:line="360" w:lineRule="auto"/>
        <w:rPr>
          <w:rFonts w:ascii="宋体" w:hAnsi="宋体"/>
          <w:sz w:val="24"/>
        </w:rPr>
      </w:pPr>
      <w:r>
        <w:rPr>
          <w:rFonts w:hint="eastAsia" w:ascii="宋体" w:hAnsi="宋体"/>
          <w:sz w:val="24"/>
        </w:rPr>
        <w:t>（签字）                            （签字）</w:t>
      </w:r>
    </w:p>
    <w:p>
      <w:pPr>
        <w:snapToGrid w:val="0"/>
        <w:spacing w:line="360" w:lineRule="auto"/>
        <w:rPr>
          <w:rFonts w:ascii="宋体" w:hAnsi="宋体"/>
          <w:sz w:val="24"/>
        </w:rPr>
      </w:pPr>
      <w:r>
        <w:rPr>
          <w:rFonts w:hint="eastAsia" w:ascii="宋体" w:hAnsi="宋体"/>
          <w:sz w:val="24"/>
        </w:rPr>
        <w:t>地址：                             地址：</w:t>
      </w:r>
    </w:p>
    <w:p>
      <w:pPr>
        <w:snapToGrid w:val="0"/>
        <w:spacing w:line="360" w:lineRule="auto"/>
        <w:rPr>
          <w:rFonts w:ascii="宋体" w:hAnsi="宋体"/>
          <w:sz w:val="24"/>
        </w:rPr>
      </w:pPr>
      <w:r>
        <w:rPr>
          <w:rFonts w:hint="eastAsia" w:ascii="宋体" w:hAnsi="宋体"/>
          <w:sz w:val="24"/>
        </w:rPr>
        <w:t>邮编：                             邮编：</w:t>
      </w:r>
    </w:p>
    <w:p>
      <w:pPr>
        <w:snapToGrid w:val="0"/>
        <w:spacing w:line="360" w:lineRule="auto"/>
        <w:rPr>
          <w:rFonts w:ascii="宋体" w:hAnsi="宋体"/>
          <w:sz w:val="24"/>
        </w:rPr>
      </w:pPr>
      <w:r>
        <w:rPr>
          <w:rFonts w:hint="eastAsia" w:ascii="宋体" w:hAnsi="宋体"/>
          <w:sz w:val="24"/>
        </w:rPr>
        <w:t>电话：                             电话：</w:t>
      </w:r>
    </w:p>
    <w:p>
      <w:pPr>
        <w:snapToGrid w:val="0"/>
        <w:spacing w:line="360" w:lineRule="auto"/>
        <w:rPr>
          <w:rFonts w:ascii="宋体" w:hAnsi="宋体"/>
          <w:sz w:val="24"/>
        </w:rPr>
      </w:pPr>
      <w:r>
        <w:rPr>
          <w:rFonts w:hint="eastAsia" w:ascii="宋体" w:hAnsi="宋体"/>
          <w:sz w:val="24"/>
        </w:rPr>
        <w:t>传真：                             传真：</w:t>
      </w:r>
    </w:p>
    <w:p>
      <w:pPr>
        <w:snapToGrid w:val="0"/>
        <w:spacing w:line="360" w:lineRule="auto"/>
        <w:rPr>
          <w:rFonts w:ascii="宋体" w:hAnsi="宋体"/>
          <w:b/>
          <w:bCs/>
          <w:szCs w:val="21"/>
        </w:rPr>
      </w:pPr>
      <w:r>
        <w:rPr>
          <w:rFonts w:hint="eastAsia" w:ascii="宋体" w:hAnsi="宋体"/>
          <w:sz w:val="24"/>
        </w:rPr>
        <w:t>户名：                             户名：</w:t>
      </w:r>
    </w:p>
    <w:p>
      <w:pPr>
        <w:snapToGrid w:val="0"/>
        <w:spacing w:line="360" w:lineRule="auto"/>
        <w:rPr>
          <w:rFonts w:ascii="宋体" w:hAnsi="宋体"/>
          <w:sz w:val="24"/>
        </w:rPr>
      </w:pPr>
      <w:r>
        <w:rPr>
          <w:rFonts w:hint="eastAsia" w:ascii="宋体" w:hAnsi="宋体"/>
          <w:sz w:val="24"/>
        </w:rPr>
        <w:t>开户银行：                         开户银行：</w:t>
      </w:r>
    </w:p>
    <w:p>
      <w:pPr>
        <w:snapToGrid w:val="0"/>
        <w:spacing w:line="360" w:lineRule="auto"/>
        <w:rPr>
          <w:rFonts w:hAnsi="宋体" w:cs="宋体"/>
        </w:rPr>
      </w:pPr>
      <w:r>
        <w:rPr>
          <w:rFonts w:hint="eastAsia" w:ascii="宋体" w:hAnsi="宋体"/>
          <w:sz w:val="24"/>
        </w:rPr>
        <w:t>帐号：                             帐号：</w:t>
      </w:r>
    </w:p>
    <w:p>
      <w:pPr>
        <w:spacing w:line="360" w:lineRule="auto"/>
        <w:jc w:val="center"/>
        <w:rPr>
          <w:rFonts w:hint="eastAsia" w:ascii="宋体" w:hAnsi="宋体" w:eastAsia="黑体"/>
          <w:b/>
          <w:bCs/>
          <w:sz w:val="24"/>
          <w:lang w:val="en-US" w:eastAsia="zh-CN"/>
        </w:rPr>
      </w:pPr>
      <w:r>
        <w:rPr>
          <w:rFonts w:hint="eastAsia" w:ascii="宋体" w:hAnsi="宋体" w:eastAsia="黑体"/>
          <w:b/>
          <w:bCs/>
          <w:sz w:val="24"/>
          <w:lang w:val="en-US" w:eastAsia="zh-CN"/>
        </w:rPr>
        <w:t xml:space="preserve"> </w:t>
      </w: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ascii="宋体" w:hAnsi="宋体" w:eastAsia="黑体"/>
          <w:b/>
          <w:bCs/>
          <w:sz w:val="24"/>
          <w:lang w:val="en-US" w:eastAsia="zh-CN"/>
        </w:rPr>
      </w:pPr>
    </w:p>
    <w:p>
      <w:pPr>
        <w:spacing w:line="360" w:lineRule="auto"/>
        <w:jc w:val="center"/>
        <w:rPr>
          <w:rFonts w:hint="eastAsia"/>
        </w:rPr>
      </w:pPr>
      <w:r>
        <w:rPr>
          <w:rFonts w:hint="eastAsia" w:ascii="黑体" w:hAnsi="宋体" w:eastAsia="黑体"/>
          <w:sz w:val="30"/>
          <w:szCs w:val="30"/>
        </w:rPr>
        <w:t>第六章　投标文件格式</w:t>
      </w:r>
    </w:p>
    <w:p>
      <w:pPr>
        <w:snapToGrid w:val="0"/>
        <w:spacing w:before="50" w:after="50" w:line="360" w:lineRule="auto"/>
        <w:outlineLvl w:val="1"/>
        <w:rPr>
          <w:rFonts w:ascii="宋体" w:hAnsi="宋体"/>
          <w:sz w:val="32"/>
          <w:szCs w:val="20"/>
        </w:rPr>
      </w:pPr>
      <w:r>
        <w:rPr>
          <w:rFonts w:hint="eastAsia" w:ascii="宋体" w:hAnsi="宋体"/>
          <w:sz w:val="32"/>
          <w:szCs w:val="20"/>
        </w:rPr>
        <w:t>附件1：</w:t>
      </w:r>
    </w:p>
    <w:p>
      <w:pPr>
        <w:snapToGrid w:val="0"/>
        <w:spacing w:before="120" w:beforeLines="50" w:after="50" w:line="360" w:lineRule="auto"/>
        <w:rPr>
          <w:rFonts w:hint="eastAsia" w:ascii="宋体" w:hAnsi="宋体"/>
          <w:b/>
          <w:sz w:val="24"/>
          <w:szCs w:val="20"/>
        </w:rPr>
      </w:pPr>
      <w:r>
        <w:rPr>
          <w:rFonts w:ascii="宋体" w:hAnsi="宋体"/>
          <w:b/>
          <w:sz w:val="24"/>
        </w:rPr>
        <w:t>1</w:t>
      </w:r>
      <w:r>
        <w:rPr>
          <w:rFonts w:hint="eastAsia" w:ascii="宋体" w:hAnsi="宋体"/>
          <w:b/>
          <w:sz w:val="24"/>
        </w:rPr>
        <w:t>.所有投标文件的外包装封面格式：</w:t>
      </w:r>
    </w:p>
    <w:p>
      <w:pPr>
        <w:snapToGrid w:val="0"/>
        <w:spacing w:before="120" w:beforeLines="50" w:after="50" w:line="360" w:lineRule="auto"/>
        <w:jc w:val="center"/>
        <w:rPr>
          <w:rFonts w:hint="eastAsia" w:ascii="宋体" w:hAnsi="宋体"/>
          <w:bCs/>
          <w:sz w:val="24"/>
          <w:szCs w:val="20"/>
        </w:rPr>
      </w:pPr>
      <w:r>
        <w:rPr>
          <w:rFonts w:hint="eastAsia" w:ascii="宋体" w:hAnsi="宋体"/>
          <w:bCs/>
          <w:sz w:val="24"/>
        </w:rPr>
        <w:t>投标文件</w:t>
      </w:r>
    </w:p>
    <w:p>
      <w:pPr>
        <w:snapToGrid w:val="0"/>
        <w:spacing w:before="120" w:beforeLines="50" w:after="50" w:line="360" w:lineRule="auto"/>
        <w:ind w:left="2267" w:leftChars="508" w:hanging="1200" w:hangingChars="500"/>
        <w:rPr>
          <w:rFonts w:hint="eastAsia" w:ascii="宋体" w:hAnsi="宋体"/>
          <w:bCs/>
          <w:sz w:val="24"/>
        </w:rPr>
      </w:pPr>
      <w:r>
        <w:rPr>
          <w:rFonts w:hint="eastAsia" w:ascii="宋体" w:hAnsi="宋体"/>
          <w:bCs/>
          <w:sz w:val="24"/>
        </w:rPr>
        <w:t>项目名称：</w:t>
      </w:r>
    </w:p>
    <w:p>
      <w:pPr>
        <w:snapToGrid w:val="0"/>
        <w:spacing w:before="120" w:beforeLines="50" w:after="50" w:line="360" w:lineRule="auto"/>
        <w:ind w:firstLine="1068" w:firstLineChars="445"/>
        <w:rPr>
          <w:rFonts w:hint="eastAsia" w:ascii="宋体" w:hAnsi="宋体"/>
          <w:bCs/>
          <w:sz w:val="24"/>
        </w:rPr>
      </w:pPr>
      <w:r>
        <w:rPr>
          <w:rFonts w:hint="eastAsia" w:ascii="宋体" w:hAnsi="宋体"/>
          <w:bCs/>
          <w:sz w:val="24"/>
        </w:rPr>
        <w:t>项目编号：</w:t>
      </w:r>
      <w:r>
        <w:rPr>
          <w:rFonts w:ascii="宋体" w:hAnsi="宋体"/>
          <w:bCs/>
          <w:sz w:val="24"/>
        </w:rPr>
        <w:t>DYCG20</w:t>
      </w:r>
      <w:r>
        <w:rPr>
          <w:rFonts w:hint="eastAsia" w:ascii="宋体" w:hAnsi="宋体"/>
          <w:bCs/>
          <w:sz w:val="24"/>
        </w:rPr>
        <w:t>20</w:t>
      </w:r>
      <w:r>
        <w:rPr>
          <w:rFonts w:ascii="宋体" w:hAnsi="宋体"/>
          <w:bCs/>
          <w:sz w:val="24"/>
        </w:rPr>
        <w:t>-</w:t>
      </w:r>
      <w:r>
        <w:rPr>
          <w:rFonts w:hint="eastAsia" w:ascii="宋体" w:hAnsi="宋体"/>
          <w:bCs/>
          <w:sz w:val="24"/>
        </w:rPr>
        <w:t xml:space="preserve"> </w:t>
      </w:r>
    </w:p>
    <w:p>
      <w:pPr>
        <w:snapToGrid w:val="0"/>
        <w:spacing w:before="120" w:beforeLines="50" w:after="50" w:line="360" w:lineRule="auto"/>
        <w:ind w:firstLine="1068" w:firstLineChars="445"/>
        <w:rPr>
          <w:rFonts w:hint="eastAsia" w:ascii="宋体" w:hAnsi="宋体"/>
          <w:bCs/>
          <w:sz w:val="24"/>
        </w:rPr>
      </w:pPr>
      <w:r>
        <w:rPr>
          <w:rFonts w:hint="eastAsia" w:ascii="宋体" w:hAnsi="宋体"/>
          <w:bCs/>
          <w:sz w:val="24"/>
        </w:rPr>
        <w:t>标项：</w:t>
      </w:r>
    </w:p>
    <w:p>
      <w:pPr>
        <w:snapToGrid w:val="0"/>
        <w:spacing w:before="120" w:beforeLines="50" w:after="50" w:line="360" w:lineRule="auto"/>
        <w:ind w:firstLine="1068" w:firstLineChars="445"/>
        <w:rPr>
          <w:rFonts w:ascii="宋体" w:hAnsi="宋体"/>
          <w:bCs/>
          <w:sz w:val="24"/>
        </w:rPr>
      </w:pPr>
      <w:r>
        <w:rPr>
          <w:rFonts w:hint="eastAsia" w:ascii="宋体" w:hAnsi="宋体"/>
          <w:bCs/>
          <w:sz w:val="24"/>
        </w:rPr>
        <w:t>投标文件名称：</w:t>
      </w:r>
      <w:r>
        <w:rPr>
          <w:rFonts w:hint="eastAsia" w:ascii="宋体" w:hAnsi="宋体"/>
          <w:b/>
          <w:bCs/>
          <w:sz w:val="24"/>
        </w:rPr>
        <w:t>资格响应文件、报价要求响应文件、商务技术响应文件</w:t>
      </w:r>
    </w:p>
    <w:p>
      <w:pPr>
        <w:snapToGrid w:val="0"/>
        <w:spacing w:before="120" w:beforeLines="50" w:after="50" w:line="360" w:lineRule="auto"/>
        <w:ind w:firstLine="1068" w:firstLineChars="445"/>
        <w:rPr>
          <w:rFonts w:ascii="宋体" w:hAnsi="宋体"/>
          <w:bCs/>
          <w:sz w:val="24"/>
        </w:rPr>
      </w:pPr>
      <w:r>
        <w:rPr>
          <w:rFonts w:hint="eastAsia" w:ascii="宋体" w:hAnsi="宋体"/>
          <w:bCs/>
          <w:sz w:val="24"/>
        </w:rPr>
        <w:t>投标人名称：</w:t>
      </w:r>
    </w:p>
    <w:p>
      <w:pPr>
        <w:snapToGrid w:val="0"/>
        <w:spacing w:before="120" w:beforeLines="50" w:after="50" w:line="360" w:lineRule="auto"/>
        <w:ind w:firstLine="1068" w:firstLineChars="445"/>
        <w:rPr>
          <w:rFonts w:ascii="宋体" w:hAnsi="宋体"/>
          <w:bCs/>
          <w:sz w:val="24"/>
        </w:rPr>
      </w:pPr>
      <w:r>
        <w:rPr>
          <w:rFonts w:hint="eastAsia" w:ascii="宋体" w:hAnsi="宋体"/>
          <w:bCs/>
          <w:sz w:val="24"/>
        </w:rPr>
        <w:t>投标人地址：</w:t>
      </w:r>
    </w:p>
    <w:p>
      <w:pPr>
        <w:snapToGrid w:val="0"/>
        <w:spacing w:before="120" w:beforeLines="50" w:after="50" w:line="360" w:lineRule="auto"/>
        <w:ind w:firstLine="1068" w:firstLineChars="445"/>
        <w:rPr>
          <w:rFonts w:ascii="宋体" w:hAnsi="宋体"/>
          <w:bCs/>
          <w:sz w:val="24"/>
        </w:rPr>
      </w:pPr>
      <w:r>
        <w:rPr>
          <w:rFonts w:hint="eastAsia" w:ascii="宋体" w:hAnsi="宋体"/>
          <w:bCs/>
          <w:sz w:val="24"/>
        </w:rPr>
        <w:t>在年月日时分之前不得启封</w:t>
      </w:r>
    </w:p>
    <w:p>
      <w:pPr>
        <w:snapToGrid w:val="0"/>
        <w:spacing w:before="120" w:beforeLines="50" w:after="50" w:line="360" w:lineRule="auto"/>
        <w:ind w:firstLine="4080" w:firstLineChars="1700"/>
        <w:rPr>
          <w:rFonts w:ascii="宋体" w:hAnsi="宋体"/>
          <w:bCs/>
          <w:sz w:val="24"/>
          <w:szCs w:val="20"/>
        </w:rPr>
      </w:pPr>
    </w:p>
    <w:p>
      <w:pPr>
        <w:snapToGrid w:val="0"/>
        <w:spacing w:before="120" w:beforeLines="50" w:after="50" w:line="360" w:lineRule="auto"/>
        <w:ind w:firstLine="645"/>
        <w:jc w:val="center"/>
        <w:rPr>
          <w:rFonts w:hint="eastAsia" w:ascii="宋体" w:hAnsi="宋体"/>
          <w:bCs/>
          <w:sz w:val="24"/>
          <w:szCs w:val="20"/>
        </w:rPr>
      </w:pPr>
      <w:r>
        <w:rPr>
          <w:rFonts w:hint="eastAsia" w:ascii="宋体" w:hAnsi="宋体"/>
          <w:bCs/>
          <w:sz w:val="24"/>
        </w:rPr>
        <w:t xml:space="preserve">                    年  月   日</w:t>
      </w:r>
    </w:p>
    <w:p>
      <w:pPr>
        <w:snapToGrid w:val="0"/>
        <w:spacing w:before="120" w:beforeLines="50" w:after="50" w:line="360" w:lineRule="auto"/>
        <w:jc w:val="center"/>
        <w:outlineLvl w:val="1"/>
        <w:rPr>
          <w:rFonts w:hint="eastAsia" w:ascii="宋体" w:hAnsi="宋体"/>
        </w:rPr>
      </w:pPr>
    </w:p>
    <w:p>
      <w:pPr>
        <w:snapToGrid w:val="0"/>
        <w:spacing w:before="120" w:beforeLines="50" w:after="50" w:line="360" w:lineRule="auto"/>
        <w:rPr>
          <w:rFonts w:ascii="宋体" w:hAnsi="宋体"/>
          <w:b/>
          <w:sz w:val="24"/>
          <w:szCs w:val="20"/>
        </w:rPr>
      </w:pPr>
      <w:r>
        <w:rPr>
          <w:rFonts w:hint="eastAsia" w:ascii="宋体" w:hAnsi="宋体"/>
          <w:b/>
          <w:sz w:val="24"/>
        </w:rPr>
        <w:t>2.所有投标文件封面格式：</w:t>
      </w:r>
    </w:p>
    <w:p>
      <w:pPr>
        <w:snapToGrid w:val="0"/>
        <w:spacing w:before="120" w:beforeLines="50" w:after="50" w:line="360" w:lineRule="auto"/>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hint="eastAsia" w:ascii="宋体" w:hAnsi="宋体"/>
          <w:bCs/>
          <w:sz w:val="24"/>
          <w:szCs w:val="20"/>
        </w:rPr>
      </w:pPr>
      <w:r>
        <w:rPr>
          <w:rFonts w:hint="eastAsia" w:ascii="宋体" w:hAnsi="宋体"/>
          <w:b/>
          <w:bCs/>
          <w:sz w:val="24"/>
        </w:rPr>
        <w:t>资格响应文件、报价要求响应文件、商务技术响应文件</w:t>
      </w:r>
    </w:p>
    <w:p>
      <w:pPr>
        <w:snapToGrid w:val="0"/>
        <w:spacing w:before="120" w:beforeLines="50" w:after="50" w:line="360" w:lineRule="auto"/>
        <w:ind w:left="2267" w:leftChars="508" w:hanging="1200" w:hangingChars="500"/>
        <w:rPr>
          <w:rFonts w:hint="eastAsia" w:ascii="宋体" w:hAnsi="宋体"/>
          <w:bCs/>
          <w:sz w:val="24"/>
        </w:rPr>
      </w:pPr>
      <w:r>
        <w:rPr>
          <w:rFonts w:hint="eastAsia" w:ascii="宋体" w:hAnsi="宋体"/>
          <w:bCs/>
          <w:sz w:val="24"/>
        </w:rPr>
        <w:t>项目名称：</w:t>
      </w:r>
    </w:p>
    <w:p>
      <w:pPr>
        <w:snapToGrid w:val="0"/>
        <w:spacing w:before="120" w:beforeLines="50" w:after="50" w:line="360" w:lineRule="auto"/>
        <w:ind w:firstLine="1068" w:firstLineChars="445"/>
        <w:rPr>
          <w:rFonts w:hint="eastAsia" w:ascii="宋体" w:hAnsi="宋体"/>
          <w:bCs/>
          <w:sz w:val="24"/>
        </w:rPr>
      </w:pPr>
      <w:r>
        <w:rPr>
          <w:rFonts w:hint="eastAsia" w:ascii="宋体" w:hAnsi="宋体"/>
          <w:bCs/>
          <w:sz w:val="24"/>
        </w:rPr>
        <w:t>项目编号：</w:t>
      </w:r>
      <w:r>
        <w:rPr>
          <w:rFonts w:ascii="宋体" w:hAnsi="宋体"/>
          <w:bCs/>
          <w:sz w:val="24"/>
        </w:rPr>
        <w:t>DYCG20</w:t>
      </w:r>
      <w:r>
        <w:rPr>
          <w:rFonts w:hint="eastAsia" w:ascii="宋体" w:hAnsi="宋体"/>
          <w:bCs/>
          <w:sz w:val="24"/>
        </w:rPr>
        <w:t>20</w:t>
      </w:r>
      <w:r>
        <w:rPr>
          <w:rFonts w:ascii="宋体" w:hAnsi="宋体"/>
          <w:bCs/>
          <w:sz w:val="24"/>
        </w:rPr>
        <w:t>-</w:t>
      </w:r>
    </w:p>
    <w:p>
      <w:pPr>
        <w:snapToGrid w:val="0"/>
        <w:spacing w:before="120" w:beforeLines="50" w:after="50" w:line="360" w:lineRule="auto"/>
        <w:ind w:firstLine="1068" w:firstLineChars="445"/>
        <w:rPr>
          <w:rFonts w:hint="eastAsia" w:ascii="宋体" w:hAnsi="宋体"/>
          <w:bCs/>
          <w:sz w:val="24"/>
        </w:rPr>
      </w:pPr>
      <w:r>
        <w:rPr>
          <w:rFonts w:hint="eastAsia" w:ascii="宋体" w:hAnsi="宋体"/>
          <w:bCs/>
          <w:sz w:val="24"/>
        </w:rPr>
        <w:t>标项：</w:t>
      </w:r>
    </w:p>
    <w:p>
      <w:pPr>
        <w:snapToGrid w:val="0"/>
        <w:spacing w:before="120" w:beforeLines="50" w:after="50" w:line="360" w:lineRule="auto"/>
        <w:ind w:firstLine="1068" w:firstLineChars="445"/>
        <w:rPr>
          <w:rFonts w:ascii="宋体" w:hAnsi="宋体"/>
          <w:bCs/>
          <w:sz w:val="24"/>
        </w:rPr>
      </w:pPr>
      <w:r>
        <w:rPr>
          <w:rFonts w:hint="eastAsia" w:ascii="宋体" w:hAnsi="宋体"/>
          <w:bCs/>
          <w:sz w:val="24"/>
        </w:rPr>
        <w:t>投标人名称：</w:t>
      </w:r>
    </w:p>
    <w:p>
      <w:pPr>
        <w:snapToGrid w:val="0"/>
        <w:spacing w:before="120" w:beforeLines="50" w:after="50" w:line="360" w:lineRule="auto"/>
        <w:ind w:firstLine="1068" w:firstLineChars="445"/>
        <w:rPr>
          <w:rFonts w:hint="eastAsia" w:ascii="宋体" w:hAnsi="宋体"/>
          <w:bCs/>
          <w:sz w:val="24"/>
        </w:rPr>
      </w:pPr>
      <w:r>
        <w:rPr>
          <w:rFonts w:hint="eastAsia" w:ascii="宋体" w:hAnsi="宋体"/>
          <w:bCs/>
          <w:sz w:val="24"/>
        </w:rPr>
        <w:t>投标人地址：</w:t>
      </w:r>
    </w:p>
    <w:p>
      <w:pPr>
        <w:snapToGrid w:val="0"/>
        <w:spacing w:before="120" w:beforeLines="50" w:after="50" w:line="360" w:lineRule="auto"/>
        <w:ind w:firstLine="645"/>
        <w:jc w:val="center"/>
        <w:rPr>
          <w:rFonts w:hint="eastAsia" w:ascii="宋体" w:hAnsi="宋体"/>
          <w:sz w:val="24"/>
        </w:rPr>
      </w:pPr>
      <w:r>
        <w:rPr>
          <w:rFonts w:hint="eastAsia" w:ascii="宋体" w:hAnsi="宋体"/>
          <w:sz w:val="24"/>
        </w:rPr>
        <w:t xml:space="preserve">                          年  月   日</w:t>
      </w:r>
    </w:p>
    <w:p>
      <w:pPr>
        <w:pStyle w:val="3"/>
        <w:rPr>
          <w:rFonts w:hint="eastAsia" w:ascii="宋体" w:hAnsi="宋体"/>
          <w:sz w:val="24"/>
        </w:rPr>
      </w:pPr>
      <w:r>
        <w:rPr>
          <w:rFonts w:hint="eastAsia" w:ascii="宋体" w:hAnsi="宋体"/>
          <w:sz w:val="24"/>
        </w:rPr>
        <w:t>附件2：投标人具有良好的商业信誉和健全的财务会计制度声明函</w:t>
      </w:r>
    </w:p>
    <w:p>
      <w:pPr>
        <w:pStyle w:val="3"/>
        <w:jc w:val="center"/>
        <w:rPr>
          <w:rFonts w:hint="eastAsia" w:ascii="宋体" w:hAnsi="宋体"/>
          <w:sz w:val="30"/>
          <w:szCs w:val="30"/>
        </w:rPr>
      </w:pPr>
      <w:r>
        <w:rPr>
          <w:rFonts w:hint="eastAsia" w:ascii="宋体" w:hAnsi="宋体"/>
          <w:sz w:val="30"/>
          <w:szCs w:val="30"/>
        </w:rPr>
        <w:t>投标人具有良好的商业信誉和健全的财务会计制度声明函</w:t>
      </w:r>
    </w:p>
    <w:p>
      <w:pPr>
        <w:snapToGrid w:val="0"/>
        <w:spacing w:line="360" w:lineRule="auto"/>
        <w:rPr>
          <w:rFonts w:hint="eastAsia" w:ascii="宋体" w:hAnsi="宋体"/>
          <w:sz w:val="24"/>
        </w:rPr>
      </w:pPr>
      <w:r>
        <w:rPr>
          <w:rFonts w:hint="eastAsia" w:ascii="宋体" w:hAnsi="宋体"/>
          <w:sz w:val="24"/>
        </w:rPr>
        <w:t>致：采购人</w:t>
      </w:r>
    </w:p>
    <w:p>
      <w:pPr>
        <w:pStyle w:val="3"/>
        <w:ind w:firstLine="480" w:firstLineChars="200"/>
        <w:rPr>
          <w:rFonts w:hint="eastAsia" w:ascii="宋体" w:hAnsi="宋体"/>
          <w:b w:val="0"/>
          <w:bCs w:val="0"/>
          <w:sz w:val="24"/>
          <w:szCs w:val="24"/>
        </w:rPr>
      </w:pPr>
      <w:r>
        <w:rPr>
          <w:rFonts w:hint="eastAsia" w:ascii="宋体" w:hAnsi="宋体"/>
          <w:b w:val="0"/>
          <w:bCs w:val="0"/>
          <w:sz w:val="24"/>
          <w:szCs w:val="24"/>
        </w:rPr>
        <w:t>本公司（单位）在参加采购编号为</w:t>
      </w:r>
      <w:r>
        <w:rPr>
          <w:rFonts w:hint="eastAsia" w:ascii="宋体" w:hAnsi="宋体"/>
          <w:b w:val="0"/>
          <w:bCs w:val="0"/>
          <w:sz w:val="24"/>
          <w:szCs w:val="24"/>
          <w:u w:val="single"/>
        </w:rPr>
        <w:t xml:space="preserve">            </w:t>
      </w:r>
      <w:r>
        <w:rPr>
          <w:rFonts w:hint="eastAsia" w:ascii="宋体" w:hAnsi="宋体"/>
          <w:b w:val="0"/>
          <w:bCs w:val="0"/>
          <w:sz w:val="24"/>
          <w:szCs w:val="24"/>
        </w:rPr>
        <w:t>，项目名称为</w:t>
      </w:r>
      <w:r>
        <w:rPr>
          <w:rFonts w:hint="eastAsia" w:ascii="宋体" w:hAnsi="宋体"/>
          <w:b w:val="0"/>
          <w:bCs w:val="0"/>
          <w:sz w:val="24"/>
          <w:szCs w:val="24"/>
          <w:u w:val="single"/>
        </w:rPr>
        <w:t xml:space="preserve">         </w:t>
      </w:r>
      <w:r>
        <w:rPr>
          <w:rFonts w:hint="eastAsia" w:ascii="宋体" w:hAnsi="宋体"/>
          <w:b w:val="0"/>
          <w:bCs w:val="0"/>
          <w:sz w:val="24"/>
          <w:szCs w:val="24"/>
        </w:rPr>
        <w:t>的政府采购活动前，在生产经营活动中始终做到遵纪守法，诚实守信，并具有良好的履约业绩，严格执行现行的财务会计管理制度，财务管理制度健全，账务清晰，能够按规定真实、全面地反映企业的生产经营活动。</w:t>
      </w:r>
    </w:p>
    <w:p>
      <w:pPr>
        <w:pStyle w:val="3"/>
        <w:ind w:firstLine="480" w:firstLineChars="200"/>
        <w:rPr>
          <w:rFonts w:ascii="宋体" w:hAnsi="宋体"/>
          <w:b w:val="0"/>
          <w:bCs w:val="0"/>
          <w:sz w:val="24"/>
          <w:szCs w:val="24"/>
        </w:rPr>
      </w:pPr>
      <w:r>
        <w:rPr>
          <w:rFonts w:hint="eastAsia" w:ascii="宋体" w:hAnsi="宋体"/>
          <w:b w:val="0"/>
          <w:bCs w:val="0"/>
          <w:sz w:val="24"/>
          <w:szCs w:val="24"/>
        </w:rPr>
        <w:t>特此声明。</w:t>
      </w:r>
    </w:p>
    <w:p>
      <w:pPr>
        <w:snapToGrid w:val="0"/>
        <w:spacing w:line="360" w:lineRule="auto"/>
        <w:ind w:firstLine="5520" w:firstLineChars="2300"/>
        <w:rPr>
          <w:rFonts w:hint="eastAsia" w:ascii="宋体" w:hAnsi="宋体"/>
          <w:sz w:val="24"/>
          <w:u w:val="single"/>
        </w:rPr>
      </w:pPr>
      <w:r>
        <w:rPr>
          <w:rFonts w:hint="eastAsia" w:ascii="宋体" w:hAnsi="宋体"/>
          <w:sz w:val="24"/>
        </w:rPr>
        <w:t>投标人公章：</w:t>
      </w:r>
      <w:r>
        <w:rPr>
          <w:rFonts w:hint="eastAsia" w:ascii="宋体" w:hAnsi="宋体"/>
          <w:sz w:val="24"/>
          <w:u w:val="single"/>
        </w:rPr>
        <w:t xml:space="preserve">            </w:t>
      </w:r>
    </w:p>
    <w:p>
      <w:pPr>
        <w:snapToGrid w:val="0"/>
        <w:spacing w:line="360" w:lineRule="auto"/>
        <w:ind w:firstLine="5520" w:firstLineChars="2300"/>
        <w:rPr>
          <w:rFonts w:hint="eastAsia" w:ascii="宋体" w:hAnsi="宋体"/>
          <w:b/>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rPr>
        <w:br w:type="page"/>
      </w:r>
      <w:r>
        <w:rPr>
          <w:rFonts w:hint="eastAsia" w:ascii="宋体" w:hAnsi="宋体"/>
          <w:b/>
          <w:sz w:val="24"/>
        </w:rPr>
        <w:t>附件3：具有履行合同所必需的的设备和专业技术能力的承诺函</w:t>
      </w:r>
    </w:p>
    <w:p>
      <w:pPr>
        <w:pStyle w:val="3"/>
        <w:jc w:val="center"/>
        <w:rPr>
          <w:rFonts w:hint="eastAsia" w:ascii="宋体" w:hAnsi="宋体"/>
          <w:sz w:val="30"/>
          <w:szCs w:val="30"/>
        </w:rPr>
      </w:pPr>
      <w:r>
        <w:rPr>
          <w:rFonts w:hint="eastAsia" w:ascii="宋体" w:hAnsi="宋体"/>
          <w:sz w:val="30"/>
          <w:szCs w:val="30"/>
        </w:rPr>
        <w:t>具有履行合同所必需的的设备和专业技术能力的承诺函</w:t>
      </w:r>
    </w:p>
    <w:p>
      <w:pPr>
        <w:snapToGrid w:val="0"/>
        <w:spacing w:line="360" w:lineRule="auto"/>
        <w:ind w:firstLine="720" w:firstLineChars="300"/>
        <w:rPr>
          <w:rFonts w:hint="eastAsia" w:ascii="宋体" w:hAnsi="宋体"/>
          <w:sz w:val="24"/>
        </w:rPr>
      </w:pPr>
      <w:r>
        <w:rPr>
          <w:rFonts w:ascii="宋体" w:hAnsi="宋体"/>
          <w:sz w:val="24"/>
        </w:rPr>
        <w:t>我</w:t>
      </w:r>
      <w:r>
        <w:rPr>
          <w:rFonts w:hint="eastAsia" w:ascii="宋体" w:hAnsi="宋体"/>
          <w:sz w:val="24"/>
        </w:rPr>
        <w:t>公司（单位）具备履行合同所需的设备和专业技术能力，具体情况介绍如下：</w:t>
      </w:r>
    </w:p>
    <w:p>
      <w:pPr>
        <w:pStyle w:val="3"/>
        <w:rPr>
          <w:rFonts w:hint="eastAsia" w:ascii="宋体" w:hAnsi="宋体"/>
          <w:sz w:val="24"/>
        </w:rPr>
      </w:pPr>
      <w:r>
        <w:rPr>
          <w:rFonts w:hint="eastAsia" w:ascii="宋体" w:hAnsi="宋体"/>
          <w:sz w:val="24"/>
        </w:rPr>
        <w:t>（内容包括：主要设备、专业技术人员、公司资质等）</w:t>
      </w:r>
    </w:p>
    <w:p>
      <w:pPr>
        <w:rPr>
          <w:rFonts w:hint="eastAsia"/>
        </w:rPr>
      </w:pPr>
      <w:r>
        <w:rPr>
          <w:rFonts w:hint="eastAsia"/>
        </w:rPr>
        <w:t>……</w:t>
      </w:r>
    </w:p>
    <w:p>
      <w:pPr>
        <w:snapToGrid w:val="0"/>
        <w:spacing w:line="360" w:lineRule="auto"/>
        <w:ind w:firstLine="720" w:firstLineChars="300"/>
        <w:rPr>
          <w:rFonts w:hint="eastAsia" w:ascii="宋体" w:hAnsi="宋体"/>
          <w:sz w:val="24"/>
        </w:rPr>
      </w:pPr>
      <w:r>
        <w:rPr>
          <w:rFonts w:hint="eastAsia" w:ascii="宋体" w:hAnsi="宋体"/>
          <w:sz w:val="24"/>
        </w:rPr>
        <w:t>特此承诺。</w:t>
      </w:r>
    </w:p>
    <w:p>
      <w:pPr>
        <w:snapToGrid w:val="0"/>
        <w:spacing w:line="360" w:lineRule="auto"/>
        <w:ind w:firstLine="5520" w:firstLineChars="2300"/>
        <w:rPr>
          <w:rFonts w:hint="eastAsia" w:ascii="宋体" w:hAnsi="宋体"/>
          <w:sz w:val="24"/>
          <w:u w:val="single"/>
        </w:rPr>
      </w:pPr>
      <w:r>
        <w:rPr>
          <w:rFonts w:hint="eastAsia" w:ascii="宋体" w:hAnsi="宋体"/>
          <w:sz w:val="24"/>
        </w:rPr>
        <w:t>投标人公章：</w:t>
      </w:r>
      <w:r>
        <w:rPr>
          <w:rFonts w:hint="eastAsia" w:ascii="宋体" w:hAnsi="宋体"/>
          <w:sz w:val="24"/>
          <w:u w:val="single"/>
        </w:rPr>
        <w:t xml:space="preserve">            </w:t>
      </w:r>
    </w:p>
    <w:p>
      <w:pPr>
        <w:snapToGrid w:val="0"/>
        <w:spacing w:line="360" w:lineRule="auto"/>
        <w:ind w:firstLine="5520" w:firstLineChars="23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snapToGrid w:val="0"/>
        <w:spacing w:line="360" w:lineRule="auto"/>
        <w:ind w:firstLine="5520" w:firstLineChars="2300"/>
        <w:rPr>
          <w:rFonts w:hint="eastAsia" w:ascii="宋体" w:hAnsi="宋体"/>
          <w:sz w:val="24"/>
        </w:rPr>
      </w:pPr>
    </w:p>
    <w:p>
      <w:pPr>
        <w:snapToGrid w:val="0"/>
        <w:spacing w:line="360" w:lineRule="auto"/>
        <w:ind w:firstLine="5520" w:firstLineChars="2300"/>
        <w:rPr>
          <w:rFonts w:ascii="宋体" w:hAnsi="宋体"/>
          <w:sz w:val="24"/>
        </w:rPr>
      </w:pPr>
      <w:r>
        <w:rPr>
          <w:rFonts w:hint="eastAsia" w:ascii="宋体" w:hAnsi="宋体"/>
          <w:sz w:val="24"/>
        </w:rPr>
        <w:t xml:space="preserve">                                        </w:t>
      </w:r>
    </w:p>
    <w:p>
      <w:pPr>
        <w:pStyle w:val="3"/>
        <w:rPr>
          <w:rFonts w:hint="eastAsia" w:ascii="宋体" w:hAnsi="宋体"/>
          <w:sz w:val="24"/>
        </w:rPr>
      </w:pPr>
    </w:p>
    <w:p>
      <w:pPr>
        <w:pStyle w:val="3"/>
        <w:rPr>
          <w:rFonts w:hint="eastAsia"/>
        </w:rPr>
      </w:pPr>
      <w:r>
        <w:rPr>
          <w:rFonts w:hint="eastAsia" w:ascii="宋体" w:hAnsi="宋体"/>
          <w:sz w:val="24"/>
        </w:rPr>
        <w:t xml:space="preserve">  </w:t>
      </w:r>
      <w:r>
        <w:rPr>
          <w:rFonts w:hint="eastAsia"/>
        </w:rPr>
        <w:t xml:space="preserve"> </w:t>
      </w:r>
    </w:p>
    <w:p>
      <w:pPr>
        <w:pStyle w:val="3"/>
        <w:rPr>
          <w:rFonts w:hint="eastAsia" w:ascii="宋体" w:hAnsi="宋体"/>
          <w:b w:val="0"/>
          <w:sz w:val="24"/>
        </w:rPr>
      </w:pPr>
    </w:p>
    <w:p>
      <w:pPr>
        <w:rPr>
          <w:rFonts w:hint="eastAsia" w:ascii="宋体" w:hAnsi="宋体"/>
          <w:b/>
          <w:sz w:val="24"/>
        </w:rPr>
      </w:pPr>
    </w:p>
    <w:p>
      <w:pPr>
        <w:pStyle w:val="3"/>
        <w:rPr>
          <w:rFonts w:hint="eastAsia" w:ascii="宋体" w:hAnsi="宋体"/>
          <w:b w:val="0"/>
          <w:sz w:val="24"/>
        </w:rPr>
      </w:pPr>
    </w:p>
    <w:p>
      <w:pPr>
        <w:rPr>
          <w:rFonts w:hint="eastAsia" w:ascii="宋体" w:hAnsi="宋体"/>
          <w:b/>
          <w:sz w:val="24"/>
        </w:rPr>
      </w:pPr>
    </w:p>
    <w:p>
      <w:pPr>
        <w:pStyle w:val="3"/>
        <w:rPr>
          <w:rFonts w:hint="eastAsia" w:ascii="宋体" w:hAnsi="宋体"/>
          <w:b w:val="0"/>
          <w:sz w:val="24"/>
        </w:rPr>
      </w:pPr>
    </w:p>
    <w:p>
      <w:pPr>
        <w:rPr>
          <w:rFonts w:hint="eastAsia" w:ascii="宋体" w:hAnsi="宋体"/>
          <w:b/>
          <w:sz w:val="24"/>
        </w:rPr>
      </w:pPr>
    </w:p>
    <w:p>
      <w:pPr>
        <w:pStyle w:val="3"/>
        <w:rPr>
          <w:rFonts w:hint="eastAsia" w:ascii="宋体" w:hAnsi="宋体"/>
          <w:b w:val="0"/>
          <w:sz w:val="24"/>
        </w:rPr>
      </w:pPr>
    </w:p>
    <w:p>
      <w:pPr>
        <w:rPr>
          <w:rFonts w:hint="eastAsia"/>
        </w:rPr>
      </w:pPr>
    </w:p>
    <w:p>
      <w:pPr>
        <w:pStyle w:val="3"/>
        <w:jc w:val="left"/>
        <w:rPr>
          <w:rFonts w:hint="eastAsia" w:ascii="宋体" w:hAnsi="宋体"/>
          <w:bCs w:val="0"/>
          <w:sz w:val="24"/>
          <w:szCs w:val="24"/>
        </w:rPr>
      </w:pPr>
      <w:r>
        <w:rPr>
          <w:rFonts w:hint="eastAsia" w:ascii="宋体" w:hAnsi="宋体"/>
          <w:bCs w:val="0"/>
          <w:sz w:val="24"/>
          <w:szCs w:val="24"/>
        </w:rPr>
        <w:t>附件4：投标声明书格式：</w:t>
      </w:r>
    </w:p>
    <w:p>
      <w:pPr>
        <w:snapToGrid w:val="0"/>
        <w:spacing w:before="120" w:beforeLines="50" w:after="50" w:line="360" w:lineRule="auto"/>
        <w:jc w:val="center"/>
        <w:rPr>
          <w:rFonts w:ascii="宋体" w:hAnsi="宋体"/>
          <w:sz w:val="24"/>
          <w:szCs w:val="20"/>
        </w:rPr>
      </w:pPr>
      <w:r>
        <w:rPr>
          <w:rFonts w:hint="eastAsia" w:ascii="宋体" w:hAnsi="宋体"/>
          <w:sz w:val="30"/>
        </w:rPr>
        <w:t>投标声明书</w:t>
      </w:r>
    </w:p>
    <w:p>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（投标人名称）系中华人民共和国合法企业，经营地址。</w:t>
      </w:r>
    </w:p>
    <w:p>
      <w:pPr>
        <w:snapToGrid w:val="0"/>
        <w:spacing w:before="120"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___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pPr>
        <w:snapToGrid w:val="0"/>
        <w:spacing w:line="360" w:lineRule="auto"/>
        <w:ind w:firstLine="480" w:firstLineChars="200"/>
        <w:rPr>
          <w:rFonts w:hint="eastAsia"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napToGrid w:val="0"/>
        <w:spacing w:before="120" w:beforeLines="5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w:t>
      </w:r>
    </w:p>
    <w:p>
      <w:pPr>
        <w:snapToGrid w:val="0"/>
        <w:spacing w:before="120" w:beforeLines="50" w:line="360" w:lineRule="auto"/>
        <w:ind w:firstLine="480" w:firstLineChars="200"/>
        <w:rPr>
          <w:rFonts w:ascii="宋体" w:hAnsi="宋体"/>
          <w:sz w:val="24"/>
          <w:szCs w:val="20"/>
        </w:rPr>
      </w:pPr>
      <w:r>
        <w:rPr>
          <w:rFonts w:ascii="宋体" w:hAnsi="宋体"/>
          <w:sz w:val="24"/>
        </w:rPr>
        <w:t>在获知本项目采购信息后，与采购人聘请的为此项目提供咨询服务的公司及其附属机构没有任何联系。</w:t>
      </w:r>
    </w:p>
    <w:p>
      <w:pPr>
        <w:snapToGrid w:val="0"/>
        <w:spacing w:before="120" w:beforeLines="50" w:line="360" w:lineRule="auto"/>
        <w:ind w:firstLine="480" w:firstLineChars="200"/>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我方此次向贵方提供的产品名称为：</w:t>
      </w:r>
    </w:p>
    <w:p>
      <w:pPr>
        <w:snapToGrid w:val="0"/>
        <w:spacing w:before="120" w:beforeLines="50" w:line="360" w:lineRule="auto"/>
        <w:ind w:firstLine="480" w:firstLineChars="200"/>
        <w:rPr>
          <w:rFonts w:hint="eastAsia" w:ascii="宋体" w:hAnsi="宋体"/>
          <w:sz w:val="24"/>
        </w:rPr>
      </w:pPr>
      <w:r>
        <w:rPr>
          <w:rFonts w:hint="eastAsia" w:ascii="宋体" w:hAnsi="宋体"/>
          <w:sz w:val="24"/>
        </w:rPr>
        <w:t>规格型号：</w:t>
      </w:r>
    </w:p>
    <w:p>
      <w:pPr>
        <w:snapToGrid w:val="0"/>
        <w:spacing w:before="120" w:beforeLines="50" w:line="360" w:lineRule="auto"/>
        <w:ind w:firstLine="480" w:firstLineChars="200"/>
        <w:rPr>
          <w:rFonts w:ascii="宋体" w:hAnsi="宋体"/>
          <w:sz w:val="24"/>
          <w:szCs w:val="20"/>
        </w:rPr>
      </w:pPr>
      <w:r>
        <w:rPr>
          <w:rFonts w:hint="eastAsia" w:ascii="宋体" w:hAnsi="宋体"/>
          <w:sz w:val="24"/>
        </w:rPr>
        <w:t>该型号产品我方有现货可供，并已于年月生产完工或向</w:t>
      </w:r>
      <w:r>
        <w:rPr>
          <w:rFonts w:hint="eastAsia" w:ascii="宋体" w:hAnsi="宋体"/>
          <w:sz w:val="24"/>
          <w:u w:val="single"/>
        </w:rPr>
        <w:t>　　</w:t>
      </w:r>
      <w:r>
        <w:rPr>
          <w:rFonts w:hint="eastAsia" w:ascii="宋体" w:hAnsi="宋体"/>
          <w:sz w:val="24"/>
        </w:rPr>
        <w:t>（制造商名称）购进［</w:t>
      </w:r>
      <w:r>
        <w:rPr>
          <w:rFonts w:hint="eastAsia" w:ascii="宋体" w:hAnsi="宋体"/>
          <w:b/>
          <w:bCs/>
          <w:sz w:val="24"/>
        </w:rPr>
        <w:t>或</w:t>
      </w:r>
      <w:r>
        <w:rPr>
          <w:rFonts w:hint="eastAsia" w:ascii="宋体" w:hAnsi="宋体"/>
          <w:sz w:val="24"/>
        </w:rPr>
        <w:t>需在中标后向订购］。</w:t>
      </w:r>
    </w:p>
    <w:p>
      <w:pPr>
        <w:snapToGrid w:val="0"/>
        <w:spacing w:before="120" w:beforeLines="50" w:line="360" w:lineRule="auto"/>
        <w:ind w:firstLine="480" w:firstLineChars="200"/>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pPr>
        <w:pStyle w:val="20"/>
        <w:snapToGrid w:val="0"/>
        <w:spacing w:line="360" w:lineRule="auto"/>
        <w:ind w:firstLine="464" w:firstLineChars="200"/>
        <w:rPr>
          <w:rFonts w:hAnsi="宋体"/>
          <w:sz w:val="24"/>
        </w:rPr>
      </w:pPr>
      <w:r>
        <w:rPr>
          <w:rFonts w:hAnsi="宋体"/>
          <w:sz w:val="24"/>
        </w:rPr>
        <w:t>5</w:t>
      </w:r>
      <w:r>
        <w:rPr>
          <w:rFonts w:hint="eastAsia" w:hAnsi="宋体"/>
          <w:sz w:val="24"/>
        </w:rPr>
        <w:t>.我方及由本人担任法定代表人的其他机构</w:t>
      </w:r>
      <w:r>
        <w:rPr>
          <w:rFonts w:hAnsi="宋体"/>
          <w:sz w:val="24"/>
        </w:rPr>
        <w:t>最近三年内被</w:t>
      </w:r>
      <w:r>
        <w:rPr>
          <w:rFonts w:hint="eastAsia" w:hAnsi="宋体"/>
          <w:sz w:val="24"/>
        </w:rPr>
        <w:t>通报、被处罚的</w:t>
      </w:r>
      <w:r>
        <w:rPr>
          <w:rFonts w:hAnsi="宋体"/>
          <w:sz w:val="24"/>
        </w:rPr>
        <w:t>违法行为</w:t>
      </w:r>
      <w:r>
        <w:rPr>
          <w:rFonts w:hint="eastAsia" w:hAnsi="宋体"/>
          <w:sz w:val="24"/>
        </w:rPr>
        <w:t>或者可认定为不良行为的</w:t>
      </w:r>
      <w:r>
        <w:rPr>
          <w:rFonts w:hAnsi="宋体"/>
          <w:sz w:val="24"/>
        </w:rPr>
        <w:t>有：</w:t>
      </w:r>
    </w:p>
    <w:p>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64" w:firstLineChars="200"/>
        <w:rPr>
          <w:rFonts w:hint="eastAsia" w:ascii="宋体" w:hAnsi="宋体"/>
          <w:spacing w:val="-4"/>
          <w:sz w:val="24"/>
          <w:szCs w:val="20"/>
        </w:rPr>
      </w:pPr>
      <w:r>
        <w:rPr>
          <w:rFonts w:hint="eastAsia" w:ascii="宋体" w:hAnsi="宋体"/>
          <w:spacing w:val="-4"/>
          <w:sz w:val="24"/>
          <w:szCs w:val="20"/>
        </w:rPr>
        <w:t>6.以上事项如有虚假或隐瞒，我方愿意承担一切后果，并不再寻求任何旨在减轻或免除法律责任的辩解。</w:t>
      </w:r>
    </w:p>
    <w:p>
      <w:pPr>
        <w:snapToGrid w:val="0"/>
        <w:spacing w:before="120" w:beforeLines="50" w:after="50" w:line="360" w:lineRule="auto"/>
        <w:ind w:firstLine="360" w:firstLineChars="150"/>
        <w:rPr>
          <w:rFonts w:hint="eastAsia" w:ascii="宋体" w:hAnsi="宋体"/>
          <w:sz w:val="24"/>
        </w:rPr>
      </w:pPr>
      <w:r>
        <w:rPr>
          <w:rFonts w:hint="eastAsia" w:ascii="宋体" w:hAnsi="宋体"/>
          <w:sz w:val="24"/>
        </w:rPr>
        <w:t>投标人公章：</w:t>
      </w:r>
    </w:p>
    <w:p>
      <w:pPr>
        <w:snapToGrid w:val="0"/>
        <w:spacing w:before="120" w:beforeLines="50" w:after="50" w:line="360" w:lineRule="auto"/>
        <w:ind w:firstLine="5460" w:firstLineChars="2600"/>
        <w:rPr>
          <w:rFonts w:ascii="宋体" w:hAnsi="宋体"/>
          <w:sz w:val="24"/>
          <w:szCs w:val="20"/>
        </w:rPr>
      </w:pPr>
      <w:r>
        <w:t>年</w:t>
      </w:r>
      <w:r>
        <w:rPr>
          <w:rFonts w:hint="eastAsia"/>
        </w:rPr>
        <w:t xml:space="preserve">   </w:t>
      </w:r>
      <w:r>
        <w:t>月</w:t>
      </w:r>
      <w:r>
        <w:rPr>
          <w:rFonts w:hint="eastAsia"/>
        </w:rPr>
        <w:t xml:space="preserve">   </w:t>
      </w:r>
      <w:r>
        <w:t>日</w:t>
      </w:r>
      <w:r>
        <w:rPr>
          <w:rFonts w:ascii="宋体" w:hAnsi="宋体"/>
        </w:rPr>
        <w:br w:type="page"/>
      </w:r>
      <w:r>
        <w:rPr>
          <w:rFonts w:hint="eastAsia" w:ascii="宋体" w:hAnsi="宋体"/>
          <w:b/>
          <w:sz w:val="24"/>
        </w:rPr>
        <w:t>附件5：法定代表人授权委托书格式：</w:t>
      </w:r>
    </w:p>
    <w:p>
      <w:pPr>
        <w:snapToGrid w:val="0"/>
        <w:spacing w:before="120" w:beforeLines="50" w:after="50" w:line="360" w:lineRule="auto"/>
        <w:jc w:val="center"/>
        <w:rPr>
          <w:rFonts w:ascii="宋体" w:hAnsi="宋体"/>
          <w:sz w:val="30"/>
          <w:szCs w:val="20"/>
        </w:rPr>
      </w:pPr>
    </w:p>
    <w:p>
      <w:pPr>
        <w:snapToGrid w:val="0"/>
        <w:spacing w:before="120" w:beforeLines="50" w:after="50" w:line="360" w:lineRule="auto"/>
        <w:jc w:val="center"/>
        <w:rPr>
          <w:rFonts w:ascii="宋体" w:hAnsi="宋体"/>
          <w:b/>
          <w:sz w:val="24"/>
          <w:szCs w:val="20"/>
        </w:rPr>
      </w:pPr>
      <w:r>
        <w:rPr>
          <w:rFonts w:hint="eastAsia" w:ascii="宋体" w:hAnsi="宋体"/>
          <w:b/>
          <w:sz w:val="24"/>
        </w:rPr>
        <w:t>法定代表人授权委托书</w:t>
      </w:r>
    </w:p>
    <w:p>
      <w:pPr>
        <w:snapToGrid w:val="0"/>
        <w:spacing w:before="120" w:beforeLines="50" w:after="50" w:line="360" w:lineRule="auto"/>
        <w:rPr>
          <w:rFonts w:hint="eastAsia" w:ascii="宋体" w:hAnsi="宋体"/>
          <w:bCs/>
          <w:sz w:val="24"/>
        </w:rPr>
      </w:pPr>
    </w:p>
    <w:p>
      <w:pPr>
        <w:snapToGrid w:val="0"/>
        <w:spacing w:before="120" w:beforeLines="50" w:after="50"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pPr>
        <w:snapToGrid w:val="0"/>
        <w:spacing w:before="120" w:beforeLines="50" w:after="50" w:line="360" w:lineRule="auto"/>
        <w:ind w:firstLine="720" w:firstLineChars="300"/>
        <w:rPr>
          <w:rFonts w:ascii="宋体" w:hAnsi="宋体"/>
          <w:sz w:val="24"/>
        </w:rPr>
      </w:pPr>
      <w:r>
        <w:rPr>
          <w:rFonts w:hint="eastAsia" w:ascii="宋体" w:hAnsi="宋体"/>
          <w:sz w:val="24"/>
        </w:rPr>
        <w:t>我</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（投标人名称）的法定代表人，现授权委托本单位在职职工（姓名）以我方的名义参加</w:t>
      </w:r>
      <w:r>
        <w:rPr>
          <w:rFonts w:hint="eastAsia"/>
          <w:b/>
          <w:sz w:val="24"/>
          <w:u w:val="single"/>
        </w:rPr>
        <w:t xml:space="preserve">  </w:t>
      </w:r>
      <w:r>
        <w:rPr>
          <w:rFonts w:hint="eastAsia" w:ascii="宋体" w:hAnsi="宋体"/>
          <w:sz w:val="24"/>
        </w:rPr>
        <w:t>的投标活动，并代表我方全权办理针对上述项目的投标、开标、评标、签约等具体事务和签署相关文件。</w:t>
      </w:r>
    </w:p>
    <w:p>
      <w:pPr>
        <w:snapToGrid w:val="0"/>
        <w:spacing w:before="120" w:beforeLines="50" w:after="50" w:line="360" w:lineRule="auto"/>
        <w:rPr>
          <w:rFonts w:ascii="宋体" w:hAnsi="宋体"/>
          <w:sz w:val="24"/>
        </w:rPr>
      </w:pPr>
      <w:r>
        <w:rPr>
          <w:rFonts w:hint="eastAsia" w:ascii="宋体" w:hAnsi="宋体"/>
          <w:sz w:val="24"/>
        </w:rPr>
        <w:t>我方对被授权人的签名事项负全部责任。</w:t>
      </w:r>
    </w:p>
    <w:p>
      <w:pPr>
        <w:snapToGrid w:val="0"/>
        <w:spacing w:before="120"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pPr>
        <w:snapToGrid w:val="0"/>
        <w:spacing w:before="120" w:beforeLines="50" w:after="50" w:line="360" w:lineRule="auto"/>
        <w:rPr>
          <w:rFonts w:ascii="宋体" w:hAnsi="宋体"/>
          <w:sz w:val="24"/>
          <w:szCs w:val="20"/>
        </w:rPr>
      </w:pPr>
    </w:p>
    <w:p>
      <w:pPr>
        <w:snapToGrid w:val="0"/>
        <w:spacing w:before="120" w:beforeLines="50" w:after="50" w:line="360" w:lineRule="auto"/>
        <w:rPr>
          <w:rFonts w:ascii="宋体" w:hAnsi="宋体"/>
          <w:sz w:val="24"/>
          <w:szCs w:val="20"/>
          <w:u w:val="single"/>
        </w:rPr>
      </w:pPr>
      <w:r>
        <w:rPr>
          <w:rFonts w:hint="eastAsia" w:ascii="宋体" w:hAnsi="宋体"/>
          <w:sz w:val="24"/>
        </w:rPr>
        <w:t>被授权人签名：                                   法定代表人签名：</w:t>
      </w:r>
    </w:p>
    <w:p>
      <w:pPr>
        <w:snapToGrid w:val="0"/>
        <w:spacing w:before="120" w:beforeLines="50" w:after="50" w:line="360" w:lineRule="auto"/>
        <w:rPr>
          <w:rFonts w:ascii="宋体" w:hAnsi="宋体"/>
          <w:sz w:val="24"/>
          <w:szCs w:val="20"/>
        </w:rPr>
      </w:pPr>
      <w:r>
        <w:rPr>
          <w:rFonts w:hint="eastAsia" w:ascii="宋体" w:hAnsi="宋体"/>
          <w:sz w:val="24"/>
        </w:rPr>
        <w:t>职务：                                           职务：</w:t>
      </w:r>
    </w:p>
    <w:p>
      <w:pPr>
        <w:snapToGrid w:val="0"/>
        <w:spacing w:before="120" w:beforeLines="50" w:after="50" w:line="360" w:lineRule="auto"/>
        <w:rPr>
          <w:rFonts w:hint="eastAsia" w:ascii="宋体" w:hAnsi="宋体"/>
          <w:sz w:val="24"/>
        </w:rPr>
      </w:pPr>
      <w:r>
        <w:rPr>
          <w:rFonts w:hint="eastAsia" w:ascii="宋体" w:hAnsi="宋体"/>
          <w:sz w:val="24"/>
        </w:rPr>
        <w:t>被授权人身份证复印件：</w:t>
      </w:r>
    </w:p>
    <w:p>
      <w:pPr>
        <w:snapToGrid w:val="0"/>
        <w:spacing w:before="120" w:beforeLines="50" w:after="50" w:line="360" w:lineRule="auto"/>
        <w:rPr>
          <w:rFonts w:hint="eastAsia" w:ascii="宋体" w:hAnsi="宋体"/>
          <w:sz w:val="24"/>
        </w:rPr>
      </w:pPr>
    </w:p>
    <w:p>
      <w:pPr>
        <w:snapToGrid w:val="0"/>
        <w:spacing w:before="120" w:beforeLines="50" w:after="50" w:line="360" w:lineRule="auto"/>
        <w:rPr>
          <w:rFonts w:hint="eastAsia" w:ascii="宋体" w:hAnsi="宋体"/>
          <w:sz w:val="24"/>
        </w:rPr>
      </w:pPr>
    </w:p>
    <w:p>
      <w:pPr>
        <w:snapToGrid w:val="0"/>
        <w:spacing w:before="120" w:beforeLines="50" w:after="50" w:line="360" w:lineRule="auto"/>
        <w:rPr>
          <w:rFonts w:hint="eastAsia" w:ascii="宋体" w:hAnsi="宋体"/>
          <w:sz w:val="24"/>
        </w:rPr>
      </w:pPr>
    </w:p>
    <w:p>
      <w:pPr>
        <w:snapToGrid w:val="0"/>
        <w:spacing w:before="120" w:beforeLines="50" w:after="50" w:line="360" w:lineRule="auto"/>
        <w:rPr>
          <w:rFonts w:hint="eastAsia" w:ascii="宋体" w:hAnsi="宋体"/>
          <w:sz w:val="24"/>
          <w:szCs w:val="20"/>
        </w:rPr>
      </w:pPr>
    </w:p>
    <w:p>
      <w:pPr>
        <w:snapToGrid w:val="0"/>
        <w:spacing w:before="120" w:beforeLines="50" w:after="50" w:line="360" w:lineRule="auto"/>
        <w:rPr>
          <w:rFonts w:ascii="宋体" w:hAnsi="宋体"/>
          <w:sz w:val="24"/>
          <w:szCs w:val="20"/>
        </w:rPr>
      </w:pPr>
      <w:r>
        <w:rPr>
          <w:rFonts w:hint="eastAsia" w:ascii="宋体" w:hAnsi="宋体"/>
          <w:sz w:val="24"/>
        </w:rPr>
        <w:t>投标人公章：</w:t>
      </w:r>
    </w:p>
    <w:p>
      <w:pPr>
        <w:snapToGrid w:val="0"/>
        <w:spacing w:before="120" w:beforeLines="50" w:after="50" w:line="360" w:lineRule="auto"/>
        <w:jc w:val="center"/>
        <w:rPr>
          <w:rFonts w:hint="eastAsia" w:ascii="宋体" w:hAnsi="宋体"/>
          <w:sz w:val="24"/>
        </w:rPr>
      </w:pPr>
      <w:r>
        <w:rPr>
          <w:rFonts w:hint="eastAsia" w:ascii="宋体" w:hAnsi="宋体"/>
          <w:sz w:val="24"/>
        </w:rPr>
        <w:t xml:space="preserve">                                年   月     日</w:t>
      </w:r>
    </w:p>
    <w:p>
      <w:pPr>
        <w:snapToGrid w:val="0"/>
        <w:spacing w:before="120" w:beforeLines="50" w:after="50" w:line="360" w:lineRule="auto"/>
        <w:rPr>
          <w:rFonts w:hint="eastAsia" w:ascii="宋体" w:hAnsi="宋体"/>
          <w:sz w:val="24"/>
        </w:rPr>
      </w:pPr>
    </w:p>
    <w:p>
      <w:pPr>
        <w:snapToGrid w:val="0"/>
        <w:spacing w:before="120" w:beforeLines="50" w:after="50" w:line="360" w:lineRule="auto"/>
        <w:rPr>
          <w:rFonts w:hint="eastAsia" w:ascii="宋体" w:hAnsi="宋体"/>
          <w:sz w:val="24"/>
        </w:rPr>
      </w:pPr>
    </w:p>
    <w:p>
      <w:pPr>
        <w:snapToGrid w:val="0"/>
        <w:spacing w:before="120" w:beforeLines="50" w:after="50" w:line="360" w:lineRule="auto"/>
        <w:jc w:val="center"/>
        <w:rPr>
          <w:rFonts w:ascii="宋体" w:hAnsi="宋体"/>
        </w:rPr>
        <w:sectPr>
          <w:headerReference r:id="rId3" w:type="default"/>
          <w:footerReference r:id="rId4" w:type="default"/>
          <w:footerReference r:id="rId5" w:type="even"/>
          <w:pgSz w:w="11906" w:h="16838"/>
          <w:pgMar w:top="1587" w:right="907" w:bottom="907" w:left="1588" w:header="851" w:footer="850" w:gutter="0"/>
          <w:pgNumType w:start="0"/>
          <w:cols w:space="720" w:num="1"/>
          <w:titlePg/>
          <w:docGrid w:linePitch="312" w:charSpace="0"/>
        </w:sectPr>
      </w:pPr>
    </w:p>
    <w:p>
      <w:pPr>
        <w:snapToGrid w:val="0"/>
        <w:spacing w:before="50" w:after="156" w:afterLines="50" w:line="360" w:lineRule="auto"/>
        <w:jc w:val="left"/>
        <w:rPr>
          <w:rFonts w:ascii="宋体" w:hAnsi="宋体"/>
          <w:b/>
          <w:sz w:val="24"/>
        </w:rPr>
      </w:pPr>
      <w:r>
        <w:rPr>
          <w:rFonts w:hint="eastAsia" w:ascii="宋体" w:hAnsi="宋体"/>
          <w:b/>
          <w:sz w:val="24"/>
        </w:rPr>
        <w:t>附件6：投标单位情况表：</w:t>
      </w:r>
    </w:p>
    <w:p>
      <w:pPr>
        <w:snapToGrid w:val="0"/>
        <w:spacing w:before="156" w:beforeLines="50" w:after="50" w:line="360" w:lineRule="auto"/>
        <w:jc w:val="center"/>
        <w:rPr>
          <w:rFonts w:hint="eastAsia" w:ascii="宋体" w:hAnsi="宋体"/>
          <w:b/>
          <w:sz w:val="24"/>
        </w:rPr>
      </w:pPr>
      <w:r>
        <w:rPr>
          <w:rFonts w:hint="eastAsia" w:ascii="宋体" w:hAnsi="宋体"/>
          <w:b/>
          <w:sz w:val="24"/>
        </w:rPr>
        <w:t>投标单位情况表</w:t>
      </w:r>
    </w:p>
    <w:p>
      <w:pPr>
        <w:pStyle w:val="24"/>
        <w:spacing w:line="360" w:lineRule="auto"/>
        <w:rPr>
          <w:rFonts w:hint="eastAsia" w:ascii="Times New Roman" w:hAnsi="Times New Roman"/>
        </w:rPr>
      </w:pPr>
      <w:r>
        <w:rPr>
          <w:rFonts w:hint="eastAsia" w:ascii="Times New Roman" w:hAnsi="Times New Roman"/>
        </w:rPr>
        <w:t>投标单位：填表日期：</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noWrap w:val="0"/>
            <w:vAlign w:val="center"/>
          </w:tcPr>
          <w:p>
            <w:pPr>
              <w:pStyle w:val="24"/>
              <w:spacing w:line="360" w:lineRule="auto"/>
              <w:rPr>
                <w:rFonts w:hint="eastAsia" w:ascii="Times New Roman" w:hAnsi="Times New Roman"/>
              </w:rPr>
            </w:pPr>
            <w:r>
              <w:rPr>
                <w:rFonts w:hint="eastAsia" w:ascii="Times New Roman" w:hAnsi="Times New Roman"/>
              </w:rPr>
              <w:t>单位名称</w:t>
            </w:r>
          </w:p>
        </w:tc>
        <w:tc>
          <w:tcPr>
            <w:tcW w:w="2887" w:type="dxa"/>
            <w:noWrap w:val="0"/>
            <w:vAlign w:val="center"/>
          </w:tcPr>
          <w:p>
            <w:pPr>
              <w:widowControl/>
              <w:spacing w:line="360" w:lineRule="auto"/>
              <w:jc w:val="center"/>
              <w:rPr>
                <w:rFonts w:hint="eastAsia"/>
                <w:sz w:val="24"/>
              </w:rPr>
            </w:pPr>
          </w:p>
        </w:tc>
        <w:tc>
          <w:tcPr>
            <w:tcW w:w="1388" w:type="dxa"/>
            <w:gridSpan w:val="2"/>
            <w:noWrap w:val="0"/>
            <w:vAlign w:val="center"/>
          </w:tcPr>
          <w:p>
            <w:pPr>
              <w:pStyle w:val="24"/>
              <w:spacing w:line="360" w:lineRule="auto"/>
              <w:rPr>
                <w:rFonts w:hint="eastAsia" w:ascii="Times New Roman" w:hAnsi="Times New Roman"/>
              </w:rPr>
            </w:pPr>
            <w:r>
              <w:rPr>
                <w:rFonts w:hint="eastAsia" w:ascii="Times New Roman" w:hAnsi="Times New Roman"/>
              </w:rPr>
              <w:t>电话</w:t>
            </w:r>
          </w:p>
        </w:tc>
        <w:tc>
          <w:tcPr>
            <w:tcW w:w="2534" w:type="dxa"/>
            <w:noWrap w:val="0"/>
            <w:vAlign w:val="center"/>
          </w:tcPr>
          <w:p>
            <w:pPr>
              <w:pStyle w:val="24"/>
              <w:spacing w:line="360" w:lineRule="auto"/>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noWrap w:val="0"/>
            <w:vAlign w:val="center"/>
          </w:tcPr>
          <w:p>
            <w:pPr>
              <w:pStyle w:val="24"/>
              <w:spacing w:line="360" w:lineRule="auto"/>
              <w:rPr>
                <w:rFonts w:hint="eastAsia" w:ascii="Times New Roman" w:hAnsi="Times New Roman"/>
              </w:rPr>
            </w:pPr>
            <w:r>
              <w:rPr>
                <w:rFonts w:hint="eastAsia" w:ascii="Times New Roman" w:hAnsi="Times New Roman"/>
              </w:rPr>
              <w:t>地址</w:t>
            </w:r>
          </w:p>
        </w:tc>
        <w:tc>
          <w:tcPr>
            <w:tcW w:w="2887" w:type="dxa"/>
            <w:noWrap w:val="0"/>
            <w:vAlign w:val="center"/>
          </w:tcPr>
          <w:p>
            <w:pPr>
              <w:pStyle w:val="24"/>
              <w:spacing w:line="360" w:lineRule="auto"/>
              <w:jc w:val="center"/>
              <w:rPr>
                <w:rFonts w:hint="eastAsia" w:ascii="Times New Roman" w:hAnsi="Times New Roman"/>
              </w:rPr>
            </w:pPr>
          </w:p>
        </w:tc>
        <w:tc>
          <w:tcPr>
            <w:tcW w:w="1388" w:type="dxa"/>
            <w:gridSpan w:val="2"/>
            <w:noWrap w:val="0"/>
            <w:vAlign w:val="center"/>
          </w:tcPr>
          <w:p>
            <w:pPr>
              <w:pStyle w:val="24"/>
              <w:spacing w:line="360" w:lineRule="auto"/>
              <w:rPr>
                <w:rFonts w:hint="eastAsia" w:ascii="Times New Roman" w:hAnsi="Times New Roman"/>
              </w:rPr>
            </w:pPr>
            <w:r>
              <w:rPr>
                <w:rFonts w:hint="eastAsia" w:ascii="Times New Roman" w:hAnsi="Times New Roman"/>
              </w:rPr>
              <w:t>传真</w:t>
            </w:r>
          </w:p>
        </w:tc>
        <w:tc>
          <w:tcPr>
            <w:tcW w:w="2534" w:type="dxa"/>
            <w:noWrap w:val="0"/>
            <w:vAlign w:val="center"/>
          </w:tcPr>
          <w:p>
            <w:pPr>
              <w:pStyle w:val="24"/>
              <w:spacing w:line="360" w:lineRule="auto"/>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noWrap w:val="0"/>
            <w:vAlign w:val="center"/>
          </w:tcPr>
          <w:p>
            <w:pPr>
              <w:pStyle w:val="24"/>
              <w:spacing w:line="360" w:lineRule="auto"/>
              <w:rPr>
                <w:rFonts w:hint="eastAsia" w:ascii="Times New Roman" w:hAnsi="Times New Roman"/>
              </w:rPr>
            </w:pPr>
            <w:r>
              <w:rPr>
                <w:rFonts w:hint="eastAsia" w:ascii="Times New Roman" w:hAnsi="Times New Roman"/>
              </w:rPr>
              <w:t>主管部门</w:t>
            </w:r>
          </w:p>
        </w:tc>
        <w:tc>
          <w:tcPr>
            <w:tcW w:w="2887" w:type="dxa"/>
            <w:noWrap w:val="0"/>
            <w:vAlign w:val="center"/>
          </w:tcPr>
          <w:p>
            <w:pPr>
              <w:pStyle w:val="24"/>
              <w:spacing w:line="360" w:lineRule="auto"/>
              <w:jc w:val="center"/>
              <w:rPr>
                <w:rFonts w:hint="eastAsia" w:ascii="Times New Roman" w:hAnsi="Times New Roman"/>
              </w:rPr>
            </w:pPr>
          </w:p>
        </w:tc>
        <w:tc>
          <w:tcPr>
            <w:tcW w:w="1388" w:type="dxa"/>
            <w:gridSpan w:val="2"/>
            <w:noWrap w:val="0"/>
            <w:vAlign w:val="center"/>
          </w:tcPr>
          <w:p>
            <w:pPr>
              <w:pStyle w:val="24"/>
              <w:spacing w:line="360" w:lineRule="auto"/>
              <w:rPr>
                <w:rFonts w:hint="eastAsia" w:ascii="Times New Roman" w:hAnsi="Times New Roman"/>
              </w:rPr>
            </w:pPr>
            <w:r>
              <w:rPr>
                <w:rFonts w:hint="eastAsia" w:ascii="Times New Roman" w:hAnsi="Times New Roman"/>
              </w:rPr>
              <w:t>企业性质</w:t>
            </w:r>
          </w:p>
        </w:tc>
        <w:tc>
          <w:tcPr>
            <w:tcW w:w="2534" w:type="dxa"/>
            <w:noWrap w:val="0"/>
            <w:vAlign w:val="center"/>
          </w:tcPr>
          <w:p>
            <w:pPr>
              <w:pStyle w:val="24"/>
              <w:spacing w:line="360" w:lineRule="auto"/>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noWrap w:val="0"/>
            <w:vAlign w:val="center"/>
          </w:tcPr>
          <w:p>
            <w:pPr>
              <w:pStyle w:val="24"/>
              <w:spacing w:line="360" w:lineRule="auto"/>
              <w:rPr>
                <w:rFonts w:hint="eastAsia" w:ascii="Times New Roman" w:hAnsi="Times New Roman"/>
              </w:rPr>
            </w:pPr>
            <w:r>
              <w:rPr>
                <w:rFonts w:hint="eastAsia" w:ascii="Times New Roman" w:hAnsi="Times New Roman"/>
              </w:rPr>
              <w:t>企业法人</w:t>
            </w:r>
          </w:p>
        </w:tc>
        <w:tc>
          <w:tcPr>
            <w:tcW w:w="2887" w:type="dxa"/>
            <w:noWrap w:val="0"/>
            <w:vAlign w:val="center"/>
          </w:tcPr>
          <w:p>
            <w:pPr>
              <w:pStyle w:val="24"/>
              <w:spacing w:line="360" w:lineRule="auto"/>
              <w:jc w:val="center"/>
              <w:rPr>
                <w:rFonts w:hint="eastAsia" w:ascii="Times New Roman" w:hAnsi="Times New Roman"/>
              </w:rPr>
            </w:pPr>
          </w:p>
        </w:tc>
        <w:tc>
          <w:tcPr>
            <w:tcW w:w="1388" w:type="dxa"/>
            <w:gridSpan w:val="2"/>
            <w:noWrap w:val="0"/>
            <w:vAlign w:val="center"/>
          </w:tcPr>
          <w:p>
            <w:pPr>
              <w:pStyle w:val="24"/>
              <w:spacing w:line="360" w:lineRule="auto"/>
              <w:rPr>
                <w:rFonts w:hint="eastAsia" w:ascii="Times New Roman" w:hAnsi="Times New Roman"/>
              </w:rPr>
            </w:pPr>
            <w:r>
              <w:rPr>
                <w:rFonts w:hint="eastAsia"/>
              </w:rPr>
              <w:t>资质等级</w:t>
            </w:r>
          </w:p>
        </w:tc>
        <w:tc>
          <w:tcPr>
            <w:tcW w:w="2534" w:type="dxa"/>
            <w:noWrap w:val="0"/>
            <w:vAlign w:val="center"/>
          </w:tcPr>
          <w:p>
            <w:pPr>
              <w:pStyle w:val="24"/>
              <w:spacing w:line="360" w:lineRule="auto"/>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noWrap w:val="0"/>
            <w:vAlign w:val="center"/>
          </w:tcPr>
          <w:p>
            <w:pPr>
              <w:pStyle w:val="24"/>
              <w:spacing w:line="360" w:lineRule="auto"/>
              <w:rPr>
                <w:rFonts w:hint="eastAsia" w:ascii="Times New Roman" w:hAnsi="Times New Roman"/>
              </w:rPr>
            </w:pPr>
            <w:r>
              <w:rPr>
                <w:rFonts w:hint="eastAsia" w:ascii="Times New Roman" w:hAnsi="Times New Roman"/>
              </w:rPr>
              <w:t>授权代表</w:t>
            </w:r>
          </w:p>
        </w:tc>
        <w:tc>
          <w:tcPr>
            <w:tcW w:w="2887" w:type="dxa"/>
            <w:noWrap w:val="0"/>
            <w:vAlign w:val="center"/>
          </w:tcPr>
          <w:p>
            <w:pPr>
              <w:pStyle w:val="24"/>
              <w:spacing w:line="360" w:lineRule="auto"/>
              <w:jc w:val="center"/>
              <w:rPr>
                <w:rFonts w:hint="eastAsia" w:ascii="Times New Roman" w:hAnsi="Times New Roman"/>
              </w:rPr>
            </w:pPr>
          </w:p>
        </w:tc>
        <w:tc>
          <w:tcPr>
            <w:tcW w:w="1388" w:type="dxa"/>
            <w:gridSpan w:val="2"/>
            <w:noWrap w:val="0"/>
            <w:vAlign w:val="center"/>
          </w:tcPr>
          <w:p>
            <w:pPr>
              <w:pStyle w:val="24"/>
              <w:spacing w:line="360" w:lineRule="auto"/>
              <w:rPr>
                <w:rFonts w:hint="eastAsia" w:ascii="Times New Roman" w:hAnsi="Times New Roman"/>
              </w:rPr>
            </w:pPr>
            <w:r>
              <w:rPr>
                <w:rFonts w:hint="eastAsia" w:ascii="Times New Roman" w:hAnsi="Times New Roman"/>
              </w:rPr>
              <w:t>职务</w:t>
            </w:r>
          </w:p>
        </w:tc>
        <w:tc>
          <w:tcPr>
            <w:tcW w:w="2534" w:type="dxa"/>
            <w:noWrap w:val="0"/>
            <w:vAlign w:val="center"/>
          </w:tcPr>
          <w:p>
            <w:pPr>
              <w:pStyle w:val="24"/>
              <w:spacing w:line="360" w:lineRule="auto"/>
              <w:jc w:val="cente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noWrap w:val="0"/>
            <w:vAlign w:val="center"/>
          </w:tcPr>
          <w:p>
            <w:pPr>
              <w:pStyle w:val="24"/>
              <w:spacing w:line="360" w:lineRule="auto"/>
              <w:ind w:firstLine="720" w:firstLineChars="300"/>
              <w:jc w:val="center"/>
              <w:rPr>
                <w:rFonts w:hint="eastAsia" w:ascii="Times New Roman" w:hAnsi="Times New Roman"/>
              </w:rPr>
            </w:pPr>
          </w:p>
          <w:p>
            <w:pPr>
              <w:pStyle w:val="24"/>
              <w:spacing w:line="360" w:lineRule="auto"/>
              <w:jc w:val="center"/>
              <w:rPr>
                <w:rFonts w:hint="eastAsia" w:ascii="Times New Roman" w:hAnsi="Times New Roman"/>
              </w:rPr>
            </w:pPr>
            <w:r>
              <w:rPr>
                <w:rFonts w:hint="eastAsia" w:ascii="Times New Roman" w:hAnsi="Times New Roman"/>
              </w:rPr>
              <w:t>单位概况</w:t>
            </w:r>
          </w:p>
          <w:p>
            <w:pPr>
              <w:pStyle w:val="24"/>
              <w:spacing w:line="360" w:lineRule="auto"/>
              <w:ind w:firstLine="720" w:firstLineChars="300"/>
              <w:jc w:val="center"/>
              <w:rPr>
                <w:rFonts w:hint="eastAsia" w:ascii="Times New Roman" w:hAnsi="Times New Roman"/>
              </w:rPr>
            </w:pPr>
          </w:p>
          <w:p>
            <w:pPr>
              <w:pStyle w:val="24"/>
              <w:spacing w:line="360" w:lineRule="auto"/>
              <w:ind w:firstLine="720" w:firstLineChars="300"/>
              <w:jc w:val="center"/>
              <w:rPr>
                <w:rFonts w:hint="eastAsia" w:ascii="Times New Roman" w:hAnsi="Times New Roman"/>
              </w:rPr>
            </w:pPr>
          </w:p>
          <w:p>
            <w:pPr>
              <w:pStyle w:val="24"/>
              <w:spacing w:line="360" w:lineRule="auto"/>
              <w:ind w:firstLine="720" w:firstLineChars="300"/>
              <w:jc w:val="center"/>
              <w:rPr>
                <w:rFonts w:hint="eastAsia" w:ascii="Times New Roman" w:hAnsi="Times New Roman"/>
              </w:rPr>
            </w:pPr>
          </w:p>
          <w:p>
            <w:pPr>
              <w:pStyle w:val="24"/>
              <w:spacing w:line="360" w:lineRule="auto"/>
              <w:ind w:firstLine="720" w:firstLineChars="300"/>
              <w:jc w:val="center"/>
              <w:rPr>
                <w:rFonts w:hint="eastAsia" w:ascii="Times New Roman" w:hAnsi="Times New Roman"/>
              </w:rPr>
            </w:pPr>
          </w:p>
        </w:tc>
        <w:tc>
          <w:tcPr>
            <w:tcW w:w="1260" w:type="dxa"/>
            <w:vMerge w:val="restart"/>
            <w:noWrap w:val="0"/>
            <w:vAlign w:val="center"/>
          </w:tcPr>
          <w:p>
            <w:pPr>
              <w:spacing w:line="360" w:lineRule="auto"/>
              <w:jc w:val="center"/>
              <w:rPr>
                <w:rFonts w:hint="eastAsia"/>
                <w:sz w:val="24"/>
              </w:rPr>
            </w:pPr>
            <w:r>
              <w:rPr>
                <w:rFonts w:hint="eastAsia"/>
                <w:sz w:val="24"/>
              </w:rPr>
              <w:t>职工总数</w:t>
            </w:r>
          </w:p>
        </w:tc>
        <w:tc>
          <w:tcPr>
            <w:tcW w:w="2887" w:type="dxa"/>
            <w:noWrap w:val="0"/>
            <w:vAlign w:val="center"/>
          </w:tcPr>
          <w:p>
            <w:pPr>
              <w:pStyle w:val="24"/>
              <w:spacing w:line="360" w:lineRule="auto"/>
              <w:rPr>
                <w:rFonts w:hint="eastAsia" w:ascii="Times New Roman" w:hAnsi="Times New Roman"/>
              </w:rPr>
            </w:pPr>
            <w:r>
              <w:rPr>
                <w:rFonts w:hint="eastAsia" w:ascii="Times New Roman" w:hAnsi="Times New Roman"/>
              </w:rPr>
              <w:t>员工：人</w:t>
            </w:r>
          </w:p>
        </w:tc>
        <w:tc>
          <w:tcPr>
            <w:tcW w:w="3922" w:type="dxa"/>
            <w:gridSpan w:val="3"/>
            <w:noWrap w:val="0"/>
            <w:vAlign w:val="center"/>
          </w:tcPr>
          <w:p>
            <w:pPr>
              <w:pStyle w:val="24"/>
              <w:spacing w:line="360" w:lineRule="auto"/>
              <w:rPr>
                <w:rFonts w:hint="eastAsia" w:ascii="Times New Roman" w:hAnsi="Times New Roman"/>
              </w:rPr>
            </w:pPr>
            <w:r>
              <w:rPr>
                <w:rFonts w:hint="eastAsia" w:ascii="Times New Roman" w:hAnsi="Times New Roman"/>
              </w:rPr>
              <w:t>技术工人：人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noWrap w:val="0"/>
            <w:vAlign w:val="center"/>
          </w:tcPr>
          <w:p>
            <w:pPr>
              <w:pStyle w:val="24"/>
              <w:spacing w:line="360" w:lineRule="auto"/>
              <w:ind w:firstLine="720" w:firstLineChars="300"/>
              <w:jc w:val="center"/>
              <w:rPr>
                <w:rFonts w:hint="eastAsia" w:ascii="Times New Roman" w:hAnsi="Times New Roman"/>
              </w:rPr>
            </w:pPr>
          </w:p>
        </w:tc>
        <w:tc>
          <w:tcPr>
            <w:tcW w:w="1260" w:type="dxa"/>
            <w:vMerge w:val="continue"/>
            <w:noWrap w:val="0"/>
            <w:vAlign w:val="center"/>
          </w:tcPr>
          <w:p>
            <w:pPr>
              <w:widowControl/>
              <w:spacing w:line="360" w:lineRule="auto"/>
              <w:jc w:val="center"/>
              <w:rPr>
                <w:sz w:val="24"/>
              </w:rPr>
            </w:pPr>
          </w:p>
        </w:tc>
        <w:tc>
          <w:tcPr>
            <w:tcW w:w="2887" w:type="dxa"/>
            <w:noWrap w:val="0"/>
            <w:vAlign w:val="center"/>
          </w:tcPr>
          <w:p>
            <w:pPr>
              <w:pStyle w:val="24"/>
              <w:spacing w:line="360" w:lineRule="auto"/>
              <w:rPr>
                <w:rFonts w:hint="eastAsia"/>
              </w:rPr>
            </w:pPr>
            <w:r>
              <w:rPr>
                <w:rFonts w:hint="eastAsia"/>
              </w:rPr>
              <w:t>高级技师：人</w:t>
            </w:r>
          </w:p>
        </w:tc>
        <w:tc>
          <w:tcPr>
            <w:tcW w:w="3922" w:type="dxa"/>
            <w:gridSpan w:val="3"/>
            <w:noWrap w:val="0"/>
            <w:vAlign w:val="center"/>
          </w:tcPr>
          <w:p>
            <w:pPr>
              <w:pStyle w:val="24"/>
              <w:spacing w:line="360" w:lineRule="auto"/>
              <w:rPr>
                <w:rFonts w:hint="eastAsia"/>
              </w:rPr>
            </w:pPr>
            <w:r>
              <w:rPr>
                <w:rFonts w:hint="eastAsia"/>
              </w:rPr>
              <w:t>工程师：人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noWrap w:val="0"/>
            <w:vAlign w:val="center"/>
          </w:tcPr>
          <w:p>
            <w:pPr>
              <w:pStyle w:val="24"/>
              <w:spacing w:line="360" w:lineRule="auto"/>
              <w:ind w:firstLine="720" w:firstLineChars="300"/>
              <w:jc w:val="center"/>
              <w:rPr>
                <w:rFonts w:hint="eastAsia" w:ascii="Times New Roman" w:hAnsi="Times New Roman"/>
              </w:rPr>
            </w:pPr>
          </w:p>
        </w:tc>
        <w:tc>
          <w:tcPr>
            <w:tcW w:w="1260" w:type="dxa"/>
            <w:noWrap w:val="0"/>
            <w:vAlign w:val="center"/>
          </w:tcPr>
          <w:p>
            <w:pPr>
              <w:pStyle w:val="24"/>
              <w:spacing w:line="360" w:lineRule="auto"/>
              <w:jc w:val="center"/>
              <w:rPr>
                <w:rFonts w:hint="eastAsia"/>
              </w:rPr>
            </w:pPr>
            <w:r>
              <w:rPr>
                <w:rFonts w:hint="eastAsia"/>
              </w:rPr>
              <w:t>流动资金</w:t>
            </w:r>
          </w:p>
        </w:tc>
        <w:tc>
          <w:tcPr>
            <w:tcW w:w="2887" w:type="dxa"/>
            <w:noWrap w:val="0"/>
            <w:vAlign w:val="center"/>
          </w:tcPr>
          <w:p>
            <w:pPr>
              <w:pStyle w:val="24"/>
              <w:spacing w:line="360" w:lineRule="auto"/>
              <w:jc w:val="center"/>
              <w:rPr>
                <w:rFonts w:hint="eastAsia"/>
              </w:rPr>
            </w:pPr>
          </w:p>
        </w:tc>
        <w:tc>
          <w:tcPr>
            <w:tcW w:w="1222" w:type="dxa"/>
            <w:noWrap w:val="0"/>
            <w:vAlign w:val="center"/>
          </w:tcPr>
          <w:p>
            <w:pPr>
              <w:pStyle w:val="24"/>
              <w:spacing w:line="360" w:lineRule="auto"/>
              <w:jc w:val="center"/>
              <w:rPr>
                <w:rFonts w:hint="eastAsia"/>
              </w:rPr>
            </w:pPr>
            <w:r>
              <w:rPr>
                <w:rFonts w:hint="eastAsia"/>
              </w:rPr>
              <w:t>营业面积</w:t>
            </w:r>
          </w:p>
        </w:tc>
        <w:tc>
          <w:tcPr>
            <w:tcW w:w="2700" w:type="dxa"/>
            <w:gridSpan w:val="2"/>
            <w:noWrap w:val="0"/>
            <w:vAlign w:val="center"/>
          </w:tcPr>
          <w:p>
            <w:pPr>
              <w:pStyle w:val="24"/>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noWrap w:val="0"/>
            <w:vAlign w:val="center"/>
          </w:tcPr>
          <w:p>
            <w:pPr>
              <w:pStyle w:val="24"/>
              <w:spacing w:line="360" w:lineRule="auto"/>
              <w:ind w:firstLine="720" w:firstLineChars="300"/>
              <w:jc w:val="center"/>
              <w:rPr>
                <w:rFonts w:hint="eastAsia" w:ascii="Times New Roman" w:hAnsi="Times New Roman"/>
              </w:rPr>
            </w:pPr>
          </w:p>
        </w:tc>
        <w:tc>
          <w:tcPr>
            <w:tcW w:w="1260" w:type="dxa"/>
            <w:noWrap w:val="0"/>
            <w:vAlign w:val="center"/>
          </w:tcPr>
          <w:p>
            <w:pPr>
              <w:pStyle w:val="24"/>
              <w:spacing w:line="360" w:lineRule="auto"/>
              <w:jc w:val="center"/>
            </w:pPr>
            <w:r>
              <w:rPr>
                <w:rFonts w:hint="eastAsia"/>
              </w:rPr>
              <w:t>固定资金</w:t>
            </w:r>
          </w:p>
        </w:tc>
        <w:tc>
          <w:tcPr>
            <w:tcW w:w="2887" w:type="dxa"/>
            <w:noWrap w:val="0"/>
            <w:vAlign w:val="center"/>
          </w:tcPr>
          <w:p>
            <w:pPr>
              <w:widowControl/>
              <w:spacing w:line="360" w:lineRule="auto"/>
              <w:jc w:val="center"/>
              <w:rPr>
                <w:sz w:val="24"/>
              </w:rPr>
            </w:pPr>
          </w:p>
        </w:tc>
        <w:tc>
          <w:tcPr>
            <w:tcW w:w="1222" w:type="dxa"/>
            <w:noWrap w:val="0"/>
            <w:vAlign w:val="center"/>
          </w:tcPr>
          <w:p>
            <w:pPr>
              <w:pStyle w:val="24"/>
              <w:spacing w:line="360" w:lineRule="auto"/>
              <w:jc w:val="center"/>
              <w:rPr>
                <w:rFonts w:hint="eastAsia"/>
              </w:rPr>
            </w:pPr>
            <w:r>
              <w:rPr>
                <w:rFonts w:hint="eastAsia"/>
              </w:rPr>
              <w:t>维修网点</w:t>
            </w:r>
          </w:p>
        </w:tc>
        <w:tc>
          <w:tcPr>
            <w:tcW w:w="2700" w:type="dxa"/>
            <w:gridSpan w:val="2"/>
            <w:noWrap w:val="0"/>
            <w:vAlign w:val="center"/>
          </w:tcPr>
          <w:p>
            <w:pPr>
              <w:widowControl/>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noWrap w:val="0"/>
            <w:vAlign w:val="center"/>
          </w:tcPr>
          <w:p>
            <w:pPr>
              <w:pStyle w:val="24"/>
              <w:spacing w:line="360" w:lineRule="auto"/>
              <w:jc w:val="center"/>
              <w:rPr>
                <w:rFonts w:hint="eastAsia" w:ascii="Times New Roman" w:hAnsi="Times New Roman"/>
              </w:rPr>
            </w:pPr>
            <w:r>
              <w:rPr>
                <w:rFonts w:hint="eastAsia" w:ascii="Times New Roman" w:hAnsi="Times New Roman"/>
              </w:rPr>
              <w:t>单位简历</w:t>
            </w:r>
          </w:p>
        </w:tc>
        <w:tc>
          <w:tcPr>
            <w:tcW w:w="8069" w:type="dxa"/>
            <w:gridSpan w:val="5"/>
            <w:noWrap w:val="0"/>
            <w:vAlign w:val="top"/>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noWrap w:val="0"/>
            <w:vAlign w:val="center"/>
          </w:tcPr>
          <w:p>
            <w:pPr>
              <w:pStyle w:val="24"/>
              <w:spacing w:line="360" w:lineRule="auto"/>
              <w:jc w:val="center"/>
              <w:rPr>
                <w:rFonts w:hint="eastAsia" w:ascii="Times New Roman" w:hAnsi="Times New Roman"/>
              </w:rPr>
            </w:pPr>
            <w:r>
              <w:rPr>
                <w:rFonts w:hint="eastAsia" w:ascii="Times New Roman" w:hAnsi="Times New Roman"/>
              </w:rPr>
              <w:t>优势及特长</w:t>
            </w:r>
          </w:p>
        </w:tc>
        <w:tc>
          <w:tcPr>
            <w:tcW w:w="8069" w:type="dxa"/>
            <w:gridSpan w:val="5"/>
            <w:noWrap w:val="0"/>
            <w:vAlign w:val="top"/>
          </w:tcPr>
          <w:p>
            <w:pPr>
              <w:spacing w:line="360" w:lineRule="auto"/>
              <w:jc w:val="left"/>
              <w:rPr>
                <w:sz w:val="24"/>
              </w:rPr>
            </w:pPr>
          </w:p>
        </w:tc>
      </w:tr>
    </w:tbl>
    <w:p>
      <w:pPr>
        <w:snapToGrid w:val="0"/>
        <w:spacing w:before="50" w:after="156" w:afterLines="50" w:line="360" w:lineRule="auto"/>
        <w:jc w:val="left"/>
        <w:rPr>
          <w:rFonts w:hint="eastAsia" w:ascii="宋体" w:hAnsi="宋体"/>
          <w:b/>
          <w:sz w:val="24"/>
        </w:rPr>
      </w:pPr>
    </w:p>
    <w:p>
      <w:pPr>
        <w:snapToGrid w:val="0"/>
        <w:spacing w:before="50" w:after="156" w:afterLines="50"/>
        <w:jc w:val="left"/>
        <w:rPr>
          <w:rFonts w:hint="eastAsia" w:ascii="宋体" w:hAnsi="宋体"/>
          <w:b/>
          <w:sz w:val="24"/>
        </w:rPr>
      </w:pPr>
    </w:p>
    <w:p>
      <w:pPr>
        <w:snapToGrid w:val="0"/>
        <w:spacing w:before="50" w:after="156" w:afterLines="50"/>
        <w:jc w:val="left"/>
        <w:rPr>
          <w:rFonts w:hint="eastAsia" w:ascii="宋体" w:hAnsi="宋体"/>
          <w:b/>
          <w:sz w:val="24"/>
        </w:rPr>
      </w:pPr>
      <w:r>
        <w:rPr>
          <w:rFonts w:hint="eastAsia" w:ascii="宋体" w:hAnsi="宋体"/>
          <w:b/>
          <w:sz w:val="24"/>
        </w:rPr>
        <w:t>附件7：评分响应表格式：</w:t>
      </w:r>
    </w:p>
    <w:p>
      <w:pPr>
        <w:snapToGrid w:val="0"/>
        <w:spacing w:before="156" w:beforeLines="50" w:after="50"/>
        <w:rPr>
          <w:rFonts w:hint="eastAsia" w:ascii="宋体" w:hAnsi="宋体"/>
          <w:b/>
          <w:sz w:val="24"/>
        </w:rPr>
      </w:pPr>
    </w:p>
    <w:p>
      <w:pPr>
        <w:snapToGrid w:val="0"/>
        <w:spacing w:before="50" w:after="50"/>
        <w:jc w:val="center"/>
        <w:rPr>
          <w:rFonts w:hint="eastAsia" w:ascii="宋体" w:hAnsi="宋体"/>
          <w:b/>
          <w:sz w:val="36"/>
          <w:szCs w:val="36"/>
        </w:rPr>
      </w:pPr>
      <w:r>
        <w:rPr>
          <w:rFonts w:hint="eastAsia" w:ascii="宋体" w:hAnsi="宋体"/>
          <w:b/>
          <w:sz w:val="36"/>
          <w:szCs w:val="36"/>
        </w:rPr>
        <w:t>评分响应表</w:t>
      </w:r>
    </w:p>
    <w:p>
      <w:pPr>
        <w:snapToGrid w:val="0"/>
        <w:spacing w:before="50" w:after="50"/>
        <w:rPr>
          <w:rFonts w:hint="eastAsia" w:ascii="宋体" w:hAnsi="宋体"/>
          <w:b/>
          <w:sz w:val="24"/>
        </w:rPr>
      </w:pPr>
    </w:p>
    <w:p>
      <w:pPr>
        <w:snapToGrid w:val="0"/>
        <w:spacing w:before="50" w:after="50" w:line="360" w:lineRule="auto"/>
        <w:rPr>
          <w:rFonts w:hint="eastAsia" w:ascii="宋体" w:hAnsi="宋体"/>
          <w:b/>
          <w:sz w:val="24"/>
          <w:u w:val="single"/>
        </w:rPr>
      </w:pPr>
      <w:r>
        <w:rPr>
          <w:rFonts w:hint="eastAsia" w:ascii="宋体" w:hAnsi="宋体"/>
          <w:b/>
          <w:sz w:val="24"/>
        </w:rPr>
        <w:t>投标单位名称：</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318"/>
        <w:gridCol w:w="3124"/>
        <w:gridCol w:w="1156"/>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center"/>
              <w:rPr>
                <w:rFonts w:ascii="宋体" w:eastAsia="宋体"/>
                <w:b/>
                <w:bCs/>
                <w:color w:val="auto"/>
              </w:rPr>
            </w:pPr>
            <w:r>
              <w:rPr>
                <w:rFonts w:hint="eastAsia" w:ascii="宋体" w:eastAsia="宋体"/>
                <w:b/>
                <w:bCs/>
                <w:color w:val="auto"/>
              </w:rPr>
              <w:t>序号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center"/>
              <w:rPr>
                <w:rFonts w:ascii="宋体" w:eastAsia="宋体"/>
                <w:b/>
                <w:bCs/>
                <w:color w:val="auto"/>
              </w:rPr>
            </w:pPr>
            <w:r>
              <w:rPr>
                <w:rFonts w:hint="eastAsia" w:ascii="宋体" w:eastAsia="宋体"/>
                <w:b/>
                <w:bCs/>
                <w:color w:val="auto"/>
              </w:rPr>
              <w:t>评审内容</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34"/>
              <w:ind w:firstLine="482"/>
              <w:jc w:val="center"/>
              <w:rPr>
                <w:rFonts w:ascii="宋体" w:eastAsia="宋体"/>
                <w:b/>
                <w:bCs/>
                <w:color w:val="auto"/>
              </w:rPr>
            </w:pPr>
            <w:r>
              <w:rPr>
                <w:rFonts w:hint="eastAsia" w:ascii="宋体" w:eastAsia="宋体"/>
                <w:b/>
                <w:bCs/>
                <w:color w:val="auto"/>
              </w:rPr>
              <w:t>评分标准</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center"/>
              <w:rPr>
                <w:rFonts w:ascii="宋体" w:eastAsia="宋体"/>
                <w:b/>
                <w:bCs/>
                <w:color w:val="auto"/>
              </w:rPr>
            </w:pPr>
            <w:r>
              <w:rPr>
                <w:rFonts w:hint="eastAsia" w:ascii="宋体" w:eastAsia="宋体"/>
                <w:b/>
                <w:bCs/>
                <w:color w:val="auto"/>
              </w:rPr>
              <w:t>分值</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center"/>
              <w:rPr>
                <w:rFonts w:hint="eastAsia" w:ascii="宋体" w:eastAsia="宋体"/>
                <w:b/>
                <w:bCs/>
                <w:color w:val="auto"/>
              </w:rPr>
            </w:pPr>
            <w:r>
              <w:rPr>
                <w:rFonts w:hint="eastAsia" w:ascii="宋体" w:eastAsia="宋体"/>
                <w:b/>
                <w:bCs/>
                <w:color w:val="auto"/>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center"/>
              <w:rPr>
                <w:rFonts w:hint="eastAsia" w:ascii="宋体" w:eastAsia="宋体"/>
                <w:b/>
                <w:bCs/>
                <w:color w:val="auto"/>
              </w:rPr>
            </w:pPr>
            <w:r>
              <w:rPr>
                <w:rFonts w:hint="eastAsia" w:ascii="宋体" w:eastAsia="宋体"/>
                <w:b/>
                <w:bCs/>
                <w:color w:val="auto"/>
              </w:rPr>
              <w:t>一</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center"/>
              <w:rPr>
                <w:rFonts w:hint="eastAsia" w:ascii="宋体" w:eastAsia="宋体"/>
                <w:b/>
                <w:bCs/>
                <w:color w:val="auto"/>
              </w:rPr>
            </w:pPr>
            <w:r>
              <w:rPr>
                <w:rFonts w:hint="eastAsia" w:ascii="宋体" w:eastAsia="宋体"/>
                <w:b/>
                <w:bCs/>
                <w:color w:val="auto"/>
              </w:rPr>
              <w:t>技术分</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34"/>
              <w:ind w:firstLine="482"/>
              <w:jc w:val="center"/>
              <w:rPr>
                <w:rFonts w:hint="eastAsia" w:ascii="宋体" w:eastAsia="宋体"/>
                <w:b/>
                <w:bCs/>
                <w:color w:val="auto"/>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center"/>
              <w:rPr>
                <w:rFonts w:hint="eastAsia" w:ascii="宋体" w:eastAsia="宋体"/>
                <w:b/>
                <w:bCs/>
                <w:color w:val="auto"/>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center"/>
              <w:rPr>
                <w:rFonts w:hint="eastAsia" w:ascii="宋体" w:eastAsia="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sz w:val="24"/>
              </w:rPr>
            </w:pPr>
            <w:r>
              <w:rPr>
                <w:rFonts w:hint="eastAsia" w:ascii="宋体" w:hAnsi="宋体"/>
                <w:sz w:val="24"/>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p>
        </w:tc>
        <w:tc>
          <w:tcPr>
            <w:tcW w:w="3124" w:type="dxa"/>
            <w:tcBorders>
              <w:top w:val="single" w:color="auto" w:sz="4" w:space="0"/>
              <w:left w:val="single" w:color="auto" w:sz="4" w:space="0"/>
              <w:right w:val="single" w:color="auto" w:sz="4" w:space="0"/>
            </w:tcBorders>
            <w:noWrap w:val="0"/>
            <w:vAlign w:val="center"/>
          </w:tcPr>
          <w:p>
            <w:pPr>
              <w:rPr>
                <w:rFonts w:hint="eastAsia" w:ascii="宋体" w:hAnsi="宋体"/>
                <w:sz w:val="24"/>
              </w:rPr>
            </w:pPr>
          </w:p>
        </w:tc>
        <w:tc>
          <w:tcPr>
            <w:tcW w:w="1156" w:type="dxa"/>
            <w:tcBorders>
              <w:top w:val="single" w:color="auto" w:sz="4" w:space="0"/>
              <w:left w:val="single" w:color="auto" w:sz="4" w:space="0"/>
              <w:right w:val="single" w:color="auto" w:sz="4" w:space="0"/>
            </w:tcBorders>
            <w:noWrap w:val="0"/>
            <w:vAlign w:val="center"/>
          </w:tcPr>
          <w:p>
            <w:pPr>
              <w:jc w:val="center"/>
              <w:rPr>
                <w:rFonts w:hint="eastAsia" w:ascii="宋体" w:hAnsi="宋体"/>
                <w:bCs/>
                <w:sz w:val="24"/>
              </w:rPr>
            </w:pPr>
          </w:p>
        </w:tc>
        <w:tc>
          <w:tcPr>
            <w:tcW w:w="2700" w:type="dxa"/>
            <w:tcBorders>
              <w:top w:val="single" w:color="auto" w:sz="4" w:space="0"/>
              <w:left w:val="single" w:color="auto" w:sz="4" w:space="0"/>
              <w:right w:val="single" w:color="auto" w:sz="4" w:space="0"/>
            </w:tcBorders>
            <w:noWrap w:val="0"/>
            <w:vAlign w:val="center"/>
          </w:tcPr>
          <w:p>
            <w:pPr>
              <w:jc w:val="center"/>
              <w:rPr>
                <w:rFonts w:hint="eastAsia" w:ascii="宋体" w:hAnsi="宋体"/>
                <w:bCs/>
                <w:sz w:val="24"/>
              </w:rPr>
            </w:pPr>
            <w:r>
              <w:rPr>
                <w:rFonts w:hint="eastAsia" w:ascii="宋体" w:hAnsi="宋体"/>
                <w:bCs/>
                <w:sz w:val="24"/>
              </w:rPr>
              <w:t>详见</w:t>
            </w:r>
            <w:r>
              <w:rPr>
                <w:rFonts w:hint="eastAsia" w:ascii="宋体" w:hAnsi="宋体"/>
                <w:b/>
                <w:bCs/>
                <w:sz w:val="24"/>
              </w:rPr>
              <w:t>商务技术响应文件</w:t>
            </w:r>
            <w:r>
              <w:rPr>
                <w:rFonts w:hint="eastAsia" w:ascii="宋体" w:hAnsi="宋体"/>
                <w:bCs/>
                <w:sz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sz w:val="24"/>
              </w:rPr>
            </w:pPr>
            <w:r>
              <w:rPr>
                <w:rFonts w:hint="eastAsia" w:ascii="宋体" w:hAnsi="宋体"/>
                <w:sz w:val="24"/>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sz w:val="24"/>
              </w:rPr>
            </w:pPr>
          </w:p>
        </w:tc>
        <w:tc>
          <w:tcPr>
            <w:tcW w:w="3124" w:type="dxa"/>
            <w:tcBorders>
              <w:top w:val="single" w:color="auto" w:sz="4" w:space="0"/>
              <w:left w:val="single" w:color="auto" w:sz="4" w:space="0"/>
              <w:right w:val="single" w:color="auto" w:sz="4" w:space="0"/>
            </w:tcBorders>
            <w:noWrap w:val="0"/>
            <w:vAlign w:val="center"/>
          </w:tcPr>
          <w:p>
            <w:pPr>
              <w:widowControl/>
              <w:rPr>
                <w:rFonts w:hint="eastAsia" w:ascii="宋体" w:hAnsi="宋体" w:cs="宋体"/>
                <w:kern w:val="0"/>
                <w:sz w:val="24"/>
              </w:rPr>
            </w:pPr>
          </w:p>
        </w:tc>
        <w:tc>
          <w:tcPr>
            <w:tcW w:w="115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bCs/>
                <w:sz w:val="24"/>
              </w:rPr>
            </w:pPr>
          </w:p>
        </w:tc>
        <w:tc>
          <w:tcPr>
            <w:tcW w:w="2700" w:type="dxa"/>
            <w:tcBorders>
              <w:top w:val="single" w:color="auto" w:sz="4" w:space="0"/>
              <w:left w:val="single" w:color="auto" w:sz="4" w:space="0"/>
              <w:right w:val="single" w:color="auto" w:sz="4" w:space="0"/>
            </w:tcBorders>
            <w:noWrap w:val="0"/>
            <w:vAlign w:val="center"/>
          </w:tcPr>
          <w:p>
            <w:pPr>
              <w:jc w:val="center"/>
              <w:rPr>
                <w:rFonts w:hint="eastAsia" w:ascii="宋体" w:hAnsi="宋体"/>
                <w:bCs/>
                <w:sz w:val="24"/>
              </w:rPr>
            </w:pP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left w:val="single" w:color="auto" w:sz="4" w:space="0"/>
              <w:bottom w:val="single" w:color="auto" w:sz="4" w:space="0"/>
              <w:right w:val="single" w:color="auto" w:sz="4" w:space="0"/>
            </w:tcBorders>
            <w:noWrap w:val="0"/>
            <w:vAlign w:val="center"/>
          </w:tcPr>
          <w:p>
            <w:pPr>
              <w:widowControl/>
              <w:rPr>
                <w:rFonts w:hint="eastAsia" w:ascii="宋体" w:hAnsi="宋体"/>
                <w:sz w:val="24"/>
              </w:rPr>
            </w:pPr>
            <w:r>
              <w:rPr>
                <w:rFonts w:hint="eastAsia" w:ascii="宋体" w:hAnsi="宋体"/>
                <w:sz w:val="24"/>
              </w:rPr>
              <w:t>……</w:t>
            </w:r>
          </w:p>
        </w:tc>
        <w:tc>
          <w:tcPr>
            <w:tcW w:w="1318" w:type="dxa"/>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ind w:left="55" w:leftChars="26"/>
              <w:rPr>
                <w:rFonts w:hint="eastAsia" w:ascii="宋体" w:hAnsi="宋体" w:cs="宋体"/>
                <w:kern w:val="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b/>
                <w:sz w:val="24"/>
              </w:rPr>
            </w:pPr>
            <w:r>
              <w:rPr>
                <w:rFonts w:hint="eastAsia" w:ascii="宋体" w:hAnsi="宋体"/>
                <w:b/>
                <w:sz w:val="24"/>
              </w:rPr>
              <w:t>二</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b/>
                <w:sz w:val="24"/>
              </w:rPr>
            </w:pPr>
            <w:r>
              <w:rPr>
                <w:rFonts w:hint="eastAsia" w:ascii="宋体" w:hAnsi="宋体"/>
                <w:b/>
                <w:sz w:val="24"/>
              </w:rPr>
              <w:t>商务分</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both"/>
              <w:rPr>
                <w:rFonts w:hint="eastAsia" w:ascii="宋体" w:eastAsia="宋体"/>
                <w:b/>
                <w:color w:val="auto"/>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center"/>
              <w:rPr>
                <w:rFonts w:hint="eastAsia" w:ascii="宋体" w:eastAsia="宋体"/>
                <w:b/>
                <w:color w:val="auto"/>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center"/>
              <w:rPr>
                <w:rFonts w:hint="eastAsia" w:ascii="宋体" w:eastAsia="宋体"/>
                <w:b/>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kern w:val="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kern w:val="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center"/>
              <w:rPr>
                <w:rFonts w:hint="eastAsia" w:ascii="宋体" w:eastAsia="宋体"/>
                <w:color w:val="auto"/>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4"/>
              </w:rPr>
            </w:pPr>
            <w:r>
              <w:rPr>
                <w:rFonts w:hint="eastAsia" w:ascii="宋体" w:hAnsi="宋体"/>
                <w:bCs/>
                <w:sz w:val="24"/>
              </w:rPr>
              <w:t>详见</w:t>
            </w:r>
            <w:r>
              <w:rPr>
                <w:rFonts w:hint="eastAsia" w:ascii="宋体" w:hAnsi="宋体"/>
                <w:b/>
                <w:bCs/>
                <w:sz w:val="24"/>
              </w:rPr>
              <w:t>商务技术响应文件</w:t>
            </w:r>
          </w:p>
          <w:p>
            <w:pPr>
              <w:jc w:val="center"/>
              <w:rPr>
                <w:rFonts w:hint="eastAsia" w:ascii="宋体" w:hAnsi="宋体"/>
                <w:bCs/>
                <w:sz w:val="24"/>
              </w:rPr>
            </w:pPr>
            <w:r>
              <w:rPr>
                <w:rFonts w:hint="eastAsia" w:ascii="宋体" w:hAnsi="宋体"/>
                <w:bCs/>
                <w:sz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center"/>
              <w:rPr>
                <w:rFonts w:hint="eastAsia" w:ascii="宋体" w:eastAsia="宋体"/>
                <w:color w:val="auto"/>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center"/>
              <w:rPr>
                <w:rFonts w:hint="eastAsia" w:ascii="宋体" w:eastAsia="宋体"/>
                <w:color w:val="auto"/>
              </w:rPr>
            </w:pPr>
            <w:r>
              <w:rPr>
                <w:rFonts w:hint="eastAsia" w:ascii="宋体" w:eastAsia="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center"/>
              <w:rPr>
                <w:rFonts w:hint="eastAsia" w:ascii="宋体" w:eastAsia="宋体"/>
                <w:color w:val="auto"/>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center"/>
              <w:rPr>
                <w:rFonts w:hint="eastAsia" w:ascii="宋体" w:eastAsia="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left w:val="single" w:color="auto" w:sz="4" w:space="0"/>
              <w:bottom w:val="single" w:color="auto" w:sz="4" w:space="0"/>
              <w:right w:val="single" w:color="auto" w:sz="4" w:space="0"/>
            </w:tcBorders>
            <w:noWrap w:val="0"/>
            <w:vAlign w:val="center"/>
          </w:tcPr>
          <w:p>
            <w:pPr>
              <w:widowControl/>
              <w:rPr>
                <w:rFonts w:hint="eastAsia" w:ascii="宋体" w:hAnsi="宋体"/>
                <w:sz w:val="24"/>
              </w:rPr>
            </w:pPr>
            <w:r>
              <w:rPr>
                <w:rFonts w:hint="eastAsia" w:ascii="宋体" w:hAnsi="宋体"/>
                <w:sz w:val="24"/>
              </w:rPr>
              <w:t>三</w:t>
            </w:r>
          </w:p>
        </w:tc>
        <w:tc>
          <w:tcPr>
            <w:tcW w:w="1318" w:type="dxa"/>
            <w:tcBorders>
              <w:left w:val="single" w:color="auto" w:sz="4" w:space="0"/>
              <w:bottom w:val="single" w:color="auto" w:sz="4" w:space="0"/>
              <w:right w:val="single" w:color="auto" w:sz="4" w:space="0"/>
            </w:tcBorders>
            <w:noWrap w:val="0"/>
            <w:vAlign w:val="center"/>
          </w:tcPr>
          <w:p>
            <w:pPr>
              <w:widowControl/>
              <w:rPr>
                <w:rFonts w:hint="eastAsia" w:ascii="宋体" w:hAnsi="宋体"/>
                <w:b/>
                <w:sz w:val="24"/>
              </w:rPr>
            </w:pPr>
            <w:r>
              <w:rPr>
                <w:rFonts w:hint="eastAsia" w:ascii="宋体" w:hAnsi="宋体"/>
                <w:b/>
                <w:sz w:val="24"/>
              </w:rPr>
              <w:t>资信及其他分</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34"/>
              <w:ind w:firstLine="0" w:firstLineChars="0"/>
              <w:jc w:val="both"/>
              <w:rPr>
                <w:rFonts w:hint="eastAsia" w:ascii="宋体" w:eastAsia="宋体"/>
                <w:color w:val="auto"/>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b/>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left w:val="single" w:color="auto" w:sz="4" w:space="0"/>
              <w:bottom w:val="single" w:color="auto" w:sz="4" w:space="0"/>
              <w:right w:val="single" w:color="auto" w:sz="4" w:space="0"/>
            </w:tcBorders>
            <w:noWrap w:val="0"/>
            <w:vAlign w:val="center"/>
          </w:tcPr>
          <w:p>
            <w:pPr>
              <w:widowControl/>
              <w:rPr>
                <w:rFonts w:hint="eastAsia" w:ascii="宋体" w:hAnsi="宋体"/>
                <w:sz w:val="24"/>
              </w:rPr>
            </w:pPr>
          </w:p>
        </w:tc>
        <w:tc>
          <w:tcPr>
            <w:tcW w:w="1318" w:type="dxa"/>
            <w:tcBorders>
              <w:left w:val="single" w:color="auto" w:sz="4" w:space="0"/>
              <w:bottom w:val="single" w:color="auto" w:sz="4" w:space="0"/>
              <w:right w:val="single" w:color="auto" w:sz="4" w:space="0"/>
            </w:tcBorders>
            <w:noWrap w:val="0"/>
            <w:vAlign w:val="center"/>
          </w:tcPr>
          <w:p>
            <w:pPr>
              <w:spacing w:line="320" w:lineRule="exact"/>
              <w:rPr>
                <w:rFonts w:hint="eastAsia" w:ascii="宋体" w:hAnsi="宋体"/>
                <w:bCs/>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4"/>
              </w:rPr>
            </w:pPr>
            <w:r>
              <w:rPr>
                <w:rFonts w:hint="eastAsia" w:ascii="宋体" w:hAnsi="宋体"/>
                <w:bCs/>
                <w:sz w:val="24"/>
              </w:rPr>
              <w:t>详见</w:t>
            </w:r>
            <w:r>
              <w:rPr>
                <w:rFonts w:hint="eastAsia" w:ascii="宋体" w:hAnsi="宋体"/>
                <w:b/>
                <w:bCs/>
                <w:sz w:val="24"/>
              </w:rPr>
              <w:t>商务技术响应文件</w:t>
            </w:r>
          </w:p>
          <w:p>
            <w:pPr>
              <w:jc w:val="center"/>
              <w:rPr>
                <w:rFonts w:hint="eastAsia" w:ascii="宋体" w:hAnsi="宋体"/>
                <w:bCs/>
                <w:sz w:val="24"/>
              </w:rPr>
            </w:pPr>
            <w:r>
              <w:rPr>
                <w:rFonts w:hint="eastAsia" w:ascii="宋体" w:hAnsi="宋体"/>
                <w:bCs/>
                <w:sz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bCs/>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bCs/>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4"/>
              </w:rPr>
            </w:pP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bCs/>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sz w:val="24"/>
              </w:rPr>
            </w:pPr>
          </w:p>
        </w:tc>
        <w:tc>
          <w:tcPr>
            <w:tcW w:w="1156"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bCs/>
                <w:sz w:val="24"/>
              </w:rPr>
            </w:pPr>
          </w:p>
        </w:tc>
        <w:tc>
          <w:tcPr>
            <w:tcW w:w="2700" w:type="dxa"/>
            <w:tcBorders>
              <w:top w:val="single" w:color="auto" w:sz="4" w:space="0"/>
              <w:left w:val="single" w:color="auto" w:sz="4" w:space="0"/>
              <w:right w:val="single" w:color="auto" w:sz="4" w:space="0"/>
            </w:tcBorders>
            <w:noWrap w:val="0"/>
            <w:vAlign w:val="center"/>
          </w:tcPr>
          <w:p>
            <w:pPr>
              <w:jc w:val="center"/>
              <w:rPr>
                <w:rFonts w:hint="eastAsia" w:ascii="宋体" w:hAnsi="宋体"/>
                <w:bCs/>
                <w:sz w:val="24"/>
              </w:rPr>
            </w:pPr>
          </w:p>
        </w:tc>
      </w:tr>
    </w:tbl>
    <w:p>
      <w:pPr>
        <w:snapToGrid w:val="0"/>
        <w:spacing w:before="50" w:after="50"/>
        <w:rPr>
          <w:rFonts w:hint="eastAsia" w:ascii="宋体" w:hAnsi="宋体"/>
          <w:sz w:val="24"/>
        </w:rPr>
      </w:pPr>
    </w:p>
    <w:p>
      <w:pPr>
        <w:snapToGrid w:val="0"/>
        <w:spacing w:before="50" w:after="50"/>
        <w:rPr>
          <w:rFonts w:hint="eastAsia" w:ascii="宋体" w:hAnsi="宋体"/>
          <w:sz w:val="24"/>
        </w:rPr>
      </w:pPr>
      <w:r>
        <w:rPr>
          <w:rFonts w:hint="eastAsia" w:ascii="宋体" w:hAnsi="宋体"/>
          <w:sz w:val="24"/>
        </w:rPr>
        <w:t>注：投标单位根据所投标项的评分表内容，按此格式提供评分响应表置于商务技术响应文件第1页。</w:t>
      </w:r>
    </w:p>
    <w:p>
      <w:pPr>
        <w:snapToGrid w:val="0"/>
        <w:spacing w:before="50" w:after="156" w:afterLines="50" w:line="360" w:lineRule="auto"/>
        <w:jc w:val="left"/>
        <w:rPr>
          <w:rFonts w:hint="eastAsia" w:ascii="宋体" w:hAnsi="宋体"/>
          <w:b/>
          <w:sz w:val="24"/>
        </w:rPr>
      </w:pPr>
    </w:p>
    <w:p>
      <w:pPr>
        <w:snapToGrid w:val="0"/>
        <w:spacing w:before="50" w:after="156" w:afterLines="50" w:line="360" w:lineRule="auto"/>
        <w:jc w:val="left"/>
        <w:rPr>
          <w:rFonts w:hint="eastAsia" w:ascii="宋体" w:hAnsi="宋体"/>
          <w:b/>
          <w:sz w:val="24"/>
        </w:rPr>
      </w:pPr>
    </w:p>
    <w:p>
      <w:pPr>
        <w:snapToGrid w:val="0"/>
        <w:spacing w:before="50" w:after="156" w:afterLines="50" w:line="360" w:lineRule="auto"/>
        <w:jc w:val="left"/>
        <w:rPr>
          <w:rFonts w:hint="eastAsia" w:ascii="宋体" w:hAnsi="宋体"/>
          <w:b/>
          <w:sz w:val="24"/>
        </w:rPr>
      </w:pPr>
    </w:p>
    <w:p>
      <w:pPr>
        <w:snapToGrid w:val="0"/>
        <w:spacing w:before="50" w:after="156" w:afterLines="50" w:line="360" w:lineRule="auto"/>
        <w:jc w:val="left"/>
        <w:rPr>
          <w:rFonts w:hint="eastAsia" w:ascii="宋体" w:hAnsi="宋体"/>
          <w:b/>
          <w:sz w:val="24"/>
        </w:rPr>
      </w:pPr>
    </w:p>
    <w:p>
      <w:pPr>
        <w:snapToGrid w:val="0"/>
        <w:spacing w:before="50" w:after="156" w:afterLines="50" w:line="360" w:lineRule="auto"/>
        <w:jc w:val="left"/>
        <w:rPr>
          <w:rFonts w:ascii="宋体" w:hAnsi="宋体"/>
          <w:b/>
          <w:sz w:val="24"/>
          <w:szCs w:val="20"/>
        </w:rPr>
      </w:pPr>
      <w:r>
        <w:rPr>
          <w:rFonts w:hint="eastAsia" w:ascii="宋体" w:hAnsi="宋体"/>
          <w:b/>
          <w:sz w:val="24"/>
        </w:rPr>
        <w:t>附件8：货物具体配置表：</w:t>
      </w:r>
    </w:p>
    <w:p>
      <w:pPr>
        <w:snapToGrid w:val="0"/>
        <w:spacing w:before="156" w:beforeLines="50" w:after="50" w:line="360" w:lineRule="auto"/>
        <w:jc w:val="center"/>
        <w:rPr>
          <w:rFonts w:hint="eastAsia" w:ascii="宋体" w:hAnsi="宋体"/>
          <w:b/>
          <w:sz w:val="24"/>
        </w:rPr>
      </w:pPr>
      <w:r>
        <w:rPr>
          <w:rFonts w:ascii="宋体" w:hAnsi="宋体"/>
          <w:b/>
          <w:sz w:val="24"/>
        </w:rPr>
        <w:t>货物</w:t>
      </w:r>
      <w:r>
        <w:rPr>
          <w:rFonts w:hint="eastAsia" w:ascii="宋体" w:hAnsi="宋体"/>
          <w:b/>
          <w:sz w:val="24"/>
        </w:rPr>
        <w:t>具体配置表</w:t>
      </w:r>
    </w:p>
    <w:p>
      <w:pPr>
        <w:pStyle w:val="24"/>
        <w:spacing w:line="360" w:lineRule="auto"/>
        <w:ind w:right="904"/>
        <w:rPr>
          <w:rFonts w:hint="eastAsia" w:ascii="Times New Roman" w:hAnsi="Times New Roman"/>
        </w:rPr>
      </w:pPr>
      <w:r>
        <w:rPr>
          <w:rFonts w:hint="eastAsia" w:ascii="Times New Roman" w:hAnsi="Times New Roman"/>
        </w:rPr>
        <w:t>项目名称：</w:t>
      </w:r>
      <w:r>
        <w:rPr>
          <w:rFonts w:ascii="Times New Roman" w:hAnsi="Times New Roman"/>
        </w:rPr>
        <w:t>招标编号：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noWrap w:val="0"/>
            <w:vAlign w:val="center"/>
          </w:tcPr>
          <w:p>
            <w:pPr>
              <w:jc w:val="center"/>
              <w:rPr>
                <w:rFonts w:hint="eastAsia" w:ascii="宋体" w:hAnsi="宋体"/>
                <w:sz w:val="24"/>
              </w:rPr>
            </w:pPr>
            <w:r>
              <w:rPr>
                <w:rFonts w:hint="eastAsia" w:ascii="宋体" w:hAnsi="宋体"/>
                <w:sz w:val="24"/>
              </w:rPr>
              <w:t>品牌型号</w:t>
            </w:r>
          </w:p>
        </w:tc>
        <w:tc>
          <w:tcPr>
            <w:tcW w:w="596" w:type="dxa"/>
            <w:tcBorders>
              <w:bottom w:val="nil"/>
            </w:tcBorders>
            <w:noWrap w:val="0"/>
            <w:vAlign w:val="center"/>
          </w:tcPr>
          <w:p>
            <w:pPr>
              <w:jc w:val="center"/>
              <w:rPr>
                <w:rFonts w:ascii="宋体" w:hAnsi="宋体"/>
                <w:sz w:val="24"/>
              </w:rPr>
            </w:pPr>
            <w:r>
              <w:rPr>
                <w:rFonts w:hint="eastAsia" w:ascii="宋体" w:hAnsi="宋体"/>
                <w:sz w:val="24"/>
              </w:rPr>
              <w:t>序号</w:t>
            </w:r>
          </w:p>
        </w:tc>
        <w:tc>
          <w:tcPr>
            <w:tcW w:w="1260" w:type="dxa"/>
            <w:tcBorders>
              <w:bottom w:val="nil"/>
            </w:tcBorders>
            <w:noWrap w:val="0"/>
            <w:vAlign w:val="center"/>
          </w:tcPr>
          <w:p>
            <w:pPr>
              <w:jc w:val="center"/>
              <w:rPr>
                <w:rFonts w:ascii="宋体" w:hAnsi="宋体"/>
                <w:sz w:val="24"/>
              </w:rPr>
            </w:pPr>
            <w:r>
              <w:rPr>
                <w:rFonts w:hint="eastAsia" w:ascii="宋体" w:hAnsi="宋体"/>
                <w:sz w:val="24"/>
              </w:rPr>
              <w:t>配件名称型号</w:t>
            </w:r>
          </w:p>
        </w:tc>
        <w:tc>
          <w:tcPr>
            <w:tcW w:w="1260" w:type="dxa"/>
            <w:noWrap w:val="0"/>
            <w:vAlign w:val="center"/>
          </w:tcPr>
          <w:p>
            <w:pPr>
              <w:jc w:val="center"/>
              <w:rPr>
                <w:rFonts w:hint="eastAsia" w:ascii="宋体" w:hAnsi="宋体"/>
                <w:sz w:val="24"/>
              </w:rPr>
            </w:pPr>
            <w:r>
              <w:rPr>
                <w:rFonts w:hint="eastAsia" w:ascii="宋体" w:hAnsi="宋体"/>
                <w:sz w:val="24"/>
              </w:rPr>
              <w:t>配件品牌</w:t>
            </w:r>
          </w:p>
        </w:tc>
        <w:tc>
          <w:tcPr>
            <w:tcW w:w="3348" w:type="dxa"/>
            <w:noWrap w:val="0"/>
            <w:vAlign w:val="center"/>
          </w:tcPr>
          <w:p>
            <w:pPr>
              <w:ind w:right="54"/>
              <w:jc w:val="center"/>
              <w:rPr>
                <w:rFonts w:ascii="宋体" w:hAnsi="宋体"/>
                <w:sz w:val="24"/>
              </w:rPr>
            </w:pPr>
            <w:r>
              <w:rPr>
                <w:rFonts w:hint="eastAsia" w:ascii="宋体" w:hAnsi="宋体"/>
                <w:sz w:val="24"/>
              </w:rPr>
              <w:t>技术指标、功能及配置描述</w:t>
            </w:r>
          </w:p>
        </w:tc>
        <w:tc>
          <w:tcPr>
            <w:tcW w:w="1080" w:type="dxa"/>
            <w:noWrap w:val="0"/>
            <w:vAlign w:val="center"/>
          </w:tcPr>
          <w:p>
            <w:pPr>
              <w:ind w:right="54"/>
              <w:jc w:val="center"/>
              <w:rPr>
                <w:rFonts w:ascii="宋体" w:hAnsi="宋体"/>
                <w:sz w:val="24"/>
              </w:rPr>
            </w:pPr>
            <w:r>
              <w:rPr>
                <w:rFonts w:hint="eastAsia" w:ascii="宋体" w:hAnsi="宋体"/>
                <w:sz w:val="24"/>
              </w:rPr>
              <w:t>产地</w:t>
            </w:r>
          </w:p>
        </w:tc>
        <w:tc>
          <w:tcPr>
            <w:tcW w:w="1080" w:type="dxa"/>
            <w:noWrap w:val="0"/>
            <w:vAlign w:val="center"/>
          </w:tcPr>
          <w:p>
            <w:pPr>
              <w:ind w:right="54"/>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ascii="宋体" w:hAnsi="宋体"/>
                <w:sz w:val="24"/>
              </w:rPr>
            </w:pPr>
          </w:p>
        </w:tc>
        <w:tc>
          <w:tcPr>
            <w:tcW w:w="596"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3348"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c>
          <w:tcPr>
            <w:tcW w:w="1080" w:type="dxa"/>
            <w:noWrap w:val="0"/>
            <w:vAlign w:val="center"/>
          </w:tcPr>
          <w:p>
            <w:pPr>
              <w:spacing w:line="360" w:lineRule="auto"/>
              <w:ind w:right="54"/>
              <w:jc w:val="center"/>
              <w:rPr>
                <w:rFonts w:ascii="宋体" w:hAnsi="宋体"/>
                <w:sz w:val="24"/>
              </w:rPr>
            </w:pPr>
          </w:p>
        </w:tc>
      </w:tr>
    </w:tbl>
    <w:p>
      <w:pPr>
        <w:pStyle w:val="24"/>
        <w:tabs>
          <w:tab w:val="left" w:pos="4312"/>
        </w:tabs>
        <w:spacing w:line="360" w:lineRule="auto"/>
        <w:rPr>
          <w:rFonts w:hint="eastAsia" w:ascii="Times New Roman" w:hAnsi="Times New Roman"/>
        </w:rPr>
      </w:pPr>
    </w:p>
    <w:p>
      <w:pPr>
        <w:pStyle w:val="24"/>
        <w:tabs>
          <w:tab w:val="left" w:pos="4312"/>
        </w:tabs>
        <w:spacing w:line="360" w:lineRule="auto"/>
        <w:rPr>
          <w:rFonts w:hint="eastAsia" w:ascii="Times New Roman" w:hAnsi="Times New Roman"/>
        </w:rPr>
      </w:pPr>
      <w:r>
        <w:rPr>
          <w:rFonts w:hint="eastAsia" w:ascii="Times New Roman" w:hAnsi="Times New Roman"/>
        </w:rPr>
        <w:t>投标单位（公章）：</w:t>
      </w:r>
    </w:p>
    <w:p>
      <w:pPr>
        <w:pStyle w:val="24"/>
        <w:tabs>
          <w:tab w:val="left" w:pos="4312"/>
        </w:tabs>
        <w:spacing w:line="360" w:lineRule="auto"/>
        <w:ind w:firstLine="360" w:firstLineChars="150"/>
        <w:rPr>
          <w:rFonts w:hint="eastAsia" w:ascii="Times New Roman" w:hAnsi="Times New Roman"/>
        </w:rPr>
      </w:pPr>
      <w:r>
        <w:rPr>
          <w:rFonts w:hint="eastAsia" w:ascii="Times New Roman" w:hAnsi="Times New Roman"/>
        </w:rPr>
        <w:t>日期：</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r>
        <w:rPr>
          <w:rFonts w:hint="eastAsia"/>
          <w:sz w:val="24"/>
        </w:rPr>
        <w:t>注：此表在不改变投标内容的情况下可自行制作</w:t>
      </w:r>
    </w:p>
    <w:p>
      <w:pPr>
        <w:pStyle w:val="24"/>
        <w:spacing w:line="360" w:lineRule="auto"/>
        <w:rPr>
          <w:rFonts w:hint="eastAsia" w:ascii="Times New Roman" w:hAnsi="Times New Roman"/>
        </w:rPr>
      </w:pPr>
    </w:p>
    <w:p>
      <w:pPr>
        <w:pStyle w:val="24"/>
        <w:spacing w:line="360" w:lineRule="auto"/>
        <w:rPr>
          <w:rFonts w:hint="eastAsia" w:ascii="Times New Roman" w:hAnsi="Times New Roman"/>
        </w:rPr>
      </w:pPr>
    </w:p>
    <w:p>
      <w:pPr>
        <w:snapToGrid w:val="0"/>
        <w:spacing w:before="50" w:after="156" w:afterLines="50" w:line="360" w:lineRule="auto"/>
        <w:jc w:val="left"/>
        <w:rPr>
          <w:rFonts w:hint="eastAsia" w:ascii="宋体" w:hAnsi="宋体"/>
          <w:b/>
          <w:sz w:val="24"/>
        </w:rPr>
      </w:pPr>
      <w:r>
        <w:rPr>
          <w:rFonts w:hint="eastAsia" w:ascii="宋体" w:hAnsi="宋体"/>
          <w:b/>
          <w:sz w:val="24"/>
        </w:rPr>
        <w:t>附件9：技术偏离表格式：</w:t>
      </w:r>
    </w:p>
    <w:p>
      <w:pPr>
        <w:snapToGrid w:val="0"/>
        <w:spacing w:before="50" w:after="156" w:afterLines="50" w:line="360" w:lineRule="auto"/>
        <w:jc w:val="center"/>
        <w:rPr>
          <w:rFonts w:ascii="宋体" w:hAnsi="宋体"/>
          <w:b/>
          <w:sz w:val="24"/>
          <w:szCs w:val="20"/>
        </w:rPr>
      </w:pPr>
      <w:r>
        <w:rPr>
          <w:rFonts w:hint="eastAsia" w:ascii="宋体" w:hAnsi="宋体"/>
          <w:b/>
          <w:sz w:val="32"/>
          <w:szCs w:val="32"/>
        </w:rPr>
        <w:t>技术偏离表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pPr>
              <w:jc w:val="center"/>
              <w:rPr>
                <w:rFonts w:ascii="宋体" w:hAnsi="宋体"/>
                <w:sz w:val="24"/>
              </w:rPr>
            </w:pPr>
            <w:r>
              <w:rPr>
                <w:rFonts w:ascii="宋体" w:hAnsi="宋体"/>
                <w:sz w:val="24"/>
              </w:rPr>
              <w:t>序号</w:t>
            </w:r>
          </w:p>
        </w:tc>
        <w:tc>
          <w:tcPr>
            <w:tcW w:w="1855" w:type="dxa"/>
            <w:tcBorders>
              <w:bottom w:val="single" w:color="auto" w:sz="4" w:space="0"/>
            </w:tcBorders>
            <w:noWrap w:val="0"/>
            <w:vAlign w:val="center"/>
          </w:tcPr>
          <w:p>
            <w:pPr>
              <w:jc w:val="center"/>
              <w:rPr>
                <w:rFonts w:ascii="宋体" w:hAnsi="宋体"/>
                <w:sz w:val="24"/>
              </w:rPr>
            </w:pPr>
            <w:r>
              <w:rPr>
                <w:rFonts w:ascii="宋体" w:hAnsi="宋体"/>
                <w:sz w:val="24"/>
              </w:rPr>
              <w:t>内容</w:t>
            </w:r>
          </w:p>
        </w:tc>
        <w:tc>
          <w:tcPr>
            <w:tcW w:w="1957" w:type="dxa"/>
            <w:tcBorders>
              <w:bottom w:val="single" w:color="auto" w:sz="4" w:space="0"/>
            </w:tcBorders>
            <w:noWrap w:val="0"/>
            <w:vAlign w:val="center"/>
          </w:tcPr>
          <w:p>
            <w:pPr>
              <w:jc w:val="center"/>
              <w:rPr>
                <w:rFonts w:ascii="宋体" w:hAnsi="宋体"/>
                <w:sz w:val="24"/>
              </w:rPr>
            </w:pPr>
            <w:r>
              <w:rPr>
                <w:rFonts w:ascii="宋体" w:hAnsi="宋体"/>
                <w:sz w:val="24"/>
              </w:rPr>
              <w:t>招标文件</w:t>
            </w:r>
          </w:p>
          <w:p>
            <w:pPr>
              <w:jc w:val="center"/>
              <w:rPr>
                <w:rFonts w:ascii="宋体" w:hAnsi="宋体"/>
                <w:sz w:val="24"/>
              </w:rPr>
            </w:pPr>
            <w:r>
              <w:rPr>
                <w:rFonts w:ascii="宋体" w:hAnsi="宋体"/>
                <w:sz w:val="24"/>
              </w:rPr>
              <w:t>规范要求</w:t>
            </w:r>
          </w:p>
        </w:tc>
        <w:tc>
          <w:tcPr>
            <w:tcW w:w="1620" w:type="dxa"/>
            <w:tcBorders>
              <w:bottom w:val="single" w:color="auto" w:sz="4" w:space="0"/>
            </w:tcBorders>
            <w:noWrap w:val="0"/>
            <w:vAlign w:val="center"/>
          </w:tcPr>
          <w:p>
            <w:pPr>
              <w:jc w:val="center"/>
              <w:rPr>
                <w:rFonts w:ascii="宋体" w:hAnsi="宋体"/>
                <w:sz w:val="24"/>
              </w:rPr>
            </w:pPr>
            <w:r>
              <w:rPr>
                <w:rFonts w:ascii="宋体" w:hAnsi="宋体"/>
                <w:sz w:val="24"/>
              </w:rPr>
              <w:t>投标文件</w:t>
            </w:r>
          </w:p>
          <w:p>
            <w:pPr>
              <w:jc w:val="center"/>
              <w:rPr>
                <w:rFonts w:ascii="宋体" w:hAnsi="宋体"/>
                <w:sz w:val="24"/>
              </w:rPr>
            </w:pPr>
            <w:r>
              <w:rPr>
                <w:rFonts w:ascii="宋体" w:hAnsi="宋体"/>
                <w:sz w:val="24"/>
              </w:rPr>
              <w:t>对应规范</w:t>
            </w:r>
          </w:p>
        </w:tc>
        <w:tc>
          <w:tcPr>
            <w:tcW w:w="2328"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偏离情况</w:t>
            </w:r>
          </w:p>
          <w:p>
            <w:pPr>
              <w:jc w:val="center"/>
              <w:rPr>
                <w:rFonts w:hint="eastAsia" w:ascii="宋体" w:hAnsi="宋体"/>
                <w:sz w:val="24"/>
              </w:rPr>
            </w:pPr>
            <w:r>
              <w:rPr>
                <w:rFonts w:hint="eastAsia" w:ascii="宋体" w:hAnsi="宋体"/>
                <w:sz w:val="24"/>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noWrap w:val="0"/>
            <w:vAlign w:val="top"/>
          </w:tcPr>
          <w:p>
            <w:pPr>
              <w:jc w:val="center"/>
              <w:rPr>
                <w:rFonts w:ascii="宋体" w:hAnsi="宋体"/>
                <w:sz w:val="24"/>
              </w:rPr>
            </w:pPr>
          </w:p>
        </w:tc>
        <w:tc>
          <w:tcPr>
            <w:tcW w:w="1855" w:type="dxa"/>
            <w:noWrap w:val="0"/>
            <w:vAlign w:val="top"/>
          </w:tcPr>
          <w:p>
            <w:pPr>
              <w:rPr>
                <w:rFonts w:ascii="宋体" w:hAnsi="宋体"/>
                <w:sz w:val="24"/>
              </w:rPr>
            </w:pPr>
          </w:p>
        </w:tc>
        <w:tc>
          <w:tcPr>
            <w:tcW w:w="1957"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232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noWrap w:val="0"/>
            <w:vAlign w:val="top"/>
          </w:tcPr>
          <w:p>
            <w:pPr>
              <w:rPr>
                <w:rFonts w:ascii="宋体" w:hAnsi="宋体"/>
                <w:sz w:val="24"/>
              </w:rPr>
            </w:pPr>
          </w:p>
        </w:tc>
        <w:tc>
          <w:tcPr>
            <w:tcW w:w="1855" w:type="dxa"/>
            <w:noWrap w:val="0"/>
            <w:vAlign w:val="top"/>
          </w:tcPr>
          <w:p>
            <w:pPr>
              <w:rPr>
                <w:rFonts w:ascii="宋体" w:hAnsi="宋体"/>
                <w:sz w:val="24"/>
              </w:rPr>
            </w:pPr>
          </w:p>
        </w:tc>
        <w:tc>
          <w:tcPr>
            <w:tcW w:w="1957"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232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noWrap w:val="0"/>
            <w:vAlign w:val="top"/>
          </w:tcPr>
          <w:p>
            <w:pPr>
              <w:rPr>
                <w:rFonts w:ascii="宋体" w:hAnsi="宋体"/>
                <w:sz w:val="24"/>
              </w:rPr>
            </w:pPr>
          </w:p>
        </w:tc>
        <w:tc>
          <w:tcPr>
            <w:tcW w:w="1855" w:type="dxa"/>
            <w:noWrap w:val="0"/>
            <w:vAlign w:val="top"/>
          </w:tcPr>
          <w:p>
            <w:pPr>
              <w:rPr>
                <w:rFonts w:ascii="宋体" w:hAnsi="宋体"/>
                <w:sz w:val="24"/>
              </w:rPr>
            </w:pPr>
          </w:p>
        </w:tc>
        <w:tc>
          <w:tcPr>
            <w:tcW w:w="1957"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232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noWrap w:val="0"/>
            <w:vAlign w:val="top"/>
          </w:tcPr>
          <w:p>
            <w:pPr>
              <w:rPr>
                <w:rFonts w:ascii="宋体" w:hAnsi="宋体"/>
                <w:sz w:val="24"/>
              </w:rPr>
            </w:pPr>
          </w:p>
        </w:tc>
        <w:tc>
          <w:tcPr>
            <w:tcW w:w="1855" w:type="dxa"/>
            <w:noWrap w:val="0"/>
            <w:vAlign w:val="top"/>
          </w:tcPr>
          <w:p>
            <w:pPr>
              <w:rPr>
                <w:rFonts w:ascii="宋体" w:hAnsi="宋体"/>
                <w:sz w:val="24"/>
              </w:rPr>
            </w:pPr>
          </w:p>
        </w:tc>
        <w:tc>
          <w:tcPr>
            <w:tcW w:w="1957"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232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noWrap w:val="0"/>
            <w:vAlign w:val="top"/>
          </w:tcPr>
          <w:p>
            <w:pPr>
              <w:rPr>
                <w:rFonts w:ascii="宋体" w:hAnsi="宋体"/>
                <w:sz w:val="24"/>
              </w:rPr>
            </w:pPr>
          </w:p>
        </w:tc>
        <w:tc>
          <w:tcPr>
            <w:tcW w:w="1855" w:type="dxa"/>
            <w:noWrap w:val="0"/>
            <w:vAlign w:val="top"/>
          </w:tcPr>
          <w:p>
            <w:pPr>
              <w:rPr>
                <w:rFonts w:ascii="宋体" w:hAnsi="宋体"/>
                <w:sz w:val="24"/>
              </w:rPr>
            </w:pPr>
          </w:p>
        </w:tc>
        <w:tc>
          <w:tcPr>
            <w:tcW w:w="1957"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232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noWrap w:val="0"/>
            <w:vAlign w:val="top"/>
          </w:tcPr>
          <w:p>
            <w:pPr>
              <w:rPr>
                <w:rFonts w:ascii="宋体" w:hAnsi="宋体"/>
                <w:sz w:val="24"/>
              </w:rPr>
            </w:pPr>
          </w:p>
        </w:tc>
        <w:tc>
          <w:tcPr>
            <w:tcW w:w="1855" w:type="dxa"/>
            <w:noWrap w:val="0"/>
            <w:vAlign w:val="top"/>
          </w:tcPr>
          <w:p>
            <w:pPr>
              <w:rPr>
                <w:rFonts w:ascii="宋体" w:hAnsi="宋体"/>
                <w:sz w:val="24"/>
              </w:rPr>
            </w:pPr>
          </w:p>
        </w:tc>
        <w:tc>
          <w:tcPr>
            <w:tcW w:w="1957"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232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noWrap w:val="0"/>
            <w:vAlign w:val="top"/>
          </w:tcPr>
          <w:p>
            <w:pPr>
              <w:rPr>
                <w:rFonts w:ascii="宋体" w:hAnsi="宋体"/>
                <w:sz w:val="24"/>
              </w:rPr>
            </w:pPr>
          </w:p>
        </w:tc>
        <w:tc>
          <w:tcPr>
            <w:tcW w:w="1855" w:type="dxa"/>
            <w:noWrap w:val="0"/>
            <w:vAlign w:val="top"/>
          </w:tcPr>
          <w:p>
            <w:pPr>
              <w:rPr>
                <w:rFonts w:ascii="宋体" w:hAnsi="宋体"/>
                <w:sz w:val="24"/>
              </w:rPr>
            </w:pPr>
          </w:p>
        </w:tc>
        <w:tc>
          <w:tcPr>
            <w:tcW w:w="1957"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232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noWrap w:val="0"/>
            <w:vAlign w:val="top"/>
          </w:tcPr>
          <w:p>
            <w:pPr>
              <w:rPr>
                <w:rFonts w:ascii="宋体" w:hAnsi="宋体"/>
                <w:sz w:val="24"/>
              </w:rPr>
            </w:pPr>
          </w:p>
        </w:tc>
        <w:tc>
          <w:tcPr>
            <w:tcW w:w="1855" w:type="dxa"/>
            <w:noWrap w:val="0"/>
            <w:vAlign w:val="top"/>
          </w:tcPr>
          <w:p>
            <w:pPr>
              <w:rPr>
                <w:rFonts w:ascii="宋体" w:hAnsi="宋体"/>
                <w:sz w:val="24"/>
              </w:rPr>
            </w:pPr>
          </w:p>
        </w:tc>
        <w:tc>
          <w:tcPr>
            <w:tcW w:w="1957"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232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noWrap w:val="0"/>
            <w:vAlign w:val="top"/>
          </w:tcPr>
          <w:p>
            <w:pPr>
              <w:rPr>
                <w:rFonts w:ascii="宋体" w:hAnsi="宋体"/>
                <w:sz w:val="24"/>
              </w:rPr>
            </w:pPr>
          </w:p>
        </w:tc>
        <w:tc>
          <w:tcPr>
            <w:tcW w:w="1855" w:type="dxa"/>
            <w:noWrap w:val="0"/>
            <w:vAlign w:val="top"/>
          </w:tcPr>
          <w:p>
            <w:pPr>
              <w:rPr>
                <w:rFonts w:ascii="宋体" w:hAnsi="宋体"/>
                <w:sz w:val="24"/>
              </w:rPr>
            </w:pPr>
          </w:p>
        </w:tc>
        <w:tc>
          <w:tcPr>
            <w:tcW w:w="1957"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2328"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noWrap w:val="0"/>
            <w:vAlign w:val="top"/>
          </w:tcPr>
          <w:p>
            <w:pPr>
              <w:rPr>
                <w:rFonts w:ascii="宋体" w:hAnsi="宋体"/>
                <w:sz w:val="24"/>
              </w:rPr>
            </w:pPr>
          </w:p>
        </w:tc>
        <w:tc>
          <w:tcPr>
            <w:tcW w:w="1855" w:type="dxa"/>
            <w:noWrap w:val="0"/>
            <w:vAlign w:val="top"/>
          </w:tcPr>
          <w:p>
            <w:pPr>
              <w:rPr>
                <w:rFonts w:ascii="宋体" w:hAnsi="宋体"/>
                <w:sz w:val="24"/>
              </w:rPr>
            </w:pPr>
          </w:p>
        </w:tc>
        <w:tc>
          <w:tcPr>
            <w:tcW w:w="1957"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2328" w:type="dxa"/>
            <w:noWrap w:val="0"/>
            <w:vAlign w:val="top"/>
          </w:tcPr>
          <w:p>
            <w:pPr>
              <w:rPr>
                <w:rFonts w:ascii="宋体" w:hAnsi="宋体"/>
                <w:sz w:val="24"/>
              </w:rPr>
            </w:pPr>
          </w:p>
        </w:tc>
      </w:tr>
    </w:tbl>
    <w:p>
      <w:pPr>
        <w:pStyle w:val="18"/>
        <w:spacing w:line="360" w:lineRule="auto"/>
      </w:pPr>
      <w:r>
        <w:t>注：投标人应根据投标设备的性能指标、对照招标文件要求在“偏离情况”栏注明“正偏离”、“负偏离”或“无偏离”。</w:t>
      </w:r>
    </w:p>
    <w:p>
      <w:pPr>
        <w:snapToGrid w:val="0"/>
        <w:spacing w:before="50" w:after="50" w:line="360" w:lineRule="auto"/>
        <w:rPr>
          <w:rFonts w:hint="eastAsia" w:ascii="宋体" w:hAnsi="宋体"/>
          <w:spacing w:val="20"/>
          <w:sz w:val="24"/>
        </w:rPr>
      </w:pPr>
    </w:p>
    <w:p>
      <w:pPr>
        <w:snapToGrid w:val="0"/>
        <w:spacing w:before="50" w:after="50" w:line="360" w:lineRule="auto"/>
        <w:rPr>
          <w:rFonts w:hint="eastAsia" w:ascii="宋体" w:hAnsi="宋体"/>
          <w:spacing w:val="20"/>
          <w:sz w:val="24"/>
        </w:rPr>
      </w:pPr>
      <w:r>
        <w:rPr>
          <w:rFonts w:hint="eastAsia" w:ascii="宋体" w:hAnsi="宋体"/>
          <w:spacing w:val="20"/>
          <w:sz w:val="24"/>
        </w:rPr>
        <w:t>投标人盖章：</w:t>
      </w:r>
    </w:p>
    <w:p>
      <w:pPr>
        <w:snapToGrid w:val="0"/>
        <w:spacing w:before="50" w:after="50" w:line="360" w:lineRule="auto"/>
        <w:rPr>
          <w:rFonts w:ascii="宋体" w:hAnsi="宋体"/>
          <w:sz w:val="24"/>
          <w:szCs w:val="20"/>
        </w:rPr>
      </w:pPr>
      <w:r>
        <w:rPr>
          <w:rFonts w:hint="eastAsia" w:ascii="宋体" w:hAnsi="宋体"/>
          <w:spacing w:val="20"/>
          <w:sz w:val="24"/>
        </w:rPr>
        <w:t>日期：</w:t>
      </w:r>
    </w:p>
    <w:p>
      <w:pPr>
        <w:snapToGrid w:val="0"/>
        <w:spacing w:before="50" w:after="156" w:afterLines="50" w:line="360" w:lineRule="auto"/>
        <w:jc w:val="left"/>
        <w:rPr>
          <w:rFonts w:hint="eastAsia" w:ascii="宋体" w:hAnsi="宋体"/>
          <w:sz w:val="24"/>
          <w:szCs w:val="20"/>
        </w:rPr>
      </w:pPr>
    </w:p>
    <w:p>
      <w:pPr>
        <w:snapToGrid w:val="0"/>
        <w:spacing w:before="156" w:beforeLines="50" w:after="50" w:line="360" w:lineRule="auto"/>
        <w:rPr>
          <w:rFonts w:hint="eastAsia" w:ascii="宋体" w:hAnsi="宋体"/>
          <w:sz w:val="24"/>
        </w:rPr>
      </w:pPr>
    </w:p>
    <w:p>
      <w:pPr>
        <w:pStyle w:val="3"/>
        <w:rPr>
          <w:rFonts w:hint="eastAsia"/>
        </w:rPr>
      </w:pPr>
    </w:p>
    <w:p>
      <w:pPr>
        <w:snapToGrid w:val="0"/>
        <w:spacing w:before="50" w:after="156" w:afterLines="50"/>
        <w:jc w:val="left"/>
        <w:rPr>
          <w:rFonts w:hint="eastAsia" w:ascii="宋体" w:hAnsi="宋体"/>
          <w:b/>
          <w:sz w:val="24"/>
        </w:rPr>
      </w:pPr>
    </w:p>
    <w:p>
      <w:pPr>
        <w:snapToGrid w:val="0"/>
        <w:spacing w:before="50" w:after="156" w:afterLines="50" w:line="360" w:lineRule="auto"/>
        <w:jc w:val="left"/>
        <w:rPr>
          <w:rFonts w:ascii="宋体" w:hAnsi="宋体"/>
          <w:b/>
          <w:sz w:val="24"/>
        </w:rPr>
      </w:pPr>
      <w:r>
        <w:rPr>
          <w:rFonts w:hint="eastAsia" w:ascii="宋体" w:hAnsi="宋体"/>
          <w:b/>
          <w:sz w:val="24"/>
        </w:rPr>
        <w:t>附件10：投标产品服务计划表：</w:t>
      </w:r>
    </w:p>
    <w:p>
      <w:pPr>
        <w:snapToGrid w:val="0"/>
        <w:spacing w:before="156" w:beforeLines="50" w:after="50" w:line="360" w:lineRule="auto"/>
        <w:jc w:val="center"/>
        <w:rPr>
          <w:rFonts w:hint="eastAsia" w:ascii="宋体" w:hAnsi="宋体"/>
          <w:b/>
          <w:sz w:val="24"/>
        </w:rPr>
      </w:pPr>
      <w:r>
        <w:rPr>
          <w:rFonts w:hint="eastAsia" w:ascii="宋体" w:hAnsi="宋体"/>
          <w:b/>
          <w:sz w:val="24"/>
        </w:rPr>
        <w:t>投标产品服务计划表</w:t>
      </w:r>
    </w:p>
    <w:p>
      <w:pPr>
        <w:snapToGrid w:val="0"/>
        <w:spacing w:before="156" w:beforeLines="50" w:after="50" w:line="360" w:lineRule="auto"/>
        <w:jc w:val="center"/>
        <w:rPr>
          <w:rFonts w:hint="eastAsia" w:ascii="宋体" w:hAnsi="宋体"/>
          <w:b/>
          <w:sz w:val="24"/>
        </w:rPr>
      </w:pPr>
    </w:p>
    <w:tbl>
      <w:tblPr>
        <w:tblStyle w:val="4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206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4"/>
              <w:spacing w:line="360" w:lineRule="auto"/>
              <w:jc w:val="center"/>
              <w:rPr>
                <w:rFonts w:hint="eastAsia" w:hAnsi="宋体"/>
              </w:rPr>
            </w:pPr>
            <w:r>
              <w:rPr>
                <w:rFonts w:hint="eastAsia" w:hAnsi="宋体"/>
              </w:rPr>
              <w:t>序号</w:t>
            </w:r>
          </w:p>
        </w:tc>
        <w:tc>
          <w:tcPr>
            <w:tcW w:w="4500" w:type="dxa"/>
            <w:noWrap w:val="0"/>
            <w:vAlign w:val="center"/>
          </w:tcPr>
          <w:p>
            <w:pPr>
              <w:pStyle w:val="24"/>
              <w:spacing w:line="360" w:lineRule="auto"/>
              <w:jc w:val="center"/>
              <w:rPr>
                <w:rFonts w:hint="eastAsia" w:hAnsi="宋体"/>
              </w:rPr>
            </w:pPr>
            <w:r>
              <w:rPr>
                <w:rFonts w:hint="eastAsia" w:hAnsi="宋体"/>
              </w:rPr>
              <w:t>质量保障措施及服务内容</w:t>
            </w:r>
          </w:p>
        </w:tc>
        <w:tc>
          <w:tcPr>
            <w:tcW w:w="2064" w:type="dxa"/>
            <w:noWrap w:val="0"/>
            <w:vAlign w:val="center"/>
          </w:tcPr>
          <w:p>
            <w:pPr>
              <w:pStyle w:val="24"/>
              <w:spacing w:line="360" w:lineRule="auto"/>
              <w:jc w:val="center"/>
              <w:rPr>
                <w:rFonts w:hint="eastAsia" w:hAnsi="宋体"/>
              </w:rPr>
            </w:pPr>
            <w:r>
              <w:rPr>
                <w:rFonts w:hint="eastAsia" w:hAnsi="宋体"/>
              </w:rPr>
              <w:t>承诺</w:t>
            </w:r>
          </w:p>
        </w:tc>
        <w:tc>
          <w:tcPr>
            <w:tcW w:w="1896" w:type="dxa"/>
            <w:noWrap w:val="0"/>
            <w:vAlign w:val="center"/>
          </w:tcPr>
          <w:p>
            <w:pPr>
              <w:pStyle w:val="24"/>
              <w:spacing w:line="360" w:lineRule="auto"/>
              <w:jc w:val="center"/>
              <w:rPr>
                <w:rFonts w:hint="eastAsia"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4"/>
              <w:spacing w:line="360" w:lineRule="auto"/>
              <w:jc w:val="center"/>
              <w:rPr>
                <w:rFonts w:hint="eastAsia" w:hAnsi="宋体"/>
              </w:rPr>
            </w:pPr>
            <w:r>
              <w:rPr>
                <w:rFonts w:hint="eastAsia" w:hAnsi="宋体"/>
              </w:rPr>
              <w:t>1</w:t>
            </w:r>
          </w:p>
        </w:tc>
        <w:tc>
          <w:tcPr>
            <w:tcW w:w="4500" w:type="dxa"/>
            <w:noWrap w:val="0"/>
            <w:vAlign w:val="center"/>
          </w:tcPr>
          <w:p>
            <w:pPr>
              <w:pStyle w:val="24"/>
              <w:spacing w:line="360" w:lineRule="auto"/>
              <w:rPr>
                <w:rFonts w:hint="eastAsia" w:hAnsi="宋体"/>
              </w:rPr>
            </w:pPr>
            <w:r>
              <w:rPr>
                <w:rFonts w:hint="eastAsia" w:hAnsi="宋体"/>
              </w:rPr>
              <w:t>投标产品</w:t>
            </w:r>
          </w:p>
        </w:tc>
        <w:tc>
          <w:tcPr>
            <w:tcW w:w="2064" w:type="dxa"/>
            <w:noWrap w:val="0"/>
            <w:vAlign w:val="top"/>
          </w:tcPr>
          <w:p>
            <w:pPr>
              <w:pStyle w:val="24"/>
              <w:spacing w:line="360" w:lineRule="auto"/>
              <w:rPr>
                <w:rFonts w:hint="eastAsia" w:hAnsi="宋体"/>
              </w:rPr>
            </w:pPr>
          </w:p>
        </w:tc>
        <w:tc>
          <w:tcPr>
            <w:tcW w:w="1896" w:type="dxa"/>
            <w:noWrap w:val="0"/>
            <w:vAlign w:val="top"/>
          </w:tcPr>
          <w:p>
            <w:pPr>
              <w:pStyle w:val="24"/>
              <w:spacing w:line="360" w:lineRule="auto"/>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4"/>
              <w:spacing w:line="360" w:lineRule="auto"/>
              <w:jc w:val="center"/>
              <w:rPr>
                <w:rFonts w:hint="eastAsia" w:hAnsi="宋体"/>
              </w:rPr>
            </w:pPr>
            <w:r>
              <w:rPr>
                <w:rFonts w:hint="eastAsia" w:hAnsi="宋体"/>
              </w:rPr>
              <w:t>2</w:t>
            </w:r>
          </w:p>
        </w:tc>
        <w:tc>
          <w:tcPr>
            <w:tcW w:w="4500" w:type="dxa"/>
            <w:noWrap w:val="0"/>
            <w:vAlign w:val="center"/>
          </w:tcPr>
          <w:p>
            <w:pPr>
              <w:pStyle w:val="24"/>
              <w:spacing w:line="360" w:lineRule="auto"/>
              <w:rPr>
                <w:rFonts w:hint="eastAsia" w:hAnsi="宋体"/>
              </w:rPr>
            </w:pPr>
            <w:r>
              <w:rPr>
                <w:rFonts w:hint="eastAsia" w:hAnsi="宋体"/>
              </w:rPr>
              <w:t>有关技术人员现场免费提供安装、调试服务</w:t>
            </w:r>
          </w:p>
        </w:tc>
        <w:tc>
          <w:tcPr>
            <w:tcW w:w="2064" w:type="dxa"/>
            <w:noWrap w:val="0"/>
            <w:vAlign w:val="top"/>
          </w:tcPr>
          <w:p>
            <w:pPr>
              <w:pStyle w:val="24"/>
              <w:spacing w:line="360" w:lineRule="auto"/>
              <w:rPr>
                <w:rFonts w:hint="eastAsia" w:hAnsi="宋体"/>
              </w:rPr>
            </w:pPr>
          </w:p>
        </w:tc>
        <w:tc>
          <w:tcPr>
            <w:tcW w:w="1896" w:type="dxa"/>
            <w:noWrap w:val="0"/>
            <w:vAlign w:val="top"/>
          </w:tcPr>
          <w:p>
            <w:pPr>
              <w:pStyle w:val="24"/>
              <w:spacing w:line="360" w:lineRule="auto"/>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4"/>
              <w:spacing w:line="360" w:lineRule="auto"/>
              <w:jc w:val="center"/>
              <w:rPr>
                <w:rFonts w:hint="eastAsia" w:hAnsi="宋体"/>
              </w:rPr>
            </w:pPr>
            <w:r>
              <w:rPr>
                <w:rFonts w:hint="eastAsia" w:hAnsi="宋体"/>
              </w:rPr>
              <w:t>3</w:t>
            </w:r>
          </w:p>
        </w:tc>
        <w:tc>
          <w:tcPr>
            <w:tcW w:w="4500" w:type="dxa"/>
            <w:noWrap w:val="0"/>
            <w:vAlign w:val="center"/>
          </w:tcPr>
          <w:p>
            <w:pPr>
              <w:pStyle w:val="24"/>
              <w:spacing w:line="360" w:lineRule="auto"/>
              <w:rPr>
                <w:rFonts w:hint="eastAsia" w:hAnsi="宋体"/>
              </w:rPr>
            </w:pPr>
            <w:r>
              <w:rPr>
                <w:rFonts w:hint="eastAsia" w:hAnsi="宋体"/>
              </w:rPr>
              <w:t>免费上门服务期限</w:t>
            </w:r>
          </w:p>
        </w:tc>
        <w:tc>
          <w:tcPr>
            <w:tcW w:w="2064" w:type="dxa"/>
            <w:noWrap w:val="0"/>
            <w:vAlign w:val="top"/>
          </w:tcPr>
          <w:p>
            <w:pPr>
              <w:pStyle w:val="24"/>
              <w:spacing w:line="360" w:lineRule="auto"/>
              <w:rPr>
                <w:rFonts w:hint="eastAsia" w:hAnsi="宋体"/>
              </w:rPr>
            </w:pPr>
          </w:p>
        </w:tc>
        <w:tc>
          <w:tcPr>
            <w:tcW w:w="1896" w:type="dxa"/>
            <w:noWrap w:val="0"/>
            <w:vAlign w:val="top"/>
          </w:tcPr>
          <w:p>
            <w:pPr>
              <w:pStyle w:val="24"/>
              <w:spacing w:line="360" w:lineRule="auto"/>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4"/>
              <w:spacing w:line="360" w:lineRule="auto"/>
              <w:jc w:val="center"/>
              <w:rPr>
                <w:rFonts w:hint="eastAsia" w:hAnsi="宋体"/>
              </w:rPr>
            </w:pPr>
            <w:r>
              <w:rPr>
                <w:rFonts w:hint="eastAsia" w:hAnsi="宋体"/>
              </w:rPr>
              <w:t>4</w:t>
            </w:r>
          </w:p>
        </w:tc>
        <w:tc>
          <w:tcPr>
            <w:tcW w:w="4500" w:type="dxa"/>
            <w:noWrap w:val="0"/>
            <w:vAlign w:val="center"/>
          </w:tcPr>
          <w:p>
            <w:pPr>
              <w:pStyle w:val="24"/>
              <w:spacing w:line="360" w:lineRule="auto"/>
              <w:rPr>
                <w:rFonts w:hint="eastAsia" w:hAnsi="宋体"/>
              </w:rPr>
            </w:pPr>
            <w:r>
              <w:rPr>
                <w:rFonts w:hint="eastAsia" w:hAnsi="宋体"/>
              </w:rPr>
              <w:t>质保期内产品故障服务响应时限</w:t>
            </w:r>
          </w:p>
        </w:tc>
        <w:tc>
          <w:tcPr>
            <w:tcW w:w="2064" w:type="dxa"/>
            <w:noWrap w:val="0"/>
            <w:vAlign w:val="top"/>
          </w:tcPr>
          <w:p>
            <w:pPr>
              <w:pStyle w:val="24"/>
              <w:spacing w:line="360" w:lineRule="auto"/>
              <w:rPr>
                <w:rFonts w:hint="eastAsia" w:hAnsi="宋体"/>
              </w:rPr>
            </w:pPr>
          </w:p>
        </w:tc>
        <w:tc>
          <w:tcPr>
            <w:tcW w:w="1896" w:type="dxa"/>
            <w:noWrap w:val="0"/>
            <w:vAlign w:val="top"/>
          </w:tcPr>
          <w:p>
            <w:pPr>
              <w:pStyle w:val="24"/>
              <w:spacing w:line="360" w:lineRule="auto"/>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4"/>
              <w:spacing w:line="360" w:lineRule="auto"/>
              <w:jc w:val="center"/>
              <w:rPr>
                <w:rFonts w:hint="eastAsia" w:hAnsi="宋体"/>
              </w:rPr>
            </w:pPr>
            <w:r>
              <w:rPr>
                <w:rFonts w:hint="eastAsia" w:hAnsi="宋体"/>
              </w:rPr>
              <w:t>5</w:t>
            </w:r>
          </w:p>
        </w:tc>
        <w:tc>
          <w:tcPr>
            <w:tcW w:w="4500" w:type="dxa"/>
            <w:noWrap w:val="0"/>
            <w:vAlign w:val="center"/>
          </w:tcPr>
          <w:p>
            <w:pPr>
              <w:pStyle w:val="24"/>
              <w:spacing w:line="360" w:lineRule="auto"/>
              <w:rPr>
                <w:rFonts w:hint="eastAsia" w:hAnsi="宋体"/>
              </w:rPr>
            </w:pPr>
            <w:r>
              <w:rPr>
                <w:rFonts w:hint="eastAsia" w:hAnsi="宋体"/>
              </w:rPr>
              <w:t>服务时间响应</w:t>
            </w:r>
          </w:p>
        </w:tc>
        <w:tc>
          <w:tcPr>
            <w:tcW w:w="2064" w:type="dxa"/>
            <w:noWrap w:val="0"/>
            <w:vAlign w:val="top"/>
          </w:tcPr>
          <w:p>
            <w:pPr>
              <w:pStyle w:val="24"/>
              <w:spacing w:line="360" w:lineRule="auto"/>
              <w:rPr>
                <w:rFonts w:hint="eastAsia" w:hAnsi="宋体"/>
              </w:rPr>
            </w:pPr>
          </w:p>
        </w:tc>
        <w:tc>
          <w:tcPr>
            <w:tcW w:w="1896" w:type="dxa"/>
            <w:noWrap w:val="0"/>
            <w:vAlign w:val="top"/>
          </w:tcPr>
          <w:p>
            <w:pPr>
              <w:pStyle w:val="24"/>
              <w:spacing w:line="360" w:lineRule="auto"/>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4"/>
              <w:spacing w:line="360" w:lineRule="auto"/>
              <w:jc w:val="center"/>
              <w:rPr>
                <w:rFonts w:hint="eastAsia" w:hAnsi="宋体"/>
              </w:rPr>
            </w:pPr>
            <w:r>
              <w:rPr>
                <w:rFonts w:hint="eastAsia" w:hAnsi="宋体"/>
              </w:rPr>
              <w:t>6</w:t>
            </w:r>
          </w:p>
        </w:tc>
        <w:tc>
          <w:tcPr>
            <w:tcW w:w="4500" w:type="dxa"/>
            <w:noWrap w:val="0"/>
            <w:vAlign w:val="center"/>
          </w:tcPr>
          <w:p>
            <w:pPr>
              <w:pStyle w:val="24"/>
              <w:spacing w:line="360" w:lineRule="auto"/>
              <w:rPr>
                <w:rFonts w:hint="eastAsia" w:hAnsi="宋体"/>
              </w:rPr>
            </w:pPr>
            <w:r>
              <w:rPr>
                <w:rFonts w:hint="eastAsia" w:hAnsi="宋体"/>
              </w:rPr>
              <w:t>质保期满的保修服务费用</w:t>
            </w:r>
          </w:p>
        </w:tc>
        <w:tc>
          <w:tcPr>
            <w:tcW w:w="2064" w:type="dxa"/>
            <w:noWrap w:val="0"/>
            <w:vAlign w:val="top"/>
          </w:tcPr>
          <w:p>
            <w:pPr>
              <w:pStyle w:val="24"/>
              <w:spacing w:line="360" w:lineRule="auto"/>
              <w:rPr>
                <w:rFonts w:hint="eastAsia" w:hAnsi="宋体"/>
              </w:rPr>
            </w:pPr>
          </w:p>
        </w:tc>
        <w:tc>
          <w:tcPr>
            <w:tcW w:w="1896" w:type="dxa"/>
            <w:noWrap w:val="0"/>
            <w:vAlign w:val="top"/>
          </w:tcPr>
          <w:p>
            <w:pPr>
              <w:pStyle w:val="24"/>
              <w:spacing w:line="360" w:lineRule="auto"/>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4"/>
              <w:spacing w:line="360" w:lineRule="auto"/>
              <w:jc w:val="center"/>
              <w:rPr>
                <w:rFonts w:hint="eastAsia" w:hAnsi="宋体"/>
              </w:rPr>
            </w:pPr>
            <w:r>
              <w:rPr>
                <w:rFonts w:hint="eastAsia" w:hAnsi="宋体"/>
              </w:rPr>
              <w:t>7</w:t>
            </w:r>
          </w:p>
        </w:tc>
        <w:tc>
          <w:tcPr>
            <w:tcW w:w="4500" w:type="dxa"/>
            <w:noWrap w:val="0"/>
            <w:vAlign w:val="center"/>
          </w:tcPr>
          <w:p>
            <w:pPr>
              <w:pStyle w:val="24"/>
              <w:spacing w:line="360" w:lineRule="auto"/>
              <w:rPr>
                <w:rFonts w:hint="eastAsia" w:hAnsi="宋体"/>
              </w:rPr>
            </w:pPr>
            <w:r>
              <w:rPr>
                <w:rFonts w:hint="eastAsia" w:hAnsi="宋体"/>
              </w:rPr>
              <w:t>交货时间</w:t>
            </w:r>
          </w:p>
        </w:tc>
        <w:tc>
          <w:tcPr>
            <w:tcW w:w="2064" w:type="dxa"/>
            <w:noWrap w:val="0"/>
            <w:vAlign w:val="top"/>
          </w:tcPr>
          <w:p>
            <w:pPr>
              <w:pStyle w:val="24"/>
              <w:spacing w:line="360" w:lineRule="auto"/>
              <w:rPr>
                <w:rFonts w:hint="eastAsia" w:hAnsi="宋体"/>
              </w:rPr>
            </w:pPr>
          </w:p>
        </w:tc>
        <w:tc>
          <w:tcPr>
            <w:tcW w:w="1896" w:type="dxa"/>
            <w:noWrap w:val="0"/>
            <w:vAlign w:val="top"/>
          </w:tcPr>
          <w:p>
            <w:pPr>
              <w:pStyle w:val="24"/>
              <w:spacing w:line="360" w:lineRule="auto"/>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4"/>
              <w:spacing w:line="360" w:lineRule="auto"/>
              <w:jc w:val="center"/>
              <w:rPr>
                <w:rFonts w:hint="eastAsia" w:hAnsi="宋体"/>
              </w:rPr>
            </w:pPr>
            <w:r>
              <w:rPr>
                <w:rFonts w:hint="eastAsia" w:hAnsi="宋体"/>
              </w:rPr>
              <w:t>8</w:t>
            </w:r>
          </w:p>
        </w:tc>
        <w:tc>
          <w:tcPr>
            <w:tcW w:w="4500" w:type="dxa"/>
            <w:noWrap w:val="0"/>
            <w:vAlign w:val="center"/>
          </w:tcPr>
          <w:p>
            <w:pPr>
              <w:pStyle w:val="24"/>
              <w:spacing w:line="360" w:lineRule="auto"/>
              <w:rPr>
                <w:rFonts w:hint="eastAsia" w:hAnsi="宋体"/>
              </w:rPr>
            </w:pPr>
          </w:p>
        </w:tc>
        <w:tc>
          <w:tcPr>
            <w:tcW w:w="2064" w:type="dxa"/>
            <w:noWrap w:val="0"/>
            <w:vAlign w:val="top"/>
          </w:tcPr>
          <w:p>
            <w:pPr>
              <w:pStyle w:val="24"/>
              <w:spacing w:line="360" w:lineRule="auto"/>
              <w:rPr>
                <w:rFonts w:hint="eastAsia" w:hAnsi="宋体"/>
              </w:rPr>
            </w:pPr>
          </w:p>
        </w:tc>
        <w:tc>
          <w:tcPr>
            <w:tcW w:w="1896" w:type="dxa"/>
            <w:noWrap w:val="0"/>
            <w:vAlign w:val="top"/>
          </w:tcPr>
          <w:p>
            <w:pPr>
              <w:pStyle w:val="24"/>
              <w:spacing w:line="360" w:lineRule="auto"/>
              <w:rPr>
                <w:rFonts w:hint="eastAsia" w:hAnsi="宋体"/>
              </w:rPr>
            </w:pPr>
          </w:p>
        </w:tc>
      </w:tr>
    </w:tbl>
    <w:p>
      <w:pPr>
        <w:pStyle w:val="24"/>
        <w:spacing w:line="360" w:lineRule="auto"/>
        <w:ind w:firstLine="720" w:firstLineChars="300"/>
        <w:rPr>
          <w:rFonts w:hint="eastAsia" w:ascii="Times New Roman" w:hAnsi="Times New Roman"/>
        </w:rPr>
      </w:pPr>
    </w:p>
    <w:p>
      <w:pPr>
        <w:pStyle w:val="24"/>
        <w:spacing w:line="360" w:lineRule="auto"/>
        <w:ind w:firstLine="720" w:firstLineChars="300"/>
        <w:rPr>
          <w:rFonts w:hint="eastAsia" w:ascii="Times New Roman" w:hAnsi="Times New Roman"/>
        </w:rPr>
      </w:pPr>
    </w:p>
    <w:p>
      <w:pPr>
        <w:pStyle w:val="24"/>
        <w:spacing w:line="360" w:lineRule="auto"/>
        <w:ind w:firstLine="3960" w:firstLineChars="1650"/>
        <w:rPr>
          <w:rFonts w:hint="eastAsia" w:ascii="Times New Roman" w:hAnsi="Times New Roman"/>
        </w:rPr>
      </w:pPr>
      <w:r>
        <w:rPr>
          <w:rFonts w:hint="eastAsia" w:ascii="Times New Roman" w:hAnsi="Times New Roman"/>
        </w:rPr>
        <w:t>投标方（公章）：</w:t>
      </w:r>
    </w:p>
    <w:p>
      <w:pPr>
        <w:pStyle w:val="24"/>
        <w:spacing w:line="360" w:lineRule="auto"/>
        <w:ind w:firstLine="4680" w:firstLineChars="1950"/>
        <w:rPr>
          <w:rFonts w:hint="eastAsia" w:ascii="Times New Roman" w:hAnsi="Times New Roman"/>
        </w:rPr>
      </w:pPr>
      <w:r>
        <w:rPr>
          <w:rFonts w:hint="eastAsia" w:ascii="Times New Roman" w:hAnsi="Times New Roman"/>
        </w:rPr>
        <w:t>日期：</w:t>
      </w:r>
    </w:p>
    <w:p>
      <w:pPr>
        <w:widowControl/>
        <w:spacing w:before="100" w:beforeAutospacing="1" w:after="190"/>
        <w:rPr>
          <w:rFonts w:hint="eastAsia" w:ascii="宋体" w:hAnsi="宋体"/>
          <w:sz w:val="24"/>
        </w:rPr>
      </w:pPr>
      <w:r>
        <w:rPr>
          <w:rFonts w:ascii="宋体" w:hAnsi="宋体"/>
          <w:sz w:val="24"/>
        </w:rPr>
        <w:br w:type="page"/>
      </w:r>
      <w:r>
        <w:rPr>
          <w:rFonts w:hint="eastAsia" w:ascii="宋体" w:hAnsi="宋体"/>
          <w:sz w:val="24"/>
        </w:rPr>
        <w:t xml:space="preserve"> </w:t>
      </w:r>
      <w:r>
        <w:rPr>
          <w:rFonts w:hint="eastAsia" w:ascii="宋体" w:hAnsi="宋体"/>
          <w:b/>
          <w:sz w:val="24"/>
        </w:rPr>
        <w:t xml:space="preserve">附件11：府采购供应商诚信承诺书 </w:t>
      </w:r>
      <w:r>
        <w:rPr>
          <w:rFonts w:hint="eastAsia" w:ascii="宋体" w:hAnsi="宋体"/>
          <w:sz w:val="24"/>
        </w:rPr>
        <w:t xml:space="preserve">                </w:t>
      </w:r>
    </w:p>
    <w:p>
      <w:pPr>
        <w:widowControl/>
        <w:spacing w:before="100" w:beforeAutospacing="1" w:after="190"/>
        <w:jc w:val="center"/>
        <w:rPr>
          <w:rFonts w:ascii="Arial" w:hAnsi="Arial" w:cs="Arial"/>
          <w:kern w:val="0"/>
          <w:sz w:val="30"/>
          <w:szCs w:val="30"/>
        </w:rPr>
      </w:pPr>
      <w:r>
        <w:rPr>
          <w:rFonts w:ascii="Arial" w:hAnsi="Arial" w:cs="Arial"/>
          <w:b/>
          <w:bCs/>
          <w:kern w:val="0"/>
          <w:sz w:val="30"/>
          <w:szCs w:val="30"/>
        </w:rPr>
        <w:t>政府采购供应商诚信承诺书</w:t>
      </w:r>
    </w:p>
    <w:p>
      <w:pPr>
        <w:widowControl/>
        <w:spacing w:before="100" w:beforeAutospacing="1" w:after="190"/>
        <w:jc w:val="left"/>
        <w:rPr>
          <w:rFonts w:ascii="Arial" w:hAnsi="Arial" w:cs="Arial"/>
          <w:b/>
          <w:kern w:val="0"/>
          <w:sz w:val="24"/>
        </w:rPr>
      </w:pPr>
      <w:r>
        <w:rPr>
          <w:rFonts w:hint="eastAsia" w:ascii="Arial" w:hAnsi="Arial" w:cs="Arial"/>
          <w:b/>
          <w:kern w:val="0"/>
          <w:sz w:val="24"/>
        </w:rPr>
        <w:t>金华市公共资源交易</w:t>
      </w:r>
      <w:r>
        <w:rPr>
          <w:rFonts w:ascii="Arial" w:hAnsi="Arial" w:cs="Arial"/>
          <w:b/>
          <w:kern w:val="0"/>
          <w:sz w:val="24"/>
        </w:rPr>
        <w:t>中心</w:t>
      </w:r>
      <w:r>
        <w:rPr>
          <w:rFonts w:hint="eastAsia" w:ascii="Arial" w:hAnsi="Arial" w:cs="Arial"/>
          <w:b/>
          <w:kern w:val="0"/>
          <w:sz w:val="24"/>
        </w:rPr>
        <w:t>东阳分中心</w:t>
      </w:r>
      <w:r>
        <w:rPr>
          <w:rFonts w:ascii="Arial" w:hAnsi="Arial" w:cs="Arial"/>
          <w:b/>
          <w:kern w:val="0"/>
          <w:sz w:val="24"/>
        </w:rPr>
        <w:t>：</w:t>
      </w:r>
    </w:p>
    <w:p>
      <w:pPr>
        <w:ind w:firstLine="480" w:firstLineChars="200"/>
        <w:rPr>
          <w:sz w:val="24"/>
        </w:rPr>
      </w:pPr>
      <w:r>
        <w:rPr>
          <w:kern w:val="0"/>
          <w:sz w:val="24"/>
        </w:rPr>
        <w:t>我公司自愿参与贵中心组织的</w:t>
      </w:r>
      <w:r>
        <w:rPr>
          <w:rFonts w:hint="eastAsia"/>
          <w:kern w:val="0"/>
          <w:sz w:val="24"/>
          <w:u w:val="single"/>
        </w:rPr>
        <w:t xml:space="preserve">    </w:t>
      </w:r>
      <w:r>
        <w:rPr>
          <w:b/>
          <w:kern w:val="0"/>
          <w:sz w:val="24"/>
          <w:u w:val="single"/>
        </w:rPr>
        <w:t>项目</w:t>
      </w:r>
      <w:r>
        <w:rPr>
          <w:rFonts w:hint="eastAsia"/>
          <w:b/>
          <w:kern w:val="0"/>
          <w:sz w:val="24"/>
          <w:u w:val="single"/>
        </w:rPr>
        <w:t>（招标编号：DYCG2020-  ）</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288" w:lineRule="auto"/>
        <w:ind w:firstLine="480" w:firstLineChars="200"/>
        <w:rPr>
          <w:sz w:val="24"/>
        </w:rPr>
      </w:pPr>
      <w:r>
        <w:rPr>
          <w:sz w:val="24"/>
        </w:rPr>
        <w:t>（一）提供虚假材料谋取中标的；</w:t>
      </w:r>
    </w:p>
    <w:p>
      <w:pPr>
        <w:spacing w:line="288" w:lineRule="auto"/>
        <w:ind w:firstLine="480" w:firstLineChars="200"/>
        <w:rPr>
          <w:sz w:val="24"/>
        </w:rPr>
      </w:pPr>
      <w:r>
        <w:rPr>
          <w:sz w:val="24"/>
        </w:rPr>
        <w:t>（二）采取不正当手段诋毁、排挤</w:t>
      </w:r>
      <w:r>
        <w:fldChar w:fldCharType="begin"/>
      </w:r>
      <w:r>
        <w:instrText xml:space="preserve"> HYPERLINK "http://www.oh100.com/qita/" \t "_blank" </w:instrText>
      </w:r>
      <w:r>
        <w:fldChar w:fldCharType="separate"/>
      </w:r>
      <w:r>
        <w:rPr>
          <w:rStyle w:val="49"/>
          <w:color w:val="auto"/>
          <w:sz w:val="24"/>
        </w:rPr>
        <w:t>其他</w:t>
      </w:r>
      <w:r>
        <w:rPr>
          <w:sz w:val="24"/>
        </w:rPr>
        <w:fldChar w:fldCharType="end"/>
      </w:r>
      <w:r>
        <w:rPr>
          <w:sz w:val="24"/>
        </w:rPr>
        <w:t>供应商的；</w:t>
      </w:r>
    </w:p>
    <w:p>
      <w:pPr>
        <w:spacing w:line="288" w:lineRule="auto"/>
        <w:ind w:firstLine="480" w:firstLineChars="200"/>
        <w:rPr>
          <w:sz w:val="24"/>
        </w:rPr>
      </w:pPr>
      <w:r>
        <w:rPr>
          <w:sz w:val="24"/>
        </w:rPr>
        <w:t>（三）与招标采购单位、其他投标人恶意串通的；</w:t>
      </w:r>
    </w:p>
    <w:p>
      <w:pPr>
        <w:spacing w:line="288" w:lineRule="auto"/>
        <w:ind w:firstLine="480" w:firstLineChars="200"/>
        <w:rPr>
          <w:sz w:val="24"/>
        </w:rPr>
      </w:pPr>
      <w:r>
        <w:rPr>
          <w:sz w:val="24"/>
        </w:rPr>
        <w:t>（四）向招标采购单位行贿或提供其他不正当利益的；</w:t>
      </w:r>
    </w:p>
    <w:p>
      <w:pPr>
        <w:spacing w:line="288" w:lineRule="auto"/>
        <w:ind w:firstLine="480" w:firstLineChars="200"/>
        <w:rPr>
          <w:sz w:val="24"/>
        </w:rPr>
      </w:pPr>
      <w:r>
        <w:rPr>
          <w:sz w:val="24"/>
        </w:rPr>
        <w:t>（五）在招标过程中与招标采购单位进行协商谈判、不按照招标文件和投标文件订立合同，或者与采购人另立背离合同实质性内容协议的；</w:t>
      </w:r>
    </w:p>
    <w:p>
      <w:pPr>
        <w:spacing w:line="288" w:lineRule="auto"/>
        <w:ind w:firstLine="600" w:firstLineChars="250"/>
        <w:rPr>
          <w:sz w:val="24"/>
        </w:rPr>
      </w:pPr>
      <w:r>
        <w:rPr>
          <w:sz w:val="24"/>
        </w:rPr>
        <w:t>（</w:t>
      </w:r>
      <w:r>
        <w:rPr>
          <w:rFonts w:hint="eastAsia"/>
          <w:sz w:val="24"/>
        </w:rPr>
        <w:t>六</w:t>
      </w:r>
      <w:r>
        <w:rPr>
          <w:sz w:val="24"/>
        </w:rPr>
        <w:t>）中标后无正当理由，在规定时间内不与采购单位签订合同的；</w:t>
      </w:r>
    </w:p>
    <w:p>
      <w:pPr>
        <w:spacing w:line="288" w:lineRule="auto"/>
        <w:ind w:firstLine="600" w:firstLineChars="250"/>
        <w:rPr>
          <w:sz w:val="24"/>
        </w:rPr>
      </w:pPr>
      <w:r>
        <w:rPr>
          <w:sz w:val="24"/>
        </w:rPr>
        <w:t>（</w:t>
      </w:r>
      <w:r>
        <w:rPr>
          <w:rFonts w:hint="eastAsia"/>
          <w:sz w:val="24"/>
        </w:rPr>
        <w:t>七</w:t>
      </w:r>
      <w:r>
        <w:rPr>
          <w:sz w:val="24"/>
        </w:rPr>
        <w:t>）将中标项目转让给他人或非法分包他人的；</w:t>
      </w:r>
    </w:p>
    <w:p>
      <w:pPr>
        <w:spacing w:line="288" w:lineRule="auto"/>
        <w:ind w:firstLine="600" w:firstLineChars="250"/>
        <w:rPr>
          <w:sz w:val="24"/>
        </w:rPr>
      </w:pPr>
      <w:r>
        <w:rPr>
          <w:sz w:val="24"/>
        </w:rPr>
        <w:t>（</w:t>
      </w:r>
      <w:r>
        <w:rPr>
          <w:rFonts w:hint="eastAsia"/>
          <w:sz w:val="24"/>
        </w:rPr>
        <w:t>八</w:t>
      </w:r>
      <w:r>
        <w:rPr>
          <w:sz w:val="24"/>
        </w:rPr>
        <w:t>）无正当理由，拒绝履行合同义务的；</w:t>
      </w:r>
    </w:p>
    <w:p>
      <w:pPr>
        <w:spacing w:line="288" w:lineRule="auto"/>
        <w:ind w:firstLine="600" w:firstLineChars="250"/>
        <w:rPr>
          <w:sz w:val="24"/>
        </w:rPr>
      </w:pPr>
      <w:r>
        <w:rPr>
          <w:sz w:val="24"/>
        </w:rPr>
        <w:t>（</w:t>
      </w:r>
      <w:r>
        <w:rPr>
          <w:rFonts w:hint="eastAsia"/>
          <w:sz w:val="24"/>
        </w:rPr>
        <w:t>九</w:t>
      </w:r>
      <w:r>
        <w:rPr>
          <w:sz w:val="24"/>
        </w:rPr>
        <w:t>）无正当理由放弃中标（成交）项目的；</w:t>
      </w:r>
    </w:p>
    <w:p>
      <w:pPr>
        <w:spacing w:line="288" w:lineRule="auto"/>
        <w:ind w:firstLine="600" w:firstLineChars="250"/>
        <w:rPr>
          <w:sz w:val="24"/>
        </w:rPr>
      </w:pPr>
      <w:r>
        <w:rPr>
          <w:sz w:val="24"/>
        </w:rPr>
        <w:t>（十）擅自或与采购人串通或接受采购人要求，在履约合同中通过减少货物数量，更换品牌、降低配置、技术要求、质量和服务标准等，却仍按原合同进行虚假验收或终止政府采购合同的；</w:t>
      </w:r>
    </w:p>
    <w:p>
      <w:pPr>
        <w:spacing w:line="288" w:lineRule="auto"/>
        <w:ind w:firstLine="480" w:firstLineChars="200"/>
        <w:rPr>
          <w:sz w:val="24"/>
        </w:rPr>
      </w:pPr>
      <w:r>
        <w:rPr>
          <w:sz w:val="24"/>
        </w:rPr>
        <w:t>（十</w:t>
      </w:r>
      <w:r>
        <w:rPr>
          <w:rFonts w:hint="eastAsia"/>
          <w:sz w:val="24"/>
        </w:rPr>
        <w:t>一</w:t>
      </w:r>
      <w:r>
        <w:rPr>
          <w:sz w:val="24"/>
        </w:rPr>
        <w:t>）与采购人串通，对尚未履约完毕的采购项目出具虚假验收报告的；</w:t>
      </w:r>
    </w:p>
    <w:p>
      <w:pPr>
        <w:spacing w:line="288" w:lineRule="auto"/>
        <w:ind w:firstLine="480" w:firstLineChars="200"/>
        <w:rPr>
          <w:sz w:val="24"/>
        </w:rPr>
      </w:pPr>
      <w:r>
        <w:rPr>
          <w:sz w:val="24"/>
        </w:rPr>
        <w:t>（十</w:t>
      </w:r>
      <w:r>
        <w:rPr>
          <w:rFonts w:hint="eastAsia"/>
          <w:sz w:val="24"/>
        </w:rPr>
        <w:t>二</w:t>
      </w:r>
      <w:r>
        <w:rPr>
          <w:sz w:val="24"/>
        </w:rPr>
        <w:t>）无不可抗力因素，拒绝提供售后服务、售后服务态度恶劣、故意提高维修配件价格（高于市场平均价）的；</w:t>
      </w:r>
    </w:p>
    <w:p>
      <w:pPr>
        <w:spacing w:line="288" w:lineRule="auto"/>
        <w:ind w:firstLine="480" w:firstLineChars="200"/>
        <w:rPr>
          <w:sz w:val="24"/>
        </w:rPr>
      </w:pPr>
      <w:r>
        <w:rPr>
          <w:sz w:val="24"/>
        </w:rPr>
        <w:t>（十</w:t>
      </w:r>
      <w:r>
        <w:rPr>
          <w:rFonts w:hint="eastAsia"/>
          <w:sz w:val="24"/>
        </w:rPr>
        <w:t>三</w:t>
      </w:r>
      <w:r>
        <w:rPr>
          <w:sz w:val="24"/>
        </w:rPr>
        <w:t>）开标后对招标文件的相关内容再进行质疑的；</w:t>
      </w:r>
    </w:p>
    <w:p>
      <w:pPr>
        <w:spacing w:line="288" w:lineRule="auto"/>
        <w:ind w:firstLine="480" w:firstLineChars="200"/>
        <w:rPr>
          <w:sz w:val="24"/>
        </w:rPr>
      </w:pPr>
      <w:r>
        <w:rPr>
          <w:sz w:val="24"/>
        </w:rPr>
        <w:t>（十</w:t>
      </w:r>
      <w:r>
        <w:rPr>
          <w:rFonts w:hint="eastAsia"/>
          <w:sz w:val="24"/>
        </w:rPr>
        <w:t>四</w:t>
      </w:r>
      <w:r>
        <w:rPr>
          <w:sz w:val="24"/>
        </w:rPr>
        <w:t>）恶意投诉的行为：投诉经查无实据的、捏造事实或者提供虚假投诉材料的；</w:t>
      </w:r>
    </w:p>
    <w:p>
      <w:pPr>
        <w:spacing w:line="288" w:lineRule="auto"/>
        <w:ind w:firstLine="480" w:firstLineChars="200"/>
        <w:rPr>
          <w:sz w:val="24"/>
        </w:rPr>
      </w:pPr>
      <w:r>
        <w:rPr>
          <w:sz w:val="24"/>
        </w:rPr>
        <w:t>（十</w:t>
      </w:r>
      <w:r>
        <w:rPr>
          <w:rFonts w:hint="eastAsia"/>
          <w:sz w:val="24"/>
        </w:rPr>
        <w:t>五</w:t>
      </w:r>
      <w:r>
        <w:rPr>
          <w:sz w:val="24"/>
        </w:rPr>
        <w:t>）拒绝有关部门监督检查或者提供虚假情况的；</w:t>
      </w:r>
    </w:p>
    <w:p>
      <w:pPr>
        <w:spacing w:line="288" w:lineRule="auto"/>
        <w:ind w:firstLine="480" w:firstLineChars="200"/>
        <w:rPr>
          <w:sz w:val="24"/>
        </w:rPr>
      </w:pPr>
      <w:r>
        <w:rPr>
          <w:sz w:val="24"/>
        </w:rPr>
        <w:t>（十</w:t>
      </w:r>
      <w:r>
        <w:rPr>
          <w:rFonts w:hint="eastAsia"/>
          <w:sz w:val="24"/>
        </w:rPr>
        <w:t>六</w:t>
      </w:r>
      <w:r>
        <w:rPr>
          <w:sz w:val="24"/>
        </w:rPr>
        <w:t>）财政、监察部门认定的其他不诚信行为。</w:t>
      </w:r>
    </w:p>
    <w:p>
      <w:pPr>
        <w:spacing w:line="288" w:lineRule="auto"/>
        <w:ind w:firstLine="480" w:firstLineChars="200"/>
        <w:rPr>
          <w:sz w:val="24"/>
        </w:rPr>
      </w:pPr>
      <w:r>
        <w:rPr>
          <w:rFonts w:hint="eastAsia"/>
          <w:sz w:val="24"/>
        </w:rPr>
        <w:t>（十七）招标文件规定的其他不诚信行为。</w:t>
      </w:r>
    </w:p>
    <w:p>
      <w:pPr>
        <w:spacing w:line="288" w:lineRule="auto"/>
        <w:ind w:firstLine="5760" w:firstLineChars="2400"/>
        <w:rPr>
          <w:sz w:val="24"/>
        </w:rPr>
      </w:pPr>
      <w:r>
        <w:rPr>
          <w:sz w:val="24"/>
        </w:rPr>
        <w:t>公司名称</w:t>
      </w:r>
      <w:r>
        <w:rPr>
          <w:rFonts w:hint="eastAsia"/>
          <w:sz w:val="24"/>
        </w:rPr>
        <w:t>：</w:t>
      </w:r>
      <w:r>
        <w:rPr>
          <w:sz w:val="24"/>
        </w:rPr>
        <w:t>（盖章）</w:t>
      </w:r>
    </w:p>
    <w:p>
      <w:pPr>
        <w:spacing w:line="288" w:lineRule="auto"/>
        <w:ind w:firstLine="5760" w:firstLineChars="2400"/>
        <w:rPr>
          <w:rFonts w:ascii="宋体" w:hAnsi="宋体"/>
          <w:b/>
          <w:sz w:val="24"/>
        </w:rPr>
      </w:pPr>
      <w:r>
        <w:rPr>
          <w:sz w:val="24"/>
        </w:rPr>
        <w:t>年 月 日</w:t>
      </w:r>
    </w:p>
    <w:p>
      <w:pPr>
        <w:snapToGrid w:val="0"/>
        <w:spacing w:before="50" w:after="156" w:afterLines="50" w:line="360" w:lineRule="auto"/>
        <w:jc w:val="left"/>
        <w:rPr>
          <w:rFonts w:hint="eastAsia" w:ascii="宋体" w:hAnsi="宋体"/>
          <w:b/>
          <w:sz w:val="24"/>
        </w:rPr>
      </w:pPr>
    </w:p>
    <w:p>
      <w:pPr>
        <w:snapToGrid w:val="0"/>
        <w:spacing w:before="50" w:after="156" w:afterLines="50" w:line="360" w:lineRule="auto"/>
        <w:jc w:val="left"/>
        <w:rPr>
          <w:rFonts w:hint="eastAsia" w:ascii="宋体" w:hAnsi="宋体"/>
          <w:b/>
          <w:sz w:val="24"/>
        </w:rPr>
      </w:pPr>
    </w:p>
    <w:p>
      <w:pPr>
        <w:snapToGrid w:val="0"/>
        <w:spacing w:before="50" w:after="156" w:afterLines="50" w:line="360" w:lineRule="auto"/>
        <w:jc w:val="left"/>
        <w:rPr>
          <w:rFonts w:ascii="宋体" w:hAnsi="宋体"/>
          <w:b/>
          <w:sz w:val="24"/>
        </w:rPr>
      </w:pPr>
      <w:r>
        <w:rPr>
          <w:rFonts w:hint="eastAsia" w:ascii="宋体" w:hAnsi="宋体"/>
          <w:b/>
          <w:sz w:val="24"/>
        </w:rPr>
        <w:t>附件12：投标函格式：</w:t>
      </w:r>
    </w:p>
    <w:p>
      <w:pPr>
        <w:snapToGrid w:val="0"/>
        <w:spacing w:before="156" w:beforeLines="50" w:after="50" w:line="360" w:lineRule="auto"/>
        <w:jc w:val="center"/>
        <w:rPr>
          <w:rFonts w:ascii="宋体" w:hAnsi="宋体"/>
          <w:b/>
          <w:sz w:val="24"/>
          <w:szCs w:val="20"/>
        </w:rPr>
      </w:pPr>
      <w:r>
        <w:rPr>
          <w:rFonts w:hint="eastAsia" w:ascii="宋体" w:hAnsi="宋体"/>
          <w:b/>
          <w:sz w:val="24"/>
        </w:rPr>
        <w:t>投标函</w:t>
      </w:r>
    </w:p>
    <w:p>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_</w:t>
      </w:r>
      <w:r>
        <w:rPr>
          <w:rFonts w:hint="eastAsia" w:ascii="宋体" w:hAnsi="宋体"/>
          <w:sz w:val="24"/>
        </w:rPr>
        <w:t>（全名）经正式授权并代表投标人</w:t>
      </w:r>
      <w:r>
        <w:rPr>
          <w:rFonts w:ascii="宋体" w:hAnsi="宋体"/>
          <w:sz w:val="24"/>
        </w:rPr>
        <w:t>_____</w:t>
      </w:r>
      <w:r>
        <w:rPr>
          <w:rFonts w:ascii="宋体" w:hAnsi="宋体"/>
          <w:sz w:val="24"/>
          <w:u w:val="single"/>
        </w:rPr>
        <w:t>____</w:t>
      </w:r>
      <w:r>
        <w:rPr>
          <w:rFonts w:hint="eastAsia" w:ascii="宋体" w:hAnsi="宋体"/>
          <w:sz w:val="24"/>
        </w:rPr>
        <w:t>（投标人名称）提交电子投标文件一份，中标后提供资格响应文件、报价要求响应文件、商务技术响应文件正本各一份，副本各两份。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______</w:t>
      </w:r>
      <w:r>
        <w:rPr>
          <w:rFonts w:hint="eastAsia" w:ascii="宋体" w:hAnsi="宋体"/>
          <w:sz w:val="24"/>
        </w:rPr>
        <w:t>天。</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_</w:t>
      </w:r>
      <w:r>
        <w:rPr>
          <w:rFonts w:ascii="宋体" w:hAnsi="宋体"/>
          <w:sz w:val="24"/>
        </w:rPr>
        <w:t>____</w:t>
      </w:r>
      <w:r>
        <w:rPr>
          <w:rFonts w:hint="eastAsia" w:ascii="宋体" w:hAnsi="宋体"/>
          <w:sz w:val="24"/>
        </w:rPr>
        <w:t>邮编：</w:t>
      </w:r>
      <w:r>
        <w:rPr>
          <w:rFonts w:ascii="宋体" w:hAnsi="宋体"/>
          <w:sz w:val="24"/>
        </w:rPr>
        <w:t>__________</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___________</w:t>
      </w:r>
      <w:r>
        <w:rPr>
          <w:rFonts w:hint="eastAsia" w:ascii="宋体" w:hAnsi="宋体"/>
          <w:sz w:val="24"/>
        </w:rPr>
        <w:t>职务：</w:t>
      </w:r>
      <w:r>
        <w:rPr>
          <w:rFonts w:ascii="宋体" w:hAnsi="宋体"/>
          <w:sz w:val="24"/>
        </w:rPr>
        <w:t>_____________</w:t>
      </w:r>
    </w:p>
    <w:p>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pPr>
        <w:snapToGrid w:val="0"/>
        <w:spacing w:line="360" w:lineRule="auto"/>
        <w:rPr>
          <w:rFonts w:hint="eastAsia" w:ascii="宋体" w:hAnsi="宋体"/>
          <w:sz w:val="24"/>
        </w:rPr>
      </w:pPr>
      <w:r>
        <w:rPr>
          <w:rFonts w:hint="eastAsia" w:ascii="宋体" w:hAnsi="宋体"/>
          <w:sz w:val="24"/>
        </w:rPr>
        <w:t>授权代表签字</w:t>
      </w:r>
      <w:r>
        <w:rPr>
          <w:rFonts w:ascii="宋体" w:hAnsi="宋体"/>
          <w:sz w:val="24"/>
        </w:rPr>
        <w:t>:___________</w:t>
      </w:r>
    </w:p>
    <w:p>
      <w:pPr>
        <w:snapToGrid w:val="0"/>
        <w:spacing w:line="360" w:lineRule="auto"/>
        <w:rPr>
          <w:rFonts w:hint="eastAsia"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snapToGrid w:val="0"/>
        <w:spacing w:before="50" w:after="50" w:line="360" w:lineRule="auto"/>
        <w:ind w:left="-2" w:leftChars="-72" w:right="-817" w:rightChars="-389" w:hanging="149" w:hangingChars="62"/>
        <w:rPr>
          <w:rFonts w:hint="eastAsia" w:ascii="宋体" w:hAnsi="宋体"/>
          <w:b/>
          <w:sz w:val="24"/>
        </w:rPr>
      </w:pPr>
    </w:p>
    <w:p>
      <w:pPr>
        <w:snapToGrid w:val="0"/>
        <w:spacing w:before="50" w:after="50" w:line="360" w:lineRule="auto"/>
        <w:ind w:left="-2" w:leftChars="-72" w:right="-817" w:rightChars="-389" w:hanging="149" w:hangingChars="62"/>
        <w:rPr>
          <w:rFonts w:hint="eastAsia" w:ascii="宋体" w:hAnsi="宋体"/>
          <w:b/>
          <w:sz w:val="24"/>
        </w:rPr>
      </w:pPr>
    </w:p>
    <w:p>
      <w:pPr>
        <w:snapToGrid w:val="0"/>
        <w:spacing w:before="50" w:after="50" w:line="360" w:lineRule="auto"/>
        <w:ind w:left="-2" w:leftChars="-72" w:right="-817" w:rightChars="-389" w:hanging="149" w:hangingChars="62"/>
        <w:rPr>
          <w:rFonts w:hint="eastAsia" w:ascii="宋体" w:hAnsi="宋体"/>
          <w:b/>
          <w:sz w:val="24"/>
        </w:rPr>
      </w:pPr>
    </w:p>
    <w:p>
      <w:pPr>
        <w:snapToGrid w:val="0"/>
        <w:spacing w:before="50" w:after="50" w:line="360" w:lineRule="auto"/>
        <w:ind w:left="-2" w:leftChars="-72" w:right="-817" w:rightChars="-389" w:hanging="149" w:hangingChars="62"/>
        <w:rPr>
          <w:rFonts w:hint="eastAsia" w:ascii="宋体" w:hAnsi="宋体"/>
          <w:b/>
          <w:sz w:val="24"/>
        </w:rPr>
      </w:pPr>
    </w:p>
    <w:p>
      <w:pPr>
        <w:snapToGrid w:val="0"/>
        <w:spacing w:before="50" w:after="50" w:line="360" w:lineRule="auto"/>
        <w:ind w:left="-2" w:leftChars="-72" w:right="-817" w:rightChars="-389" w:hanging="149" w:hangingChars="62"/>
        <w:rPr>
          <w:rFonts w:hint="eastAsia" w:ascii="宋体" w:hAnsi="宋体"/>
          <w:b/>
          <w:sz w:val="24"/>
        </w:rPr>
      </w:pPr>
    </w:p>
    <w:p>
      <w:pPr>
        <w:snapToGrid w:val="0"/>
        <w:spacing w:before="50" w:after="50" w:line="360" w:lineRule="auto"/>
        <w:ind w:left="-2" w:leftChars="-72" w:right="-817" w:rightChars="-389" w:hanging="149" w:hangingChars="62"/>
        <w:rPr>
          <w:rFonts w:hint="eastAsia" w:ascii="宋体" w:hAnsi="宋体"/>
          <w:b/>
          <w:sz w:val="24"/>
        </w:rPr>
      </w:pPr>
    </w:p>
    <w:p>
      <w:pPr>
        <w:snapToGrid w:val="0"/>
        <w:spacing w:before="50" w:after="50" w:line="360" w:lineRule="auto"/>
        <w:ind w:left="-2" w:leftChars="-72" w:right="-817" w:rightChars="-389" w:hanging="149" w:hangingChars="62"/>
        <w:rPr>
          <w:rFonts w:hint="eastAsia" w:ascii="宋体" w:hAnsi="宋体"/>
          <w:sz w:val="24"/>
        </w:rPr>
      </w:pPr>
      <w:r>
        <w:rPr>
          <w:rFonts w:hint="eastAsia" w:ascii="宋体" w:hAnsi="宋体"/>
          <w:b/>
          <w:sz w:val="24"/>
        </w:rPr>
        <w:t>附件13：开标一览表</w:t>
      </w:r>
    </w:p>
    <w:p>
      <w:pPr>
        <w:snapToGrid w:val="0"/>
        <w:spacing w:before="50" w:after="50" w:line="360" w:lineRule="auto"/>
        <w:jc w:val="center"/>
        <w:rPr>
          <w:rFonts w:ascii="宋体" w:hAnsi="宋体"/>
          <w:b/>
          <w:sz w:val="30"/>
          <w:szCs w:val="20"/>
        </w:rPr>
      </w:pPr>
      <w:r>
        <w:rPr>
          <w:rFonts w:hint="eastAsia" w:ascii="宋体" w:hAnsi="宋体"/>
          <w:b/>
          <w:sz w:val="30"/>
        </w:rPr>
        <w:t>开标一览表</w:t>
      </w:r>
    </w:p>
    <w:p>
      <w:pPr>
        <w:snapToGrid w:val="0"/>
        <w:spacing w:before="50" w:after="50" w:line="360" w:lineRule="auto"/>
        <w:rPr>
          <w:rFonts w:hint="eastAsia" w:ascii="宋体" w:hAnsi="宋体"/>
          <w:sz w:val="24"/>
        </w:rPr>
      </w:pPr>
    </w:p>
    <w:p>
      <w:pPr>
        <w:snapToGrid w:val="0"/>
        <w:spacing w:before="50" w:after="50" w:line="360" w:lineRule="auto"/>
        <w:rPr>
          <w:rFonts w:hint="eastAsia" w:ascii="宋体" w:hAnsi="宋体"/>
          <w:sz w:val="24"/>
          <w:szCs w:val="20"/>
        </w:rPr>
      </w:pPr>
      <w:r>
        <w:rPr>
          <w:rFonts w:hint="eastAsia" w:ascii="宋体" w:hAnsi="宋体"/>
          <w:sz w:val="24"/>
        </w:rPr>
        <w:t>招标编号：                标项：                  单位：元</w:t>
      </w:r>
    </w:p>
    <w:tbl>
      <w:tblPr>
        <w:tblStyle w:val="42"/>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732"/>
        <w:gridCol w:w="682"/>
        <w:gridCol w:w="777"/>
        <w:gridCol w:w="1289"/>
        <w:gridCol w:w="1079"/>
        <w:gridCol w:w="718"/>
        <w:gridCol w:w="1261"/>
        <w:gridCol w:w="7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序号</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货物名称</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数量</w:t>
            </w:r>
          </w:p>
        </w:tc>
        <w:tc>
          <w:tcPr>
            <w:tcW w:w="7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产地</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品牌及厂家</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规格型号</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r>
              <w:rPr>
                <w:rFonts w:hint="eastAsia" w:ascii="宋体" w:hAnsi="宋体"/>
                <w:b/>
                <w:szCs w:val="30"/>
              </w:rPr>
              <w:t>单价</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投标报价</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r>
              <w:rPr>
                <w:rFonts w:hint="eastAsia" w:ascii="宋体" w:hAnsi="宋体"/>
                <w:b/>
                <w:szCs w:val="3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b/>
                <w:szCs w:val="30"/>
                <w:lang w:val="en-US" w:eastAsia="zh-CN"/>
              </w:rPr>
            </w:pPr>
            <w:r>
              <w:rPr>
                <w:rFonts w:hint="eastAsia" w:ascii="宋体" w:hAnsi="宋体"/>
                <w:b/>
                <w:szCs w:val="30"/>
                <w:lang w:val="en-US" w:eastAsia="zh-CN"/>
              </w:rPr>
              <w:t>1</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r>
              <w:rPr>
                <w:rFonts w:hint="eastAsia" w:ascii="宋体" w:hAnsi="宋体" w:cs="宋体"/>
                <w:color w:val="auto"/>
                <w:sz w:val="24"/>
                <w:highlight w:val="none"/>
              </w:rPr>
              <w:t>态势感知系统</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b/>
                <w:szCs w:val="30"/>
                <w:lang w:val="en-US" w:eastAsia="zh-CN"/>
              </w:rPr>
            </w:pPr>
            <w:r>
              <w:rPr>
                <w:rFonts w:hint="eastAsia" w:ascii="宋体" w:hAnsi="宋体"/>
                <w:b/>
                <w:szCs w:val="30"/>
                <w:lang w:val="en-US" w:eastAsia="zh-CN"/>
              </w:rPr>
              <w:t>2</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r>
              <w:rPr>
                <w:rFonts w:hint="eastAsia" w:ascii="宋体" w:hAnsi="宋体" w:cs="宋体"/>
                <w:color w:val="auto"/>
                <w:sz w:val="24"/>
                <w:highlight w:val="none"/>
              </w:rPr>
              <w:t>万兆上网行为管理设备</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b/>
                <w:szCs w:val="30"/>
                <w:lang w:val="en-US" w:eastAsia="zh-CN"/>
              </w:rPr>
            </w:pPr>
            <w:r>
              <w:rPr>
                <w:rFonts w:hint="eastAsia" w:ascii="宋体" w:hAnsi="宋体"/>
                <w:b/>
                <w:szCs w:val="30"/>
                <w:lang w:val="en-US" w:eastAsia="zh-CN"/>
              </w:rPr>
              <w:t>3</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r>
              <w:rPr>
                <w:rFonts w:hint="eastAsia" w:ascii="宋体" w:hAnsi="宋体" w:cs="宋体"/>
                <w:color w:val="auto"/>
                <w:sz w:val="24"/>
                <w:highlight w:val="none"/>
              </w:rPr>
              <w:t>核心交换机</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b/>
                <w:szCs w:val="30"/>
                <w:lang w:val="en-US" w:eastAsia="zh-CN"/>
              </w:rPr>
            </w:pPr>
            <w:r>
              <w:rPr>
                <w:rFonts w:hint="eastAsia" w:ascii="宋体" w:hAnsi="宋体"/>
                <w:b/>
                <w:szCs w:val="30"/>
                <w:lang w:val="en-US" w:eastAsia="zh-CN"/>
              </w:rPr>
              <w:t>4</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r>
              <w:rPr>
                <w:rFonts w:hint="eastAsia" w:ascii="宋体" w:hAnsi="宋体" w:cs="宋体"/>
                <w:color w:val="auto"/>
                <w:sz w:val="24"/>
                <w:highlight w:val="none"/>
              </w:rPr>
              <w:t>汇聚交换机</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b/>
                <w:szCs w:val="30"/>
                <w:lang w:val="en-US" w:eastAsia="zh-CN"/>
              </w:rPr>
            </w:pPr>
            <w:r>
              <w:rPr>
                <w:rFonts w:hint="eastAsia" w:ascii="宋体" w:hAnsi="宋体"/>
                <w:b/>
                <w:szCs w:val="30"/>
                <w:lang w:val="en-US" w:eastAsia="zh-CN"/>
              </w:rPr>
              <w:t>5</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学校出口交</w:t>
            </w:r>
            <w:r>
              <w:rPr>
                <w:rFonts w:hint="eastAsia" w:ascii="宋体" w:hAnsi="宋体" w:cs="宋体"/>
                <w:color w:val="auto"/>
                <w:kern w:val="0"/>
                <w:sz w:val="24"/>
                <w:highlight w:val="none"/>
              </w:rPr>
              <w:t>换机1</w:t>
            </w:r>
            <w:r>
              <w:rPr>
                <w:rFonts w:hint="eastAsia" w:ascii="宋体" w:hAnsi="宋体" w:cs="宋体"/>
                <w:color w:val="auto"/>
                <w:sz w:val="24"/>
                <w:highlight w:val="none"/>
              </w:rPr>
              <w:t xml:space="preserve"> </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b/>
                <w:szCs w:val="30"/>
                <w:lang w:val="en-US" w:eastAsia="zh-CN"/>
              </w:rPr>
            </w:pPr>
            <w:r>
              <w:rPr>
                <w:rFonts w:hint="eastAsia" w:ascii="宋体" w:hAnsi="宋体"/>
                <w:b/>
                <w:szCs w:val="30"/>
                <w:lang w:val="en-US" w:eastAsia="zh-CN"/>
              </w:rPr>
              <w:t>6</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 xml:space="preserve">学校出口交换机2 </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b/>
                <w:szCs w:val="30"/>
                <w:lang w:val="en-US" w:eastAsia="zh-CN"/>
              </w:rPr>
            </w:pPr>
            <w:r>
              <w:rPr>
                <w:rFonts w:hint="eastAsia" w:ascii="宋体" w:hAnsi="宋体"/>
                <w:b/>
                <w:szCs w:val="30"/>
                <w:lang w:val="en-US" w:eastAsia="zh-CN"/>
              </w:rPr>
              <w:t>7</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学校出口交换机3</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b/>
                <w:szCs w:val="30"/>
                <w:lang w:val="en-US" w:eastAsia="zh-CN"/>
              </w:rPr>
            </w:pPr>
            <w:r>
              <w:rPr>
                <w:rFonts w:hint="eastAsia" w:ascii="宋体" w:hAnsi="宋体"/>
                <w:b/>
                <w:szCs w:val="30"/>
                <w:lang w:val="en-US" w:eastAsia="zh-CN"/>
              </w:rPr>
              <w:t>8</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万兆光模块</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b/>
                <w:szCs w:val="30"/>
                <w:lang w:val="en-US" w:eastAsia="zh-CN"/>
              </w:rPr>
            </w:pPr>
            <w:r>
              <w:rPr>
                <w:rFonts w:hint="eastAsia" w:ascii="宋体" w:hAnsi="宋体"/>
                <w:b/>
                <w:szCs w:val="30"/>
                <w:lang w:val="en-US" w:eastAsia="zh-CN"/>
              </w:rPr>
              <w:t>9</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万兆光纤链路</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hAnsi="宋体" w:eastAsia="宋体"/>
                <w:b/>
                <w:szCs w:val="30"/>
                <w:lang w:val="en-US" w:eastAsia="zh-CN"/>
              </w:rPr>
            </w:pPr>
            <w:r>
              <w:rPr>
                <w:rFonts w:hint="eastAsia" w:ascii="宋体" w:hAnsi="宋体"/>
                <w:b/>
                <w:szCs w:val="30"/>
                <w:lang w:val="en-US" w:eastAsia="zh-CN"/>
              </w:rPr>
              <w:t>10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利旧设备维护</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hAnsi="宋体" w:eastAsia="宋体"/>
                <w:b/>
                <w:szCs w:val="30"/>
                <w:lang w:val="en-US" w:eastAsia="zh-CN"/>
              </w:rPr>
            </w:pPr>
            <w:r>
              <w:rPr>
                <w:rFonts w:hint="eastAsia" w:ascii="宋体" w:hAnsi="宋体"/>
                <w:b/>
                <w:szCs w:val="30"/>
                <w:lang w:val="en-US" w:eastAsia="zh-CN"/>
              </w:rPr>
              <w:t>11</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sz w:val="24"/>
                <w:highlight w:val="none"/>
                <w:lang w:val="en-US" w:eastAsia="zh-CN"/>
              </w:rPr>
            </w:pPr>
            <w:r>
              <w:rPr>
                <w:rFonts w:hint="eastAsia" w:ascii="宋体" w:hAnsi="宋体" w:cs="宋体"/>
                <w:color w:val="auto"/>
                <w:sz w:val="24"/>
                <w:highlight w:val="none"/>
              </w:rPr>
              <w:t>教育城域网互联网出口</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hAnsi="宋体"/>
                <w:b/>
                <w:szCs w:val="30"/>
                <w:lang w:val="en-US" w:eastAsia="zh-CN"/>
              </w:rPr>
            </w:pPr>
            <w:r>
              <w:rPr>
                <w:rFonts w:hint="eastAsia" w:ascii="宋体" w:hAnsi="宋体"/>
                <w:b/>
                <w:szCs w:val="30"/>
                <w:lang w:val="en-US" w:eastAsia="zh-CN"/>
              </w:rPr>
              <w:t>12</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运维服务</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hAnsi="宋体"/>
                <w:b/>
                <w:szCs w:val="30"/>
                <w:lang w:val="en-US" w:eastAsia="zh-CN"/>
              </w:rPr>
            </w:pPr>
            <w:r>
              <w:rPr>
                <w:rFonts w:hint="eastAsia" w:ascii="宋体" w:hAnsi="宋体"/>
                <w:b/>
                <w:szCs w:val="30"/>
                <w:lang w:val="en-US" w:eastAsia="zh-CN"/>
              </w:rPr>
              <w:t>13</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hAnsi="宋体"/>
                <w:b/>
                <w:szCs w:val="30"/>
                <w:lang w:val="en-US" w:eastAsia="zh-CN"/>
              </w:rPr>
            </w:pPr>
            <w:r>
              <w:rPr>
                <w:rFonts w:hint="eastAsia" w:ascii="宋体" w:hAnsi="宋体"/>
                <w:b/>
                <w:szCs w:val="30"/>
                <w:lang w:val="en-US" w:eastAsia="zh-CN"/>
              </w:rPr>
              <w:t>14</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s="宋体"/>
                <w:color w:val="auto"/>
                <w:sz w:val="24"/>
                <w:highlight w:val="none"/>
              </w:rPr>
            </w:pPr>
          </w:p>
        </w:tc>
        <w:tc>
          <w:tcPr>
            <w:tcW w:w="6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7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4"/>
                <w:szCs w:val="21"/>
              </w:rPr>
            </w:pPr>
            <w:r>
              <w:rPr>
                <w:rFonts w:hint="eastAsia" w:ascii="宋体" w:hAnsi="宋体"/>
                <w:sz w:val="24"/>
                <w:szCs w:val="21"/>
              </w:rPr>
              <w:t>合计金额大写（人民币）：                      ￥：</w:t>
            </w:r>
          </w:p>
        </w:tc>
      </w:tr>
    </w:tbl>
    <w:p>
      <w:pPr>
        <w:snapToGrid w:val="0"/>
        <w:spacing w:before="50" w:after="50" w:line="360" w:lineRule="auto"/>
        <w:jc w:val="left"/>
        <w:rPr>
          <w:rFonts w:ascii="宋体" w:hAnsi="宋体"/>
          <w:sz w:val="24"/>
          <w:szCs w:val="20"/>
        </w:rPr>
      </w:pPr>
      <w:r>
        <w:rPr>
          <w:rFonts w:hint="eastAsia" w:ascii="宋体" w:hAnsi="宋体"/>
          <w:sz w:val="24"/>
        </w:rPr>
        <w:t>注</w:t>
      </w:r>
      <w:r>
        <w:rPr>
          <w:rFonts w:ascii="宋体" w:hAnsi="宋体"/>
          <w:sz w:val="24"/>
        </w:rPr>
        <w:t>:1</w:t>
      </w:r>
      <w:r>
        <w:rPr>
          <w:rFonts w:hint="eastAsia" w:ascii="宋体" w:hAnsi="宋体"/>
          <w:sz w:val="24"/>
        </w:rPr>
        <w:t>、报价一经涂改，应在涂改处加盖单位公章或者由法定代表人或授权委托人签字或盖章，否则其投标作无效标处理。</w:t>
      </w:r>
    </w:p>
    <w:p>
      <w:pPr>
        <w:snapToGrid w:val="0"/>
        <w:spacing w:before="50" w:after="50" w:line="360" w:lineRule="auto"/>
        <w:ind w:firstLine="480" w:firstLineChars="200"/>
        <w:jc w:val="left"/>
        <w:rPr>
          <w:rFonts w:hint="eastAsia" w:ascii="宋体" w:hAnsi="宋体"/>
          <w:sz w:val="24"/>
        </w:rPr>
      </w:pPr>
      <w:r>
        <w:rPr>
          <w:rFonts w:hint="eastAsia" w:ascii="宋体" w:hAnsi="宋体"/>
          <w:sz w:val="24"/>
        </w:rPr>
        <w:t>2、投标费用包括项目实施所需的人工费、服务费、运输费、安装调试费、购买及制作标书费、税费及其他一切费用。</w:t>
      </w:r>
    </w:p>
    <w:p>
      <w:pPr>
        <w:snapToGrid w:val="0"/>
        <w:spacing w:before="50" w:after="50" w:line="360" w:lineRule="auto"/>
        <w:ind w:firstLine="480" w:firstLineChars="200"/>
        <w:jc w:val="left"/>
        <w:rPr>
          <w:rFonts w:hint="eastAsia" w:ascii="宋体" w:hAnsi="宋体"/>
          <w:sz w:val="24"/>
        </w:rPr>
      </w:pPr>
      <w:r>
        <w:rPr>
          <w:rFonts w:hint="eastAsia" w:ascii="宋体" w:hAnsi="宋体"/>
          <w:sz w:val="24"/>
        </w:rPr>
        <w:t>3、本表格式不允许修改，否则作无效标处理。</w:t>
      </w:r>
    </w:p>
    <w:p>
      <w:pPr>
        <w:snapToGrid w:val="0"/>
        <w:spacing w:before="50" w:after="50" w:line="360" w:lineRule="auto"/>
        <w:ind w:firstLine="480" w:firstLineChars="200"/>
        <w:jc w:val="left"/>
        <w:rPr>
          <w:rFonts w:ascii="宋体" w:hAnsi="宋体"/>
          <w:sz w:val="24"/>
          <w:szCs w:val="20"/>
        </w:rPr>
      </w:pPr>
    </w:p>
    <w:p>
      <w:pPr>
        <w:snapToGrid w:val="0"/>
        <w:spacing w:before="50" w:after="50" w:line="360" w:lineRule="auto"/>
        <w:ind w:left="-3" w:leftChars="-72" w:right="-817" w:rightChars="-389" w:hanging="148" w:hangingChars="62"/>
        <w:rPr>
          <w:rFonts w:hint="eastAsia" w:ascii="宋体" w:hAnsi="宋体"/>
          <w:sz w:val="24"/>
        </w:rPr>
      </w:pPr>
    </w:p>
    <w:p>
      <w:pPr>
        <w:snapToGrid w:val="0"/>
        <w:spacing w:before="50" w:after="50" w:line="360" w:lineRule="auto"/>
        <w:ind w:left="-3" w:leftChars="-72" w:right="-817" w:rightChars="-389" w:hanging="148" w:hangingChars="62"/>
        <w:rPr>
          <w:rFonts w:ascii="宋体" w:hAnsi="宋体"/>
          <w:sz w:val="24"/>
          <w:szCs w:val="20"/>
        </w:rPr>
      </w:pPr>
      <w:r>
        <w:rPr>
          <w:rFonts w:hint="eastAsia" w:ascii="宋体" w:hAnsi="宋体"/>
          <w:sz w:val="24"/>
        </w:rPr>
        <w:t>法定代表人或授权代表（签字或盖章）：</w:t>
      </w:r>
    </w:p>
    <w:p>
      <w:pPr>
        <w:snapToGrid w:val="0"/>
        <w:spacing w:before="50" w:after="50" w:line="360" w:lineRule="auto"/>
        <w:ind w:left="-3" w:leftChars="-72" w:right="-817" w:rightChars="-389" w:hanging="148" w:hangingChars="62"/>
        <w:rPr>
          <w:rFonts w:hint="eastAsia" w:ascii="宋体" w:hAnsi="宋体"/>
          <w:sz w:val="24"/>
        </w:rPr>
      </w:pPr>
      <w:r>
        <w:rPr>
          <w:rFonts w:hint="eastAsia" w:ascii="宋体" w:hAnsi="宋体"/>
          <w:sz w:val="24"/>
        </w:rPr>
        <w:t>投标人名称（盖章）：</w:t>
      </w:r>
    </w:p>
    <w:p>
      <w:pPr>
        <w:snapToGrid w:val="0"/>
        <w:spacing w:before="50" w:after="50" w:line="360" w:lineRule="auto"/>
        <w:ind w:left="-3" w:leftChars="-72" w:right="-817" w:rightChars="-389" w:hanging="148" w:hangingChars="62"/>
        <w:rPr>
          <w:rFonts w:hint="eastAsia" w:ascii="宋体" w:hAnsi="宋体"/>
          <w:sz w:val="24"/>
          <w:u w:val="single"/>
        </w:rPr>
      </w:pPr>
    </w:p>
    <w:p>
      <w:pPr>
        <w:snapToGrid w:val="0"/>
        <w:spacing w:before="50" w:after="50" w:line="360" w:lineRule="auto"/>
        <w:ind w:left="-3" w:leftChars="-72" w:right="-817" w:rightChars="-389" w:hanging="148" w:hangingChars="62"/>
        <w:rPr>
          <w:rFonts w:hint="eastAsia" w:ascii="宋体" w:hAnsi="宋体"/>
          <w:sz w:val="24"/>
          <w:u w:val="single"/>
        </w:rPr>
      </w:pPr>
    </w:p>
    <w:p>
      <w:pPr>
        <w:snapToGrid w:val="0"/>
        <w:spacing w:before="50" w:after="50" w:line="360" w:lineRule="auto"/>
        <w:ind w:left="-3" w:leftChars="-72" w:right="-817" w:rightChars="-389" w:hanging="148" w:hangingChars="62"/>
        <w:rPr>
          <w:rFonts w:hint="eastAsia" w:ascii="宋体" w:hAnsi="宋体"/>
          <w:sz w:val="24"/>
          <w:u w:val="single"/>
        </w:rPr>
      </w:pPr>
    </w:p>
    <w:p>
      <w:pPr>
        <w:snapToGrid w:val="0"/>
        <w:spacing w:before="50" w:after="50" w:line="360" w:lineRule="auto"/>
        <w:ind w:left="-3" w:leftChars="-72" w:right="-817" w:rightChars="-389" w:hanging="148" w:hangingChars="62"/>
        <w:rPr>
          <w:rFonts w:hint="eastAsia" w:ascii="宋体" w:hAnsi="宋体"/>
          <w:sz w:val="24"/>
          <w:u w:val="single"/>
        </w:rPr>
      </w:pPr>
    </w:p>
    <w:p>
      <w:pPr>
        <w:snapToGrid w:val="0"/>
        <w:spacing w:before="50" w:after="50" w:line="360" w:lineRule="auto"/>
        <w:ind w:left="-3" w:leftChars="-72" w:right="-817" w:rightChars="-389" w:hanging="148" w:hangingChars="62"/>
        <w:rPr>
          <w:rFonts w:hint="eastAsia" w:ascii="宋体" w:hAnsi="宋体"/>
          <w:sz w:val="24"/>
          <w:u w:val="single"/>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hint="eastAsia" w:ascii="宋体" w:hAnsi="宋体"/>
          <w:b/>
          <w:sz w:val="24"/>
        </w:rPr>
      </w:pPr>
    </w:p>
    <w:p>
      <w:pPr>
        <w:snapToGrid w:val="0"/>
        <w:spacing w:before="156" w:beforeLines="50" w:after="50"/>
        <w:rPr>
          <w:rFonts w:ascii="宋体" w:hAnsi="宋体"/>
          <w:b/>
          <w:sz w:val="24"/>
        </w:rPr>
      </w:pPr>
      <w:r>
        <w:rPr>
          <w:rFonts w:hint="eastAsia" w:ascii="宋体" w:hAnsi="宋体"/>
          <w:b/>
          <w:sz w:val="24"/>
        </w:rPr>
        <w:t>附件14：中小企业声明函：</w:t>
      </w:r>
    </w:p>
    <w:p>
      <w:pPr>
        <w:tabs>
          <w:tab w:val="left" w:pos="420"/>
        </w:tabs>
        <w:ind w:firstLine="482" w:firstLineChars="200"/>
        <w:jc w:val="center"/>
        <w:rPr>
          <w:rFonts w:hint="eastAsia" w:ascii="宋体" w:hAnsi="宋体" w:cs="Arial"/>
          <w:b/>
          <w:bCs/>
          <w:color w:val="auto"/>
          <w:kern w:val="0"/>
          <w:sz w:val="24"/>
        </w:rPr>
      </w:pPr>
      <w:r>
        <w:rPr>
          <w:rFonts w:hint="eastAsia" w:ascii="宋体" w:hAnsi="宋体" w:cs="Arial"/>
          <w:b/>
          <w:bCs/>
          <w:color w:val="auto"/>
          <w:kern w:val="0"/>
          <w:sz w:val="24"/>
        </w:rPr>
        <w:t>中小企业声明函（货物）</w:t>
      </w:r>
    </w:p>
    <w:p>
      <w:pPr>
        <w:rPr>
          <w:rFonts w:hint="eastAsia"/>
          <w:color w:val="auto"/>
        </w:rPr>
      </w:pPr>
    </w:p>
    <w:p>
      <w:pPr>
        <w:tabs>
          <w:tab w:val="left" w:pos="420"/>
        </w:tabs>
        <w:spacing w:line="360" w:lineRule="auto"/>
        <w:ind w:firstLine="480" w:firstLineChars="200"/>
        <w:jc w:val="left"/>
        <w:rPr>
          <w:rFonts w:hint="eastAsia" w:ascii="宋体" w:hAnsi="宋体" w:cs="Arial"/>
          <w:bCs/>
          <w:color w:val="auto"/>
          <w:kern w:val="0"/>
          <w:sz w:val="24"/>
        </w:rPr>
      </w:pPr>
      <w:r>
        <w:rPr>
          <w:rFonts w:hint="eastAsia" w:ascii="宋体" w:hAnsi="宋体" w:cs="Arial"/>
          <w:bCs/>
          <w:color w:val="auto"/>
          <w:kern w:val="0"/>
          <w:sz w:val="24"/>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采购活动，提供的货物全部由符合政策要求的中小企业制造。相关企业（含联合体中的中小企业、签订分包意向协议的中小企业）的具体情况如下：</w:t>
      </w:r>
    </w:p>
    <w:p>
      <w:pPr>
        <w:tabs>
          <w:tab w:val="left" w:pos="420"/>
        </w:tabs>
        <w:spacing w:line="360" w:lineRule="auto"/>
        <w:ind w:firstLine="480" w:firstLineChars="200"/>
        <w:jc w:val="left"/>
        <w:rPr>
          <w:rFonts w:hint="eastAsia" w:ascii="宋体" w:hAnsi="宋体" w:cs="Arial"/>
          <w:bCs/>
          <w:color w:val="auto"/>
          <w:kern w:val="0"/>
          <w:sz w:val="24"/>
        </w:rPr>
      </w:pPr>
      <w:r>
        <w:rPr>
          <w:rFonts w:hint="eastAsia" w:ascii="宋体" w:hAnsi="宋体" w:cs="Arial"/>
          <w:bCs/>
          <w:color w:val="auto"/>
          <w:kern w:val="0"/>
          <w:sz w:val="24"/>
        </w:rPr>
        <w:t>1. （标的名称） ，属于 （采购文件中明确的所属行业）行业 ；制造商为 （企业名称） ，从业人员_____人，营业收入为_____万元，资产总额为_____万元，属于__</w:t>
      </w:r>
      <w:r>
        <w:rPr>
          <w:rFonts w:hint="eastAsia" w:ascii="宋体" w:hAnsi="宋体" w:cs="Arial"/>
          <w:bCs/>
          <w:color w:val="auto"/>
          <w:kern w:val="0"/>
          <w:sz w:val="24"/>
          <w:u w:val="single"/>
        </w:rPr>
        <w:t xml:space="preserve">             </w:t>
      </w:r>
      <w:r>
        <w:rPr>
          <w:rFonts w:hint="eastAsia" w:ascii="宋体" w:hAnsi="宋体" w:cs="Arial"/>
          <w:bCs/>
          <w:color w:val="auto"/>
          <w:kern w:val="0"/>
          <w:sz w:val="24"/>
        </w:rPr>
        <w:t>（中型企业、小型企业、微型企业） ；</w:t>
      </w:r>
    </w:p>
    <w:p>
      <w:pPr>
        <w:tabs>
          <w:tab w:val="left" w:pos="420"/>
        </w:tabs>
        <w:spacing w:line="360" w:lineRule="auto"/>
        <w:ind w:firstLine="480" w:firstLineChars="200"/>
        <w:jc w:val="left"/>
        <w:rPr>
          <w:rFonts w:hint="eastAsia" w:ascii="宋体" w:hAnsi="宋体" w:cs="Arial"/>
          <w:bCs/>
          <w:color w:val="auto"/>
          <w:kern w:val="0"/>
          <w:sz w:val="24"/>
        </w:rPr>
      </w:pPr>
      <w:r>
        <w:rPr>
          <w:rFonts w:hint="eastAsia" w:ascii="宋体" w:hAnsi="宋体" w:cs="Arial"/>
          <w:bCs/>
          <w:color w:val="auto"/>
          <w:kern w:val="0"/>
          <w:sz w:val="24"/>
        </w:rPr>
        <w:t>2. （标的名称） ，属于 （采购文件中明确的所属行业）行业 ；制造商为 （企业名称） ，从业人员_____人，营业收入为_____万元，资产总额为_____元，属于__</w:t>
      </w:r>
      <w:r>
        <w:rPr>
          <w:rFonts w:hint="eastAsia" w:ascii="宋体" w:hAnsi="宋体" w:cs="Arial"/>
          <w:bCs/>
          <w:color w:val="auto"/>
          <w:kern w:val="0"/>
          <w:sz w:val="24"/>
          <w:u w:val="single"/>
        </w:rPr>
        <w:t xml:space="preserve">             </w:t>
      </w:r>
      <w:r>
        <w:rPr>
          <w:rFonts w:hint="eastAsia" w:ascii="宋体" w:hAnsi="宋体" w:cs="Arial"/>
          <w:bCs/>
          <w:color w:val="auto"/>
          <w:kern w:val="0"/>
          <w:sz w:val="24"/>
        </w:rPr>
        <w:t xml:space="preserve"> （中型企业、小型企业、微型企业） ；以上企业，不属于大企业的分支机构，不存在控股股东为大企业的情形，也不存在与大企业的负责人为同一人的情形。</w:t>
      </w:r>
    </w:p>
    <w:p>
      <w:pPr>
        <w:tabs>
          <w:tab w:val="left" w:pos="420"/>
        </w:tabs>
        <w:spacing w:line="360" w:lineRule="auto"/>
        <w:ind w:firstLine="480" w:firstLineChars="200"/>
        <w:jc w:val="left"/>
        <w:rPr>
          <w:rFonts w:hint="eastAsia" w:ascii="宋体" w:hAnsi="宋体" w:cs="Arial"/>
          <w:bCs/>
          <w:color w:val="auto"/>
          <w:kern w:val="0"/>
          <w:sz w:val="24"/>
        </w:rPr>
      </w:pPr>
      <w:r>
        <w:rPr>
          <w:rFonts w:hint="eastAsia" w:ascii="宋体" w:hAnsi="宋体" w:cs="Arial"/>
          <w:bCs/>
          <w:color w:val="auto"/>
          <w:kern w:val="0"/>
          <w:sz w:val="24"/>
        </w:rPr>
        <w:t>本企业对上述声明内容的真实性负责。如有虚假，将依法承担相应责任。</w:t>
      </w:r>
    </w:p>
    <w:p>
      <w:pPr>
        <w:tabs>
          <w:tab w:val="left" w:pos="420"/>
        </w:tabs>
        <w:spacing w:line="360" w:lineRule="auto"/>
        <w:ind w:firstLine="480" w:firstLineChars="200"/>
        <w:jc w:val="left"/>
        <w:rPr>
          <w:rFonts w:hint="eastAsia" w:ascii="宋体" w:hAnsi="宋体" w:cs="Arial"/>
          <w:bCs/>
          <w:color w:val="auto"/>
          <w:kern w:val="0"/>
          <w:sz w:val="24"/>
        </w:rPr>
      </w:pPr>
    </w:p>
    <w:p>
      <w:pPr>
        <w:tabs>
          <w:tab w:val="left" w:pos="420"/>
        </w:tabs>
        <w:spacing w:line="360" w:lineRule="auto"/>
        <w:ind w:firstLine="480" w:firstLineChars="200"/>
        <w:jc w:val="right"/>
        <w:rPr>
          <w:rFonts w:hint="eastAsia" w:ascii="宋体" w:hAnsi="宋体" w:cs="Arial"/>
          <w:bCs/>
          <w:color w:val="auto"/>
          <w:kern w:val="0"/>
          <w:sz w:val="24"/>
        </w:rPr>
      </w:pPr>
      <w:r>
        <w:rPr>
          <w:rFonts w:hint="eastAsia" w:ascii="宋体" w:hAnsi="宋体" w:cs="Arial"/>
          <w:bCs/>
          <w:color w:val="auto"/>
          <w:kern w:val="0"/>
          <w:sz w:val="24"/>
        </w:rPr>
        <w:t>企业名称（盖章）：</w:t>
      </w:r>
    </w:p>
    <w:p>
      <w:pPr>
        <w:tabs>
          <w:tab w:val="left" w:pos="420"/>
        </w:tabs>
        <w:spacing w:before="100" w:beforeAutospacing="1" w:after="100" w:afterAutospacing="1" w:line="360" w:lineRule="auto"/>
        <w:ind w:firstLine="480" w:firstLineChars="200"/>
        <w:jc w:val="right"/>
        <w:rPr>
          <w:rFonts w:hint="eastAsia" w:ascii="宋体" w:hAnsi="宋体" w:cs="Arial"/>
          <w:bCs/>
          <w:color w:val="auto"/>
          <w:kern w:val="0"/>
          <w:sz w:val="24"/>
        </w:rPr>
      </w:pPr>
      <w:r>
        <w:rPr>
          <w:rFonts w:hint="eastAsia" w:ascii="宋体" w:hAnsi="宋体" w:cs="Arial"/>
          <w:bCs/>
          <w:color w:val="auto"/>
          <w:kern w:val="0"/>
          <w:sz w:val="24"/>
        </w:rPr>
        <w:t>日 期：</w:t>
      </w:r>
    </w:p>
    <w:p>
      <w:pPr>
        <w:tabs>
          <w:tab w:val="left" w:pos="420"/>
        </w:tabs>
        <w:spacing w:before="100" w:beforeAutospacing="1" w:after="100" w:afterAutospacing="1"/>
        <w:rPr>
          <w:rFonts w:hint="eastAsia" w:ascii="宋体" w:hAnsi="宋体" w:cs="Arial"/>
          <w:b/>
          <w:bCs/>
          <w:color w:val="auto"/>
          <w:kern w:val="0"/>
          <w:sz w:val="24"/>
        </w:rPr>
      </w:pPr>
      <w:r>
        <w:rPr>
          <w:rFonts w:hint="eastAsia" w:ascii="宋体" w:hAnsi="宋体" w:cs="Arial"/>
          <w:b/>
          <w:bCs/>
          <w:color w:val="auto"/>
          <w:kern w:val="0"/>
          <w:sz w:val="24"/>
        </w:rPr>
        <w:t>注：</w:t>
      </w:r>
    </w:p>
    <w:p>
      <w:pPr>
        <w:tabs>
          <w:tab w:val="left" w:pos="420"/>
        </w:tabs>
        <w:spacing w:before="100" w:beforeAutospacing="1" w:after="100" w:afterAutospacing="1"/>
        <w:rPr>
          <w:rFonts w:hint="eastAsia" w:ascii="宋体" w:hAnsi="宋体"/>
          <w:b/>
          <w:color w:val="auto"/>
          <w:szCs w:val="21"/>
        </w:rPr>
      </w:pPr>
      <w:r>
        <w:rPr>
          <w:rFonts w:hint="eastAsia" w:ascii="宋体" w:hAnsi="宋体" w:cs="Arial"/>
          <w:b/>
          <w:bCs/>
          <w:color w:val="auto"/>
          <w:kern w:val="0"/>
          <w:sz w:val="24"/>
        </w:rPr>
        <w:t>1、</w:t>
      </w:r>
      <w:r>
        <w:rPr>
          <w:rFonts w:hint="eastAsia" w:ascii="宋体" w:hAnsi="宋体"/>
          <w:b/>
          <w:color w:val="auto"/>
          <w:szCs w:val="21"/>
        </w:rPr>
        <w:t>如投标产品由小微企业生产，则需提供中小企业声明函。</w:t>
      </w:r>
    </w:p>
    <w:p>
      <w:pPr>
        <w:tabs>
          <w:tab w:val="left" w:pos="420"/>
        </w:tabs>
        <w:spacing w:before="100" w:beforeAutospacing="1" w:after="100" w:afterAutospacing="1"/>
        <w:rPr>
          <w:rFonts w:ascii="宋体" w:hAnsi="宋体"/>
          <w:b/>
          <w:color w:val="auto"/>
          <w:szCs w:val="21"/>
        </w:rPr>
      </w:pPr>
      <w:r>
        <w:rPr>
          <w:rFonts w:hint="eastAsia" w:ascii="宋体" w:hAnsi="宋体"/>
          <w:b/>
          <w:color w:val="auto"/>
          <w:szCs w:val="21"/>
        </w:rPr>
        <w:t>2、小微企业提供的货物既有中小企业制造货物，也有大型企业制造货物的，不享受中小企业扶持政策。</w:t>
      </w:r>
    </w:p>
    <w:p>
      <w:pPr>
        <w:tabs>
          <w:tab w:val="left" w:pos="420"/>
        </w:tabs>
        <w:spacing w:before="100" w:beforeAutospacing="1" w:after="100" w:afterAutospacing="1"/>
        <w:rPr>
          <w:rFonts w:hint="eastAsia" w:ascii="宋体" w:hAnsi="宋体"/>
          <w:b/>
          <w:color w:val="auto"/>
          <w:szCs w:val="21"/>
        </w:rPr>
      </w:pPr>
      <w:r>
        <w:rPr>
          <w:rFonts w:hint="eastAsia" w:ascii="宋体" w:hAnsi="宋体"/>
          <w:b/>
          <w:color w:val="auto"/>
          <w:szCs w:val="21"/>
        </w:rPr>
        <w:t>3、如中标人声明为小微企业，本声明函将随中标结果同时公告，接受社会监督。</w:t>
      </w:r>
    </w:p>
    <w:p>
      <w:pPr>
        <w:tabs>
          <w:tab w:val="left" w:pos="420"/>
        </w:tabs>
        <w:spacing w:before="100" w:beforeAutospacing="1" w:after="100" w:afterAutospacing="1"/>
        <w:rPr>
          <w:rFonts w:hint="eastAsia" w:ascii="宋体" w:hAnsi="宋体"/>
          <w:b/>
          <w:color w:val="auto"/>
          <w:szCs w:val="21"/>
        </w:rPr>
      </w:pPr>
    </w:p>
    <w:p>
      <w:pPr>
        <w:tabs>
          <w:tab w:val="left" w:pos="420"/>
        </w:tabs>
        <w:spacing w:before="100" w:beforeAutospacing="1" w:after="100" w:afterAutospacing="1"/>
        <w:rPr>
          <w:rFonts w:hint="eastAsia" w:ascii="宋体" w:hAnsi="宋体"/>
          <w:b/>
          <w:color w:val="auto"/>
          <w:szCs w:val="21"/>
        </w:rPr>
      </w:pPr>
    </w:p>
    <w:p>
      <w:pPr>
        <w:tabs>
          <w:tab w:val="left" w:pos="420"/>
        </w:tabs>
        <w:spacing w:before="100" w:beforeAutospacing="1" w:after="100" w:afterAutospacing="1"/>
        <w:rPr>
          <w:rFonts w:hint="eastAsia" w:ascii="宋体" w:hAnsi="宋体"/>
          <w:b/>
          <w:color w:val="auto"/>
          <w:szCs w:val="21"/>
        </w:rPr>
      </w:pPr>
    </w:p>
    <w:p>
      <w:pPr>
        <w:tabs>
          <w:tab w:val="left" w:pos="420"/>
        </w:tabs>
        <w:ind w:firstLine="482" w:firstLineChars="200"/>
        <w:jc w:val="center"/>
        <w:rPr>
          <w:rFonts w:hint="eastAsia" w:ascii="宋体" w:hAnsi="宋体" w:cs="Arial"/>
          <w:b/>
          <w:bCs/>
          <w:color w:val="auto"/>
          <w:kern w:val="0"/>
          <w:sz w:val="24"/>
        </w:rPr>
      </w:pPr>
      <w:r>
        <w:rPr>
          <w:rFonts w:hint="eastAsia" w:ascii="宋体" w:hAnsi="宋体" w:cs="Arial"/>
          <w:b/>
          <w:bCs/>
          <w:color w:val="auto"/>
          <w:kern w:val="0"/>
          <w:sz w:val="24"/>
        </w:rPr>
        <w:t>中小企业声明函（服务）</w:t>
      </w:r>
    </w:p>
    <w:p>
      <w:pPr>
        <w:rPr>
          <w:rFonts w:hint="eastAsia"/>
          <w:color w:val="auto"/>
        </w:rPr>
      </w:pPr>
    </w:p>
    <w:p>
      <w:pPr>
        <w:tabs>
          <w:tab w:val="left" w:pos="420"/>
        </w:tabs>
        <w:spacing w:line="360" w:lineRule="auto"/>
        <w:ind w:firstLine="480" w:firstLineChars="200"/>
        <w:jc w:val="left"/>
        <w:rPr>
          <w:rFonts w:hint="eastAsia" w:ascii="宋体" w:hAnsi="宋体" w:cs="Arial"/>
          <w:bCs/>
          <w:color w:val="auto"/>
          <w:kern w:val="0"/>
          <w:sz w:val="24"/>
        </w:rPr>
      </w:pPr>
      <w:r>
        <w:rPr>
          <w:rFonts w:hint="eastAsia" w:ascii="宋体" w:hAnsi="宋体" w:cs="Arial"/>
          <w:bCs/>
          <w:color w:val="auto"/>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pPr>
        <w:tabs>
          <w:tab w:val="left" w:pos="420"/>
        </w:tabs>
        <w:spacing w:line="360" w:lineRule="auto"/>
        <w:ind w:firstLine="480" w:firstLineChars="200"/>
        <w:jc w:val="left"/>
        <w:rPr>
          <w:rFonts w:hint="eastAsia" w:ascii="宋体" w:hAnsi="宋体" w:cs="Arial"/>
          <w:bCs/>
          <w:color w:val="auto"/>
          <w:kern w:val="0"/>
          <w:sz w:val="24"/>
        </w:rPr>
      </w:pPr>
      <w:r>
        <w:rPr>
          <w:rFonts w:hint="eastAsia" w:ascii="宋体" w:hAnsi="宋体" w:cs="Arial"/>
          <w:bCs/>
          <w:color w:val="auto"/>
          <w:kern w:val="0"/>
          <w:sz w:val="24"/>
        </w:rPr>
        <w:t>1. （标的名称） ，属于 （采购文件中明确的所属行业）行业 ；承接企业为____</w:t>
      </w:r>
      <w:r>
        <w:rPr>
          <w:rFonts w:hint="eastAsia" w:ascii="宋体" w:hAnsi="宋体" w:cs="Arial"/>
          <w:bCs/>
          <w:color w:val="auto"/>
          <w:kern w:val="0"/>
          <w:sz w:val="24"/>
          <w:u w:val="single"/>
        </w:rPr>
        <w:t xml:space="preserve">      </w:t>
      </w:r>
      <w:r>
        <w:rPr>
          <w:rFonts w:hint="eastAsia" w:ascii="宋体" w:hAnsi="宋体" w:cs="Arial"/>
          <w:bCs/>
          <w:color w:val="auto"/>
          <w:kern w:val="0"/>
          <w:sz w:val="24"/>
        </w:rPr>
        <w:t>_（企业名称） ，从业人员_____人，营业收入为_____万元，资产总额为_____万元，属于__</w:t>
      </w:r>
      <w:r>
        <w:rPr>
          <w:rFonts w:hint="eastAsia" w:ascii="宋体" w:hAnsi="宋体" w:cs="Arial"/>
          <w:bCs/>
          <w:color w:val="auto"/>
          <w:kern w:val="0"/>
          <w:sz w:val="24"/>
          <w:u w:val="single"/>
        </w:rPr>
        <w:t xml:space="preserve">             </w:t>
      </w:r>
      <w:r>
        <w:rPr>
          <w:rFonts w:hint="eastAsia" w:ascii="宋体" w:hAnsi="宋体" w:cs="Arial"/>
          <w:bCs/>
          <w:color w:val="auto"/>
          <w:kern w:val="0"/>
          <w:sz w:val="24"/>
        </w:rPr>
        <w:t>（中型企业、小型企业、微型企业） ；</w:t>
      </w:r>
    </w:p>
    <w:p>
      <w:pPr>
        <w:tabs>
          <w:tab w:val="left" w:pos="420"/>
        </w:tabs>
        <w:spacing w:line="360" w:lineRule="auto"/>
        <w:ind w:firstLine="480" w:firstLineChars="200"/>
        <w:jc w:val="left"/>
        <w:rPr>
          <w:rFonts w:hint="eastAsia" w:ascii="宋体" w:hAnsi="宋体" w:cs="Arial"/>
          <w:bCs/>
          <w:color w:val="auto"/>
          <w:kern w:val="0"/>
          <w:sz w:val="24"/>
        </w:rPr>
      </w:pPr>
      <w:r>
        <w:rPr>
          <w:rFonts w:hint="eastAsia" w:ascii="宋体" w:hAnsi="宋体" w:cs="Arial"/>
          <w:bCs/>
          <w:color w:val="auto"/>
          <w:kern w:val="0"/>
          <w:sz w:val="24"/>
        </w:rPr>
        <w:t>2. （标的名称） ，属于 （采购文件中明确的所属行业）行业 ；承接企业为____</w:t>
      </w:r>
      <w:r>
        <w:rPr>
          <w:rFonts w:hint="eastAsia" w:ascii="宋体" w:hAnsi="宋体" w:cs="Arial"/>
          <w:bCs/>
          <w:color w:val="auto"/>
          <w:kern w:val="0"/>
          <w:sz w:val="24"/>
          <w:u w:val="single"/>
        </w:rPr>
        <w:t xml:space="preserve">      </w:t>
      </w:r>
      <w:r>
        <w:rPr>
          <w:rFonts w:hint="eastAsia" w:ascii="宋体" w:hAnsi="宋体" w:cs="Arial"/>
          <w:bCs/>
          <w:color w:val="auto"/>
          <w:kern w:val="0"/>
          <w:sz w:val="24"/>
        </w:rPr>
        <w:t>_（企业名称） ，从业人员_____人，营业收入为_____万元，资产总额为_____元，属于__</w:t>
      </w:r>
      <w:r>
        <w:rPr>
          <w:rFonts w:hint="eastAsia" w:ascii="宋体" w:hAnsi="宋体" w:cs="Arial"/>
          <w:bCs/>
          <w:color w:val="auto"/>
          <w:kern w:val="0"/>
          <w:sz w:val="24"/>
          <w:u w:val="single"/>
        </w:rPr>
        <w:t xml:space="preserve">             </w:t>
      </w:r>
      <w:r>
        <w:rPr>
          <w:rFonts w:hint="eastAsia" w:ascii="宋体" w:hAnsi="宋体" w:cs="Arial"/>
          <w:bCs/>
          <w:color w:val="auto"/>
          <w:kern w:val="0"/>
          <w:sz w:val="24"/>
        </w:rPr>
        <w:t xml:space="preserve"> （中型企业、小型企业、微型企业） ；以上企业，不属于大企业的分支机构，不存在控股股东为大企业的情形，也不存在与大企业的负责人为同一人的情形。</w:t>
      </w:r>
    </w:p>
    <w:p>
      <w:pPr>
        <w:tabs>
          <w:tab w:val="left" w:pos="420"/>
        </w:tabs>
        <w:spacing w:line="360" w:lineRule="auto"/>
        <w:ind w:firstLine="480" w:firstLineChars="200"/>
        <w:jc w:val="left"/>
        <w:rPr>
          <w:rFonts w:hint="eastAsia" w:ascii="宋体" w:hAnsi="宋体" w:cs="Arial"/>
          <w:bCs/>
          <w:color w:val="auto"/>
          <w:kern w:val="0"/>
          <w:sz w:val="24"/>
        </w:rPr>
      </w:pPr>
      <w:r>
        <w:rPr>
          <w:rFonts w:hint="eastAsia" w:ascii="宋体" w:hAnsi="宋体" w:cs="Arial"/>
          <w:bCs/>
          <w:color w:val="auto"/>
          <w:kern w:val="0"/>
          <w:sz w:val="24"/>
        </w:rPr>
        <w:t>本企业对上述声明内容的真实性负责。如有虚假，将依法承担相应责任。</w:t>
      </w:r>
    </w:p>
    <w:p>
      <w:pPr>
        <w:tabs>
          <w:tab w:val="left" w:pos="420"/>
        </w:tabs>
        <w:spacing w:line="360" w:lineRule="auto"/>
        <w:ind w:firstLine="480" w:firstLineChars="200"/>
        <w:jc w:val="left"/>
        <w:rPr>
          <w:rFonts w:hint="eastAsia" w:ascii="宋体" w:hAnsi="宋体" w:cs="Arial"/>
          <w:bCs/>
          <w:color w:val="auto"/>
          <w:kern w:val="0"/>
          <w:sz w:val="24"/>
        </w:rPr>
      </w:pPr>
    </w:p>
    <w:p>
      <w:pPr>
        <w:tabs>
          <w:tab w:val="left" w:pos="420"/>
        </w:tabs>
        <w:spacing w:line="360" w:lineRule="auto"/>
        <w:ind w:firstLine="480" w:firstLineChars="200"/>
        <w:jc w:val="right"/>
        <w:rPr>
          <w:rFonts w:hint="eastAsia" w:ascii="宋体" w:hAnsi="宋体" w:cs="Arial"/>
          <w:bCs/>
          <w:color w:val="auto"/>
          <w:kern w:val="0"/>
          <w:sz w:val="24"/>
        </w:rPr>
      </w:pPr>
      <w:r>
        <w:rPr>
          <w:rFonts w:hint="eastAsia" w:ascii="宋体" w:hAnsi="宋体" w:cs="Arial"/>
          <w:bCs/>
          <w:color w:val="auto"/>
          <w:kern w:val="0"/>
          <w:sz w:val="24"/>
        </w:rPr>
        <w:t>企业名称（盖章）：</w:t>
      </w:r>
    </w:p>
    <w:p>
      <w:pPr>
        <w:tabs>
          <w:tab w:val="left" w:pos="420"/>
        </w:tabs>
        <w:spacing w:before="100" w:beforeAutospacing="1" w:after="100" w:afterAutospacing="1" w:line="360" w:lineRule="auto"/>
        <w:ind w:firstLine="480" w:firstLineChars="200"/>
        <w:jc w:val="right"/>
        <w:rPr>
          <w:rFonts w:hint="eastAsia" w:ascii="宋体" w:hAnsi="宋体" w:cs="Arial"/>
          <w:bCs/>
          <w:color w:val="auto"/>
          <w:kern w:val="0"/>
          <w:sz w:val="24"/>
        </w:rPr>
      </w:pPr>
      <w:r>
        <w:rPr>
          <w:rFonts w:hint="eastAsia" w:ascii="宋体" w:hAnsi="宋体" w:cs="Arial"/>
          <w:bCs/>
          <w:color w:val="auto"/>
          <w:kern w:val="0"/>
          <w:sz w:val="24"/>
        </w:rPr>
        <w:t>日 期：</w:t>
      </w:r>
    </w:p>
    <w:p>
      <w:pPr>
        <w:tabs>
          <w:tab w:val="left" w:pos="420"/>
        </w:tabs>
        <w:spacing w:before="100" w:beforeAutospacing="1" w:after="100" w:afterAutospacing="1"/>
        <w:rPr>
          <w:rFonts w:hint="eastAsia" w:ascii="宋体" w:hAnsi="宋体" w:cs="Arial"/>
          <w:b/>
          <w:bCs/>
          <w:color w:val="auto"/>
          <w:kern w:val="0"/>
          <w:sz w:val="24"/>
        </w:rPr>
      </w:pPr>
      <w:r>
        <w:rPr>
          <w:rFonts w:hint="eastAsia" w:ascii="宋体" w:hAnsi="宋体" w:cs="Arial"/>
          <w:b/>
          <w:bCs/>
          <w:color w:val="auto"/>
          <w:kern w:val="0"/>
          <w:sz w:val="24"/>
        </w:rPr>
        <w:t>注：</w:t>
      </w:r>
    </w:p>
    <w:p>
      <w:pPr>
        <w:tabs>
          <w:tab w:val="left" w:pos="420"/>
        </w:tabs>
        <w:spacing w:before="100" w:beforeAutospacing="1" w:after="100" w:afterAutospacing="1"/>
        <w:rPr>
          <w:rFonts w:hint="eastAsia" w:ascii="宋体" w:hAnsi="宋体"/>
          <w:b/>
          <w:color w:val="auto"/>
          <w:szCs w:val="21"/>
        </w:rPr>
      </w:pPr>
      <w:r>
        <w:rPr>
          <w:rFonts w:hint="eastAsia" w:ascii="宋体" w:hAnsi="宋体" w:cs="Arial"/>
          <w:b/>
          <w:bCs/>
          <w:color w:val="auto"/>
          <w:kern w:val="0"/>
          <w:sz w:val="24"/>
        </w:rPr>
        <w:t>1、</w:t>
      </w:r>
      <w:r>
        <w:rPr>
          <w:rFonts w:hint="eastAsia" w:ascii="宋体" w:hAnsi="宋体"/>
          <w:b/>
          <w:color w:val="auto"/>
          <w:szCs w:val="21"/>
        </w:rPr>
        <w:t>如投标</w:t>
      </w:r>
      <w:r>
        <w:rPr>
          <w:rFonts w:hint="eastAsia" w:ascii="宋体" w:hAnsi="宋体"/>
          <w:b/>
          <w:color w:val="auto"/>
          <w:szCs w:val="21"/>
          <w:lang w:eastAsia="zh-CN"/>
        </w:rPr>
        <w:t>人为</w:t>
      </w:r>
      <w:r>
        <w:rPr>
          <w:rFonts w:hint="eastAsia" w:ascii="宋体" w:hAnsi="宋体"/>
          <w:b/>
          <w:color w:val="auto"/>
          <w:szCs w:val="21"/>
        </w:rPr>
        <w:t>小微企业，则需提供中小企业声明函。</w:t>
      </w:r>
    </w:p>
    <w:p>
      <w:pPr>
        <w:tabs>
          <w:tab w:val="left" w:pos="420"/>
        </w:tabs>
        <w:spacing w:before="100" w:beforeAutospacing="1" w:after="100" w:afterAutospacing="1"/>
        <w:rPr>
          <w:rFonts w:ascii="宋体" w:hAnsi="宋体"/>
          <w:b/>
          <w:color w:val="auto"/>
          <w:szCs w:val="21"/>
        </w:rPr>
      </w:pPr>
      <w:r>
        <w:rPr>
          <w:rFonts w:hint="eastAsia" w:ascii="宋体" w:hAnsi="宋体"/>
          <w:b/>
          <w:color w:val="auto"/>
          <w:szCs w:val="21"/>
          <w:lang w:val="en-US" w:eastAsia="zh-CN"/>
        </w:rPr>
        <w:t>2</w:t>
      </w:r>
      <w:r>
        <w:rPr>
          <w:rFonts w:hint="eastAsia" w:ascii="宋体" w:hAnsi="宋体"/>
          <w:b/>
          <w:color w:val="auto"/>
          <w:szCs w:val="21"/>
        </w:rPr>
        <w:t>、如中标人声明为小微企业，本声明函将随中标结果同时公告，接受社会监督。</w:t>
      </w:r>
    </w:p>
    <w:p>
      <w:pPr>
        <w:tabs>
          <w:tab w:val="left" w:pos="420"/>
        </w:tabs>
        <w:spacing w:before="100" w:beforeAutospacing="1" w:after="100" w:afterAutospacing="1"/>
        <w:rPr>
          <w:rFonts w:hint="eastAsia" w:ascii="宋体" w:hAnsi="宋体"/>
          <w:b/>
          <w:color w:val="auto"/>
          <w:szCs w:val="21"/>
        </w:rPr>
      </w:pPr>
    </w:p>
    <w:p>
      <w:pPr>
        <w:tabs>
          <w:tab w:val="left" w:pos="420"/>
        </w:tabs>
        <w:spacing w:before="100" w:beforeAutospacing="1" w:after="100" w:afterAutospacing="1"/>
        <w:rPr>
          <w:rFonts w:hint="eastAsia" w:ascii="宋体" w:hAnsi="宋体"/>
          <w:b/>
          <w:color w:val="auto"/>
          <w:szCs w:val="21"/>
        </w:rPr>
      </w:pPr>
    </w:p>
    <w:p>
      <w:pPr>
        <w:spacing w:line="360" w:lineRule="auto"/>
        <w:ind w:right="6" w:firstLine="211" w:firstLineChars="100"/>
        <w:rPr>
          <w:rFonts w:ascii="宋体" w:hAnsi="宋体"/>
          <w:b/>
          <w:color w:val="auto"/>
        </w:rPr>
      </w:pPr>
    </w:p>
    <w:p>
      <w:pPr>
        <w:spacing w:line="360" w:lineRule="auto"/>
        <w:ind w:right="6" w:firstLine="211" w:firstLineChars="100"/>
        <w:rPr>
          <w:rFonts w:ascii="宋体" w:hAnsi="宋体"/>
          <w:b/>
          <w:color w:val="auto"/>
        </w:rPr>
      </w:pPr>
    </w:p>
    <w:p>
      <w:pPr>
        <w:spacing w:line="360" w:lineRule="auto"/>
        <w:ind w:right="6" w:firstLine="211" w:firstLineChars="100"/>
        <w:rPr>
          <w:rFonts w:ascii="宋体" w:hAnsi="宋体"/>
          <w:b/>
        </w:rPr>
      </w:pPr>
    </w:p>
    <w:p>
      <w:pPr>
        <w:spacing w:line="360" w:lineRule="auto"/>
        <w:ind w:right="6" w:firstLine="211" w:firstLineChars="100"/>
        <w:rPr>
          <w:rFonts w:ascii="宋体" w:hAnsi="宋体"/>
          <w:b/>
        </w:rPr>
      </w:pPr>
    </w:p>
    <w:p>
      <w:pPr>
        <w:snapToGrid w:val="0"/>
        <w:spacing w:before="156" w:beforeLines="50" w:after="50"/>
        <w:rPr>
          <w:rFonts w:ascii="宋体" w:hAnsi="宋体" w:cs="Arial"/>
          <w:b/>
          <w:bCs/>
          <w:kern w:val="0"/>
          <w:sz w:val="30"/>
          <w:szCs w:val="30"/>
        </w:rPr>
        <w:sectPr>
          <w:headerReference r:id="rId7" w:type="first"/>
          <w:footerReference r:id="rId10" w:type="first"/>
          <w:headerReference r:id="rId6" w:type="default"/>
          <w:footerReference r:id="rId8" w:type="default"/>
          <w:footerReference r:id="rId9" w:type="even"/>
          <w:pgSz w:w="11906" w:h="16838"/>
          <w:pgMar w:top="1440" w:right="1800" w:bottom="1440" w:left="1800" w:header="851" w:footer="992" w:gutter="0"/>
          <w:cols w:space="720" w:num="1"/>
          <w:docGrid w:type="lines" w:linePitch="312" w:charSpace="0"/>
        </w:sectPr>
      </w:pPr>
      <w:bookmarkStart w:id="6" w:name="_Toc518487308"/>
      <w:r>
        <w:rPr>
          <w:rFonts w:hint="eastAsia" w:ascii="宋体" w:hAnsi="宋体"/>
          <w:b/>
          <w:sz w:val="24"/>
        </w:rPr>
        <w:t xml:space="preserve">附件15： </w:t>
      </w:r>
      <w:bookmarkStart w:id="7" w:name="OLE_LINK14"/>
      <w:bookmarkStart w:id="8" w:name="OLE_LINK13"/>
      <w:r>
        <w:rPr>
          <w:rFonts w:hint="eastAsia" w:ascii="宋体" w:hAnsi="宋体"/>
          <w:b/>
          <w:sz w:val="24"/>
        </w:rPr>
        <w:t>残疾人福利性单位声明函</w:t>
      </w:r>
      <w:bookmarkEnd w:id="6"/>
      <w:r>
        <w:rPr>
          <w:rFonts w:hint="eastAsia" w:ascii="宋体" w:hAnsi="宋体"/>
          <w:b/>
          <w:sz w:val="24"/>
        </w:rPr>
        <w:t>及残疾人福利性单位残疾人聘用情况表</w:t>
      </w:r>
    </w:p>
    <w:p>
      <w:pPr>
        <w:widowControl/>
        <w:spacing w:before="100" w:beforeAutospacing="1" w:after="190"/>
        <w:jc w:val="center"/>
        <w:rPr>
          <w:rFonts w:ascii="宋体" w:hAnsi="宋体" w:cs="Arial"/>
          <w:b/>
          <w:bCs/>
          <w:kern w:val="0"/>
          <w:sz w:val="30"/>
          <w:szCs w:val="30"/>
        </w:rPr>
      </w:pPr>
    </w:p>
    <w:p>
      <w:pPr>
        <w:widowControl/>
        <w:spacing w:before="100" w:beforeAutospacing="1" w:after="190"/>
        <w:jc w:val="center"/>
        <w:rPr>
          <w:rFonts w:ascii="宋体" w:hAnsi="宋体"/>
          <w:b/>
          <w:spacing w:val="6"/>
          <w:sz w:val="30"/>
          <w:szCs w:val="30"/>
        </w:rPr>
      </w:pPr>
      <w:r>
        <w:rPr>
          <w:rFonts w:hint="eastAsia" w:ascii="宋体" w:hAnsi="宋体" w:cs="Arial"/>
          <w:b/>
          <w:bCs/>
          <w:kern w:val="0"/>
          <w:sz w:val="30"/>
          <w:szCs w:val="30"/>
        </w:rPr>
        <w:t>残疾人福利性单位声明函</w:t>
      </w:r>
      <w:bookmarkEnd w:id="7"/>
      <w:bookmarkEnd w:id="8"/>
    </w:p>
    <w:p>
      <w:pPr>
        <w:spacing w:line="588" w:lineRule="exact"/>
        <w:ind w:firstLine="420" w:firstLineChars="200"/>
        <w:rPr>
          <w:rFonts w:ascii="宋体" w:hAns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 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pPr>
        <w:spacing w:line="588" w:lineRule="exact"/>
        <w:ind w:firstLine="420" w:firstLineChars="200"/>
        <w:rPr>
          <w:rFonts w:ascii="宋体" w:hAnsi="宋体"/>
        </w:rPr>
      </w:pPr>
      <w:r>
        <w:rPr>
          <w:rFonts w:hint="eastAsia" w:ascii="宋体" w:hAnsi="宋体"/>
        </w:rPr>
        <w:t>本单位对上述声明的真实性负责。如有虚假，将依法承担相应责任。</w:t>
      </w:r>
    </w:p>
    <w:p>
      <w:pPr>
        <w:spacing w:line="588" w:lineRule="exact"/>
        <w:ind w:firstLine="624" w:firstLineChars="200"/>
        <w:rPr>
          <w:rFonts w:ascii="宋体" w:hAnsi="宋体"/>
          <w:spacing w:val="6"/>
          <w:sz w:val="30"/>
          <w:szCs w:val="30"/>
        </w:rPr>
      </w:pPr>
    </w:p>
    <w:p>
      <w:pPr>
        <w:spacing w:line="588" w:lineRule="exact"/>
        <w:ind w:firstLine="624" w:firstLineChars="200"/>
        <w:rPr>
          <w:rFonts w:ascii="宋体" w:hAnsi="宋体"/>
          <w:spacing w:val="6"/>
          <w:sz w:val="30"/>
          <w:szCs w:val="30"/>
        </w:rPr>
      </w:pPr>
    </w:p>
    <w:p>
      <w:pPr>
        <w:tabs>
          <w:tab w:val="left" w:pos="4860"/>
        </w:tabs>
        <w:spacing w:line="588" w:lineRule="exact"/>
        <w:ind w:right="1560" w:firstLine="420" w:firstLineChars="200"/>
        <w:jc w:val="center"/>
        <w:rPr>
          <w:rFonts w:ascii="宋体" w:hAnsi="宋体"/>
        </w:rPr>
      </w:pPr>
      <w:r>
        <w:rPr>
          <w:rFonts w:hint="eastAsia" w:ascii="宋体" w:hAnsi="宋体"/>
        </w:rPr>
        <w:t xml:space="preserve">                                             单位名称（盖章）：</w:t>
      </w:r>
    </w:p>
    <w:p>
      <w:pPr>
        <w:rPr>
          <w:rFonts w:ascii="宋体" w:hAnsi="宋体"/>
        </w:rPr>
      </w:pPr>
      <w:r>
        <w:rPr>
          <w:rFonts w:hint="eastAsia" w:ascii="宋体" w:hAnsi="宋体"/>
        </w:rPr>
        <w:t xml:space="preserve">                                                 日期：</w:t>
      </w:r>
    </w:p>
    <w:p>
      <w:pPr>
        <w:rPr>
          <w:rFonts w:ascii="宋体" w:hAnsi="宋体"/>
        </w:rPr>
      </w:pPr>
    </w:p>
    <w:p>
      <w:pPr>
        <w:rPr>
          <w:rFonts w:ascii="宋体" w:hAnsi="宋体"/>
        </w:rPr>
      </w:pPr>
    </w:p>
    <w:p>
      <w:pPr>
        <w:rPr>
          <w:rFonts w:ascii="宋体" w:hAnsi="宋体"/>
        </w:rPr>
      </w:pPr>
    </w:p>
    <w:p>
      <w:pPr>
        <w:numPr>
          <w:ilvl w:val="0"/>
          <w:numId w:val="37"/>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残疾人福利性单位视同小型、微型企业，享受价格扣除。</w:t>
      </w:r>
    </w:p>
    <w:p>
      <w:pPr>
        <w:numPr>
          <w:ilvl w:val="0"/>
          <w:numId w:val="37"/>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残疾人福利性单位属于小型、微型企业的，不重复享受政策。</w:t>
      </w:r>
    </w:p>
    <w:p>
      <w:pPr>
        <w:numPr>
          <w:ilvl w:val="0"/>
          <w:numId w:val="37"/>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如中标人声明为残疾人福利性单位，本声明函将随中标结果同时公告，接受社会监督。</w:t>
      </w:r>
    </w:p>
    <w:p>
      <w:pPr>
        <w:spacing w:line="360" w:lineRule="auto"/>
        <w:ind w:right="6" w:firstLine="211" w:firstLineChars="100"/>
        <w:rPr>
          <w:rFonts w:ascii="宋体" w:hAnsi="宋体"/>
          <w:b/>
        </w:rPr>
      </w:pPr>
    </w:p>
    <w:p>
      <w:pPr>
        <w:spacing w:line="360" w:lineRule="auto"/>
        <w:ind w:right="6" w:firstLine="211" w:firstLineChars="100"/>
        <w:rPr>
          <w:rFonts w:ascii="宋体" w:hAnsi="宋体"/>
          <w:b/>
        </w:rPr>
      </w:pPr>
    </w:p>
    <w:p>
      <w:pPr>
        <w:spacing w:line="360" w:lineRule="auto"/>
        <w:ind w:right="6" w:firstLine="211" w:firstLineChars="100"/>
        <w:rPr>
          <w:rFonts w:ascii="宋体" w:hAnsi="宋体"/>
          <w:b/>
        </w:rPr>
      </w:pPr>
    </w:p>
    <w:p>
      <w:pPr>
        <w:spacing w:line="360" w:lineRule="auto"/>
        <w:ind w:right="6" w:firstLine="211" w:firstLineChars="100"/>
        <w:rPr>
          <w:rFonts w:ascii="宋体" w:hAnsi="宋体"/>
          <w:b/>
        </w:rPr>
      </w:pPr>
    </w:p>
    <w:p>
      <w:pPr>
        <w:spacing w:line="360" w:lineRule="auto"/>
        <w:ind w:right="6" w:firstLine="211" w:firstLineChars="100"/>
        <w:rPr>
          <w:rFonts w:ascii="宋体" w:hAnsi="宋体"/>
          <w:b/>
        </w:rPr>
      </w:pPr>
    </w:p>
    <w:p>
      <w:pPr>
        <w:spacing w:line="360" w:lineRule="auto"/>
        <w:ind w:right="6"/>
        <w:rPr>
          <w:rFonts w:ascii="宋体" w:hAnsi="宋体"/>
          <w:b/>
        </w:rPr>
      </w:pPr>
    </w:p>
    <w:p>
      <w:pPr>
        <w:spacing w:line="360" w:lineRule="auto"/>
        <w:ind w:right="6"/>
        <w:rPr>
          <w:rFonts w:ascii="宋体" w:hAnsi="宋体"/>
          <w:b/>
        </w:rPr>
      </w:pPr>
    </w:p>
    <w:p>
      <w:pPr>
        <w:snapToGrid w:val="0"/>
        <w:spacing w:before="120" w:beforeLines="50" w:after="50"/>
        <w:jc w:val="center"/>
        <w:rPr>
          <w:rFonts w:ascii="宋体" w:hAnsi="宋体"/>
          <w:b/>
          <w:sz w:val="30"/>
          <w:szCs w:val="30"/>
        </w:rPr>
      </w:pPr>
    </w:p>
    <w:p>
      <w:pPr>
        <w:snapToGrid w:val="0"/>
        <w:spacing w:before="120" w:beforeLines="50" w:after="50"/>
        <w:jc w:val="center"/>
        <w:rPr>
          <w:rFonts w:ascii="宋体" w:hAnsi="宋体"/>
          <w:b/>
          <w:sz w:val="30"/>
          <w:szCs w:val="30"/>
        </w:rPr>
      </w:pPr>
      <w:r>
        <w:rPr>
          <w:rFonts w:hint="eastAsia" w:ascii="宋体" w:hAnsi="宋体"/>
          <w:b/>
          <w:sz w:val="30"/>
          <w:szCs w:val="30"/>
        </w:rPr>
        <w:t>残疾人福利性单位残疾人聘用情况表</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305"/>
        <w:gridCol w:w="2168"/>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r>
              <w:rPr>
                <w:rFonts w:hint="eastAsia" w:ascii="宋体" w:hAnsi="宋体"/>
                <w:b/>
                <w:i/>
                <w:sz w:val="24"/>
                <w:u w:val="single"/>
              </w:rPr>
              <w:t>序号</w:t>
            </w:r>
          </w:p>
        </w:tc>
        <w:tc>
          <w:tcPr>
            <w:tcW w:w="2305" w:type="dxa"/>
            <w:noWrap/>
            <w:vAlign w:val="top"/>
          </w:tcPr>
          <w:p>
            <w:pPr>
              <w:snapToGrid w:val="0"/>
              <w:spacing w:before="120" w:beforeLines="50" w:after="50" w:line="360" w:lineRule="auto"/>
              <w:jc w:val="center"/>
              <w:rPr>
                <w:rFonts w:ascii="宋体" w:hAnsi="宋体"/>
                <w:b/>
                <w:i/>
                <w:sz w:val="24"/>
                <w:u w:val="single"/>
              </w:rPr>
            </w:pPr>
            <w:r>
              <w:rPr>
                <w:rFonts w:hint="eastAsia" w:ascii="宋体" w:hAnsi="宋体"/>
                <w:b/>
                <w:i/>
                <w:sz w:val="24"/>
                <w:u w:val="single"/>
              </w:rPr>
              <w:t>姓名</w:t>
            </w:r>
          </w:p>
        </w:tc>
        <w:tc>
          <w:tcPr>
            <w:tcW w:w="2168" w:type="dxa"/>
            <w:noWrap/>
            <w:vAlign w:val="top"/>
          </w:tcPr>
          <w:p>
            <w:pPr>
              <w:snapToGrid w:val="0"/>
              <w:spacing w:before="120" w:beforeLines="50" w:after="50" w:line="360" w:lineRule="auto"/>
              <w:jc w:val="center"/>
              <w:rPr>
                <w:rFonts w:ascii="宋体" w:hAnsi="宋体"/>
                <w:b/>
                <w:i/>
                <w:sz w:val="24"/>
                <w:u w:val="single"/>
              </w:rPr>
            </w:pPr>
            <w:r>
              <w:rPr>
                <w:rFonts w:hint="eastAsia" w:ascii="宋体" w:hAnsi="宋体"/>
                <w:b/>
                <w:i/>
                <w:sz w:val="24"/>
                <w:u w:val="single"/>
              </w:rPr>
              <w:t>残疾人证号</w:t>
            </w:r>
          </w:p>
        </w:tc>
        <w:tc>
          <w:tcPr>
            <w:tcW w:w="1882" w:type="dxa"/>
            <w:noWrap/>
            <w:vAlign w:val="top"/>
          </w:tcPr>
          <w:p>
            <w:pPr>
              <w:snapToGrid w:val="0"/>
              <w:spacing w:before="120" w:beforeLines="50" w:after="50" w:line="360" w:lineRule="auto"/>
              <w:jc w:val="center"/>
              <w:rPr>
                <w:rFonts w:ascii="宋体" w:hAnsi="宋体"/>
                <w:b/>
                <w:i/>
                <w:sz w:val="24"/>
                <w:u w:val="single"/>
              </w:rPr>
            </w:pPr>
            <w:r>
              <w:rPr>
                <w:rFonts w:hint="eastAsia" w:ascii="宋体" w:hAnsi="宋体"/>
                <w:b/>
                <w:i/>
                <w:sz w:val="24"/>
                <w:u w:val="single"/>
              </w:rPr>
              <w:t>聘用时间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p>
        </w:tc>
        <w:tc>
          <w:tcPr>
            <w:tcW w:w="2305" w:type="dxa"/>
            <w:noWrap/>
            <w:vAlign w:val="top"/>
          </w:tcPr>
          <w:p>
            <w:pPr>
              <w:snapToGrid w:val="0"/>
              <w:spacing w:before="120" w:beforeLines="50" w:after="50" w:line="360" w:lineRule="auto"/>
              <w:jc w:val="center"/>
              <w:rPr>
                <w:rFonts w:ascii="宋体" w:hAnsi="宋体"/>
                <w:b/>
                <w:i/>
                <w:sz w:val="24"/>
                <w:u w:val="single"/>
              </w:rPr>
            </w:pPr>
          </w:p>
        </w:tc>
        <w:tc>
          <w:tcPr>
            <w:tcW w:w="2168" w:type="dxa"/>
            <w:noWrap/>
            <w:vAlign w:val="top"/>
          </w:tcPr>
          <w:p>
            <w:pPr>
              <w:snapToGrid w:val="0"/>
              <w:spacing w:before="120" w:beforeLines="50" w:after="50" w:line="360" w:lineRule="auto"/>
              <w:jc w:val="center"/>
              <w:rPr>
                <w:rFonts w:ascii="宋体" w:hAnsi="宋体"/>
                <w:b/>
                <w:i/>
                <w:sz w:val="24"/>
                <w:u w:val="single"/>
              </w:rPr>
            </w:pPr>
          </w:p>
        </w:tc>
        <w:tc>
          <w:tcPr>
            <w:tcW w:w="1882" w:type="dxa"/>
            <w:noWrap/>
            <w:vAlign w:val="top"/>
          </w:tcPr>
          <w:p>
            <w:pPr>
              <w:snapToGrid w:val="0"/>
              <w:spacing w:before="120"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p>
        </w:tc>
        <w:tc>
          <w:tcPr>
            <w:tcW w:w="2305" w:type="dxa"/>
            <w:noWrap/>
            <w:vAlign w:val="top"/>
          </w:tcPr>
          <w:p>
            <w:pPr>
              <w:snapToGrid w:val="0"/>
              <w:spacing w:before="120" w:beforeLines="50" w:after="50" w:line="360" w:lineRule="auto"/>
              <w:jc w:val="center"/>
              <w:rPr>
                <w:rFonts w:ascii="宋体" w:hAnsi="宋体"/>
                <w:b/>
                <w:i/>
                <w:sz w:val="24"/>
                <w:u w:val="single"/>
              </w:rPr>
            </w:pPr>
          </w:p>
        </w:tc>
        <w:tc>
          <w:tcPr>
            <w:tcW w:w="2168" w:type="dxa"/>
            <w:noWrap/>
            <w:vAlign w:val="top"/>
          </w:tcPr>
          <w:p>
            <w:pPr>
              <w:snapToGrid w:val="0"/>
              <w:spacing w:before="120" w:beforeLines="50" w:after="50" w:line="360" w:lineRule="auto"/>
              <w:jc w:val="center"/>
              <w:rPr>
                <w:rFonts w:ascii="宋体" w:hAnsi="宋体"/>
                <w:b/>
                <w:i/>
                <w:sz w:val="24"/>
                <w:u w:val="single"/>
              </w:rPr>
            </w:pPr>
          </w:p>
        </w:tc>
        <w:tc>
          <w:tcPr>
            <w:tcW w:w="1882" w:type="dxa"/>
            <w:noWrap/>
            <w:vAlign w:val="top"/>
          </w:tcPr>
          <w:p>
            <w:pPr>
              <w:snapToGrid w:val="0"/>
              <w:spacing w:before="120"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p>
        </w:tc>
        <w:tc>
          <w:tcPr>
            <w:tcW w:w="2305" w:type="dxa"/>
            <w:noWrap/>
            <w:vAlign w:val="top"/>
          </w:tcPr>
          <w:p>
            <w:pPr>
              <w:snapToGrid w:val="0"/>
              <w:spacing w:before="120" w:beforeLines="50" w:after="50" w:line="360" w:lineRule="auto"/>
              <w:jc w:val="center"/>
              <w:rPr>
                <w:rFonts w:ascii="宋体" w:hAnsi="宋体"/>
                <w:b/>
                <w:i/>
                <w:sz w:val="24"/>
                <w:u w:val="single"/>
              </w:rPr>
            </w:pPr>
          </w:p>
        </w:tc>
        <w:tc>
          <w:tcPr>
            <w:tcW w:w="2168" w:type="dxa"/>
            <w:noWrap/>
            <w:vAlign w:val="top"/>
          </w:tcPr>
          <w:p>
            <w:pPr>
              <w:snapToGrid w:val="0"/>
              <w:spacing w:before="120" w:beforeLines="50" w:after="50" w:line="360" w:lineRule="auto"/>
              <w:jc w:val="center"/>
              <w:rPr>
                <w:rFonts w:ascii="宋体" w:hAnsi="宋体"/>
                <w:b/>
                <w:i/>
                <w:sz w:val="24"/>
                <w:u w:val="single"/>
              </w:rPr>
            </w:pPr>
          </w:p>
        </w:tc>
        <w:tc>
          <w:tcPr>
            <w:tcW w:w="1882" w:type="dxa"/>
            <w:noWrap/>
            <w:vAlign w:val="top"/>
          </w:tcPr>
          <w:p>
            <w:pPr>
              <w:snapToGrid w:val="0"/>
              <w:spacing w:before="120"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p>
        </w:tc>
        <w:tc>
          <w:tcPr>
            <w:tcW w:w="2305" w:type="dxa"/>
            <w:noWrap/>
            <w:vAlign w:val="top"/>
          </w:tcPr>
          <w:p>
            <w:pPr>
              <w:snapToGrid w:val="0"/>
              <w:spacing w:before="120" w:beforeLines="50" w:after="50" w:line="360" w:lineRule="auto"/>
              <w:jc w:val="center"/>
              <w:rPr>
                <w:rFonts w:ascii="宋体" w:hAnsi="宋体"/>
                <w:b/>
                <w:i/>
                <w:sz w:val="24"/>
                <w:u w:val="single"/>
              </w:rPr>
            </w:pPr>
          </w:p>
        </w:tc>
        <w:tc>
          <w:tcPr>
            <w:tcW w:w="2168" w:type="dxa"/>
            <w:noWrap/>
            <w:vAlign w:val="top"/>
          </w:tcPr>
          <w:p>
            <w:pPr>
              <w:snapToGrid w:val="0"/>
              <w:spacing w:before="120" w:beforeLines="50" w:after="50" w:line="360" w:lineRule="auto"/>
              <w:jc w:val="center"/>
              <w:rPr>
                <w:rFonts w:ascii="宋体" w:hAnsi="宋体"/>
                <w:b/>
                <w:i/>
                <w:sz w:val="24"/>
                <w:u w:val="single"/>
              </w:rPr>
            </w:pPr>
          </w:p>
        </w:tc>
        <w:tc>
          <w:tcPr>
            <w:tcW w:w="1882" w:type="dxa"/>
            <w:noWrap/>
            <w:vAlign w:val="top"/>
          </w:tcPr>
          <w:p>
            <w:pPr>
              <w:snapToGrid w:val="0"/>
              <w:spacing w:before="120"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p>
        </w:tc>
        <w:tc>
          <w:tcPr>
            <w:tcW w:w="2305" w:type="dxa"/>
            <w:noWrap/>
            <w:vAlign w:val="top"/>
          </w:tcPr>
          <w:p>
            <w:pPr>
              <w:snapToGrid w:val="0"/>
              <w:spacing w:before="120" w:beforeLines="50" w:after="50" w:line="360" w:lineRule="auto"/>
              <w:jc w:val="center"/>
              <w:rPr>
                <w:rFonts w:ascii="宋体" w:hAnsi="宋体"/>
                <w:b/>
                <w:i/>
                <w:sz w:val="24"/>
                <w:u w:val="single"/>
              </w:rPr>
            </w:pPr>
          </w:p>
        </w:tc>
        <w:tc>
          <w:tcPr>
            <w:tcW w:w="2168" w:type="dxa"/>
            <w:noWrap/>
            <w:vAlign w:val="top"/>
          </w:tcPr>
          <w:p>
            <w:pPr>
              <w:snapToGrid w:val="0"/>
              <w:spacing w:before="120" w:beforeLines="50" w:after="50" w:line="360" w:lineRule="auto"/>
              <w:jc w:val="center"/>
              <w:rPr>
                <w:rFonts w:ascii="宋体" w:hAnsi="宋体"/>
                <w:b/>
                <w:i/>
                <w:sz w:val="24"/>
                <w:u w:val="single"/>
              </w:rPr>
            </w:pPr>
          </w:p>
        </w:tc>
        <w:tc>
          <w:tcPr>
            <w:tcW w:w="1882" w:type="dxa"/>
            <w:noWrap/>
            <w:vAlign w:val="top"/>
          </w:tcPr>
          <w:p>
            <w:pPr>
              <w:snapToGrid w:val="0"/>
              <w:spacing w:before="120"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p>
        </w:tc>
        <w:tc>
          <w:tcPr>
            <w:tcW w:w="2305" w:type="dxa"/>
            <w:noWrap/>
            <w:vAlign w:val="top"/>
          </w:tcPr>
          <w:p>
            <w:pPr>
              <w:snapToGrid w:val="0"/>
              <w:spacing w:before="120" w:beforeLines="50" w:after="50" w:line="360" w:lineRule="auto"/>
              <w:jc w:val="center"/>
              <w:rPr>
                <w:rFonts w:ascii="宋体" w:hAnsi="宋体"/>
                <w:b/>
                <w:i/>
                <w:sz w:val="24"/>
                <w:u w:val="single"/>
              </w:rPr>
            </w:pPr>
          </w:p>
        </w:tc>
        <w:tc>
          <w:tcPr>
            <w:tcW w:w="2168" w:type="dxa"/>
            <w:noWrap/>
            <w:vAlign w:val="top"/>
          </w:tcPr>
          <w:p>
            <w:pPr>
              <w:snapToGrid w:val="0"/>
              <w:spacing w:before="120" w:beforeLines="50" w:after="50" w:line="360" w:lineRule="auto"/>
              <w:jc w:val="center"/>
              <w:rPr>
                <w:rFonts w:ascii="宋体" w:hAnsi="宋体"/>
                <w:b/>
                <w:i/>
                <w:sz w:val="24"/>
                <w:u w:val="single"/>
              </w:rPr>
            </w:pPr>
          </w:p>
        </w:tc>
        <w:tc>
          <w:tcPr>
            <w:tcW w:w="1882" w:type="dxa"/>
            <w:noWrap/>
            <w:vAlign w:val="top"/>
          </w:tcPr>
          <w:p>
            <w:pPr>
              <w:snapToGrid w:val="0"/>
              <w:spacing w:before="120"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p>
        </w:tc>
        <w:tc>
          <w:tcPr>
            <w:tcW w:w="2305" w:type="dxa"/>
            <w:noWrap/>
            <w:vAlign w:val="top"/>
          </w:tcPr>
          <w:p>
            <w:pPr>
              <w:snapToGrid w:val="0"/>
              <w:spacing w:before="120" w:beforeLines="50" w:after="50" w:line="360" w:lineRule="auto"/>
              <w:jc w:val="center"/>
              <w:rPr>
                <w:rFonts w:ascii="宋体" w:hAnsi="宋体"/>
                <w:b/>
                <w:i/>
                <w:sz w:val="24"/>
                <w:u w:val="single"/>
              </w:rPr>
            </w:pPr>
          </w:p>
        </w:tc>
        <w:tc>
          <w:tcPr>
            <w:tcW w:w="2168" w:type="dxa"/>
            <w:noWrap/>
            <w:vAlign w:val="top"/>
          </w:tcPr>
          <w:p>
            <w:pPr>
              <w:snapToGrid w:val="0"/>
              <w:spacing w:before="120" w:beforeLines="50" w:after="50" w:line="360" w:lineRule="auto"/>
              <w:jc w:val="center"/>
              <w:rPr>
                <w:rFonts w:ascii="宋体" w:hAnsi="宋体"/>
                <w:b/>
                <w:i/>
                <w:sz w:val="24"/>
                <w:u w:val="single"/>
              </w:rPr>
            </w:pPr>
          </w:p>
        </w:tc>
        <w:tc>
          <w:tcPr>
            <w:tcW w:w="1882" w:type="dxa"/>
            <w:noWrap/>
            <w:vAlign w:val="top"/>
          </w:tcPr>
          <w:p>
            <w:pPr>
              <w:snapToGrid w:val="0"/>
              <w:spacing w:before="120"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p>
        </w:tc>
        <w:tc>
          <w:tcPr>
            <w:tcW w:w="2305" w:type="dxa"/>
            <w:noWrap/>
            <w:vAlign w:val="top"/>
          </w:tcPr>
          <w:p>
            <w:pPr>
              <w:snapToGrid w:val="0"/>
              <w:spacing w:before="120" w:beforeLines="50" w:after="50" w:line="360" w:lineRule="auto"/>
              <w:jc w:val="center"/>
              <w:rPr>
                <w:rFonts w:ascii="宋体" w:hAnsi="宋体"/>
                <w:b/>
                <w:i/>
                <w:sz w:val="24"/>
                <w:u w:val="single"/>
              </w:rPr>
            </w:pPr>
          </w:p>
        </w:tc>
        <w:tc>
          <w:tcPr>
            <w:tcW w:w="2168" w:type="dxa"/>
            <w:noWrap/>
            <w:vAlign w:val="top"/>
          </w:tcPr>
          <w:p>
            <w:pPr>
              <w:snapToGrid w:val="0"/>
              <w:spacing w:before="120" w:beforeLines="50" w:after="50" w:line="360" w:lineRule="auto"/>
              <w:jc w:val="center"/>
              <w:rPr>
                <w:rFonts w:ascii="宋体" w:hAnsi="宋体"/>
                <w:b/>
                <w:i/>
                <w:sz w:val="24"/>
                <w:u w:val="single"/>
              </w:rPr>
            </w:pPr>
          </w:p>
        </w:tc>
        <w:tc>
          <w:tcPr>
            <w:tcW w:w="1882" w:type="dxa"/>
            <w:noWrap/>
            <w:vAlign w:val="top"/>
          </w:tcPr>
          <w:p>
            <w:pPr>
              <w:snapToGrid w:val="0"/>
              <w:spacing w:before="120"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p>
        </w:tc>
        <w:tc>
          <w:tcPr>
            <w:tcW w:w="2305" w:type="dxa"/>
            <w:noWrap/>
            <w:vAlign w:val="top"/>
          </w:tcPr>
          <w:p>
            <w:pPr>
              <w:snapToGrid w:val="0"/>
              <w:spacing w:before="120" w:beforeLines="50" w:after="50" w:line="360" w:lineRule="auto"/>
              <w:jc w:val="center"/>
              <w:rPr>
                <w:rFonts w:ascii="宋体" w:hAnsi="宋体"/>
                <w:b/>
                <w:i/>
                <w:sz w:val="24"/>
                <w:u w:val="single"/>
              </w:rPr>
            </w:pPr>
          </w:p>
        </w:tc>
        <w:tc>
          <w:tcPr>
            <w:tcW w:w="2168" w:type="dxa"/>
            <w:noWrap/>
            <w:vAlign w:val="top"/>
          </w:tcPr>
          <w:p>
            <w:pPr>
              <w:snapToGrid w:val="0"/>
              <w:spacing w:before="120" w:beforeLines="50" w:after="50" w:line="360" w:lineRule="auto"/>
              <w:jc w:val="center"/>
              <w:rPr>
                <w:rFonts w:ascii="宋体" w:hAnsi="宋体"/>
                <w:b/>
                <w:i/>
                <w:sz w:val="24"/>
                <w:u w:val="single"/>
              </w:rPr>
            </w:pPr>
          </w:p>
        </w:tc>
        <w:tc>
          <w:tcPr>
            <w:tcW w:w="1882" w:type="dxa"/>
            <w:noWrap/>
            <w:vAlign w:val="top"/>
          </w:tcPr>
          <w:p>
            <w:pPr>
              <w:snapToGrid w:val="0"/>
              <w:spacing w:before="120"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p>
        </w:tc>
        <w:tc>
          <w:tcPr>
            <w:tcW w:w="2305" w:type="dxa"/>
            <w:noWrap/>
            <w:vAlign w:val="top"/>
          </w:tcPr>
          <w:p>
            <w:pPr>
              <w:snapToGrid w:val="0"/>
              <w:spacing w:before="120" w:beforeLines="50" w:after="50" w:line="360" w:lineRule="auto"/>
              <w:jc w:val="center"/>
              <w:rPr>
                <w:rFonts w:ascii="宋体" w:hAnsi="宋体"/>
                <w:b/>
                <w:i/>
                <w:sz w:val="24"/>
                <w:u w:val="single"/>
              </w:rPr>
            </w:pPr>
          </w:p>
        </w:tc>
        <w:tc>
          <w:tcPr>
            <w:tcW w:w="2168" w:type="dxa"/>
            <w:noWrap/>
            <w:vAlign w:val="top"/>
          </w:tcPr>
          <w:p>
            <w:pPr>
              <w:snapToGrid w:val="0"/>
              <w:spacing w:before="120" w:beforeLines="50" w:after="50" w:line="360" w:lineRule="auto"/>
              <w:jc w:val="center"/>
              <w:rPr>
                <w:rFonts w:ascii="宋体" w:hAnsi="宋体"/>
                <w:b/>
                <w:i/>
                <w:sz w:val="24"/>
                <w:u w:val="single"/>
              </w:rPr>
            </w:pPr>
          </w:p>
        </w:tc>
        <w:tc>
          <w:tcPr>
            <w:tcW w:w="1882" w:type="dxa"/>
            <w:noWrap/>
            <w:vAlign w:val="top"/>
          </w:tcPr>
          <w:p>
            <w:pPr>
              <w:snapToGrid w:val="0"/>
              <w:spacing w:before="120"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p>
        </w:tc>
        <w:tc>
          <w:tcPr>
            <w:tcW w:w="2305" w:type="dxa"/>
            <w:noWrap/>
            <w:vAlign w:val="top"/>
          </w:tcPr>
          <w:p>
            <w:pPr>
              <w:snapToGrid w:val="0"/>
              <w:spacing w:before="120" w:beforeLines="50" w:after="50" w:line="360" w:lineRule="auto"/>
              <w:jc w:val="center"/>
              <w:rPr>
                <w:rFonts w:ascii="宋体" w:hAnsi="宋体"/>
                <w:b/>
                <w:i/>
                <w:sz w:val="24"/>
                <w:u w:val="single"/>
              </w:rPr>
            </w:pPr>
          </w:p>
        </w:tc>
        <w:tc>
          <w:tcPr>
            <w:tcW w:w="2168" w:type="dxa"/>
            <w:noWrap/>
            <w:vAlign w:val="top"/>
          </w:tcPr>
          <w:p>
            <w:pPr>
              <w:snapToGrid w:val="0"/>
              <w:spacing w:before="120" w:beforeLines="50" w:after="50" w:line="360" w:lineRule="auto"/>
              <w:jc w:val="center"/>
              <w:rPr>
                <w:rFonts w:ascii="宋体" w:hAnsi="宋体"/>
                <w:b/>
                <w:i/>
                <w:sz w:val="24"/>
                <w:u w:val="single"/>
              </w:rPr>
            </w:pPr>
          </w:p>
        </w:tc>
        <w:tc>
          <w:tcPr>
            <w:tcW w:w="1882" w:type="dxa"/>
            <w:noWrap/>
            <w:vAlign w:val="top"/>
          </w:tcPr>
          <w:p>
            <w:pPr>
              <w:snapToGrid w:val="0"/>
              <w:spacing w:before="120"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p>
        </w:tc>
        <w:tc>
          <w:tcPr>
            <w:tcW w:w="2305" w:type="dxa"/>
            <w:noWrap/>
            <w:vAlign w:val="top"/>
          </w:tcPr>
          <w:p>
            <w:pPr>
              <w:snapToGrid w:val="0"/>
              <w:spacing w:before="120" w:beforeLines="50" w:after="50" w:line="360" w:lineRule="auto"/>
              <w:jc w:val="center"/>
              <w:rPr>
                <w:rFonts w:ascii="宋体" w:hAnsi="宋体"/>
                <w:b/>
                <w:i/>
                <w:sz w:val="24"/>
                <w:u w:val="single"/>
              </w:rPr>
            </w:pPr>
          </w:p>
        </w:tc>
        <w:tc>
          <w:tcPr>
            <w:tcW w:w="2168" w:type="dxa"/>
            <w:noWrap/>
            <w:vAlign w:val="top"/>
          </w:tcPr>
          <w:p>
            <w:pPr>
              <w:snapToGrid w:val="0"/>
              <w:spacing w:before="120" w:beforeLines="50" w:after="50" w:line="360" w:lineRule="auto"/>
              <w:jc w:val="center"/>
              <w:rPr>
                <w:rFonts w:ascii="宋体" w:hAnsi="宋体"/>
                <w:b/>
                <w:i/>
                <w:sz w:val="24"/>
                <w:u w:val="single"/>
              </w:rPr>
            </w:pPr>
          </w:p>
        </w:tc>
        <w:tc>
          <w:tcPr>
            <w:tcW w:w="1882" w:type="dxa"/>
            <w:noWrap/>
            <w:vAlign w:val="top"/>
          </w:tcPr>
          <w:p>
            <w:pPr>
              <w:snapToGrid w:val="0"/>
              <w:spacing w:before="120"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p>
        </w:tc>
        <w:tc>
          <w:tcPr>
            <w:tcW w:w="2305" w:type="dxa"/>
            <w:noWrap/>
            <w:vAlign w:val="top"/>
          </w:tcPr>
          <w:p>
            <w:pPr>
              <w:snapToGrid w:val="0"/>
              <w:spacing w:before="120" w:beforeLines="50" w:after="50" w:line="360" w:lineRule="auto"/>
              <w:jc w:val="center"/>
              <w:rPr>
                <w:rFonts w:ascii="宋体" w:hAnsi="宋体"/>
                <w:b/>
                <w:i/>
                <w:sz w:val="24"/>
                <w:u w:val="single"/>
              </w:rPr>
            </w:pPr>
          </w:p>
        </w:tc>
        <w:tc>
          <w:tcPr>
            <w:tcW w:w="2168" w:type="dxa"/>
            <w:noWrap/>
            <w:vAlign w:val="top"/>
          </w:tcPr>
          <w:p>
            <w:pPr>
              <w:snapToGrid w:val="0"/>
              <w:spacing w:before="120" w:beforeLines="50" w:after="50" w:line="360" w:lineRule="auto"/>
              <w:jc w:val="center"/>
              <w:rPr>
                <w:rFonts w:ascii="宋体" w:hAnsi="宋体"/>
                <w:b/>
                <w:i/>
                <w:sz w:val="24"/>
                <w:u w:val="single"/>
              </w:rPr>
            </w:pPr>
          </w:p>
        </w:tc>
        <w:tc>
          <w:tcPr>
            <w:tcW w:w="1882" w:type="dxa"/>
            <w:noWrap/>
            <w:vAlign w:val="top"/>
          </w:tcPr>
          <w:p>
            <w:pPr>
              <w:snapToGrid w:val="0"/>
              <w:spacing w:before="120"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p>
        </w:tc>
        <w:tc>
          <w:tcPr>
            <w:tcW w:w="2305" w:type="dxa"/>
            <w:noWrap/>
            <w:vAlign w:val="top"/>
          </w:tcPr>
          <w:p>
            <w:pPr>
              <w:snapToGrid w:val="0"/>
              <w:spacing w:before="120" w:beforeLines="50" w:after="50" w:line="360" w:lineRule="auto"/>
              <w:jc w:val="center"/>
              <w:rPr>
                <w:rFonts w:ascii="宋体" w:hAnsi="宋体"/>
                <w:b/>
                <w:i/>
                <w:sz w:val="24"/>
                <w:u w:val="single"/>
              </w:rPr>
            </w:pPr>
          </w:p>
        </w:tc>
        <w:tc>
          <w:tcPr>
            <w:tcW w:w="2168" w:type="dxa"/>
            <w:noWrap/>
            <w:vAlign w:val="top"/>
          </w:tcPr>
          <w:p>
            <w:pPr>
              <w:snapToGrid w:val="0"/>
              <w:spacing w:before="120" w:beforeLines="50" w:after="50" w:line="360" w:lineRule="auto"/>
              <w:jc w:val="center"/>
              <w:rPr>
                <w:rFonts w:ascii="宋体" w:hAnsi="宋体"/>
                <w:b/>
                <w:i/>
                <w:sz w:val="24"/>
                <w:u w:val="single"/>
              </w:rPr>
            </w:pPr>
          </w:p>
        </w:tc>
        <w:tc>
          <w:tcPr>
            <w:tcW w:w="1882" w:type="dxa"/>
            <w:noWrap/>
            <w:vAlign w:val="top"/>
          </w:tcPr>
          <w:p>
            <w:pPr>
              <w:snapToGrid w:val="0"/>
              <w:spacing w:before="120"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p>
        </w:tc>
        <w:tc>
          <w:tcPr>
            <w:tcW w:w="2305" w:type="dxa"/>
            <w:noWrap/>
            <w:vAlign w:val="top"/>
          </w:tcPr>
          <w:p>
            <w:pPr>
              <w:snapToGrid w:val="0"/>
              <w:spacing w:before="120" w:beforeLines="50" w:after="50" w:line="360" w:lineRule="auto"/>
              <w:jc w:val="center"/>
              <w:rPr>
                <w:rFonts w:ascii="宋体" w:hAnsi="宋体"/>
                <w:b/>
                <w:i/>
                <w:sz w:val="24"/>
                <w:u w:val="single"/>
              </w:rPr>
            </w:pPr>
          </w:p>
        </w:tc>
        <w:tc>
          <w:tcPr>
            <w:tcW w:w="2168" w:type="dxa"/>
            <w:noWrap/>
            <w:vAlign w:val="top"/>
          </w:tcPr>
          <w:p>
            <w:pPr>
              <w:snapToGrid w:val="0"/>
              <w:spacing w:before="120" w:beforeLines="50" w:after="50" w:line="360" w:lineRule="auto"/>
              <w:jc w:val="center"/>
              <w:rPr>
                <w:rFonts w:ascii="宋体" w:hAnsi="宋体"/>
                <w:b/>
                <w:i/>
                <w:sz w:val="24"/>
                <w:u w:val="single"/>
              </w:rPr>
            </w:pPr>
          </w:p>
        </w:tc>
        <w:tc>
          <w:tcPr>
            <w:tcW w:w="1882" w:type="dxa"/>
            <w:noWrap/>
            <w:vAlign w:val="top"/>
          </w:tcPr>
          <w:p>
            <w:pPr>
              <w:snapToGrid w:val="0"/>
              <w:spacing w:before="120" w:beforeLines="50" w:after="50" w:line="360" w:lineRule="auto"/>
              <w:jc w:val="center"/>
              <w:rPr>
                <w:rFonts w:ascii="宋体" w:hAnsi="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ign w:val="top"/>
          </w:tcPr>
          <w:p>
            <w:pPr>
              <w:snapToGrid w:val="0"/>
              <w:spacing w:before="120" w:beforeLines="50" w:after="50" w:line="360" w:lineRule="auto"/>
              <w:jc w:val="center"/>
              <w:rPr>
                <w:rFonts w:ascii="宋体" w:hAnsi="宋体"/>
                <w:b/>
                <w:i/>
                <w:sz w:val="24"/>
                <w:u w:val="single"/>
              </w:rPr>
            </w:pPr>
          </w:p>
        </w:tc>
        <w:tc>
          <w:tcPr>
            <w:tcW w:w="2305" w:type="dxa"/>
            <w:noWrap/>
            <w:vAlign w:val="top"/>
          </w:tcPr>
          <w:p>
            <w:pPr>
              <w:snapToGrid w:val="0"/>
              <w:spacing w:before="120" w:beforeLines="50" w:after="50" w:line="360" w:lineRule="auto"/>
              <w:jc w:val="center"/>
              <w:rPr>
                <w:rFonts w:ascii="宋体" w:hAnsi="宋体"/>
                <w:b/>
                <w:i/>
                <w:sz w:val="24"/>
                <w:u w:val="single"/>
              </w:rPr>
            </w:pPr>
          </w:p>
        </w:tc>
        <w:tc>
          <w:tcPr>
            <w:tcW w:w="2168" w:type="dxa"/>
            <w:noWrap/>
            <w:vAlign w:val="top"/>
          </w:tcPr>
          <w:p>
            <w:pPr>
              <w:snapToGrid w:val="0"/>
              <w:spacing w:before="120" w:beforeLines="50" w:after="50" w:line="360" w:lineRule="auto"/>
              <w:jc w:val="center"/>
              <w:rPr>
                <w:rFonts w:ascii="宋体" w:hAnsi="宋体"/>
                <w:b/>
                <w:i/>
                <w:sz w:val="24"/>
                <w:u w:val="single"/>
              </w:rPr>
            </w:pPr>
          </w:p>
        </w:tc>
        <w:tc>
          <w:tcPr>
            <w:tcW w:w="1882" w:type="dxa"/>
            <w:noWrap/>
            <w:vAlign w:val="top"/>
          </w:tcPr>
          <w:p>
            <w:pPr>
              <w:snapToGrid w:val="0"/>
              <w:spacing w:before="120" w:beforeLines="50" w:after="50" w:line="360" w:lineRule="auto"/>
              <w:jc w:val="center"/>
              <w:rPr>
                <w:rFonts w:ascii="宋体" w:hAnsi="宋体"/>
                <w:b/>
                <w:i/>
                <w:sz w:val="24"/>
                <w:u w:val="single"/>
              </w:rPr>
            </w:pPr>
          </w:p>
        </w:tc>
      </w:tr>
    </w:tbl>
    <w:p>
      <w:pPr>
        <w:snapToGrid w:val="0"/>
        <w:spacing w:before="120" w:beforeLines="50" w:after="50"/>
        <w:rPr>
          <w:rFonts w:ascii="宋体" w:hAnsi="宋体"/>
          <w:b/>
          <w:sz w:val="24"/>
        </w:rPr>
        <w:sectPr>
          <w:type w:val="continuous"/>
          <w:pgSz w:w="11906" w:h="16838"/>
          <w:pgMar w:top="1440" w:right="1803" w:bottom="1440" w:left="1803" w:header="851" w:footer="992" w:gutter="0"/>
          <w:cols w:space="720" w:num="1"/>
          <w:docGrid w:linePitch="312" w:charSpace="0"/>
        </w:sectPr>
      </w:pPr>
      <w:r>
        <w:rPr>
          <w:rFonts w:hint="eastAsia" w:ascii="宋体" w:hAnsi="宋体"/>
          <w:b/>
          <w:sz w:val="24"/>
        </w:rPr>
        <w:t>备注：本表后须附上所聘用残疾人员的残疾证、劳动合同、残疾人银行工资发放清单及足额缴纳的社会保险清单复印件，否则，视为非残疾人福利性单位不享受政策优惠。</w:t>
      </w:r>
    </w:p>
    <w:p>
      <w:pPr>
        <w:spacing w:line="360" w:lineRule="auto"/>
        <w:ind w:right="6" w:firstLine="211" w:firstLineChars="100"/>
        <w:rPr>
          <w:rFonts w:ascii="宋体" w:hAnsi="宋体"/>
          <w:b/>
        </w:rPr>
        <w:sectPr>
          <w:type w:val="continuous"/>
          <w:pgSz w:w="11906" w:h="16838"/>
          <w:pgMar w:top="1440" w:right="1803" w:bottom="1440" w:left="1803" w:header="851" w:footer="992" w:gutter="0"/>
          <w:cols w:space="720" w:num="1"/>
          <w:docGrid w:type="lines" w:linePitch="312" w:charSpace="0"/>
        </w:sectPr>
      </w:pPr>
    </w:p>
    <w:p>
      <w:pPr>
        <w:snapToGrid w:val="0"/>
        <w:spacing w:before="120" w:beforeLines="50" w:after="50"/>
        <w:jc w:val="center"/>
        <w:rPr>
          <w:rFonts w:ascii="宋体" w:hAnsi="宋体"/>
          <w:b/>
          <w:sz w:val="24"/>
        </w:rPr>
        <w:sectPr>
          <w:type w:val="continuous"/>
          <w:pgSz w:w="11906" w:h="16838"/>
          <w:pgMar w:top="1440" w:right="1803" w:bottom="1440" w:left="1803" w:header="851" w:footer="992" w:gutter="0"/>
          <w:cols w:space="720" w:num="1"/>
          <w:docGrid w:linePitch="312" w:charSpace="0"/>
        </w:sectPr>
      </w:pPr>
    </w:p>
    <w:p>
      <w:pPr>
        <w:snapToGrid w:val="0"/>
        <w:spacing w:before="50" w:after="50"/>
        <w:ind w:right="-817" w:rightChars="-389"/>
        <w:rPr>
          <w:rFonts w:hint="eastAsia" w:ascii="宋体" w:hAnsi="宋体"/>
          <w:b/>
          <w:sz w:val="24"/>
        </w:rPr>
      </w:pPr>
      <w:r>
        <w:rPr>
          <w:rFonts w:hint="eastAsia" w:ascii="宋体" w:hAnsi="宋体"/>
          <w:b/>
          <w:sz w:val="24"/>
        </w:rPr>
        <w:t>附件18：投标确认函</w:t>
      </w:r>
    </w:p>
    <w:p>
      <w:pPr>
        <w:jc w:val="center"/>
        <w:rPr>
          <w:rFonts w:ascii="宋体" w:hAnsi="宋体"/>
          <w:b/>
          <w:sz w:val="52"/>
        </w:rPr>
      </w:pPr>
      <w:r>
        <w:rPr>
          <w:rFonts w:hint="eastAsia" w:ascii="宋体" w:hAnsi="宋体"/>
          <w:b/>
          <w:sz w:val="52"/>
        </w:rPr>
        <w:t>投 标 确 认 函（政府采购）</w:t>
      </w:r>
    </w:p>
    <w:p>
      <w:pPr>
        <w:jc w:val="center"/>
        <w:rPr>
          <w:rFonts w:ascii="宋体" w:hAnsi="宋体"/>
          <w:b/>
          <w:sz w:val="32"/>
        </w:rPr>
      </w:pPr>
    </w:p>
    <w:p>
      <w:pPr>
        <w:spacing w:line="500" w:lineRule="exact"/>
        <w:rPr>
          <w:rFonts w:ascii="宋体" w:hAnsi="宋体"/>
          <w:sz w:val="32"/>
        </w:rPr>
      </w:pPr>
      <w:r>
        <w:rPr>
          <w:rFonts w:hint="eastAsia" w:ascii="宋体" w:hAnsi="宋体"/>
          <w:b/>
          <w:bCs/>
          <w:sz w:val="32"/>
        </w:rPr>
        <w:t>金华市公共资源交易中心东阳分中心：</w:t>
      </w:r>
    </w:p>
    <w:p>
      <w:pPr>
        <w:spacing w:line="700" w:lineRule="exact"/>
        <w:ind w:firstLine="573"/>
        <w:rPr>
          <w:rFonts w:ascii="宋体" w:hAnsi="宋体"/>
          <w:sz w:val="30"/>
        </w:rPr>
      </w:pPr>
      <w:r>
        <w:rPr>
          <w:rFonts w:hint="eastAsia" w:ascii="宋体" w:hAnsi="宋体"/>
          <w:sz w:val="32"/>
        </w:rPr>
        <w:t>关于贵方</w:t>
      </w:r>
      <w:r>
        <w:rPr>
          <w:rFonts w:hint="eastAsia" w:ascii="宋体" w:hAnsi="宋体"/>
          <w:sz w:val="32"/>
          <w:u w:val="single"/>
        </w:rPr>
        <w:t xml:space="preserve">    年   月  日</w:t>
      </w:r>
      <w:r>
        <w:rPr>
          <w:rFonts w:hint="eastAsia" w:ascii="宋体" w:hAnsi="宋体"/>
          <w:sz w:val="32"/>
        </w:rPr>
        <w:t>发布（出）的</w:t>
      </w:r>
      <w:r>
        <w:rPr>
          <w:rFonts w:hint="eastAsia" w:ascii="仿宋_GB2312" w:hAnsi="宋体" w:eastAsia="仿宋_GB2312"/>
          <w:sz w:val="32"/>
          <w:szCs w:val="32"/>
          <w:u w:val="single"/>
        </w:rPr>
        <w:t xml:space="preserve">             </w:t>
      </w:r>
      <w:r>
        <w:rPr>
          <w:rFonts w:hint="eastAsia" w:ascii="仿宋_GB2312" w:hAnsi="宋体" w:eastAsia="仿宋_GB2312"/>
          <w:sz w:val="32"/>
          <w:szCs w:val="32"/>
        </w:rPr>
        <w:t>项目</w:t>
      </w:r>
      <w:r>
        <w:rPr>
          <w:rFonts w:hint="eastAsia" w:ascii="仿宋_GB2312" w:hAnsi="宋体" w:eastAsia="仿宋_GB2312"/>
          <w:sz w:val="32"/>
          <w:szCs w:val="32"/>
          <w:u w:val="single"/>
        </w:rPr>
        <w:t xml:space="preserve">     </w:t>
      </w:r>
      <w:r>
        <w:rPr>
          <w:rFonts w:hint="eastAsia" w:ascii="仿宋_GB2312" w:hAnsi="宋体" w:eastAsia="仿宋_GB2312"/>
          <w:sz w:val="32"/>
          <w:szCs w:val="32"/>
        </w:rPr>
        <w:t>标项招标公告</w:t>
      </w:r>
      <w:r>
        <w:rPr>
          <w:rFonts w:hint="eastAsia" w:ascii="宋体" w:hAnsi="宋体"/>
          <w:sz w:val="32"/>
        </w:rPr>
        <w:t>，本单位愿意参加该项目的投标。现予以确认！</w:t>
      </w:r>
    </w:p>
    <w:p>
      <w:pPr>
        <w:spacing w:line="400" w:lineRule="exact"/>
        <w:rPr>
          <w:rFonts w:ascii="宋体" w:hAnsi="宋体"/>
          <w:sz w:val="24"/>
        </w:rPr>
      </w:pPr>
    </w:p>
    <w:p>
      <w:pPr>
        <w:spacing w:line="500" w:lineRule="exact"/>
        <w:rPr>
          <w:rFonts w:ascii="宋体" w:hAnsi="宋体"/>
          <w:sz w:val="24"/>
        </w:rPr>
      </w:pPr>
    </w:p>
    <w:p>
      <w:pPr>
        <w:spacing w:line="500" w:lineRule="exact"/>
        <w:rPr>
          <w:rFonts w:ascii="宋体" w:hAnsi="宋体"/>
          <w:sz w:val="32"/>
          <w:u w:val="single"/>
        </w:rPr>
      </w:pPr>
      <w:r>
        <w:rPr>
          <w:rFonts w:hint="eastAsia" w:ascii="宋体" w:hAnsi="宋体"/>
          <w:sz w:val="32"/>
        </w:rPr>
        <w:t>单位名称（公章）：</w:t>
      </w:r>
      <w:r>
        <w:rPr>
          <w:rFonts w:hint="eastAsia" w:ascii="宋体" w:hAnsi="宋体"/>
          <w:sz w:val="32"/>
          <w:u w:val="single"/>
        </w:rPr>
        <w:t xml:space="preserve">                                  </w:t>
      </w:r>
    </w:p>
    <w:p>
      <w:pPr>
        <w:spacing w:line="500" w:lineRule="exact"/>
        <w:rPr>
          <w:rFonts w:ascii="宋体" w:hAnsi="宋体"/>
          <w:sz w:val="32"/>
          <w:u w:val="single"/>
        </w:rPr>
      </w:pPr>
    </w:p>
    <w:p>
      <w:pPr>
        <w:spacing w:line="500" w:lineRule="exact"/>
        <w:rPr>
          <w:rFonts w:ascii="宋体" w:hAnsi="宋体"/>
          <w:sz w:val="32"/>
          <w:u w:val="single"/>
        </w:rPr>
      </w:pPr>
      <w:r>
        <w:rPr>
          <w:rFonts w:hint="eastAsia" w:ascii="宋体" w:hAnsi="宋体"/>
          <w:sz w:val="32"/>
        </w:rPr>
        <w:t>法定代表人或授权代表（签章）：</w:t>
      </w:r>
      <w:r>
        <w:rPr>
          <w:rFonts w:hint="eastAsia" w:ascii="宋体" w:hAnsi="宋体"/>
          <w:sz w:val="32"/>
          <w:u w:val="single"/>
        </w:rPr>
        <w:t xml:space="preserve">                  </w:t>
      </w:r>
    </w:p>
    <w:p>
      <w:pPr>
        <w:spacing w:line="500" w:lineRule="exact"/>
        <w:rPr>
          <w:rFonts w:ascii="宋体" w:hAnsi="宋体"/>
          <w:sz w:val="32"/>
        </w:rPr>
      </w:pPr>
    </w:p>
    <w:p>
      <w:pPr>
        <w:spacing w:line="500" w:lineRule="exact"/>
        <w:rPr>
          <w:rFonts w:ascii="宋体" w:hAnsi="宋体"/>
          <w:sz w:val="32"/>
          <w:u w:val="single"/>
        </w:rPr>
      </w:pPr>
      <w:r>
        <w:rPr>
          <w:rFonts w:hint="eastAsia" w:ascii="宋体" w:hAnsi="宋体"/>
          <w:sz w:val="32"/>
        </w:rPr>
        <w:t>单位地址：</w:t>
      </w:r>
      <w:r>
        <w:rPr>
          <w:rFonts w:hint="eastAsia" w:ascii="宋体" w:hAnsi="宋体"/>
          <w:sz w:val="32"/>
          <w:u w:val="single"/>
        </w:rPr>
        <w:t xml:space="preserve">                                          </w:t>
      </w:r>
    </w:p>
    <w:p>
      <w:pPr>
        <w:spacing w:line="500" w:lineRule="exact"/>
        <w:rPr>
          <w:rFonts w:ascii="宋体" w:hAnsi="宋体"/>
          <w:sz w:val="32"/>
        </w:rPr>
      </w:pPr>
    </w:p>
    <w:p>
      <w:pPr>
        <w:spacing w:line="500" w:lineRule="exact"/>
        <w:rPr>
          <w:rFonts w:ascii="宋体" w:hAnsi="宋体"/>
          <w:sz w:val="32"/>
        </w:rPr>
      </w:pPr>
      <w:r>
        <w:rPr>
          <w:rFonts w:hint="eastAsia" w:ascii="宋体" w:hAnsi="宋体"/>
          <w:sz w:val="32"/>
        </w:rPr>
        <w:t>电  话：</w:t>
      </w:r>
      <w:r>
        <w:rPr>
          <w:rFonts w:hint="eastAsia" w:ascii="宋体" w:hAnsi="宋体"/>
          <w:sz w:val="32"/>
          <w:u w:val="single"/>
        </w:rPr>
        <w:t xml:space="preserve">                       </w:t>
      </w:r>
      <w:r>
        <w:rPr>
          <w:rFonts w:hint="eastAsia" w:ascii="宋体" w:hAnsi="宋体"/>
          <w:sz w:val="32"/>
        </w:rPr>
        <w:t>邮  编：</w:t>
      </w:r>
      <w:r>
        <w:rPr>
          <w:rFonts w:hint="eastAsia" w:ascii="宋体" w:hAnsi="宋体"/>
          <w:sz w:val="32"/>
          <w:u w:val="single"/>
        </w:rPr>
        <w:t xml:space="preserve">             </w:t>
      </w:r>
    </w:p>
    <w:p>
      <w:pPr>
        <w:spacing w:line="500" w:lineRule="exact"/>
        <w:rPr>
          <w:rFonts w:ascii="宋体" w:hAnsi="宋体"/>
          <w:sz w:val="32"/>
        </w:rPr>
      </w:pPr>
      <w:r>
        <w:rPr>
          <w:rFonts w:hint="eastAsia" w:ascii="宋体" w:hAnsi="宋体"/>
          <w:sz w:val="32"/>
        </w:rPr>
        <w:t xml:space="preserve"> </w:t>
      </w:r>
    </w:p>
    <w:p>
      <w:pPr>
        <w:spacing w:line="500" w:lineRule="exact"/>
        <w:rPr>
          <w:rFonts w:ascii="宋体" w:hAnsi="宋体"/>
          <w:sz w:val="32"/>
          <w:u w:val="single"/>
        </w:rPr>
      </w:pPr>
      <w:r>
        <w:rPr>
          <w:rFonts w:hint="eastAsia" w:ascii="宋体" w:hAnsi="宋体"/>
          <w:sz w:val="32"/>
        </w:rPr>
        <w:t>传  真：</w:t>
      </w:r>
      <w:r>
        <w:rPr>
          <w:rFonts w:hint="eastAsia" w:ascii="宋体" w:hAnsi="宋体"/>
          <w:sz w:val="32"/>
          <w:u w:val="single"/>
        </w:rPr>
        <w:t xml:space="preserve">                       </w:t>
      </w:r>
      <w:r>
        <w:rPr>
          <w:rFonts w:hint="eastAsia" w:ascii="宋体" w:hAnsi="宋体"/>
          <w:sz w:val="32"/>
        </w:rPr>
        <w:t>日  期：</w:t>
      </w:r>
      <w:r>
        <w:rPr>
          <w:rFonts w:hint="eastAsia" w:ascii="宋体" w:hAnsi="宋体"/>
          <w:sz w:val="32"/>
          <w:u w:val="single"/>
        </w:rPr>
        <w:t xml:space="preserve">             </w:t>
      </w:r>
    </w:p>
    <w:p>
      <w:pPr>
        <w:spacing w:line="500" w:lineRule="exact"/>
        <w:rPr>
          <w:rFonts w:ascii="宋体" w:hAnsi="宋体"/>
          <w:sz w:val="32"/>
          <w:u w:val="single"/>
        </w:rPr>
      </w:pPr>
    </w:p>
    <w:p>
      <w:pPr>
        <w:spacing w:line="500" w:lineRule="exact"/>
        <w:rPr>
          <w:rFonts w:ascii="宋体" w:hAnsi="宋体"/>
          <w:b/>
          <w:sz w:val="24"/>
        </w:rPr>
      </w:pPr>
      <w:r>
        <w:rPr>
          <w:rFonts w:hint="eastAsia" w:ascii="宋体" w:hAnsi="宋体"/>
          <w:sz w:val="32"/>
        </w:rPr>
        <w:t>联系人：</w:t>
      </w:r>
      <w:r>
        <w:rPr>
          <w:rFonts w:hint="eastAsia" w:ascii="宋体" w:hAnsi="宋体"/>
          <w:sz w:val="32"/>
          <w:u w:val="single"/>
        </w:rPr>
        <w:t xml:space="preserve">              </w:t>
      </w:r>
      <w:r>
        <w:rPr>
          <w:rFonts w:hint="eastAsia" w:ascii="宋体" w:hAnsi="宋体"/>
          <w:sz w:val="32"/>
        </w:rPr>
        <w:t>手机号码：</w:t>
      </w:r>
      <w:r>
        <w:rPr>
          <w:rFonts w:hint="eastAsia" w:ascii="宋体" w:hAnsi="宋体"/>
          <w:sz w:val="32"/>
          <w:u w:val="single"/>
        </w:rPr>
        <w:t xml:space="preserve">                    </w:t>
      </w:r>
    </w:p>
    <w:p>
      <w:pPr>
        <w:rPr>
          <w:rFonts w:ascii="宋体" w:hAnsi="宋体"/>
          <w:b/>
          <w:sz w:val="24"/>
        </w:rPr>
      </w:pPr>
    </w:p>
    <w:p>
      <w:pPr>
        <w:ind w:left="723" w:hanging="723"/>
        <w:rPr>
          <w:rFonts w:hint="eastAsia"/>
        </w:rPr>
      </w:pPr>
      <w:r>
        <w:rPr>
          <w:rFonts w:hint="eastAsia" w:ascii="仿宋_GB2312" w:hAnsi="宋体" w:eastAsia="仿宋_GB2312"/>
          <w:bCs/>
          <w:sz w:val="32"/>
        </w:rPr>
        <w:t xml:space="preserve">注： </w:t>
      </w:r>
      <w:r>
        <w:rPr>
          <w:rFonts w:hint="eastAsia" w:ascii="仿宋_GB2312" w:hAnsi="宋体" w:eastAsia="仿宋_GB2312"/>
          <w:bCs/>
          <w:sz w:val="30"/>
        </w:rPr>
        <w:t>此投标确认函请于投标截止日前一天下午</w:t>
      </w:r>
      <w:r>
        <w:rPr>
          <w:rFonts w:hint="eastAsia" w:ascii="仿宋_GB2312" w:hAnsi="ˎ̥" w:eastAsia="仿宋_GB2312" w:cs="宋体"/>
          <w:kern w:val="0"/>
          <w:sz w:val="30"/>
        </w:rPr>
        <w:t>5时前通过特快专递、传真或邮箱等方式</w:t>
      </w:r>
      <w:r>
        <w:rPr>
          <w:rFonts w:hint="eastAsia" w:ascii="仿宋_GB2312" w:hAnsi="宋体" w:eastAsia="仿宋_GB2312"/>
          <w:bCs/>
          <w:sz w:val="30"/>
        </w:rPr>
        <w:t>送达金华市公共资源交易中心东阳分中心（地址：东阳市艺海北路388号B幢西14楼，传真号：0579-86691729，邮箱1046387519@qq.com）</w:t>
      </w:r>
    </w:p>
    <w:p>
      <w:pPr>
        <w:snapToGrid w:val="0"/>
        <w:spacing w:before="50" w:after="50"/>
        <w:ind w:right="-817" w:rightChars="-389"/>
        <w:rPr>
          <w:rFonts w:hint="eastAsia" w:ascii="宋体" w:hAnsi="宋体"/>
          <w:b/>
          <w:sz w:val="24"/>
        </w:rPr>
      </w:pPr>
      <w:r>
        <w:rPr>
          <w:rFonts w:hint="eastAsia" w:ascii="宋体" w:hAnsi="宋体"/>
          <w:b/>
          <w:sz w:val="24"/>
        </w:rPr>
        <w:t>附件19：项目验收单及附件格式：</w:t>
      </w:r>
      <w:r>
        <w:rPr>
          <w:rFonts w:ascii="宋体" w:hAnsi="宋体"/>
          <w:b/>
          <w:sz w:val="24"/>
        </w:rPr>
        <w:t xml:space="preserve"> </w:t>
      </w:r>
    </w:p>
    <w:p>
      <w:pPr>
        <w:jc w:val="center"/>
        <w:rPr>
          <w:rFonts w:hint="eastAsia" w:hAnsi="宋体"/>
          <w:b/>
          <w:sz w:val="44"/>
          <w:szCs w:val="44"/>
        </w:rPr>
      </w:pPr>
      <w:r>
        <w:rPr>
          <w:rFonts w:hint="eastAsia" w:hAnsi="宋体"/>
          <w:b/>
          <w:sz w:val="44"/>
          <w:szCs w:val="44"/>
        </w:rPr>
        <w:t>东阳市政府采购初验报告</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924"/>
        <w:gridCol w:w="63"/>
        <w:gridCol w:w="1017"/>
        <w:gridCol w:w="900"/>
        <w:gridCol w:w="36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noWrap w:val="0"/>
            <w:vAlign w:val="center"/>
          </w:tcPr>
          <w:p>
            <w:pPr>
              <w:rPr>
                <w:b/>
                <w:szCs w:val="21"/>
              </w:rPr>
            </w:pPr>
            <w:r>
              <w:rPr>
                <w:rFonts w:hint="eastAsia" w:hAnsi="宋体"/>
                <w:b/>
                <w:szCs w:val="21"/>
              </w:rPr>
              <w:t>采购</w:t>
            </w:r>
            <w:r>
              <w:rPr>
                <w:rFonts w:hAnsi="宋体"/>
                <w:b/>
                <w:szCs w:val="21"/>
              </w:rPr>
              <w:t>项目名称</w:t>
            </w:r>
          </w:p>
        </w:tc>
        <w:tc>
          <w:tcPr>
            <w:tcW w:w="2880" w:type="dxa"/>
            <w:gridSpan w:val="2"/>
            <w:tcBorders>
              <w:top w:val="single" w:color="auto" w:sz="6" w:space="0"/>
              <w:left w:val="single" w:color="auto" w:sz="6" w:space="0"/>
              <w:right w:val="single" w:color="auto" w:sz="6" w:space="0"/>
            </w:tcBorders>
            <w:noWrap w:val="0"/>
            <w:vAlign w:val="center"/>
          </w:tcPr>
          <w:p>
            <w:pPr>
              <w:jc w:val="center"/>
              <w:rPr>
                <w:rFonts w:hint="eastAsia"/>
                <w:sz w:val="18"/>
                <w:szCs w:val="18"/>
              </w:rPr>
            </w:pPr>
          </w:p>
        </w:tc>
        <w:tc>
          <w:tcPr>
            <w:tcW w:w="2004" w:type="dxa"/>
            <w:gridSpan w:val="3"/>
            <w:tcBorders>
              <w:top w:val="single" w:color="auto" w:sz="6" w:space="0"/>
              <w:left w:val="single" w:color="auto" w:sz="6" w:space="0"/>
              <w:right w:val="single" w:color="auto" w:sz="4" w:space="0"/>
            </w:tcBorders>
            <w:noWrap w:val="0"/>
            <w:vAlign w:val="center"/>
          </w:tcPr>
          <w:p>
            <w:pPr>
              <w:jc w:val="center"/>
              <w:rPr>
                <w:rFonts w:hint="eastAsia"/>
                <w:b/>
                <w:szCs w:val="21"/>
              </w:rPr>
            </w:pPr>
            <w:r>
              <w:rPr>
                <w:rFonts w:hint="eastAsia"/>
                <w:b/>
                <w:szCs w:val="21"/>
              </w:rPr>
              <w:t>采购项目编号</w:t>
            </w:r>
          </w:p>
        </w:tc>
        <w:tc>
          <w:tcPr>
            <w:tcW w:w="2440" w:type="dxa"/>
            <w:gridSpan w:val="3"/>
            <w:tcBorders>
              <w:top w:val="single" w:color="auto" w:sz="6" w:space="0"/>
              <w:left w:val="single" w:color="auto" w:sz="4" w:space="0"/>
              <w:right w:val="single" w:color="auto" w:sz="6" w:space="0"/>
            </w:tcBorders>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0"/>
            <w:vAlign w:val="center"/>
          </w:tcPr>
          <w:p>
            <w:pPr>
              <w:jc w:val="center"/>
              <w:rPr>
                <w:rFonts w:hint="eastAsia"/>
                <w:b/>
                <w:szCs w:val="21"/>
              </w:rPr>
            </w:pPr>
            <w:r>
              <w:rPr>
                <w:rFonts w:hint="eastAsia" w:hAnsi="宋体"/>
                <w:b/>
                <w:szCs w:val="21"/>
              </w:rPr>
              <w:t>开标时间</w:t>
            </w:r>
          </w:p>
        </w:tc>
        <w:tc>
          <w:tcPr>
            <w:tcW w:w="2880" w:type="dxa"/>
            <w:gridSpan w:val="2"/>
            <w:tcBorders>
              <w:top w:val="single" w:color="auto" w:sz="6" w:space="0"/>
              <w:left w:val="single" w:color="auto" w:sz="6" w:space="0"/>
              <w:right w:val="single" w:color="auto" w:sz="6" w:space="0"/>
            </w:tcBorders>
            <w:noWrap w:val="0"/>
            <w:vAlign w:val="center"/>
          </w:tcPr>
          <w:p>
            <w:pPr>
              <w:jc w:val="center"/>
              <w:rPr>
                <w:rFonts w:hint="eastAsia"/>
                <w:szCs w:val="21"/>
              </w:rPr>
            </w:pPr>
          </w:p>
        </w:tc>
        <w:tc>
          <w:tcPr>
            <w:tcW w:w="2004" w:type="dxa"/>
            <w:gridSpan w:val="3"/>
            <w:tcBorders>
              <w:top w:val="dotted" w:color="auto" w:sz="4" w:space="0"/>
              <w:left w:val="single" w:color="auto" w:sz="6" w:space="0"/>
              <w:right w:val="single" w:color="auto" w:sz="6" w:space="0"/>
            </w:tcBorders>
            <w:noWrap w:val="0"/>
            <w:vAlign w:val="center"/>
          </w:tcPr>
          <w:p>
            <w:pPr>
              <w:jc w:val="center"/>
              <w:rPr>
                <w:rFonts w:hint="eastAsia"/>
                <w:b/>
                <w:szCs w:val="21"/>
              </w:rPr>
            </w:pPr>
            <w:r>
              <w:rPr>
                <w:rFonts w:hint="eastAsia"/>
                <w:b/>
                <w:szCs w:val="21"/>
              </w:rPr>
              <w:t>验收时间</w:t>
            </w:r>
          </w:p>
        </w:tc>
        <w:tc>
          <w:tcPr>
            <w:tcW w:w="2440" w:type="dxa"/>
            <w:gridSpan w:val="3"/>
            <w:tcBorders>
              <w:top w:val="dotted" w:color="auto" w:sz="4" w:space="0"/>
              <w:left w:val="single" w:color="auto" w:sz="6" w:space="0"/>
              <w:right w:val="single" w:color="auto" w:sz="6" w:space="0"/>
            </w:tcBorders>
            <w:noWrap w:val="0"/>
            <w:vAlign w:val="center"/>
          </w:tcPr>
          <w:p>
            <w:pPr>
              <w:ind w:firstLine="105" w:firstLineChars="5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0"/>
            <w:vAlign w:val="center"/>
          </w:tcPr>
          <w:p>
            <w:pPr>
              <w:jc w:val="center"/>
              <w:rPr>
                <w:rFonts w:hint="eastAsia" w:hAnsi="宋体"/>
                <w:b/>
                <w:szCs w:val="21"/>
              </w:rPr>
            </w:pPr>
            <w:r>
              <w:rPr>
                <w:rFonts w:hint="eastAsia" w:hAnsi="宋体"/>
                <w:b/>
                <w:szCs w:val="21"/>
              </w:rPr>
              <w:t>采购人名称</w:t>
            </w:r>
          </w:p>
        </w:tc>
        <w:tc>
          <w:tcPr>
            <w:tcW w:w="2880" w:type="dxa"/>
            <w:gridSpan w:val="2"/>
            <w:tcBorders>
              <w:top w:val="single" w:color="auto" w:sz="6" w:space="0"/>
              <w:left w:val="single" w:color="auto" w:sz="6" w:space="0"/>
              <w:right w:val="single" w:color="auto" w:sz="4" w:space="0"/>
            </w:tcBorders>
            <w:noWrap w:val="0"/>
            <w:vAlign w:val="center"/>
          </w:tcPr>
          <w:p>
            <w:pPr>
              <w:jc w:val="center"/>
              <w:rPr>
                <w:rFonts w:hint="eastAsia"/>
                <w:szCs w:val="21"/>
              </w:rPr>
            </w:pPr>
          </w:p>
        </w:tc>
        <w:tc>
          <w:tcPr>
            <w:tcW w:w="987" w:type="dxa"/>
            <w:gridSpan w:val="2"/>
            <w:tcBorders>
              <w:top w:val="single" w:color="auto" w:sz="6" w:space="0"/>
              <w:left w:val="single" w:color="auto" w:sz="4" w:space="0"/>
              <w:right w:val="single" w:color="auto" w:sz="4" w:space="0"/>
            </w:tcBorders>
            <w:noWrap w:val="0"/>
            <w:vAlign w:val="center"/>
          </w:tcPr>
          <w:p>
            <w:pPr>
              <w:ind w:firstLine="105" w:firstLineChars="50"/>
              <w:rPr>
                <w:rFonts w:hint="eastAsia"/>
                <w:b/>
                <w:szCs w:val="21"/>
              </w:rPr>
            </w:pPr>
            <w:r>
              <w:rPr>
                <w:rFonts w:hint="eastAsia"/>
                <w:b/>
                <w:szCs w:val="21"/>
              </w:rPr>
              <w:t>联系人</w:t>
            </w:r>
          </w:p>
        </w:tc>
        <w:tc>
          <w:tcPr>
            <w:tcW w:w="1017" w:type="dxa"/>
            <w:tcBorders>
              <w:top w:val="single" w:color="auto" w:sz="6" w:space="0"/>
              <w:left w:val="single" w:color="auto" w:sz="4" w:space="0"/>
              <w:right w:val="single" w:color="auto" w:sz="4" w:space="0"/>
            </w:tcBorders>
            <w:noWrap w:val="0"/>
            <w:vAlign w:val="center"/>
          </w:tcPr>
          <w:p>
            <w:pPr>
              <w:ind w:firstLine="105" w:firstLineChars="50"/>
              <w:rPr>
                <w:rFonts w:hint="eastAsia"/>
                <w:szCs w:val="21"/>
              </w:rPr>
            </w:pPr>
          </w:p>
        </w:tc>
        <w:tc>
          <w:tcPr>
            <w:tcW w:w="900" w:type="dxa"/>
            <w:tcBorders>
              <w:top w:val="single" w:color="auto" w:sz="6" w:space="0"/>
              <w:left w:val="single" w:color="auto" w:sz="4" w:space="0"/>
              <w:right w:val="single" w:color="auto" w:sz="4" w:space="0"/>
            </w:tcBorders>
            <w:noWrap w:val="0"/>
            <w:vAlign w:val="center"/>
          </w:tcPr>
          <w:p>
            <w:pPr>
              <w:ind w:firstLine="105" w:firstLineChars="50"/>
              <w:rPr>
                <w:rFonts w:hint="eastAsia"/>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noWrap w:val="0"/>
            <w:vAlign w:val="center"/>
          </w:tcPr>
          <w:p>
            <w:pPr>
              <w:ind w:firstLine="105" w:firstLineChars="5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0"/>
            <w:vAlign w:val="center"/>
          </w:tcPr>
          <w:p>
            <w:pPr>
              <w:jc w:val="center"/>
              <w:rPr>
                <w:rFonts w:hint="eastAsia" w:hAnsi="宋体"/>
                <w:b/>
                <w:szCs w:val="21"/>
              </w:rPr>
            </w:pPr>
            <w:r>
              <w:rPr>
                <w:rFonts w:hint="eastAsia" w:hAnsi="宋体"/>
                <w:b/>
                <w:szCs w:val="21"/>
              </w:rPr>
              <w:t>供应商名称</w:t>
            </w:r>
          </w:p>
        </w:tc>
        <w:tc>
          <w:tcPr>
            <w:tcW w:w="2880" w:type="dxa"/>
            <w:gridSpan w:val="2"/>
            <w:tcBorders>
              <w:top w:val="single" w:color="auto" w:sz="6" w:space="0"/>
              <w:left w:val="single" w:color="auto" w:sz="6" w:space="0"/>
              <w:right w:val="single" w:color="auto" w:sz="4" w:space="0"/>
            </w:tcBorders>
            <w:noWrap w:val="0"/>
            <w:vAlign w:val="center"/>
          </w:tcPr>
          <w:p>
            <w:pPr>
              <w:jc w:val="center"/>
              <w:rPr>
                <w:rFonts w:hint="eastAsia"/>
                <w:szCs w:val="21"/>
              </w:rPr>
            </w:pPr>
          </w:p>
        </w:tc>
        <w:tc>
          <w:tcPr>
            <w:tcW w:w="987" w:type="dxa"/>
            <w:gridSpan w:val="2"/>
            <w:tcBorders>
              <w:top w:val="single" w:color="auto" w:sz="6" w:space="0"/>
              <w:left w:val="single" w:color="auto" w:sz="4" w:space="0"/>
              <w:right w:val="single" w:color="auto" w:sz="4" w:space="0"/>
            </w:tcBorders>
            <w:noWrap w:val="0"/>
            <w:vAlign w:val="center"/>
          </w:tcPr>
          <w:p>
            <w:pPr>
              <w:ind w:firstLine="105" w:firstLineChars="50"/>
              <w:rPr>
                <w:rFonts w:hint="eastAsia"/>
                <w:b/>
                <w:szCs w:val="21"/>
              </w:rPr>
            </w:pPr>
            <w:r>
              <w:rPr>
                <w:rFonts w:hint="eastAsia"/>
                <w:b/>
                <w:szCs w:val="21"/>
              </w:rPr>
              <w:t>联系人</w:t>
            </w:r>
          </w:p>
        </w:tc>
        <w:tc>
          <w:tcPr>
            <w:tcW w:w="1017" w:type="dxa"/>
            <w:tcBorders>
              <w:top w:val="single" w:color="auto" w:sz="6" w:space="0"/>
              <w:left w:val="single" w:color="auto" w:sz="4" w:space="0"/>
              <w:right w:val="single" w:color="auto" w:sz="4" w:space="0"/>
            </w:tcBorders>
            <w:noWrap w:val="0"/>
            <w:vAlign w:val="center"/>
          </w:tcPr>
          <w:p>
            <w:pPr>
              <w:ind w:firstLine="105" w:firstLineChars="50"/>
              <w:rPr>
                <w:rFonts w:hint="eastAsia"/>
                <w:szCs w:val="21"/>
              </w:rPr>
            </w:pPr>
          </w:p>
        </w:tc>
        <w:tc>
          <w:tcPr>
            <w:tcW w:w="900" w:type="dxa"/>
            <w:tcBorders>
              <w:top w:val="single" w:color="auto" w:sz="6" w:space="0"/>
              <w:left w:val="single" w:color="auto" w:sz="4" w:space="0"/>
              <w:right w:val="single" w:color="auto" w:sz="4" w:space="0"/>
            </w:tcBorders>
            <w:noWrap w:val="0"/>
            <w:vAlign w:val="center"/>
          </w:tcPr>
          <w:p>
            <w:pPr>
              <w:ind w:firstLine="105" w:firstLineChars="50"/>
              <w:rPr>
                <w:rFonts w:hint="eastAsia"/>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noWrap w:val="0"/>
            <w:vAlign w:val="center"/>
          </w:tcPr>
          <w:p>
            <w:pPr>
              <w:ind w:firstLine="105" w:firstLineChars="5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noWrap w:val="0"/>
            <w:vAlign w:val="center"/>
          </w:tcPr>
          <w:p>
            <w:pPr>
              <w:jc w:val="center"/>
              <w:rPr>
                <w:rFonts w:hint="eastAsia" w:hAnsi="宋体"/>
                <w:b/>
                <w:szCs w:val="21"/>
              </w:rPr>
            </w:pPr>
            <w:r>
              <w:rPr>
                <w:rFonts w:hint="eastAsia" w:hAnsi="宋体"/>
                <w:b/>
                <w:szCs w:val="21"/>
              </w:rPr>
              <w:t>采购内容</w:t>
            </w:r>
          </w:p>
        </w:tc>
        <w:tc>
          <w:tcPr>
            <w:tcW w:w="2880" w:type="dxa"/>
            <w:gridSpan w:val="2"/>
            <w:tcBorders>
              <w:top w:val="single" w:color="auto" w:sz="6" w:space="0"/>
              <w:left w:val="single" w:color="auto" w:sz="6" w:space="0"/>
              <w:right w:val="single" w:color="auto" w:sz="4" w:space="0"/>
            </w:tcBorders>
            <w:noWrap w:val="0"/>
            <w:vAlign w:val="center"/>
          </w:tcPr>
          <w:p>
            <w:pPr>
              <w:jc w:val="center"/>
              <w:rPr>
                <w:rFonts w:hint="eastAsia"/>
                <w:szCs w:val="21"/>
              </w:rPr>
            </w:pPr>
          </w:p>
        </w:tc>
        <w:tc>
          <w:tcPr>
            <w:tcW w:w="924" w:type="dxa"/>
            <w:tcBorders>
              <w:top w:val="single" w:color="auto" w:sz="6" w:space="0"/>
              <w:left w:val="single" w:color="auto" w:sz="4" w:space="0"/>
              <w:right w:val="single" w:color="auto" w:sz="6" w:space="0"/>
            </w:tcBorders>
            <w:noWrap w:val="0"/>
            <w:vAlign w:val="center"/>
          </w:tcPr>
          <w:p>
            <w:pPr>
              <w:rPr>
                <w:b/>
                <w:szCs w:val="21"/>
              </w:rPr>
            </w:pPr>
            <w:r>
              <w:rPr>
                <w:rFonts w:hint="eastAsia"/>
                <w:b/>
                <w:szCs w:val="21"/>
              </w:rPr>
              <w:t>金 额</w:t>
            </w:r>
          </w:p>
        </w:tc>
        <w:tc>
          <w:tcPr>
            <w:tcW w:w="1080" w:type="dxa"/>
            <w:gridSpan w:val="2"/>
            <w:tcBorders>
              <w:top w:val="single" w:color="auto" w:sz="6" w:space="0"/>
              <w:left w:val="single" w:color="auto" w:sz="4" w:space="0"/>
              <w:right w:val="single" w:color="auto" w:sz="6" w:space="0"/>
            </w:tcBorders>
            <w:noWrap w:val="0"/>
            <w:vAlign w:val="center"/>
          </w:tcPr>
          <w:p>
            <w:pPr>
              <w:ind w:firstLine="105" w:firstLineChars="50"/>
              <w:rPr>
                <w:szCs w:val="21"/>
              </w:rPr>
            </w:pPr>
          </w:p>
        </w:tc>
        <w:tc>
          <w:tcPr>
            <w:tcW w:w="1260" w:type="dxa"/>
            <w:gridSpan w:val="2"/>
            <w:tcBorders>
              <w:top w:val="single" w:color="auto" w:sz="6" w:space="0"/>
              <w:left w:val="single" w:color="auto" w:sz="4" w:space="0"/>
              <w:right w:val="single" w:color="auto" w:sz="6" w:space="0"/>
            </w:tcBorders>
            <w:noWrap w:val="0"/>
            <w:vAlign w:val="center"/>
          </w:tcPr>
          <w:p>
            <w:pPr>
              <w:ind w:firstLine="105" w:firstLineChars="50"/>
              <w:rPr>
                <w:rFonts w:hint="eastAsia"/>
                <w:b/>
                <w:szCs w:val="21"/>
              </w:rPr>
            </w:pPr>
            <w:r>
              <w:rPr>
                <w:rFonts w:hint="eastAsia"/>
                <w:b/>
                <w:szCs w:val="21"/>
              </w:rPr>
              <w:t>验收方式</w:t>
            </w:r>
          </w:p>
        </w:tc>
        <w:tc>
          <w:tcPr>
            <w:tcW w:w="1180" w:type="dxa"/>
            <w:tcBorders>
              <w:top w:val="single" w:color="auto" w:sz="6" w:space="0"/>
              <w:left w:val="single" w:color="auto" w:sz="4" w:space="0"/>
              <w:right w:val="single" w:color="auto" w:sz="6" w:space="0"/>
            </w:tcBorders>
            <w:noWrap w:val="0"/>
            <w:vAlign w:val="center"/>
          </w:tcPr>
          <w:p>
            <w:pPr>
              <w:ind w:firstLine="105" w:firstLineChars="50"/>
              <w:rPr>
                <w:rFonts w:hint="eastAsia"/>
                <w:szCs w:val="21"/>
              </w:rPr>
            </w:pPr>
            <w:r>
              <w:rPr>
                <w:rFonts w:hint="eastAsia"/>
                <w:szCs w:val="21"/>
              </w:rPr>
              <w:t>全验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noWrap w:val="0"/>
            <w:vAlign w:val="center"/>
          </w:tcPr>
          <w:p>
            <w:pPr>
              <w:jc w:val="center"/>
              <w:rPr>
                <w:rFonts w:hint="eastAsia" w:hAnsi="宋体"/>
                <w:b/>
                <w:szCs w:val="21"/>
              </w:rPr>
            </w:pPr>
            <w:r>
              <w:rPr>
                <w:rFonts w:hAnsi="宋体"/>
                <w:b/>
                <w:szCs w:val="21"/>
              </w:rPr>
              <w:t>对照</w:t>
            </w:r>
            <w:r>
              <w:rPr>
                <w:rFonts w:hint="eastAsia" w:hAnsi="宋体"/>
                <w:b/>
                <w:szCs w:val="21"/>
              </w:rPr>
              <w:t>投标文件</w:t>
            </w:r>
            <w:r>
              <w:rPr>
                <w:rFonts w:hAnsi="宋体"/>
                <w:b/>
                <w:szCs w:val="21"/>
              </w:rPr>
              <w:t>合同</w:t>
            </w:r>
            <w:r>
              <w:rPr>
                <w:rFonts w:hint="eastAsia" w:hAnsi="宋体"/>
                <w:b/>
                <w:szCs w:val="21"/>
              </w:rPr>
              <w:t>等</w:t>
            </w:r>
          </w:p>
          <w:p>
            <w:pPr>
              <w:jc w:val="center"/>
              <w:rPr>
                <w:rFonts w:hint="eastAsia" w:hAnsi="宋体"/>
                <w:b/>
                <w:szCs w:val="21"/>
              </w:rPr>
            </w:pPr>
            <w:r>
              <w:rPr>
                <w:rFonts w:hint="eastAsia" w:hAnsi="宋体"/>
                <w:b/>
                <w:szCs w:val="21"/>
              </w:rPr>
              <w:t>验收</w:t>
            </w:r>
          </w:p>
          <w:p>
            <w:pPr>
              <w:jc w:val="center"/>
              <w:rPr>
                <w:rFonts w:hint="eastAsia"/>
                <w:b/>
                <w:szCs w:val="21"/>
              </w:rPr>
            </w:pPr>
            <w:r>
              <w:rPr>
                <w:rFonts w:hint="eastAsia" w:hAnsi="宋体"/>
                <w:b/>
                <w:szCs w:val="21"/>
              </w:rPr>
              <w:t>情况</w:t>
            </w:r>
          </w:p>
        </w:tc>
        <w:tc>
          <w:tcPr>
            <w:tcW w:w="2794" w:type="dxa"/>
            <w:gridSpan w:val="2"/>
            <w:tcBorders>
              <w:top w:val="single" w:color="auto" w:sz="6" w:space="0"/>
              <w:left w:val="single" w:color="auto" w:sz="4" w:space="0"/>
              <w:bottom w:val="dotted" w:color="auto" w:sz="4" w:space="0"/>
              <w:right w:val="dotted" w:color="auto" w:sz="4" w:space="0"/>
            </w:tcBorders>
            <w:noWrap w:val="0"/>
            <w:vAlign w:val="center"/>
          </w:tcPr>
          <w:p>
            <w:pPr>
              <w:jc w:val="center"/>
              <w:rPr>
                <w:szCs w:val="21"/>
              </w:rPr>
            </w:pPr>
            <w:r>
              <w:rPr>
                <w:rFonts w:hAnsi="宋体"/>
                <w:szCs w:val="21"/>
              </w:rPr>
              <w:t>交货数量</w:t>
            </w:r>
          </w:p>
        </w:tc>
        <w:tc>
          <w:tcPr>
            <w:tcW w:w="5351" w:type="dxa"/>
            <w:gridSpan w:val="7"/>
            <w:tcBorders>
              <w:top w:val="single" w:color="auto" w:sz="6" w:space="0"/>
              <w:left w:val="dotted" w:color="auto" w:sz="4" w:space="0"/>
              <w:bottom w:val="dotted" w:color="auto" w:sz="4" w:space="0"/>
              <w:right w:val="single" w:color="auto" w:sz="6" w:space="0"/>
            </w:tcBorders>
            <w:noWrap w:val="0"/>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noWrap w:val="0"/>
            <w:vAlign w:val="center"/>
          </w:tcPr>
          <w:p>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noWrap w:val="0"/>
            <w:vAlign w:val="center"/>
          </w:tcPr>
          <w:p>
            <w:pPr>
              <w:jc w:val="center"/>
              <w:rPr>
                <w:rFonts w:hint="eastAsia" w:hAnsi="宋体"/>
                <w:szCs w:val="21"/>
              </w:rPr>
            </w:pPr>
            <w:r>
              <w:rPr>
                <w:rFonts w:hint="eastAsia" w:hAnsi="宋体"/>
                <w:szCs w:val="21"/>
              </w:rPr>
              <w:t xml:space="preserve">  产品设备的</w:t>
            </w:r>
            <w:r>
              <w:rPr>
                <w:rFonts w:hAnsi="宋体"/>
                <w:szCs w:val="21"/>
              </w:rPr>
              <w:t>技术参数、</w:t>
            </w:r>
          </w:p>
          <w:p>
            <w:pPr>
              <w:jc w:val="center"/>
              <w:rPr>
                <w:szCs w:val="21"/>
              </w:rPr>
            </w:pPr>
            <w:r>
              <w:rPr>
                <w:rFonts w:hAnsi="宋体"/>
                <w:szCs w:val="21"/>
              </w:rPr>
              <w:t>型号规格、和产地</w:t>
            </w:r>
          </w:p>
        </w:tc>
        <w:tc>
          <w:tcPr>
            <w:tcW w:w="5351" w:type="dxa"/>
            <w:gridSpan w:val="7"/>
            <w:tcBorders>
              <w:top w:val="dotted" w:color="auto" w:sz="4" w:space="0"/>
              <w:left w:val="dotted" w:color="auto" w:sz="4" w:space="0"/>
              <w:bottom w:val="dotted" w:color="auto" w:sz="4" w:space="0"/>
              <w:right w:val="single" w:color="auto" w:sz="6"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noWrap w:val="0"/>
            <w:vAlign w:val="center"/>
          </w:tcPr>
          <w:p>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noWrap w:val="0"/>
            <w:vAlign w:val="center"/>
          </w:tcPr>
          <w:p>
            <w:pPr>
              <w:jc w:val="center"/>
              <w:rPr>
                <w:szCs w:val="21"/>
              </w:rPr>
            </w:pPr>
            <w:r>
              <w:rPr>
                <w:rFonts w:hAnsi="宋体"/>
                <w:szCs w:val="21"/>
              </w:rPr>
              <w:t>实现的功能、指标、效果</w:t>
            </w:r>
          </w:p>
          <w:p>
            <w:pPr>
              <w:jc w:val="center"/>
              <w:rPr>
                <w:szCs w:val="21"/>
              </w:rPr>
            </w:pPr>
            <w:r>
              <w:rPr>
                <w:rFonts w:hAnsi="宋体"/>
                <w:szCs w:val="21"/>
              </w:rPr>
              <w:t>或约定的验收标准</w:t>
            </w:r>
          </w:p>
        </w:tc>
        <w:tc>
          <w:tcPr>
            <w:tcW w:w="5351" w:type="dxa"/>
            <w:gridSpan w:val="7"/>
            <w:tcBorders>
              <w:top w:val="dotted" w:color="auto" w:sz="4" w:space="0"/>
              <w:left w:val="dotted" w:color="auto" w:sz="4" w:space="0"/>
              <w:bottom w:val="dotted"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noWrap w:val="0"/>
            <w:vAlign w:val="center"/>
          </w:tcPr>
          <w:p>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noWrap w:val="0"/>
            <w:vAlign w:val="center"/>
          </w:tcPr>
          <w:p>
            <w:pPr>
              <w:jc w:val="center"/>
              <w:rPr>
                <w:szCs w:val="21"/>
              </w:rPr>
            </w:pPr>
            <w:r>
              <w:rPr>
                <w:rFonts w:hAnsi="宋体"/>
                <w:szCs w:val="21"/>
              </w:rPr>
              <w:t>技术培训与使用须知指引</w:t>
            </w:r>
          </w:p>
        </w:tc>
        <w:tc>
          <w:tcPr>
            <w:tcW w:w="5351" w:type="dxa"/>
            <w:gridSpan w:val="7"/>
            <w:tcBorders>
              <w:top w:val="dotted" w:color="auto" w:sz="4" w:space="0"/>
              <w:left w:val="dotted" w:color="auto" w:sz="4" w:space="0"/>
              <w:bottom w:val="dotted"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noWrap w:val="0"/>
            <w:vAlign w:val="center"/>
          </w:tcPr>
          <w:p>
            <w:pPr>
              <w:jc w:val="center"/>
              <w:rPr>
                <w:szCs w:val="21"/>
              </w:rPr>
            </w:pPr>
          </w:p>
        </w:tc>
        <w:tc>
          <w:tcPr>
            <w:tcW w:w="2794" w:type="dxa"/>
            <w:gridSpan w:val="2"/>
            <w:tcBorders>
              <w:top w:val="dotted" w:color="auto" w:sz="4" w:space="0"/>
              <w:left w:val="single" w:color="auto" w:sz="4" w:space="0"/>
              <w:bottom w:val="single" w:color="auto" w:sz="6" w:space="0"/>
              <w:right w:val="dotted" w:color="auto" w:sz="4" w:space="0"/>
            </w:tcBorders>
            <w:noWrap w:val="0"/>
            <w:vAlign w:val="center"/>
          </w:tcPr>
          <w:p>
            <w:pPr>
              <w:jc w:val="center"/>
              <w:rPr>
                <w:rFonts w:hint="eastAsia" w:hAnsi="宋体"/>
                <w:szCs w:val="21"/>
              </w:rPr>
            </w:pPr>
            <w:r>
              <w:rPr>
                <w:rFonts w:hAnsi="宋体"/>
                <w:szCs w:val="21"/>
              </w:rPr>
              <w:t>技术资料、售后服务资料等</w:t>
            </w:r>
            <w:r>
              <w:rPr>
                <w:rFonts w:hint="eastAsia" w:hAnsi="宋体"/>
                <w:szCs w:val="21"/>
              </w:rPr>
              <w:t>档案清点</w:t>
            </w:r>
            <w:r>
              <w:rPr>
                <w:rFonts w:hAnsi="宋体"/>
                <w:szCs w:val="21"/>
              </w:rPr>
              <w:t>移交</w:t>
            </w:r>
          </w:p>
        </w:tc>
        <w:tc>
          <w:tcPr>
            <w:tcW w:w="5351" w:type="dxa"/>
            <w:gridSpan w:val="7"/>
            <w:tcBorders>
              <w:top w:val="dotted" w:color="auto" w:sz="4" w:space="0"/>
              <w:left w:val="dotted" w:color="auto" w:sz="4" w:space="0"/>
              <w:bottom w:val="single" w:color="auto" w:sz="6"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8974" w:type="dxa"/>
            <w:gridSpan w:val="10"/>
            <w:tcBorders>
              <w:left w:val="single" w:color="auto" w:sz="6" w:space="0"/>
              <w:bottom w:val="single" w:color="auto" w:sz="6" w:space="0"/>
              <w:right w:val="single" w:color="auto" w:sz="4" w:space="0"/>
            </w:tcBorders>
            <w:noWrap w:val="0"/>
            <w:vAlign w:val="top"/>
          </w:tcPr>
          <w:p>
            <w:pPr>
              <w:spacing w:line="480" w:lineRule="auto"/>
              <w:rPr>
                <w:szCs w:val="21"/>
              </w:rPr>
            </w:pPr>
            <w:r>
              <w:rPr>
                <w:rFonts w:hAnsi="宋体"/>
                <w:b/>
                <w:szCs w:val="21"/>
              </w:rPr>
              <w:t>对项目</w:t>
            </w:r>
            <w:r>
              <w:rPr>
                <w:rFonts w:hint="eastAsia" w:hAnsi="宋体"/>
                <w:b/>
                <w:szCs w:val="21"/>
              </w:rPr>
              <w:t>整体</w:t>
            </w:r>
            <w:r>
              <w:rPr>
                <w:rFonts w:hAnsi="宋体"/>
                <w:b/>
                <w:szCs w:val="21"/>
              </w:rPr>
              <w:t>实施质量、</w:t>
            </w:r>
            <w:r>
              <w:rPr>
                <w:rFonts w:hint="eastAsia" w:hAnsi="宋体"/>
                <w:b/>
                <w:szCs w:val="21"/>
              </w:rPr>
              <w:t>售后</w:t>
            </w:r>
            <w:r>
              <w:rPr>
                <w:rFonts w:hAnsi="宋体"/>
                <w:b/>
                <w:szCs w:val="21"/>
              </w:rPr>
              <w:t>服务等综合验收</w:t>
            </w:r>
            <w:r>
              <w:rPr>
                <w:rFonts w:hint="eastAsia" w:hAnsi="宋体"/>
                <w:b/>
                <w:szCs w:val="21"/>
              </w:rPr>
              <w:t>结果</w:t>
            </w:r>
            <w:r>
              <w:rPr>
                <w:rFonts w:hAnsi="宋体"/>
                <w:b/>
                <w:szCs w:val="21"/>
              </w:rPr>
              <w:t>：</w:t>
            </w:r>
          </w:p>
          <w:p>
            <w:pPr>
              <w:rPr>
                <w:szCs w:val="21"/>
              </w:rPr>
            </w:pPr>
          </w:p>
          <w:p>
            <w:pPr>
              <w:rPr>
                <w:rFonts w:hint="eastAsia"/>
                <w:szCs w:val="21"/>
              </w:rPr>
            </w:pPr>
          </w:p>
          <w:p>
            <w:pPr>
              <w:rPr>
                <w:rFonts w:hint="eastAsia"/>
                <w:szCs w:val="21"/>
              </w:rPr>
            </w:pPr>
          </w:p>
          <w:p>
            <w:pPr>
              <w:rPr>
                <w:rFonts w:hint="eastAsia"/>
                <w:szCs w:val="21"/>
              </w:rPr>
            </w:pPr>
          </w:p>
          <w:p>
            <w:pPr>
              <w:spacing w:line="480" w:lineRule="auto"/>
              <w:rPr>
                <w:rFonts w:hint="eastAsia"/>
                <w:b/>
                <w:szCs w:val="21"/>
                <w:u w:val="single"/>
              </w:rPr>
            </w:pPr>
            <w:r>
              <w:rPr>
                <w:rFonts w:hint="eastAsia"/>
                <w:b/>
                <w:szCs w:val="21"/>
              </w:rPr>
              <w:t>整改事项：</w:t>
            </w:r>
          </w:p>
          <w:p>
            <w:pPr>
              <w:spacing w:line="480" w:lineRule="auto"/>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10"/>
            <w:tcBorders>
              <w:top w:val="single" w:color="auto" w:sz="6" w:space="0"/>
              <w:left w:val="single" w:color="auto" w:sz="6" w:space="0"/>
              <w:right w:val="single" w:color="auto" w:sz="6" w:space="0"/>
            </w:tcBorders>
            <w:noWrap w:val="0"/>
            <w:vAlign w:val="top"/>
          </w:tcPr>
          <w:p>
            <w:pPr>
              <w:spacing w:line="360" w:lineRule="auto"/>
              <w:rPr>
                <w:b/>
                <w:szCs w:val="21"/>
              </w:rPr>
            </w:pPr>
            <w:r>
              <w:rPr>
                <w:rFonts w:hint="eastAsia" w:hAnsi="宋体"/>
                <w:b/>
                <w:szCs w:val="21"/>
              </w:rPr>
              <w:t>验收人员签名</w:t>
            </w:r>
            <w:r>
              <w:rPr>
                <w:rFonts w:hAnsi="宋体"/>
                <w:b/>
                <w:szCs w:val="21"/>
              </w:rPr>
              <w:t>：</w:t>
            </w:r>
          </w:p>
          <w:p>
            <w:pPr>
              <w:spacing w:line="360" w:lineRule="auto"/>
              <w:rPr>
                <w:rFonts w:hint="eastAsia"/>
                <w:b/>
                <w:szCs w:val="21"/>
              </w:rPr>
            </w:pPr>
          </w:p>
          <w:p>
            <w:pPr>
              <w:spacing w:line="360" w:lineRule="auto"/>
              <w:rPr>
                <w:rFonts w:hint="eastAsia"/>
                <w:b/>
                <w:szCs w:val="21"/>
              </w:rPr>
            </w:pPr>
            <w:r>
              <w:rPr>
                <w:rFonts w:hint="eastAsia"/>
                <w:b/>
                <w:szCs w:val="21"/>
              </w:rPr>
              <w:t xml:space="preserve">                                              单位（盖章）：</w:t>
            </w:r>
          </w:p>
          <w:p>
            <w:pPr>
              <w:spacing w:line="360" w:lineRule="auto"/>
              <w:rPr>
                <w:rFonts w:hint="eastAsia"/>
                <w:b/>
                <w:szCs w:val="21"/>
              </w:rPr>
            </w:pPr>
            <w:r>
              <w:rPr>
                <w:rFonts w:hint="eastAsia"/>
                <w:b/>
                <w:szCs w:val="21"/>
              </w:rPr>
              <w:t xml:space="preserve">                                              法人或委托人签名：</w:t>
            </w:r>
          </w:p>
          <w:p>
            <w:pPr>
              <w:spacing w:line="360" w:lineRule="auto"/>
              <w:ind w:firstLine="4889" w:firstLineChars="2319"/>
              <w:rPr>
                <w:rFonts w:hint="eastAsia"/>
                <w:b/>
                <w:szCs w:val="21"/>
              </w:rPr>
            </w:pPr>
            <w:r>
              <w:rPr>
                <w:rFonts w:hint="eastAsia"/>
                <w:b/>
                <w:szCs w:val="21"/>
              </w:rPr>
              <w:t>验收日期：</w:t>
            </w:r>
          </w:p>
        </w:tc>
      </w:tr>
    </w:tbl>
    <w:p>
      <w:pPr>
        <w:rPr>
          <w:rFonts w:hint="eastAsia" w:hAnsi="宋体"/>
        </w:rPr>
      </w:pPr>
      <w:r>
        <w:rPr>
          <w:rFonts w:hint="eastAsia" w:hAnsi="宋体"/>
        </w:rPr>
        <w:t>1、验收执行标准：采购文件、投标文件、合同、双方确认的一切补充文件。</w:t>
      </w:r>
    </w:p>
    <w:p>
      <w:pPr>
        <w:ind w:left="315" w:hanging="315" w:hangingChars="150"/>
        <w:rPr>
          <w:rFonts w:hint="eastAsia" w:hAnsi="宋体"/>
        </w:rPr>
      </w:pPr>
      <w:r>
        <w:rPr>
          <w:rFonts w:hint="eastAsia" w:hAnsi="宋体"/>
        </w:rPr>
        <w:t>2、150万以上项目初验合格后，将本报告送公共资源交易中心，由中心组织相关部门对项</w:t>
      </w:r>
    </w:p>
    <w:p>
      <w:pPr>
        <w:ind w:left="315" w:hanging="315" w:hangingChars="150"/>
        <w:rPr>
          <w:rFonts w:hint="eastAsia" w:hAnsi="宋体"/>
        </w:rPr>
        <w:sectPr>
          <w:headerReference r:id="rId12" w:type="first"/>
          <w:footerReference r:id="rId15" w:type="first"/>
          <w:headerReference r:id="rId11" w:type="default"/>
          <w:footerReference r:id="rId13" w:type="default"/>
          <w:footerReference r:id="rId14" w:type="even"/>
          <w:pgSz w:w="11906" w:h="16838"/>
          <w:pgMar w:top="1440" w:right="1800" w:bottom="1440" w:left="1800" w:header="851" w:footer="992" w:gutter="0"/>
          <w:cols w:space="720" w:num="1"/>
          <w:docGrid w:type="lines" w:linePitch="312" w:charSpace="0"/>
        </w:sectPr>
      </w:pPr>
      <w:r>
        <w:rPr>
          <w:rFonts w:hint="eastAsia" w:hAnsi="宋体"/>
        </w:rPr>
        <w:t>目进行抽查。 3、此表后应附验收货物清单。 4、以上空白处如不够填写，可另附纸张。</w:t>
      </w:r>
    </w:p>
    <w:tbl>
      <w:tblPr>
        <w:tblStyle w:val="42"/>
        <w:tblpPr w:leftFromText="180" w:rightFromText="180" w:horzAnchor="margin" w:tblpY="93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5746"/>
        <w:gridCol w:w="3780"/>
        <w:gridCol w:w="720"/>
        <w:gridCol w:w="720"/>
        <w:gridCol w:w="71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exact"/>
        </w:trPr>
        <w:tc>
          <w:tcPr>
            <w:tcW w:w="919" w:type="dxa"/>
            <w:noWrap w:val="0"/>
            <w:vAlign w:val="center"/>
          </w:tcPr>
          <w:p>
            <w:pPr>
              <w:pStyle w:val="24"/>
              <w:snapToGrid w:val="0"/>
              <w:spacing w:before="120" w:after="120"/>
              <w:ind w:left="-108"/>
              <w:jc w:val="center"/>
              <w:rPr>
                <w:rFonts w:hint="eastAsia" w:hAnsi="宋体"/>
              </w:rPr>
            </w:pPr>
            <w:r>
              <w:rPr>
                <w:rFonts w:hint="eastAsia" w:hAnsi="宋体"/>
              </w:rPr>
              <w:t>序号</w:t>
            </w:r>
          </w:p>
        </w:tc>
        <w:tc>
          <w:tcPr>
            <w:tcW w:w="5746" w:type="dxa"/>
            <w:noWrap w:val="0"/>
            <w:vAlign w:val="top"/>
          </w:tcPr>
          <w:p>
            <w:pPr>
              <w:pStyle w:val="24"/>
              <w:snapToGrid w:val="0"/>
              <w:spacing w:before="120" w:after="120"/>
              <w:ind w:left="-108"/>
              <w:jc w:val="center"/>
              <w:rPr>
                <w:rFonts w:hint="eastAsia" w:hAnsi="宋体"/>
              </w:rPr>
            </w:pPr>
            <w:r>
              <w:rPr>
                <w:rFonts w:hint="eastAsia" w:hAnsi="宋体"/>
              </w:rPr>
              <w:t>货物名称</w:t>
            </w:r>
          </w:p>
        </w:tc>
        <w:tc>
          <w:tcPr>
            <w:tcW w:w="3780" w:type="dxa"/>
            <w:noWrap w:val="0"/>
            <w:vAlign w:val="center"/>
          </w:tcPr>
          <w:p>
            <w:pPr>
              <w:pStyle w:val="24"/>
              <w:snapToGrid w:val="0"/>
              <w:spacing w:before="120" w:after="120"/>
              <w:ind w:left="-108"/>
              <w:jc w:val="center"/>
              <w:rPr>
                <w:rFonts w:hint="eastAsia" w:hAnsi="宋体"/>
              </w:rPr>
            </w:pPr>
            <w:r>
              <w:rPr>
                <w:rFonts w:hint="eastAsia" w:hAnsi="宋体"/>
              </w:rPr>
              <w:t>品牌型号</w:t>
            </w:r>
          </w:p>
        </w:tc>
        <w:tc>
          <w:tcPr>
            <w:tcW w:w="720" w:type="dxa"/>
            <w:noWrap w:val="0"/>
            <w:vAlign w:val="center"/>
          </w:tcPr>
          <w:p>
            <w:pPr>
              <w:pStyle w:val="24"/>
              <w:snapToGrid w:val="0"/>
              <w:spacing w:before="120" w:after="120"/>
              <w:jc w:val="center"/>
              <w:rPr>
                <w:rFonts w:hint="eastAsia" w:hAnsi="宋体"/>
              </w:rPr>
            </w:pPr>
            <w:r>
              <w:rPr>
                <w:rFonts w:hint="eastAsia" w:hAnsi="宋体"/>
              </w:rPr>
              <w:t>符合  与否</w:t>
            </w:r>
          </w:p>
        </w:tc>
        <w:tc>
          <w:tcPr>
            <w:tcW w:w="720" w:type="dxa"/>
            <w:noWrap w:val="0"/>
            <w:vAlign w:val="center"/>
          </w:tcPr>
          <w:p>
            <w:pPr>
              <w:pStyle w:val="24"/>
              <w:snapToGrid w:val="0"/>
              <w:spacing w:before="120" w:after="120"/>
              <w:jc w:val="center"/>
              <w:rPr>
                <w:rFonts w:hint="eastAsia" w:hAnsi="宋体"/>
              </w:rPr>
            </w:pPr>
            <w:r>
              <w:rPr>
                <w:rFonts w:hint="eastAsia" w:hAnsi="宋体"/>
              </w:rPr>
              <w:t>数量</w:t>
            </w:r>
          </w:p>
        </w:tc>
        <w:tc>
          <w:tcPr>
            <w:tcW w:w="718" w:type="dxa"/>
            <w:noWrap w:val="0"/>
            <w:vAlign w:val="center"/>
          </w:tcPr>
          <w:p>
            <w:pPr>
              <w:pStyle w:val="24"/>
              <w:snapToGrid w:val="0"/>
              <w:spacing w:before="120" w:after="120"/>
              <w:ind w:left="-108"/>
              <w:jc w:val="center"/>
              <w:rPr>
                <w:rFonts w:hint="eastAsia" w:hAnsi="宋体"/>
              </w:rPr>
            </w:pPr>
            <w:r>
              <w:rPr>
                <w:rFonts w:hint="eastAsia" w:hAnsi="宋体"/>
              </w:rPr>
              <w:t>符合   与否</w:t>
            </w:r>
          </w:p>
        </w:tc>
        <w:tc>
          <w:tcPr>
            <w:tcW w:w="1262" w:type="dxa"/>
            <w:noWrap w:val="0"/>
            <w:vAlign w:val="center"/>
          </w:tcPr>
          <w:p>
            <w:pPr>
              <w:pStyle w:val="24"/>
              <w:snapToGrid w:val="0"/>
              <w:spacing w:before="120" w:after="120"/>
              <w:jc w:val="center"/>
              <w:rPr>
                <w:rFonts w:hint="eastAsia" w:hAnsi="宋体"/>
              </w:rPr>
            </w:pPr>
            <w:r>
              <w:rPr>
                <w:rFonts w:hint="eastAsia" w:hAnsi="宋体"/>
              </w:rPr>
              <w:t>验收人员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noWrap w:val="0"/>
            <w:vAlign w:val="center"/>
          </w:tcPr>
          <w:p>
            <w:pPr>
              <w:pStyle w:val="24"/>
              <w:snapToGrid w:val="0"/>
              <w:spacing w:before="120" w:after="120"/>
              <w:ind w:left="-108"/>
              <w:jc w:val="center"/>
              <w:rPr>
                <w:rFonts w:hint="eastAsia" w:hAnsi="宋体"/>
              </w:rPr>
            </w:pPr>
            <w:r>
              <w:rPr>
                <w:rFonts w:hint="eastAsia" w:hAnsi="宋体"/>
              </w:rPr>
              <w:t>1</w:t>
            </w:r>
          </w:p>
        </w:tc>
        <w:tc>
          <w:tcPr>
            <w:tcW w:w="5746" w:type="dxa"/>
            <w:noWrap w:val="0"/>
            <w:vAlign w:val="top"/>
          </w:tcPr>
          <w:p>
            <w:pPr>
              <w:pStyle w:val="24"/>
              <w:snapToGrid w:val="0"/>
              <w:spacing w:before="120" w:after="120"/>
              <w:ind w:left="-108"/>
              <w:jc w:val="center"/>
              <w:rPr>
                <w:rFonts w:hint="eastAsia" w:hAnsi="宋体"/>
              </w:rPr>
            </w:pPr>
          </w:p>
        </w:tc>
        <w:tc>
          <w:tcPr>
            <w:tcW w:w="3780" w:type="dxa"/>
            <w:noWrap w:val="0"/>
            <w:vAlign w:val="center"/>
          </w:tcPr>
          <w:p>
            <w:pPr>
              <w:pStyle w:val="24"/>
              <w:snapToGrid w:val="0"/>
              <w:spacing w:before="120" w:after="120"/>
              <w:ind w:left="-108"/>
              <w:jc w:val="center"/>
              <w:rPr>
                <w:rFonts w:hint="eastAsia" w:hAnsi="宋体"/>
              </w:rPr>
            </w:pPr>
          </w:p>
        </w:tc>
        <w:tc>
          <w:tcPr>
            <w:tcW w:w="720" w:type="dxa"/>
            <w:noWrap w:val="0"/>
            <w:vAlign w:val="center"/>
          </w:tcPr>
          <w:p>
            <w:pPr>
              <w:pStyle w:val="24"/>
              <w:snapToGrid w:val="0"/>
              <w:spacing w:before="120" w:after="120"/>
              <w:ind w:left="-108"/>
              <w:jc w:val="center"/>
              <w:rPr>
                <w:rFonts w:hint="eastAsia" w:hAnsi="宋体"/>
              </w:rPr>
            </w:pPr>
          </w:p>
        </w:tc>
        <w:tc>
          <w:tcPr>
            <w:tcW w:w="720" w:type="dxa"/>
            <w:noWrap w:val="0"/>
            <w:vAlign w:val="center"/>
          </w:tcPr>
          <w:p>
            <w:pPr>
              <w:pStyle w:val="24"/>
              <w:snapToGrid w:val="0"/>
              <w:spacing w:before="120" w:after="120"/>
              <w:ind w:left="-108"/>
              <w:jc w:val="center"/>
              <w:rPr>
                <w:rFonts w:hint="eastAsia" w:hAnsi="宋体"/>
              </w:rPr>
            </w:pPr>
          </w:p>
        </w:tc>
        <w:tc>
          <w:tcPr>
            <w:tcW w:w="718" w:type="dxa"/>
            <w:noWrap w:val="0"/>
            <w:vAlign w:val="center"/>
          </w:tcPr>
          <w:p>
            <w:pPr>
              <w:pStyle w:val="24"/>
              <w:snapToGrid w:val="0"/>
              <w:spacing w:before="120" w:after="120"/>
              <w:ind w:left="-108"/>
              <w:jc w:val="center"/>
              <w:rPr>
                <w:rFonts w:hint="eastAsia" w:hAnsi="宋体"/>
              </w:rPr>
            </w:pPr>
          </w:p>
        </w:tc>
        <w:tc>
          <w:tcPr>
            <w:tcW w:w="1262" w:type="dxa"/>
            <w:noWrap w:val="0"/>
            <w:vAlign w:val="center"/>
          </w:tcPr>
          <w:p>
            <w:pPr>
              <w:pStyle w:val="24"/>
              <w:snapToGrid w:val="0"/>
              <w:spacing w:before="120" w:after="120"/>
              <w:ind w:left="-108"/>
              <w:jc w:val="center"/>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noWrap w:val="0"/>
            <w:vAlign w:val="center"/>
          </w:tcPr>
          <w:p>
            <w:pPr>
              <w:pStyle w:val="24"/>
              <w:snapToGrid w:val="0"/>
              <w:spacing w:before="120" w:after="120"/>
              <w:ind w:left="-108"/>
              <w:jc w:val="center"/>
              <w:rPr>
                <w:rFonts w:hint="eastAsia" w:hAnsi="宋体"/>
              </w:rPr>
            </w:pPr>
            <w:r>
              <w:rPr>
                <w:rFonts w:hint="eastAsia" w:hAnsi="宋体"/>
              </w:rPr>
              <w:t>2</w:t>
            </w:r>
          </w:p>
        </w:tc>
        <w:tc>
          <w:tcPr>
            <w:tcW w:w="5746" w:type="dxa"/>
            <w:noWrap w:val="0"/>
            <w:vAlign w:val="top"/>
          </w:tcPr>
          <w:p>
            <w:pPr>
              <w:pStyle w:val="24"/>
              <w:snapToGrid w:val="0"/>
              <w:spacing w:before="120" w:after="120"/>
              <w:ind w:left="-108"/>
              <w:jc w:val="center"/>
              <w:rPr>
                <w:rFonts w:hint="eastAsia" w:hAnsi="宋体"/>
              </w:rPr>
            </w:pPr>
          </w:p>
        </w:tc>
        <w:tc>
          <w:tcPr>
            <w:tcW w:w="3780" w:type="dxa"/>
            <w:noWrap w:val="0"/>
            <w:vAlign w:val="center"/>
          </w:tcPr>
          <w:p>
            <w:pPr>
              <w:pStyle w:val="24"/>
              <w:snapToGrid w:val="0"/>
              <w:spacing w:before="120" w:after="120"/>
              <w:ind w:left="-108"/>
              <w:jc w:val="center"/>
              <w:rPr>
                <w:rFonts w:hint="eastAsia" w:hAnsi="宋体"/>
              </w:rPr>
            </w:pPr>
          </w:p>
        </w:tc>
        <w:tc>
          <w:tcPr>
            <w:tcW w:w="720" w:type="dxa"/>
            <w:noWrap w:val="0"/>
            <w:vAlign w:val="center"/>
          </w:tcPr>
          <w:p>
            <w:pPr>
              <w:pStyle w:val="24"/>
              <w:snapToGrid w:val="0"/>
              <w:spacing w:before="120" w:after="120"/>
              <w:ind w:left="-108"/>
              <w:jc w:val="center"/>
              <w:rPr>
                <w:rFonts w:hint="eastAsia" w:hAnsi="宋体"/>
              </w:rPr>
            </w:pPr>
          </w:p>
        </w:tc>
        <w:tc>
          <w:tcPr>
            <w:tcW w:w="720" w:type="dxa"/>
            <w:noWrap w:val="0"/>
            <w:vAlign w:val="center"/>
          </w:tcPr>
          <w:p>
            <w:pPr>
              <w:pStyle w:val="24"/>
              <w:snapToGrid w:val="0"/>
              <w:spacing w:before="120" w:after="120"/>
              <w:ind w:left="-108"/>
              <w:jc w:val="center"/>
              <w:rPr>
                <w:rFonts w:hint="eastAsia" w:hAnsi="宋体"/>
              </w:rPr>
            </w:pPr>
          </w:p>
        </w:tc>
        <w:tc>
          <w:tcPr>
            <w:tcW w:w="718" w:type="dxa"/>
            <w:noWrap w:val="0"/>
            <w:vAlign w:val="center"/>
          </w:tcPr>
          <w:p>
            <w:pPr>
              <w:pStyle w:val="24"/>
              <w:snapToGrid w:val="0"/>
              <w:spacing w:before="120" w:after="120"/>
              <w:ind w:left="-108"/>
              <w:jc w:val="center"/>
              <w:rPr>
                <w:rFonts w:hint="eastAsia" w:hAnsi="宋体"/>
              </w:rPr>
            </w:pPr>
          </w:p>
        </w:tc>
        <w:tc>
          <w:tcPr>
            <w:tcW w:w="1262" w:type="dxa"/>
            <w:noWrap w:val="0"/>
            <w:vAlign w:val="center"/>
          </w:tcPr>
          <w:p>
            <w:pPr>
              <w:pStyle w:val="24"/>
              <w:snapToGrid w:val="0"/>
              <w:spacing w:before="120" w:after="120"/>
              <w:ind w:left="-108"/>
              <w:jc w:val="center"/>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noWrap w:val="0"/>
            <w:vAlign w:val="center"/>
          </w:tcPr>
          <w:p>
            <w:pPr>
              <w:pStyle w:val="24"/>
              <w:snapToGrid w:val="0"/>
              <w:spacing w:before="120" w:after="120"/>
              <w:ind w:left="-108"/>
              <w:jc w:val="center"/>
              <w:rPr>
                <w:rFonts w:hint="eastAsia" w:hAnsi="宋体"/>
              </w:rPr>
            </w:pPr>
            <w:r>
              <w:rPr>
                <w:rFonts w:hint="eastAsia" w:hAnsi="宋体"/>
              </w:rPr>
              <w:t>3</w:t>
            </w:r>
          </w:p>
        </w:tc>
        <w:tc>
          <w:tcPr>
            <w:tcW w:w="5746" w:type="dxa"/>
            <w:noWrap w:val="0"/>
            <w:vAlign w:val="top"/>
          </w:tcPr>
          <w:p>
            <w:pPr>
              <w:pStyle w:val="24"/>
              <w:snapToGrid w:val="0"/>
              <w:spacing w:before="120" w:after="120"/>
              <w:ind w:left="-108"/>
              <w:jc w:val="center"/>
              <w:rPr>
                <w:rFonts w:hint="eastAsia" w:hAnsi="宋体"/>
              </w:rPr>
            </w:pPr>
          </w:p>
        </w:tc>
        <w:tc>
          <w:tcPr>
            <w:tcW w:w="3780" w:type="dxa"/>
            <w:noWrap w:val="0"/>
            <w:vAlign w:val="center"/>
          </w:tcPr>
          <w:p>
            <w:pPr>
              <w:pStyle w:val="24"/>
              <w:snapToGrid w:val="0"/>
              <w:spacing w:before="120" w:after="120"/>
              <w:ind w:left="-108"/>
              <w:jc w:val="center"/>
              <w:rPr>
                <w:rFonts w:hint="eastAsia" w:hAnsi="宋体"/>
              </w:rPr>
            </w:pPr>
          </w:p>
        </w:tc>
        <w:tc>
          <w:tcPr>
            <w:tcW w:w="720" w:type="dxa"/>
            <w:noWrap w:val="0"/>
            <w:vAlign w:val="center"/>
          </w:tcPr>
          <w:p>
            <w:pPr>
              <w:pStyle w:val="24"/>
              <w:snapToGrid w:val="0"/>
              <w:spacing w:before="120" w:after="120"/>
              <w:ind w:left="-108"/>
              <w:jc w:val="center"/>
              <w:rPr>
                <w:rFonts w:hint="eastAsia" w:hAnsi="宋体"/>
              </w:rPr>
            </w:pPr>
          </w:p>
        </w:tc>
        <w:tc>
          <w:tcPr>
            <w:tcW w:w="720" w:type="dxa"/>
            <w:noWrap w:val="0"/>
            <w:vAlign w:val="center"/>
          </w:tcPr>
          <w:p>
            <w:pPr>
              <w:pStyle w:val="24"/>
              <w:snapToGrid w:val="0"/>
              <w:spacing w:before="120" w:after="120"/>
              <w:ind w:left="-108"/>
              <w:jc w:val="center"/>
              <w:rPr>
                <w:rFonts w:hint="eastAsia" w:hAnsi="宋体"/>
              </w:rPr>
            </w:pPr>
          </w:p>
        </w:tc>
        <w:tc>
          <w:tcPr>
            <w:tcW w:w="718" w:type="dxa"/>
            <w:noWrap w:val="0"/>
            <w:vAlign w:val="center"/>
          </w:tcPr>
          <w:p>
            <w:pPr>
              <w:pStyle w:val="24"/>
              <w:snapToGrid w:val="0"/>
              <w:spacing w:before="120" w:after="120"/>
              <w:ind w:left="-108"/>
              <w:jc w:val="center"/>
              <w:rPr>
                <w:rFonts w:hint="eastAsia" w:hAnsi="宋体"/>
              </w:rPr>
            </w:pPr>
          </w:p>
        </w:tc>
        <w:tc>
          <w:tcPr>
            <w:tcW w:w="1262" w:type="dxa"/>
            <w:noWrap w:val="0"/>
            <w:vAlign w:val="center"/>
          </w:tcPr>
          <w:p>
            <w:pPr>
              <w:pStyle w:val="24"/>
              <w:snapToGrid w:val="0"/>
              <w:spacing w:before="120" w:after="120"/>
              <w:ind w:left="-108"/>
              <w:jc w:val="center"/>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noWrap w:val="0"/>
            <w:vAlign w:val="center"/>
          </w:tcPr>
          <w:p>
            <w:pPr>
              <w:pStyle w:val="24"/>
              <w:snapToGrid w:val="0"/>
              <w:spacing w:before="120" w:after="120"/>
              <w:ind w:left="-108"/>
              <w:jc w:val="center"/>
              <w:rPr>
                <w:rFonts w:hint="eastAsia" w:hAnsi="宋体"/>
              </w:rPr>
            </w:pPr>
            <w:r>
              <w:rPr>
                <w:rFonts w:hint="eastAsia" w:hAnsi="宋体"/>
              </w:rPr>
              <w:t>4</w:t>
            </w:r>
          </w:p>
        </w:tc>
        <w:tc>
          <w:tcPr>
            <w:tcW w:w="5746" w:type="dxa"/>
            <w:noWrap w:val="0"/>
            <w:vAlign w:val="top"/>
          </w:tcPr>
          <w:p>
            <w:pPr>
              <w:pStyle w:val="24"/>
              <w:snapToGrid w:val="0"/>
              <w:spacing w:before="120" w:after="120"/>
              <w:ind w:left="-108"/>
              <w:jc w:val="center"/>
              <w:rPr>
                <w:rFonts w:hint="eastAsia" w:hAnsi="宋体"/>
              </w:rPr>
            </w:pPr>
          </w:p>
        </w:tc>
        <w:tc>
          <w:tcPr>
            <w:tcW w:w="3780" w:type="dxa"/>
            <w:noWrap w:val="0"/>
            <w:vAlign w:val="center"/>
          </w:tcPr>
          <w:p>
            <w:pPr>
              <w:pStyle w:val="24"/>
              <w:snapToGrid w:val="0"/>
              <w:spacing w:before="120" w:after="120"/>
              <w:ind w:left="-108"/>
              <w:jc w:val="center"/>
              <w:rPr>
                <w:rFonts w:hint="eastAsia" w:hAnsi="宋体"/>
              </w:rPr>
            </w:pPr>
          </w:p>
        </w:tc>
        <w:tc>
          <w:tcPr>
            <w:tcW w:w="720" w:type="dxa"/>
            <w:noWrap w:val="0"/>
            <w:vAlign w:val="center"/>
          </w:tcPr>
          <w:p>
            <w:pPr>
              <w:pStyle w:val="24"/>
              <w:snapToGrid w:val="0"/>
              <w:spacing w:before="120" w:after="120"/>
              <w:ind w:left="-108"/>
              <w:jc w:val="center"/>
              <w:rPr>
                <w:rFonts w:hint="eastAsia" w:hAnsi="宋体"/>
              </w:rPr>
            </w:pPr>
          </w:p>
        </w:tc>
        <w:tc>
          <w:tcPr>
            <w:tcW w:w="720" w:type="dxa"/>
            <w:noWrap w:val="0"/>
            <w:vAlign w:val="center"/>
          </w:tcPr>
          <w:p>
            <w:pPr>
              <w:pStyle w:val="24"/>
              <w:snapToGrid w:val="0"/>
              <w:spacing w:before="120" w:after="120"/>
              <w:ind w:left="-108"/>
              <w:jc w:val="center"/>
              <w:rPr>
                <w:rFonts w:hint="eastAsia" w:hAnsi="宋体"/>
              </w:rPr>
            </w:pPr>
          </w:p>
        </w:tc>
        <w:tc>
          <w:tcPr>
            <w:tcW w:w="718" w:type="dxa"/>
            <w:noWrap w:val="0"/>
            <w:vAlign w:val="center"/>
          </w:tcPr>
          <w:p>
            <w:pPr>
              <w:pStyle w:val="24"/>
              <w:snapToGrid w:val="0"/>
              <w:spacing w:before="120" w:after="120"/>
              <w:ind w:left="-108"/>
              <w:jc w:val="center"/>
              <w:rPr>
                <w:rFonts w:hint="eastAsia" w:hAnsi="宋体"/>
              </w:rPr>
            </w:pPr>
          </w:p>
        </w:tc>
        <w:tc>
          <w:tcPr>
            <w:tcW w:w="1262" w:type="dxa"/>
            <w:noWrap w:val="0"/>
            <w:vAlign w:val="center"/>
          </w:tcPr>
          <w:p>
            <w:pPr>
              <w:pStyle w:val="24"/>
              <w:snapToGrid w:val="0"/>
              <w:spacing w:before="120" w:after="120"/>
              <w:ind w:left="-108"/>
              <w:jc w:val="center"/>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noWrap w:val="0"/>
            <w:vAlign w:val="center"/>
          </w:tcPr>
          <w:p>
            <w:pPr>
              <w:pStyle w:val="24"/>
              <w:snapToGrid w:val="0"/>
              <w:spacing w:before="120" w:after="120"/>
              <w:ind w:left="-108"/>
              <w:jc w:val="center"/>
              <w:rPr>
                <w:rFonts w:hint="eastAsia" w:hAnsi="宋体"/>
              </w:rPr>
            </w:pPr>
            <w:r>
              <w:rPr>
                <w:rFonts w:hint="eastAsia" w:hAnsi="宋体"/>
              </w:rPr>
              <w:t>5</w:t>
            </w:r>
          </w:p>
        </w:tc>
        <w:tc>
          <w:tcPr>
            <w:tcW w:w="5746" w:type="dxa"/>
            <w:noWrap w:val="0"/>
            <w:vAlign w:val="top"/>
          </w:tcPr>
          <w:p>
            <w:pPr>
              <w:pStyle w:val="24"/>
              <w:snapToGrid w:val="0"/>
              <w:spacing w:before="120" w:after="120"/>
              <w:ind w:left="-108"/>
              <w:jc w:val="center"/>
              <w:rPr>
                <w:rFonts w:hint="eastAsia" w:hAnsi="宋体"/>
              </w:rPr>
            </w:pPr>
          </w:p>
        </w:tc>
        <w:tc>
          <w:tcPr>
            <w:tcW w:w="3780" w:type="dxa"/>
            <w:noWrap w:val="0"/>
            <w:vAlign w:val="center"/>
          </w:tcPr>
          <w:p>
            <w:pPr>
              <w:pStyle w:val="24"/>
              <w:snapToGrid w:val="0"/>
              <w:spacing w:before="120" w:after="120"/>
              <w:ind w:left="-108"/>
              <w:jc w:val="center"/>
              <w:rPr>
                <w:rFonts w:hint="eastAsia" w:hAnsi="宋体"/>
              </w:rPr>
            </w:pPr>
          </w:p>
        </w:tc>
        <w:tc>
          <w:tcPr>
            <w:tcW w:w="720" w:type="dxa"/>
            <w:noWrap w:val="0"/>
            <w:vAlign w:val="center"/>
          </w:tcPr>
          <w:p>
            <w:pPr>
              <w:pStyle w:val="24"/>
              <w:snapToGrid w:val="0"/>
              <w:spacing w:before="120" w:after="120"/>
              <w:ind w:left="-108"/>
              <w:jc w:val="center"/>
              <w:rPr>
                <w:rFonts w:hint="eastAsia" w:hAnsi="宋体"/>
              </w:rPr>
            </w:pPr>
          </w:p>
        </w:tc>
        <w:tc>
          <w:tcPr>
            <w:tcW w:w="720" w:type="dxa"/>
            <w:noWrap w:val="0"/>
            <w:vAlign w:val="center"/>
          </w:tcPr>
          <w:p>
            <w:pPr>
              <w:pStyle w:val="24"/>
              <w:snapToGrid w:val="0"/>
              <w:spacing w:before="120" w:after="120"/>
              <w:ind w:left="-108"/>
              <w:jc w:val="center"/>
              <w:rPr>
                <w:rFonts w:hint="eastAsia" w:hAnsi="宋体"/>
              </w:rPr>
            </w:pPr>
          </w:p>
        </w:tc>
        <w:tc>
          <w:tcPr>
            <w:tcW w:w="718" w:type="dxa"/>
            <w:noWrap w:val="0"/>
            <w:vAlign w:val="center"/>
          </w:tcPr>
          <w:p>
            <w:pPr>
              <w:pStyle w:val="24"/>
              <w:snapToGrid w:val="0"/>
              <w:spacing w:before="120" w:after="120"/>
              <w:ind w:left="-108"/>
              <w:jc w:val="center"/>
              <w:rPr>
                <w:rFonts w:hint="eastAsia" w:hAnsi="宋体"/>
              </w:rPr>
            </w:pPr>
          </w:p>
        </w:tc>
        <w:tc>
          <w:tcPr>
            <w:tcW w:w="1262" w:type="dxa"/>
            <w:noWrap w:val="0"/>
            <w:vAlign w:val="center"/>
          </w:tcPr>
          <w:p>
            <w:pPr>
              <w:pStyle w:val="24"/>
              <w:snapToGrid w:val="0"/>
              <w:spacing w:before="120" w:after="120"/>
              <w:ind w:left="-108"/>
              <w:jc w:val="center"/>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noWrap w:val="0"/>
            <w:vAlign w:val="center"/>
          </w:tcPr>
          <w:p>
            <w:pPr>
              <w:pStyle w:val="24"/>
              <w:snapToGrid w:val="0"/>
              <w:spacing w:before="120" w:after="120"/>
              <w:ind w:left="-108"/>
              <w:jc w:val="center"/>
              <w:rPr>
                <w:rFonts w:hint="eastAsia" w:hAnsi="宋体"/>
              </w:rPr>
            </w:pPr>
            <w:r>
              <w:rPr>
                <w:rFonts w:hint="eastAsia" w:hAnsi="宋体"/>
              </w:rPr>
              <w:t>6</w:t>
            </w:r>
          </w:p>
        </w:tc>
        <w:tc>
          <w:tcPr>
            <w:tcW w:w="5746" w:type="dxa"/>
            <w:noWrap w:val="0"/>
            <w:vAlign w:val="top"/>
          </w:tcPr>
          <w:p>
            <w:pPr>
              <w:pStyle w:val="24"/>
              <w:snapToGrid w:val="0"/>
              <w:spacing w:before="120" w:after="120"/>
              <w:ind w:left="-108"/>
              <w:jc w:val="center"/>
              <w:rPr>
                <w:rFonts w:hint="eastAsia" w:hAnsi="宋体"/>
              </w:rPr>
            </w:pPr>
          </w:p>
        </w:tc>
        <w:tc>
          <w:tcPr>
            <w:tcW w:w="3780" w:type="dxa"/>
            <w:noWrap w:val="0"/>
            <w:vAlign w:val="center"/>
          </w:tcPr>
          <w:p>
            <w:pPr>
              <w:pStyle w:val="24"/>
              <w:snapToGrid w:val="0"/>
              <w:spacing w:before="120" w:after="120"/>
              <w:ind w:left="-108"/>
              <w:jc w:val="center"/>
              <w:rPr>
                <w:rFonts w:hint="eastAsia" w:hAnsi="宋体"/>
              </w:rPr>
            </w:pPr>
          </w:p>
        </w:tc>
        <w:tc>
          <w:tcPr>
            <w:tcW w:w="720" w:type="dxa"/>
            <w:noWrap w:val="0"/>
            <w:vAlign w:val="center"/>
          </w:tcPr>
          <w:p>
            <w:pPr>
              <w:pStyle w:val="24"/>
              <w:snapToGrid w:val="0"/>
              <w:spacing w:before="120" w:after="120"/>
              <w:ind w:left="-108"/>
              <w:jc w:val="center"/>
              <w:rPr>
                <w:rFonts w:hint="eastAsia" w:hAnsi="宋体"/>
              </w:rPr>
            </w:pPr>
          </w:p>
        </w:tc>
        <w:tc>
          <w:tcPr>
            <w:tcW w:w="720" w:type="dxa"/>
            <w:noWrap w:val="0"/>
            <w:vAlign w:val="center"/>
          </w:tcPr>
          <w:p>
            <w:pPr>
              <w:pStyle w:val="24"/>
              <w:snapToGrid w:val="0"/>
              <w:spacing w:before="120" w:after="120"/>
              <w:ind w:left="-108"/>
              <w:jc w:val="center"/>
              <w:rPr>
                <w:rFonts w:hint="eastAsia" w:hAnsi="宋体"/>
              </w:rPr>
            </w:pPr>
          </w:p>
        </w:tc>
        <w:tc>
          <w:tcPr>
            <w:tcW w:w="718" w:type="dxa"/>
            <w:noWrap w:val="0"/>
            <w:vAlign w:val="center"/>
          </w:tcPr>
          <w:p>
            <w:pPr>
              <w:pStyle w:val="24"/>
              <w:snapToGrid w:val="0"/>
              <w:spacing w:before="120" w:after="120"/>
              <w:ind w:left="-108"/>
              <w:jc w:val="center"/>
              <w:rPr>
                <w:rFonts w:hint="eastAsia" w:hAnsi="宋体"/>
              </w:rPr>
            </w:pPr>
          </w:p>
        </w:tc>
        <w:tc>
          <w:tcPr>
            <w:tcW w:w="1262" w:type="dxa"/>
            <w:noWrap w:val="0"/>
            <w:vAlign w:val="center"/>
          </w:tcPr>
          <w:p>
            <w:pPr>
              <w:pStyle w:val="24"/>
              <w:snapToGrid w:val="0"/>
              <w:spacing w:before="120" w:after="120"/>
              <w:ind w:left="-108"/>
              <w:jc w:val="center"/>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noWrap w:val="0"/>
            <w:vAlign w:val="center"/>
          </w:tcPr>
          <w:p>
            <w:pPr>
              <w:pStyle w:val="24"/>
              <w:snapToGrid w:val="0"/>
              <w:spacing w:before="120" w:after="120"/>
              <w:ind w:left="-108"/>
              <w:jc w:val="center"/>
              <w:rPr>
                <w:rFonts w:hint="eastAsia" w:hAnsi="宋体"/>
              </w:rPr>
            </w:pPr>
            <w:r>
              <w:rPr>
                <w:rFonts w:hint="eastAsia" w:hAnsi="宋体"/>
              </w:rPr>
              <w:t>7</w:t>
            </w:r>
          </w:p>
        </w:tc>
        <w:tc>
          <w:tcPr>
            <w:tcW w:w="5746" w:type="dxa"/>
            <w:noWrap w:val="0"/>
            <w:vAlign w:val="top"/>
          </w:tcPr>
          <w:p>
            <w:pPr>
              <w:pStyle w:val="24"/>
              <w:snapToGrid w:val="0"/>
              <w:spacing w:before="120" w:after="120"/>
              <w:ind w:left="-108"/>
              <w:jc w:val="center"/>
              <w:rPr>
                <w:rFonts w:hint="eastAsia" w:hAnsi="宋体"/>
              </w:rPr>
            </w:pPr>
          </w:p>
        </w:tc>
        <w:tc>
          <w:tcPr>
            <w:tcW w:w="3780" w:type="dxa"/>
            <w:noWrap w:val="0"/>
            <w:vAlign w:val="center"/>
          </w:tcPr>
          <w:p>
            <w:pPr>
              <w:pStyle w:val="24"/>
              <w:snapToGrid w:val="0"/>
              <w:spacing w:before="120" w:after="120"/>
              <w:ind w:left="-108"/>
              <w:jc w:val="center"/>
              <w:rPr>
                <w:rFonts w:hint="eastAsia" w:hAnsi="宋体"/>
              </w:rPr>
            </w:pPr>
          </w:p>
        </w:tc>
        <w:tc>
          <w:tcPr>
            <w:tcW w:w="720" w:type="dxa"/>
            <w:noWrap w:val="0"/>
            <w:vAlign w:val="center"/>
          </w:tcPr>
          <w:p>
            <w:pPr>
              <w:pStyle w:val="24"/>
              <w:snapToGrid w:val="0"/>
              <w:spacing w:before="120" w:after="120"/>
              <w:ind w:left="-108"/>
              <w:jc w:val="center"/>
              <w:rPr>
                <w:rFonts w:hint="eastAsia" w:hAnsi="宋体"/>
              </w:rPr>
            </w:pPr>
          </w:p>
        </w:tc>
        <w:tc>
          <w:tcPr>
            <w:tcW w:w="720" w:type="dxa"/>
            <w:noWrap w:val="0"/>
            <w:vAlign w:val="center"/>
          </w:tcPr>
          <w:p>
            <w:pPr>
              <w:pStyle w:val="24"/>
              <w:snapToGrid w:val="0"/>
              <w:spacing w:before="120" w:after="120"/>
              <w:ind w:left="-108"/>
              <w:jc w:val="center"/>
              <w:rPr>
                <w:rFonts w:hint="eastAsia" w:hAnsi="宋体"/>
              </w:rPr>
            </w:pPr>
          </w:p>
        </w:tc>
        <w:tc>
          <w:tcPr>
            <w:tcW w:w="718" w:type="dxa"/>
            <w:noWrap w:val="0"/>
            <w:vAlign w:val="center"/>
          </w:tcPr>
          <w:p>
            <w:pPr>
              <w:pStyle w:val="24"/>
              <w:snapToGrid w:val="0"/>
              <w:spacing w:before="120" w:after="120"/>
              <w:ind w:left="-108"/>
              <w:jc w:val="center"/>
              <w:rPr>
                <w:rFonts w:hint="eastAsia" w:hAnsi="宋体"/>
              </w:rPr>
            </w:pPr>
          </w:p>
        </w:tc>
        <w:tc>
          <w:tcPr>
            <w:tcW w:w="1262" w:type="dxa"/>
            <w:noWrap w:val="0"/>
            <w:vAlign w:val="center"/>
          </w:tcPr>
          <w:p>
            <w:pPr>
              <w:pStyle w:val="24"/>
              <w:snapToGrid w:val="0"/>
              <w:spacing w:before="120" w:after="120"/>
              <w:ind w:left="-108"/>
              <w:jc w:val="center"/>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3865" w:type="dxa"/>
            <w:gridSpan w:val="7"/>
            <w:noWrap w:val="0"/>
            <w:vAlign w:val="center"/>
          </w:tcPr>
          <w:p>
            <w:pPr>
              <w:pStyle w:val="24"/>
              <w:snapToGrid w:val="0"/>
              <w:spacing w:before="120" w:after="120"/>
              <w:ind w:left="-107" w:leftChars="-51" w:firstLine="240" w:firstLineChars="100"/>
              <w:rPr>
                <w:rFonts w:hint="eastAsia" w:hAnsi="宋体"/>
              </w:rPr>
            </w:pPr>
            <w:r>
              <w:rPr>
                <w:rFonts w:hint="eastAsia" w:hAnsi="宋体"/>
              </w:rPr>
              <w:t>备注：</w:t>
            </w:r>
          </w:p>
        </w:tc>
      </w:tr>
    </w:tbl>
    <w:p>
      <w:pPr>
        <w:jc w:val="center"/>
        <w:rPr>
          <w:rFonts w:hint="eastAsia"/>
          <w:b/>
          <w:sz w:val="30"/>
          <w:szCs w:val="30"/>
        </w:rPr>
        <w:sectPr>
          <w:pgSz w:w="16838" w:h="11906" w:orient="landscape"/>
          <w:pgMar w:top="1440" w:right="1440" w:bottom="1106" w:left="1440" w:header="851" w:footer="992" w:gutter="0"/>
          <w:cols w:space="720" w:num="1"/>
          <w:docGrid w:linePitch="312" w:charSpace="0"/>
        </w:sectPr>
      </w:pPr>
      <w:r>
        <w:rPr>
          <w:rFonts w:hint="eastAsia"/>
          <w:b/>
          <w:sz w:val="30"/>
          <w:szCs w:val="30"/>
        </w:rPr>
        <w:t>验收货物清单</w:t>
      </w:r>
    </w:p>
    <w:p>
      <w:pPr>
        <w:snapToGrid w:val="0"/>
        <w:spacing w:before="50" w:after="50"/>
        <w:ind w:right="-816" w:rightChars="-389"/>
        <w:rPr>
          <w:rFonts w:hint="eastAsia"/>
        </w:rPr>
      </w:pPr>
    </w:p>
    <w:p>
      <w:pPr>
        <w:snapToGrid w:val="0"/>
        <w:spacing w:before="50" w:after="50"/>
        <w:ind w:left="-3" w:leftChars="-72" w:right="-816" w:rightChars="-389" w:hanging="148" w:hangingChars="62"/>
        <w:rPr>
          <w:rFonts w:hint="eastAsia" w:ascii="宋体" w:hAnsi="宋体"/>
          <w:sz w:val="24"/>
          <w:u w:val="single"/>
        </w:rPr>
      </w:pPr>
    </w:p>
    <w:p>
      <w:pPr>
        <w:snapToGrid w:val="0"/>
        <w:spacing w:before="50" w:after="50"/>
        <w:ind w:left="-3" w:leftChars="-72" w:right="-816" w:rightChars="-389" w:hanging="148" w:hangingChars="62"/>
        <w:rPr>
          <w:rFonts w:hint="eastAsia" w:ascii="宋体" w:hAnsi="宋体"/>
          <w:sz w:val="24"/>
          <w:u w:val="single"/>
        </w:rPr>
      </w:pPr>
      <w:r>
        <w:rPr>
          <w:rFonts w:hint="eastAsia" w:ascii="宋体" w:hAnsi="宋体"/>
          <w:sz w:val="24"/>
          <w:u w:val="single"/>
        </w:rPr>
        <w:t xml:space="preserve">                                                                                                       </w:t>
      </w:r>
    </w:p>
    <w:p>
      <w:pPr>
        <w:spacing w:before="100" w:line="300" w:lineRule="auto"/>
        <w:ind w:right="-147" w:rightChars="-70"/>
        <w:jc w:val="left"/>
        <w:rPr>
          <w:rFonts w:hint="eastAsia"/>
        </w:rPr>
      </w:pPr>
      <w:r>
        <w:rPr>
          <w:rFonts w:hint="eastAsia"/>
          <w:sz w:val="24"/>
        </w:rPr>
        <w:t>抄送：中共东阳市纪律检查委员会、东阳市公共资源交易管理委员会办公室、东阳市财政局政府采购管理办公室</w:t>
      </w:r>
    </w:p>
    <w:p>
      <w:pPr>
        <w:snapToGrid w:val="0"/>
        <w:spacing w:before="50" w:after="50" w:line="360" w:lineRule="auto"/>
        <w:ind w:left="-3" w:leftChars="-72" w:right="-816" w:rightChars="-389" w:hanging="148" w:hangingChars="62"/>
        <w:rPr>
          <w:rFonts w:hint="eastAsia" w:ascii="宋体" w:hAnsi="宋体"/>
          <w:sz w:val="24"/>
          <w:u w:val="single"/>
        </w:rPr>
      </w:pPr>
    </w:p>
    <w:p>
      <w:pPr>
        <w:snapToGrid w:val="0"/>
        <w:spacing w:before="50" w:after="50" w:line="360" w:lineRule="auto"/>
        <w:ind w:left="-21" w:leftChars="-72" w:right="-816" w:rightChars="-389" w:hanging="130" w:hangingChars="62"/>
        <w:sectPr>
          <w:headerReference r:id="rId17" w:type="first"/>
          <w:footerReference r:id="rId20" w:type="first"/>
          <w:headerReference r:id="rId16" w:type="default"/>
          <w:footerReference r:id="rId18" w:type="default"/>
          <w:footerReference r:id="rId19" w:type="even"/>
          <w:type w:val="continuous"/>
          <w:pgSz w:w="16838" w:h="11906" w:orient="landscape"/>
          <w:pgMar w:top="1797" w:right="1440" w:bottom="1797" w:left="1440" w:header="851" w:footer="992" w:gutter="0"/>
          <w:cols w:space="720" w:num="1"/>
          <w:docGrid w:type="linesAndChars" w:linePitch="312" w:charSpace="0"/>
        </w:sectPr>
      </w:pPr>
    </w:p>
    <w:p>
      <w:pPr>
        <w:pStyle w:val="3"/>
        <w:rPr>
          <w:rFonts w:hint="eastAsia"/>
        </w:rPr>
        <w:sectPr>
          <w:headerReference r:id="rId21" w:type="default"/>
          <w:footerReference r:id="rId22" w:type="default"/>
          <w:type w:val="continuous"/>
          <w:pgSz w:w="16838" w:h="11906" w:orient="landscape"/>
          <w:pgMar w:top="1797" w:right="1440" w:bottom="1797" w:left="1440" w:header="851" w:footer="992" w:gutter="0"/>
          <w:cols w:space="720" w:num="1"/>
          <w:docGrid w:type="linesAndChars" w:linePitch="312" w:charSpace="0"/>
        </w:sectPr>
      </w:pPr>
    </w:p>
    <w:p>
      <w:pPr>
        <w:snapToGrid w:val="0"/>
        <w:spacing w:before="50" w:after="50"/>
        <w:ind w:right="-816" w:rightChars="-389"/>
        <w:rPr>
          <w:rFonts w:hint="eastAsia" w:ascii="宋体" w:hAnsi="宋体"/>
          <w:b/>
          <w:sz w:val="24"/>
        </w:rPr>
      </w:pPr>
      <w:r>
        <w:rPr>
          <w:rFonts w:hint="eastAsia" w:ascii="宋体" w:hAnsi="宋体"/>
          <w:b/>
          <w:sz w:val="24"/>
        </w:rPr>
        <w:t>附件20：</w:t>
      </w:r>
    </w:p>
    <w:p>
      <w:pPr>
        <w:spacing w:line="360" w:lineRule="auto"/>
        <w:ind w:firstLine="1400" w:firstLineChars="500"/>
        <w:rPr>
          <w:rFonts w:hint="eastAsia" w:ascii="宋体" w:hAnsi="宋体" w:cs="宋体"/>
          <w:b/>
          <w:sz w:val="28"/>
          <w:szCs w:val="28"/>
        </w:rPr>
      </w:pPr>
      <w:r>
        <w:rPr>
          <w:rFonts w:hint="eastAsia" w:ascii="宋体" w:hAnsi="宋体" w:cs="宋体"/>
          <w:b/>
          <w:sz w:val="28"/>
          <w:szCs w:val="28"/>
        </w:rPr>
        <w:t>政府采购支持中小企业信用融资相关事项通知</w:t>
      </w:r>
    </w:p>
    <w:p>
      <w:pPr>
        <w:spacing w:line="360" w:lineRule="auto"/>
        <w:ind w:firstLine="480" w:firstLineChars="200"/>
        <w:rPr>
          <w:rFonts w:hint="eastAsia" w:ascii="宋体" w:hAnsi="宋体" w:cs="宋体"/>
          <w:sz w:val="24"/>
        </w:rPr>
      </w:pPr>
      <w:r>
        <w:rPr>
          <w:rFonts w:hint="eastAsia" w:ascii="宋体" w:hAnsi="宋体" w:cs="宋体"/>
          <w:sz w:val="24"/>
        </w:rPr>
        <w:t>为支持和促进中小企业发展，进一步发挥政府采购政策功能，现将相关事项通知如下：</w:t>
      </w:r>
    </w:p>
    <w:p>
      <w:pPr>
        <w:spacing w:line="360" w:lineRule="auto"/>
        <w:ind w:firstLine="480" w:firstLineChars="200"/>
        <w:rPr>
          <w:rFonts w:hint="eastAsia" w:ascii="宋体" w:hAnsi="宋体" w:cs="宋体"/>
          <w:b/>
          <w:sz w:val="24"/>
        </w:rPr>
      </w:pPr>
      <w:r>
        <w:rPr>
          <w:rFonts w:hint="eastAsia" w:ascii="宋体" w:hAnsi="宋体" w:cs="宋体"/>
          <w:b/>
          <w:sz w:val="24"/>
        </w:rPr>
        <w:t>一、适用对象</w:t>
      </w:r>
    </w:p>
    <w:p>
      <w:pPr>
        <w:spacing w:line="360" w:lineRule="auto"/>
        <w:ind w:firstLine="480" w:firstLineChars="200"/>
        <w:rPr>
          <w:rFonts w:hint="eastAsia" w:ascii="宋体" w:hAnsi="宋体" w:cs="宋体"/>
          <w:sz w:val="24"/>
        </w:rPr>
      </w:pPr>
      <w:r>
        <w:rPr>
          <w:rFonts w:hint="eastAsia" w:ascii="宋体" w:hAnsi="宋体" w:cs="宋体"/>
          <w:sz w:val="24"/>
        </w:rPr>
        <w:t>在浙江政府采购网注册入库，并取得东阳市政府采购合同的中小企业供应商。</w:t>
      </w:r>
    </w:p>
    <w:p>
      <w:pPr>
        <w:spacing w:line="360" w:lineRule="auto"/>
        <w:ind w:firstLine="480" w:firstLineChars="200"/>
        <w:rPr>
          <w:rFonts w:hint="eastAsia" w:ascii="宋体" w:hAnsi="宋体" w:cs="宋体"/>
          <w:b/>
          <w:sz w:val="24"/>
        </w:rPr>
      </w:pPr>
      <w:r>
        <w:rPr>
          <w:rFonts w:hint="eastAsia" w:ascii="宋体" w:hAnsi="宋体" w:cs="宋体"/>
          <w:b/>
          <w:sz w:val="24"/>
        </w:rPr>
        <w:t>二、相关信息获取方式</w:t>
      </w:r>
    </w:p>
    <w:p>
      <w:pPr>
        <w:spacing w:line="360" w:lineRule="auto"/>
        <w:ind w:firstLine="480" w:firstLineChars="200"/>
        <w:rPr>
          <w:rFonts w:hint="eastAsia" w:ascii="宋体" w:hAnsi="宋体" w:cs="宋体"/>
          <w:sz w:val="24"/>
        </w:rPr>
      </w:pPr>
      <w:r>
        <w:rPr>
          <w:rFonts w:hint="eastAsia" w:ascii="宋体" w:hAnsi="宋体" w:cs="宋体"/>
          <w:sz w:val="24"/>
        </w:rPr>
        <w:t>请登陆浙江省政府采购网“融资贷款”模块，查看信用融资政策文件及各相关银行服务方案。</w:t>
      </w:r>
    </w:p>
    <w:p>
      <w:pPr>
        <w:spacing w:line="360" w:lineRule="auto"/>
        <w:ind w:firstLine="480" w:firstLineChars="200"/>
        <w:rPr>
          <w:rFonts w:hint="eastAsia" w:ascii="宋体" w:hAnsi="宋体" w:cs="宋体"/>
          <w:b/>
          <w:sz w:val="24"/>
        </w:rPr>
      </w:pPr>
      <w:r>
        <w:rPr>
          <w:rFonts w:hint="eastAsia" w:ascii="宋体" w:hAnsi="宋体" w:cs="宋体"/>
          <w:b/>
          <w:sz w:val="24"/>
        </w:rPr>
        <w:t>三、申请方式和步骤</w:t>
      </w:r>
    </w:p>
    <w:p>
      <w:pPr>
        <w:spacing w:line="360" w:lineRule="auto"/>
        <w:ind w:firstLine="480" w:firstLineChars="200"/>
        <w:rPr>
          <w:rFonts w:hint="eastAsia" w:ascii="宋体" w:hAnsi="宋体" w:cs="宋体"/>
          <w:sz w:val="24"/>
        </w:rPr>
      </w:pPr>
      <w:r>
        <w:rPr>
          <w:rFonts w:hint="eastAsia" w:ascii="宋体" w:hAnsi="宋体" w:cs="宋体"/>
          <w:sz w:val="24"/>
        </w:rPr>
        <w:t>（一）采购合同贷</w:t>
      </w:r>
    </w:p>
    <w:p>
      <w:pPr>
        <w:spacing w:line="360" w:lineRule="auto"/>
        <w:ind w:firstLine="480" w:firstLineChars="200"/>
        <w:jc w:val="left"/>
        <w:rPr>
          <w:rFonts w:hint="eastAsia" w:ascii="宋体" w:hAnsi="宋体" w:cs="宋体"/>
          <w:sz w:val="24"/>
        </w:rPr>
      </w:pPr>
      <w:r>
        <w:rPr>
          <w:rFonts w:hint="eastAsia" w:ascii="宋体" w:hAnsi="宋体" w:cs="宋体"/>
          <w:sz w:val="24"/>
        </w:rPr>
        <w:t>1、采购单位在政采云完成中标通知书及公告发布后，政采云根据该供应商资信向供应商发送推介合适的融资产品方案(展示多家银行---满足贷款银行条件的银行产品,对供应商进行展示)；</w:t>
      </w:r>
    </w:p>
    <w:p>
      <w:pPr>
        <w:spacing w:line="360" w:lineRule="auto"/>
        <w:ind w:firstLine="480" w:firstLineChars="200"/>
        <w:jc w:val="left"/>
        <w:rPr>
          <w:rFonts w:hint="eastAsia" w:ascii="宋体" w:hAnsi="宋体" w:cs="宋体"/>
          <w:sz w:val="24"/>
        </w:rPr>
      </w:pPr>
      <w:r>
        <w:rPr>
          <w:rFonts w:hint="eastAsia" w:ascii="宋体" w:hAnsi="宋体" w:cs="宋体"/>
          <w:sz w:val="24"/>
        </w:rPr>
        <w:t>2、供应商在收到中标通知的同时会收到可申请融资服务邀请，有意向的供应商选择满足条件的银行产品,并补充填写相关资料,向满足条件的融资产品发起申请；</w:t>
      </w:r>
    </w:p>
    <w:p>
      <w:pPr>
        <w:spacing w:line="360" w:lineRule="auto"/>
        <w:ind w:firstLine="480" w:firstLineChars="200"/>
        <w:jc w:val="left"/>
        <w:rPr>
          <w:rFonts w:hint="eastAsia" w:ascii="宋体" w:hAnsi="宋体" w:cs="宋体"/>
          <w:sz w:val="24"/>
        </w:rPr>
      </w:pPr>
      <w:r>
        <w:rPr>
          <w:rFonts w:hint="eastAsia" w:ascii="宋体" w:hAnsi="宋体" w:cs="宋体"/>
          <w:sz w:val="24"/>
        </w:rPr>
        <w:t>3、政采云将供应商的申请传递给银行,并将供应商相关信息给银行:供应商信息、订单(合同)信息、融资申请等数据用于贷款审批；</w:t>
      </w:r>
    </w:p>
    <w:p>
      <w:pPr>
        <w:spacing w:line="360" w:lineRule="auto"/>
        <w:ind w:firstLine="480" w:firstLineChars="200"/>
        <w:jc w:val="left"/>
        <w:rPr>
          <w:rFonts w:hint="eastAsia" w:ascii="宋体" w:hAnsi="宋体" w:cs="宋体"/>
          <w:sz w:val="24"/>
        </w:rPr>
      </w:pPr>
      <w:r>
        <w:rPr>
          <w:rFonts w:hint="eastAsia" w:ascii="宋体" w:hAnsi="宋体" w:cs="宋体"/>
          <w:sz w:val="24"/>
        </w:rPr>
        <w:t>4、银行进行融资审批并返回审批结果至政采云（审批通过的等待政采云放款通知，订单合同签署生效后通知）,政采云将银行反馈信息同步展示给对应供应商；</w:t>
      </w:r>
    </w:p>
    <w:p>
      <w:pPr>
        <w:spacing w:line="360" w:lineRule="auto"/>
        <w:ind w:firstLine="480" w:firstLineChars="200"/>
        <w:jc w:val="left"/>
        <w:rPr>
          <w:rFonts w:hint="eastAsia" w:ascii="宋体" w:hAnsi="宋体" w:cs="宋体"/>
          <w:sz w:val="24"/>
        </w:rPr>
      </w:pPr>
      <w:r>
        <w:rPr>
          <w:rFonts w:hint="eastAsia" w:ascii="宋体" w:hAnsi="宋体" w:cs="宋体"/>
          <w:sz w:val="24"/>
        </w:rPr>
        <w:t>5、采购单位与供应商在线下签订完成合同签署后（将贷款银行的帐号协调采购合同中去,贷款帐号作为采购合同的收款账户），政采云向银行发送确认指令；</w:t>
      </w:r>
    </w:p>
    <w:p>
      <w:pPr>
        <w:spacing w:line="360" w:lineRule="auto"/>
        <w:ind w:firstLine="480" w:firstLineChars="200"/>
        <w:jc w:val="left"/>
        <w:rPr>
          <w:rFonts w:hint="eastAsia" w:ascii="宋体" w:hAnsi="宋体" w:cs="宋体"/>
          <w:sz w:val="24"/>
        </w:rPr>
      </w:pPr>
      <w:r>
        <w:rPr>
          <w:rFonts w:hint="eastAsia" w:ascii="宋体" w:hAnsi="宋体" w:cs="宋体"/>
          <w:sz w:val="24"/>
        </w:rPr>
        <w:t>6、项目履约完成，采购单位完成验收后发起结算，国库完成支付；</w:t>
      </w:r>
    </w:p>
    <w:p>
      <w:pPr>
        <w:spacing w:line="360" w:lineRule="auto"/>
        <w:ind w:firstLine="480" w:firstLineChars="200"/>
        <w:jc w:val="left"/>
        <w:rPr>
          <w:rFonts w:hint="eastAsia" w:ascii="宋体" w:hAnsi="宋体" w:cs="宋体"/>
          <w:sz w:val="24"/>
        </w:rPr>
      </w:pPr>
      <w:r>
        <w:rPr>
          <w:rFonts w:hint="eastAsia" w:ascii="宋体" w:hAnsi="宋体" w:cs="宋体"/>
          <w:sz w:val="24"/>
        </w:rPr>
        <w:t>7、银行对其本行借款账户进行资金监控，有入账即可进行本金提前还款操作，银行返回还款信息“提前还款本金、更新还款计划”。</w:t>
      </w:r>
    </w:p>
    <w:p>
      <w:pPr>
        <w:spacing w:line="360" w:lineRule="auto"/>
        <w:ind w:firstLine="480" w:firstLineChars="200"/>
        <w:rPr>
          <w:rFonts w:hint="eastAsia" w:ascii="宋体" w:hAnsi="宋体" w:cs="宋体"/>
          <w:sz w:val="24"/>
        </w:rPr>
      </w:pPr>
      <w:r>
        <w:rPr>
          <w:rFonts w:hint="eastAsia" w:ascii="宋体" w:hAnsi="宋体" w:cs="宋体"/>
          <w:sz w:val="24"/>
        </w:rPr>
        <w:t>（二）流水贷流程</w:t>
      </w:r>
    </w:p>
    <w:p>
      <w:pPr>
        <w:spacing w:line="360" w:lineRule="auto"/>
        <w:ind w:firstLine="480" w:firstLineChars="200"/>
        <w:rPr>
          <w:rFonts w:hint="eastAsia" w:ascii="宋体" w:hAnsi="宋体" w:cs="宋体"/>
          <w:sz w:val="24"/>
        </w:rPr>
      </w:pPr>
      <w:r>
        <w:rPr>
          <w:rFonts w:hint="eastAsia" w:ascii="宋体" w:hAnsi="宋体" w:cs="宋体"/>
          <w:sz w:val="24"/>
        </w:rPr>
        <w:t>1、政采云通过规则向符合该产品的供应商发出邀约；</w:t>
      </w:r>
    </w:p>
    <w:p>
      <w:pPr>
        <w:spacing w:line="360" w:lineRule="auto"/>
        <w:ind w:firstLine="480" w:firstLineChars="200"/>
        <w:rPr>
          <w:rFonts w:hint="eastAsia" w:ascii="宋体" w:hAnsi="宋体" w:cs="宋体"/>
          <w:sz w:val="24"/>
        </w:rPr>
      </w:pPr>
      <w:r>
        <w:rPr>
          <w:rFonts w:hint="eastAsia" w:ascii="宋体" w:hAnsi="宋体" w:cs="宋体"/>
          <w:sz w:val="24"/>
        </w:rPr>
        <w:t>2、供应商授权后向银行发送历史流水数据进行授信；</w:t>
      </w:r>
    </w:p>
    <w:p>
      <w:pPr>
        <w:spacing w:line="360" w:lineRule="auto"/>
        <w:ind w:firstLine="480" w:firstLineChars="200"/>
        <w:rPr>
          <w:rFonts w:hint="eastAsia" w:ascii="宋体" w:hAnsi="宋体" w:cs="宋体"/>
          <w:sz w:val="24"/>
        </w:rPr>
      </w:pPr>
      <w:r>
        <w:rPr>
          <w:rFonts w:hint="eastAsia" w:ascii="宋体" w:hAnsi="宋体" w:cs="宋体"/>
          <w:sz w:val="24"/>
        </w:rPr>
        <w:t>3、银行根据风控模型出具最终授信结果并通知政采云；</w:t>
      </w:r>
    </w:p>
    <w:p>
      <w:pPr>
        <w:spacing w:line="360" w:lineRule="auto"/>
        <w:ind w:firstLine="480" w:firstLineChars="200"/>
        <w:rPr>
          <w:rFonts w:hint="eastAsia" w:ascii="宋体" w:hAnsi="宋体" w:cs="宋体"/>
          <w:sz w:val="24"/>
        </w:rPr>
      </w:pPr>
      <w:r>
        <w:rPr>
          <w:rFonts w:hint="eastAsia" w:ascii="宋体" w:hAnsi="宋体" w:cs="宋体"/>
          <w:sz w:val="24"/>
        </w:rPr>
        <w:t>4、供应商用款时进行在线提款签约；</w:t>
      </w:r>
    </w:p>
    <w:p>
      <w:pPr>
        <w:spacing w:line="360" w:lineRule="auto"/>
        <w:ind w:firstLine="480" w:firstLineChars="200"/>
        <w:rPr>
          <w:rFonts w:hint="eastAsia" w:ascii="宋体" w:hAnsi="宋体" w:cs="宋体"/>
          <w:sz w:val="24"/>
        </w:rPr>
      </w:pPr>
      <w:r>
        <w:rPr>
          <w:rFonts w:hint="eastAsia" w:ascii="宋体" w:hAnsi="宋体" w:cs="宋体"/>
          <w:sz w:val="24"/>
        </w:rPr>
        <w:t>5、银行放款并返回放款结果，流程完成。</w:t>
      </w:r>
    </w:p>
    <w:p>
      <w:pPr>
        <w:spacing w:line="360" w:lineRule="auto"/>
        <w:ind w:firstLine="480" w:firstLineChars="200"/>
        <w:rPr>
          <w:rFonts w:hint="eastAsia" w:ascii="宋体" w:hAnsi="宋体" w:cs="宋体"/>
          <w:b/>
          <w:sz w:val="24"/>
        </w:rPr>
      </w:pPr>
      <w:r>
        <w:rPr>
          <w:rFonts w:hint="eastAsia" w:ascii="宋体" w:hAnsi="宋体" w:cs="宋体"/>
          <w:b/>
          <w:sz w:val="24"/>
        </w:rPr>
        <w:t>四、注意事项</w:t>
      </w:r>
    </w:p>
    <w:p>
      <w:pPr>
        <w:spacing w:line="360" w:lineRule="auto"/>
        <w:ind w:firstLine="480" w:firstLineChars="200"/>
        <w:rPr>
          <w:rFonts w:hint="eastAsia" w:ascii="宋体" w:hAnsi="宋体" w:cs="宋体"/>
          <w:sz w:val="24"/>
        </w:rPr>
      </w:pPr>
      <w:r>
        <w:rPr>
          <w:rFonts w:hint="eastAsia" w:ascii="宋体" w:hAnsi="宋体" w:cs="宋体"/>
          <w:sz w:val="24"/>
        </w:rPr>
        <w:t>1、供应商需确保政府采购合同的收款银行与融资银行一致。</w:t>
      </w:r>
    </w:p>
    <w:p>
      <w:pPr>
        <w:spacing w:line="360" w:lineRule="auto"/>
        <w:ind w:firstLine="480" w:firstLineChars="200"/>
        <w:rPr>
          <w:rFonts w:hint="eastAsia" w:ascii="宋体" w:hAnsi="宋体" w:cs="宋体"/>
          <w:sz w:val="24"/>
        </w:rPr>
      </w:pPr>
      <w:r>
        <w:rPr>
          <w:rFonts w:hint="eastAsia" w:ascii="宋体" w:hAnsi="宋体" w:cs="宋体"/>
          <w:sz w:val="24"/>
        </w:rPr>
        <w:t>2、请各采购单位积极支持和配合政府采购信用融资工作，在合同备案环节仔细核对收款银行、账号信息等内容，一旦录入将无法修改。</w:t>
      </w:r>
    </w:p>
    <w:p>
      <w:pPr>
        <w:rPr>
          <w:rFonts w:hint="eastAsia" w:ascii="宋体" w:hAnsi="宋体" w:cs="宋体"/>
        </w:rPr>
      </w:pPr>
    </w:p>
    <w:p>
      <w:pPr>
        <w:snapToGrid w:val="0"/>
        <w:spacing w:before="50" w:after="50" w:line="360" w:lineRule="auto"/>
        <w:ind w:right="-816" w:rightChars="-389"/>
        <w:rPr>
          <w:rFonts w:hint="eastAsia" w:ascii="宋体" w:hAnsi="宋体"/>
          <w:sz w:val="24"/>
          <w:u w:val="single"/>
        </w:rPr>
      </w:pPr>
    </w:p>
    <w:p>
      <w:pPr>
        <w:snapToGrid w:val="0"/>
        <w:spacing w:before="50" w:after="50" w:line="360" w:lineRule="auto"/>
        <w:ind w:left="-21" w:leftChars="-72" w:right="-816" w:rightChars="-389" w:hanging="130" w:hangingChars="62"/>
        <w:sectPr>
          <w:headerReference r:id="rId24" w:type="first"/>
          <w:footerReference r:id="rId27" w:type="first"/>
          <w:headerReference r:id="rId23" w:type="default"/>
          <w:footerReference r:id="rId25" w:type="default"/>
          <w:footerReference r:id="rId26" w:type="even"/>
          <w:type w:val="continuous"/>
          <w:pgSz w:w="16838" w:h="11906" w:orient="landscape"/>
          <w:pgMar w:top="1797" w:right="1440" w:bottom="1797" w:left="1440" w:header="851" w:footer="992" w:gutter="0"/>
          <w:cols w:space="720" w:num="1"/>
          <w:docGrid w:type="linesAndChars" w:linePitch="312" w:charSpace="0"/>
        </w:sectPr>
      </w:pPr>
    </w:p>
    <w:p>
      <w:pPr>
        <w:snapToGrid w:val="0"/>
        <w:spacing w:before="50" w:after="50" w:line="360" w:lineRule="auto"/>
        <w:ind w:left="-21" w:leftChars="-72" w:right="-816" w:rightChars="-389" w:hanging="130" w:hangingChars="62"/>
        <w:rPr>
          <w:rFonts w:hint="eastAsia"/>
        </w:rPr>
      </w:pPr>
    </w:p>
    <w:sectPr>
      <w:type w:val="continuous"/>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0"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3" w:usb1="00000000" w:usb2="00000000" w:usb3="00000000" w:csb0="00000001" w:csb1="00000000"/>
  </w:font>
  <w:font w:name="Arial Unicode MS">
    <w:altName w:val="宋体"/>
    <w:panose1 w:val="020B0604020202020204"/>
    <w:charset w:val="86"/>
    <w:family w:val="roman"/>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ˎ̥">
    <w:altName w:val="Times New Roman"/>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
    <w:altName w:val="宋体"/>
    <w:panose1 w:val="00000000000000000000"/>
    <w:charset w:val="86"/>
    <w:family w:val="auto"/>
    <w:pitch w:val="default"/>
    <w:sig w:usb0="00000000" w:usb1="00000000" w:usb2="00000010" w:usb3="00000000" w:csb0="00040000" w:csb1="00000000"/>
  </w:font>
  <w:font w:name="创艺简标宋">
    <w:altName w:val="黑体"/>
    <w:panose1 w:val="00000000000000000000"/>
    <w:charset w:val="86"/>
    <w:family w:val="auto"/>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jc w:val="right"/>
      <w:rPr>
        <w:rStyle w:val="46"/>
        <w:rFonts w:hint="eastAsia" w:ascii="宋体" w:hAnsi="宋体" w:eastAsia="宋体"/>
        <w:sz w:val="28"/>
        <w:szCs w:val="28"/>
      </w:rPr>
    </w:pPr>
    <w:r>
      <w:rPr>
        <w:rStyle w:val="46"/>
        <w:rFonts w:hint="eastAsia" w:ascii="宋体" w:hAnsi="宋体" w:eastAsia="宋体"/>
        <w:sz w:val="28"/>
        <w:szCs w:val="28"/>
      </w:rPr>
      <w:t xml:space="preserve">— </w:t>
    </w:r>
    <w:r>
      <w:rPr>
        <w:rFonts w:ascii="宋体" w:hAnsi="宋体" w:eastAsia="宋体"/>
        <w:sz w:val="28"/>
        <w:szCs w:val="28"/>
      </w:rPr>
      <w:fldChar w:fldCharType="begin"/>
    </w:r>
    <w:r>
      <w:rPr>
        <w:rStyle w:val="46"/>
        <w:rFonts w:ascii="宋体" w:hAnsi="宋体" w:eastAsia="宋体"/>
        <w:sz w:val="28"/>
        <w:szCs w:val="28"/>
      </w:rPr>
      <w:instrText xml:space="preserve">PAGE  </w:instrText>
    </w:r>
    <w:r>
      <w:rPr>
        <w:rFonts w:ascii="宋体" w:hAnsi="宋体" w:eastAsia="宋体"/>
        <w:sz w:val="28"/>
        <w:szCs w:val="28"/>
      </w:rPr>
      <w:fldChar w:fldCharType="separate"/>
    </w:r>
    <w:r>
      <w:rPr>
        <w:rStyle w:val="46"/>
        <w:rFonts w:ascii="宋体" w:hAnsi="宋体" w:eastAsia="宋体"/>
        <w:sz w:val="28"/>
        <w:szCs w:val="28"/>
        <w:lang/>
      </w:rPr>
      <w:t>49</w:t>
    </w:r>
    <w:r>
      <w:rPr>
        <w:rFonts w:ascii="宋体" w:hAnsi="宋体" w:eastAsia="宋体"/>
        <w:sz w:val="28"/>
        <w:szCs w:val="28"/>
      </w:rPr>
      <w:fldChar w:fldCharType="end"/>
    </w:r>
    <w:r>
      <w:rPr>
        <w:rStyle w:val="46"/>
        <w:rFonts w:hint="eastAsia" w:ascii="宋体" w:hAnsi="宋体" w:eastAsia="宋体"/>
        <w:sz w:val="28"/>
        <w:szCs w:val="28"/>
      </w:rPr>
      <w:t xml:space="preserve"> —</w:t>
    </w:r>
  </w:p>
  <w:p>
    <w:pPr>
      <w:pStyle w:val="29"/>
      <w:ind w:right="360"/>
      <w:jc w:val="center"/>
      <w:rPr>
        <w:rFonts w:hint="eastAsia"/>
      </w:rPr>
    </w:pPr>
    <w:r>
      <w:rPr>
        <w:rFonts w:hint="eastAsia"/>
      </w:rPr>
      <w:t>金华市公共资源交易中心东阳分中心</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6"/>
      </w:rPr>
    </w:pPr>
    <w:r>
      <w:fldChar w:fldCharType="begin"/>
    </w:r>
    <w:r>
      <w:rPr>
        <w:rStyle w:val="46"/>
      </w:rPr>
      <w:instrText xml:space="preserve">PAGE  </w:instrText>
    </w:r>
    <w:r>
      <w:fldChar w:fldCharType="separate"/>
    </w:r>
    <w:r>
      <w:rPr>
        <w:rStyle w:val="46"/>
      </w:rPr>
      <w:t>32</w:t>
    </w:r>
    <w:r>
      <w:fldChar w:fldCharType="end"/>
    </w:r>
  </w:p>
  <w:p>
    <w:pPr>
      <w:pStyle w:val="29"/>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6"/>
        <w:rFonts w:hint="eastAsia" w:ascii="宋体" w:hAnsi="宋体" w:eastAsia="宋体"/>
        <w:sz w:val="28"/>
        <w:szCs w:val="28"/>
      </w:rPr>
    </w:pPr>
    <w:r>
      <w:rPr>
        <w:rStyle w:val="46"/>
        <w:rFonts w:hint="eastAsia" w:ascii="宋体" w:hAnsi="宋体" w:eastAsia="宋体"/>
        <w:sz w:val="28"/>
        <w:szCs w:val="28"/>
      </w:rPr>
      <w:t xml:space="preserve">— </w:t>
    </w:r>
    <w:r>
      <w:rPr>
        <w:rFonts w:ascii="宋体" w:hAnsi="宋体" w:eastAsia="宋体"/>
        <w:sz w:val="28"/>
        <w:szCs w:val="28"/>
      </w:rPr>
      <w:fldChar w:fldCharType="begin"/>
    </w:r>
    <w:r>
      <w:rPr>
        <w:rStyle w:val="46"/>
        <w:rFonts w:ascii="宋体" w:hAnsi="宋体" w:eastAsia="宋体"/>
        <w:sz w:val="28"/>
        <w:szCs w:val="28"/>
      </w:rPr>
      <w:instrText xml:space="preserve">PAGE  </w:instrText>
    </w:r>
    <w:r>
      <w:rPr>
        <w:rFonts w:ascii="宋体" w:hAnsi="宋体" w:eastAsia="宋体"/>
        <w:sz w:val="28"/>
        <w:szCs w:val="28"/>
      </w:rPr>
      <w:fldChar w:fldCharType="separate"/>
    </w:r>
    <w:r>
      <w:rPr>
        <w:rStyle w:val="46"/>
        <w:rFonts w:ascii="宋体" w:hAnsi="宋体" w:eastAsia="宋体"/>
        <w:sz w:val="28"/>
        <w:szCs w:val="28"/>
      </w:rPr>
      <w:t>39</w:t>
    </w:r>
    <w:r>
      <w:rPr>
        <w:rFonts w:ascii="宋体" w:hAnsi="宋体" w:eastAsia="宋体"/>
        <w:sz w:val="28"/>
        <w:szCs w:val="28"/>
      </w:rPr>
      <w:fldChar w:fldCharType="end"/>
    </w:r>
    <w:r>
      <w:rPr>
        <w:rStyle w:val="46"/>
        <w:rFonts w:hint="eastAsia" w:ascii="宋体" w:hAnsi="宋体" w:eastAsia="宋体"/>
        <w:sz w:val="28"/>
        <w:szCs w:val="28"/>
      </w:rPr>
      <w:t xml:space="preserve"> —</w:t>
    </w:r>
  </w:p>
  <w:p>
    <w:pPr>
      <w:pStyle w:val="29"/>
      <w:ind w:right="720" w:firstLine="180" w:firstLineChars="100"/>
      <w:jc w:val="both"/>
      <w:rPr>
        <w:rFonts w:hint="eastAsia"/>
      </w:rPr>
    </w:pPr>
    <w:r>
      <w:rPr>
        <w:rFonts w:hint="eastAsia"/>
      </w:rPr>
      <w:t xml:space="preserve">                                                           东阳市公共资源交易中心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page" w:x="1813" w:y="-148"/>
      <w:rPr>
        <w:rStyle w:val="46"/>
        <w:rFonts w:hint="eastAsia" w:ascii="宋体" w:hAnsi="宋体" w:eastAsia="宋体"/>
        <w:sz w:val="28"/>
        <w:szCs w:val="28"/>
      </w:rPr>
    </w:pPr>
    <w:r>
      <w:rPr>
        <w:rStyle w:val="46"/>
        <w:rFonts w:hint="eastAsia" w:ascii="宋体" w:hAnsi="宋体" w:eastAsia="宋体"/>
        <w:sz w:val="28"/>
        <w:szCs w:val="28"/>
      </w:rPr>
      <w:t xml:space="preserve">— </w:t>
    </w:r>
    <w:r>
      <w:rPr>
        <w:rFonts w:ascii="宋体" w:hAnsi="宋体" w:eastAsia="宋体"/>
        <w:sz w:val="28"/>
        <w:szCs w:val="28"/>
      </w:rPr>
      <w:fldChar w:fldCharType="begin"/>
    </w:r>
    <w:r>
      <w:rPr>
        <w:rStyle w:val="46"/>
        <w:rFonts w:ascii="宋体" w:hAnsi="宋体" w:eastAsia="宋体"/>
        <w:sz w:val="28"/>
        <w:szCs w:val="28"/>
      </w:rPr>
      <w:instrText xml:space="preserve">PAGE  </w:instrText>
    </w:r>
    <w:r>
      <w:rPr>
        <w:rFonts w:ascii="宋体" w:hAnsi="宋体" w:eastAsia="宋体"/>
        <w:sz w:val="28"/>
        <w:szCs w:val="28"/>
      </w:rPr>
      <w:fldChar w:fldCharType="separate"/>
    </w:r>
    <w:r>
      <w:rPr>
        <w:rStyle w:val="46"/>
        <w:rFonts w:ascii="宋体" w:hAnsi="宋体" w:eastAsia="宋体"/>
        <w:sz w:val="28"/>
        <w:szCs w:val="28"/>
      </w:rPr>
      <w:t>64</w:t>
    </w:r>
    <w:r>
      <w:rPr>
        <w:rFonts w:ascii="宋体" w:hAnsi="宋体" w:eastAsia="宋体"/>
        <w:sz w:val="28"/>
        <w:szCs w:val="28"/>
      </w:rPr>
      <w:fldChar w:fldCharType="end"/>
    </w:r>
    <w:r>
      <w:rPr>
        <w:rStyle w:val="46"/>
        <w:rFonts w:hint="eastAsia" w:ascii="宋体" w:hAnsi="宋体" w:eastAsia="宋体"/>
        <w:sz w:val="28"/>
        <w:szCs w:val="28"/>
      </w:rPr>
      <w:t xml:space="preserve"> —</w:t>
    </w:r>
  </w:p>
  <w:p>
    <w:pPr>
      <w:pStyle w:val="29"/>
      <w:ind w:right="720" w:rightChars="343" w:firstLine="180" w:firstLineChars="100"/>
      <w:jc w:val="center"/>
      <w:rPr>
        <w:rFonts w:hint="eastAsia"/>
      </w:rPr>
    </w:pPr>
    <w:r>
      <w:rPr>
        <w:rFonts w:hint="eastAsia"/>
      </w:rPr>
      <w:t>金华市公共资源交易中心东阳分中心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6"/>
        <w:rFonts w:hint="eastAsia" w:ascii="宋体" w:hAnsi="宋体" w:eastAsia="宋体"/>
        <w:sz w:val="28"/>
        <w:szCs w:val="28"/>
      </w:rPr>
    </w:pPr>
    <w:r>
      <w:rPr>
        <w:rStyle w:val="46"/>
        <w:rFonts w:hint="eastAsia" w:ascii="宋体" w:hAnsi="宋体" w:eastAsia="宋体"/>
        <w:sz w:val="28"/>
        <w:szCs w:val="28"/>
      </w:rPr>
      <w:t xml:space="preserve">— </w:t>
    </w:r>
    <w:r>
      <w:rPr>
        <w:rFonts w:ascii="宋体" w:hAnsi="宋体" w:eastAsia="宋体"/>
        <w:sz w:val="28"/>
        <w:szCs w:val="28"/>
      </w:rPr>
      <w:fldChar w:fldCharType="begin"/>
    </w:r>
    <w:r>
      <w:rPr>
        <w:rStyle w:val="46"/>
        <w:rFonts w:ascii="宋体" w:hAnsi="宋体" w:eastAsia="宋体"/>
        <w:sz w:val="28"/>
        <w:szCs w:val="28"/>
      </w:rPr>
      <w:instrText xml:space="preserve">PAGE  </w:instrText>
    </w:r>
    <w:r>
      <w:rPr>
        <w:rFonts w:ascii="宋体" w:hAnsi="宋体" w:eastAsia="宋体"/>
        <w:sz w:val="28"/>
        <w:szCs w:val="28"/>
      </w:rPr>
      <w:fldChar w:fldCharType="separate"/>
    </w:r>
    <w:r>
      <w:rPr>
        <w:rStyle w:val="46"/>
        <w:rFonts w:ascii="宋体" w:hAnsi="宋体" w:eastAsia="宋体"/>
        <w:sz w:val="28"/>
        <w:szCs w:val="28"/>
        <w:lang/>
      </w:rPr>
      <w:t>74</w:t>
    </w:r>
    <w:r>
      <w:rPr>
        <w:rFonts w:ascii="宋体" w:hAnsi="宋体" w:eastAsia="宋体"/>
        <w:sz w:val="28"/>
        <w:szCs w:val="28"/>
      </w:rPr>
      <w:fldChar w:fldCharType="end"/>
    </w:r>
    <w:r>
      <w:rPr>
        <w:rStyle w:val="46"/>
        <w:rFonts w:hint="eastAsia" w:ascii="宋体" w:hAnsi="宋体" w:eastAsia="宋体"/>
        <w:sz w:val="28"/>
        <w:szCs w:val="28"/>
      </w:rPr>
      <w:t xml:space="preserve"> —</w:t>
    </w:r>
  </w:p>
  <w:p>
    <w:pPr>
      <w:pStyle w:val="29"/>
      <w:ind w:right="720" w:firstLine="180" w:firstLineChars="100"/>
      <w:jc w:val="center"/>
      <w:rPr>
        <w:rFonts w:hint="eastAsia"/>
      </w:rPr>
    </w:pPr>
    <w:r>
      <w:rPr>
        <w:rFonts w:hint="eastAsia"/>
      </w:rPr>
      <w:t>东阳市公共资源交易中心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6"/>
      </w:rPr>
    </w:pPr>
    <w:r>
      <w:fldChar w:fldCharType="begin"/>
    </w:r>
    <w:r>
      <w:rPr>
        <w:rStyle w:val="46"/>
      </w:rPr>
      <w:instrText xml:space="preserve">PAGE  </w:instrText>
    </w:r>
    <w:r>
      <w:fldChar w:fldCharType="separate"/>
    </w:r>
    <w:r>
      <w:rPr>
        <w:rStyle w:val="46"/>
        <w:lang/>
      </w:rPr>
      <w:t>32</w:t>
    </w:r>
    <w:r>
      <w:fldChar w:fldCharType="end"/>
    </w:r>
  </w:p>
  <w:p>
    <w:pPr>
      <w:pStyle w:val="29"/>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6"/>
        <w:rFonts w:hint="eastAsia" w:ascii="宋体" w:hAnsi="宋体" w:eastAsia="宋体"/>
        <w:sz w:val="28"/>
        <w:szCs w:val="28"/>
      </w:rPr>
    </w:pPr>
    <w:r>
      <w:rPr>
        <w:rStyle w:val="46"/>
        <w:rFonts w:hint="eastAsia" w:ascii="宋体" w:hAnsi="宋体" w:eastAsia="宋体"/>
        <w:sz w:val="28"/>
        <w:szCs w:val="28"/>
      </w:rPr>
      <w:t xml:space="preserve">— </w:t>
    </w:r>
    <w:r>
      <w:rPr>
        <w:rFonts w:ascii="宋体" w:hAnsi="宋体" w:eastAsia="宋体"/>
        <w:sz w:val="28"/>
        <w:szCs w:val="28"/>
      </w:rPr>
      <w:fldChar w:fldCharType="begin"/>
    </w:r>
    <w:r>
      <w:rPr>
        <w:rStyle w:val="46"/>
        <w:rFonts w:ascii="宋体" w:hAnsi="宋体" w:eastAsia="宋体"/>
        <w:sz w:val="28"/>
        <w:szCs w:val="28"/>
      </w:rPr>
      <w:instrText xml:space="preserve">PAGE  </w:instrText>
    </w:r>
    <w:r>
      <w:rPr>
        <w:rFonts w:ascii="宋体" w:hAnsi="宋体" w:eastAsia="宋体"/>
        <w:sz w:val="28"/>
        <w:szCs w:val="28"/>
      </w:rPr>
      <w:fldChar w:fldCharType="separate"/>
    </w:r>
    <w:r>
      <w:rPr>
        <w:rStyle w:val="46"/>
        <w:rFonts w:ascii="宋体" w:hAnsi="宋体" w:eastAsia="宋体"/>
        <w:sz w:val="28"/>
        <w:szCs w:val="28"/>
        <w:lang/>
      </w:rPr>
      <w:t>39</w:t>
    </w:r>
    <w:r>
      <w:rPr>
        <w:rFonts w:ascii="宋体" w:hAnsi="宋体" w:eastAsia="宋体"/>
        <w:sz w:val="28"/>
        <w:szCs w:val="28"/>
      </w:rPr>
      <w:fldChar w:fldCharType="end"/>
    </w:r>
    <w:r>
      <w:rPr>
        <w:rStyle w:val="46"/>
        <w:rFonts w:hint="eastAsia" w:ascii="宋体" w:hAnsi="宋体" w:eastAsia="宋体"/>
        <w:sz w:val="28"/>
        <w:szCs w:val="28"/>
      </w:rPr>
      <w:t xml:space="preserve"> —</w:t>
    </w:r>
  </w:p>
  <w:p>
    <w:pPr>
      <w:pStyle w:val="29"/>
      <w:ind w:right="720" w:firstLine="180" w:firstLineChars="100"/>
      <w:jc w:val="both"/>
      <w:rPr>
        <w:rFonts w:hint="eastAsia"/>
      </w:rPr>
    </w:pPr>
    <w:r>
      <w:rPr>
        <w:rFonts w:hint="eastAsia"/>
      </w:rPr>
      <w:t xml:space="preserve">                                                           东阳市公共资源交易中心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6"/>
      </w:rPr>
    </w:pPr>
    <w:r>
      <w:fldChar w:fldCharType="begin"/>
    </w:r>
    <w:r>
      <w:rPr>
        <w:rStyle w:val="46"/>
      </w:rPr>
      <w:instrText xml:space="preserve">PAGE  </w:instrText>
    </w:r>
    <w:r>
      <w:fldChar w:fldCharType="separate"/>
    </w:r>
    <w:r>
      <w:rPr>
        <w:rStyle w:val="46"/>
      </w:rPr>
      <w:t>26</w: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page" w:x="1832" w:y="-179"/>
      <w:rPr>
        <w:rStyle w:val="46"/>
        <w:rFonts w:ascii="宋体" w:hAnsi="宋体" w:eastAsia="宋体"/>
        <w:sz w:val="28"/>
        <w:szCs w:val="28"/>
      </w:rPr>
    </w:pPr>
    <w:r>
      <w:rPr>
        <w:rStyle w:val="46"/>
        <w:rFonts w:hint="eastAsia" w:ascii="宋体" w:hAnsi="宋体" w:eastAsia="宋体"/>
        <w:sz w:val="28"/>
        <w:szCs w:val="28"/>
      </w:rPr>
      <w:t xml:space="preserve">— </w:t>
    </w:r>
    <w:r>
      <w:rPr>
        <w:rFonts w:ascii="宋体" w:hAnsi="宋体" w:eastAsia="宋体"/>
        <w:sz w:val="28"/>
        <w:szCs w:val="28"/>
      </w:rPr>
      <w:fldChar w:fldCharType="begin"/>
    </w:r>
    <w:r>
      <w:rPr>
        <w:rStyle w:val="46"/>
        <w:rFonts w:ascii="宋体" w:hAnsi="宋体" w:eastAsia="宋体"/>
        <w:sz w:val="28"/>
        <w:szCs w:val="28"/>
      </w:rPr>
      <w:instrText xml:space="preserve">PAGE  </w:instrText>
    </w:r>
    <w:r>
      <w:rPr>
        <w:rFonts w:ascii="宋体" w:hAnsi="宋体" w:eastAsia="宋体"/>
        <w:sz w:val="28"/>
        <w:szCs w:val="28"/>
      </w:rPr>
      <w:fldChar w:fldCharType="separate"/>
    </w:r>
    <w:r>
      <w:rPr>
        <w:rStyle w:val="46"/>
        <w:rFonts w:ascii="宋体" w:hAnsi="宋体" w:eastAsia="宋体"/>
        <w:sz w:val="28"/>
        <w:szCs w:val="28"/>
        <w:lang/>
      </w:rPr>
      <w:t>57</w:t>
    </w:r>
    <w:r>
      <w:rPr>
        <w:rFonts w:ascii="宋体" w:hAnsi="宋体" w:eastAsia="宋体"/>
        <w:sz w:val="28"/>
        <w:szCs w:val="28"/>
      </w:rPr>
      <w:fldChar w:fldCharType="end"/>
    </w:r>
    <w:r>
      <w:rPr>
        <w:rStyle w:val="46"/>
        <w:rFonts w:hint="eastAsia" w:ascii="宋体" w:hAnsi="宋体" w:eastAsia="宋体"/>
        <w:sz w:val="28"/>
        <w:szCs w:val="28"/>
      </w:rPr>
      <w:t xml:space="preserve"> —</w:t>
    </w:r>
  </w:p>
  <w:p>
    <w:pPr>
      <w:pStyle w:val="29"/>
      <w:ind w:right="720" w:rightChars="343" w:firstLine="180" w:firstLineChars="100"/>
      <w:jc w:val="center"/>
    </w:pPr>
    <w:r>
      <w:rPr>
        <w:rFonts w:hint="eastAsia"/>
      </w:rPr>
      <w:t>金华市公共资源交易中心东阳分中心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6"/>
      </w:rPr>
    </w:pPr>
    <w:r>
      <w:fldChar w:fldCharType="begin"/>
    </w:r>
    <w:r>
      <w:rPr>
        <w:rStyle w:val="46"/>
      </w:rPr>
      <w:instrText xml:space="preserve">PAGE  </w:instrText>
    </w:r>
    <w:r>
      <w:fldChar w:fldCharType="separate"/>
    </w:r>
    <w:r>
      <w:rPr>
        <w:rStyle w:val="46"/>
      </w:rPr>
      <w:t>32</w:t>
    </w:r>
    <w:r>
      <w:fldChar w:fldCharType="end"/>
    </w:r>
  </w:p>
  <w:p>
    <w:pPr>
      <w:pStyle w:val="2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6"/>
        <w:rFonts w:ascii="宋体" w:hAnsi="宋体" w:eastAsia="宋体"/>
        <w:sz w:val="28"/>
        <w:szCs w:val="28"/>
      </w:rPr>
    </w:pPr>
    <w:r>
      <w:rPr>
        <w:rStyle w:val="46"/>
        <w:rFonts w:hint="eastAsia" w:ascii="宋体" w:hAnsi="宋体" w:eastAsia="宋体"/>
        <w:sz w:val="28"/>
        <w:szCs w:val="28"/>
      </w:rPr>
      <w:t xml:space="preserve">— </w:t>
    </w:r>
    <w:r>
      <w:rPr>
        <w:rFonts w:ascii="宋体" w:hAnsi="宋体" w:eastAsia="宋体"/>
        <w:sz w:val="28"/>
        <w:szCs w:val="28"/>
      </w:rPr>
      <w:fldChar w:fldCharType="begin"/>
    </w:r>
    <w:r>
      <w:rPr>
        <w:rStyle w:val="46"/>
        <w:rFonts w:ascii="宋体" w:hAnsi="宋体" w:eastAsia="宋体"/>
        <w:sz w:val="28"/>
        <w:szCs w:val="28"/>
      </w:rPr>
      <w:instrText xml:space="preserve">PAGE  </w:instrText>
    </w:r>
    <w:r>
      <w:rPr>
        <w:rFonts w:ascii="宋体" w:hAnsi="宋体" w:eastAsia="宋体"/>
        <w:sz w:val="28"/>
        <w:szCs w:val="28"/>
      </w:rPr>
      <w:fldChar w:fldCharType="separate"/>
    </w:r>
    <w:r>
      <w:rPr>
        <w:rStyle w:val="46"/>
        <w:rFonts w:ascii="宋体" w:hAnsi="宋体" w:eastAsia="宋体"/>
        <w:sz w:val="28"/>
        <w:szCs w:val="28"/>
      </w:rPr>
      <w:t>39</w:t>
    </w:r>
    <w:r>
      <w:rPr>
        <w:rFonts w:ascii="宋体" w:hAnsi="宋体" w:eastAsia="宋体"/>
        <w:sz w:val="28"/>
        <w:szCs w:val="28"/>
      </w:rPr>
      <w:fldChar w:fldCharType="end"/>
    </w:r>
    <w:r>
      <w:rPr>
        <w:rStyle w:val="46"/>
        <w:rFonts w:hint="eastAsia" w:ascii="宋体" w:hAnsi="宋体" w:eastAsia="宋体"/>
        <w:sz w:val="28"/>
        <w:szCs w:val="28"/>
      </w:rPr>
      <w:t xml:space="preserve"> —</w:t>
    </w:r>
  </w:p>
  <w:p>
    <w:pPr>
      <w:pStyle w:val="29"/>
      <w:ind w:right="720" w:firstLine="180" w:firstLineChars="100"/>
      <w:jc w:val="both"/>
    </w:pPr>
    <w:r>
      <w:rPr>
        <w:rFonts w:hint="eastAsia"/>
      </w:rPr>
      <w:t xml:space="preserve">                                                           金华市公共资源交易中心东阳分中心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page" w:x="1813" w:y="-148"/>
      <w:rPr>
        <w:rStyle w:val="46"/>
        <w:rFonts w:hint="eastAsia" w:ascii="宋体" w:hAnsi="宋体" w:eastAsia="宋体"/>
        <w:sz w:val="28"/>
        <w:szCs w:val="28"/>
      </w:rPr>
    </w:pPr>
    <w:r>
      <w:rPr>
        <w:rStyle w:val="46"/>
        <w:rFonts w:hint="eastAsia" w:ascii="宋体" w:hAnsi="宋体" w:eastAsia="宋体"/>
        <w:sz w:val="28"/>
        <w:szCs w:val="28"/>
      </w:rPr>
      <w:t xml:space="preserve">— </w:t>
    </w:r>
    <w:r>
      <w:rPr>
        <w:rFonts w:ascii="宋体" w:hAnsi="宋体" w:eastAsia="宋体"/>
        <w:sz w:val="28"/>
        <w:szCs w:val="28"/>
      </w:rPr>
      <w:fldChar w:fldCharType="begin"/>
    </w:r>
    <w:r>
      <w:rPr>
        <w:rStyle w:val="46"/>
        <w:rFonts w:ascii="宋体" w:hAnsi="宋体" w:eastAsia="宋体"/>
        <w:sz w:val="28"/>
        <w:szCs w:val="28"/>
      </w:rPr>
      <w:instrText xml:space="preserve">PAGE  </w:instrText>
    </w:r>
    <w:r>
      <w:rPr>
        <w:rFonts w:ascii="宋体" w:hAnsi="宋体" w:eastAsia="宋体"/>
        <w:sz w:val="28"/>
        <w:szCs w:val="28"/>
      </w:rPr>
      <w:fldChar w:fldCharType="separate"/>
    </w:r>
    <w:r>
      <w:rPr>
        <w:rStyle w:val="46"/>
        <w:rFonts w:ascii="宋体" w:hAnsi="宋体" w:eastAsia="宋体"/>
        <w:sz w:val="28"/>
        <w:szCs w:val="28"/>
        <w:lang/>
      </w:rPr>
      <w:t>72</w:t>
    </w:r>
    <w:r>
      <w:rPr>
        <w:rFonts w:ascii="宋体" w:hAnsi="宋体" w:eastAsia="宋体"/>
        <w:sz w:val="28"/>
        <w:szCs w:val="28"/>
      </w:rPr>
      <w:fldChar w:fldCharType="end"/>
    </w:r>
    <w:r>
      <w:rPr>
        <w:rStyle w:val="46"/>
        <w:rFonts w:hint="eastAsia" w:ascii="宋体" w:hAnsi="宋体" w:eastAsia="宋体"/>
        <w:sz w:val="28"/>
        <w:szCs w:val="28"/>
      </w:rPr>
      <w:t xml:space="preserve"> —</w:t>
    </w:r>
  </w:p>
  <w:p>
    <w:pPr>
      <w:pStyle w:val="29"/>
      <w:ind w:right="720" w:rightChars="343" w:firstLine="180" w:firstLineChars="100"/>
      <w:jc w:val="center"/>
      <w:rPr>
        <w:rFonts w:hint="eastAsia"/>
      </w:rPr>
    </w:pPr>
    <w:r>
      <w:rPr>
        <w:rFonts w:hint="eastAsia"/>
      </w:rPr>
      <w:t>金华市公共资源交易中心东阳分中心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6"/>
      </w:rPr>
    </w:pPr>
    <w:r>
      <w:fldChar w:fldCharType="begin"/>
    </w:r>
    <w:r>
      <w:rPr>
        <w:rStyle w:val="46"/>
      </w:rPr>
      <w:instrText xml:space="preserve">PAGE  </w:instrText>
    </w:r>
    <w:r>
      <w:fldChar w:fldCharType="separate"/>
    </w:r>
    <w:r>
      <w:rPr>
        <w:rStyle w:val="46"/>
      </w:rPr>
      <w:t>32</w:t>
    </w:r>
    <w:r>
      <w:fldChar w:fldCharType="end"/>
    </w:r>
  </w:p>
  <w:p>
    <w:pPr>
      <w:pStyle w:val="29"/>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6"/>
        <w:rFonts w:hint="eastAsia" w:ascii="宋体" w:hAnsi="宋体" w:eastAsia="宋体"/>
        <w:sz w:val="28"/>
        <w:szCs w:val="28"/>
      </w:rPr>
    </w:pPr>
    <w:r>
      <w:rPr>
        <w:rStyle w:val="46"/>
        <w:rFonts w:hint="eastAsia" w:ascii="宋体" w:hAnsi="宋体" w:eastAsia="宋体"/>
        <w:sz w:val="28"/>
        <w:szCs w:val="28"/>
      </w:rPr>
      <w:t xml:space="preserve">— </w:t>
    </w:r>
    <w:r>
      <w:rPr>
        <w:rFonts w:ascii="宋体" w:hAnsi="宋体" w:eastAsia="宋体"/>
        <w:sz w:val="28"/>
        <w:szCs w:val="28"/>
      </w:rPr>
      <w:fldChar w:fldCharType="begin"/>
    </w:r>
    <w:r>
      <w:rPr>
        <w:rStyle w:val="46"/>
        <w:rFonts w:ascii="宋体" w:hAnsi="宋体" w:eastAsia="宋体"/>
        <w:sz w:val="28"/>
        <w:szCs w:val="28"/>
      </w:rPr>
      <w:instrText xml:space="preserve">PAGE  </w:instrText>
    </w:r>
    <w:r>
      <w:rPr>
        <w:rFonts w:ascii="宋体" w:hAnsi="宋体" w:eastAsia="宋体"/>
        <w:sz w:val="28"/>
        <w:szCs w:val="28"/>
      </w:rPr>
      <w:fldChar w:fldCharType="separate"/>
    </w:r>
    <w:r>
      <w:rPr>
        <w:rStyle w:val="46"/>
        <w:rFonts w:ascii="宋体" w:hAnsi="宋体" w:eastAsia="宋体"/>
        <w:sz w:val="28"/>
        <w:szCs w:val="28"/>
      </w:rPr>
      <w:t>39</w:t>
    </w:r>
    <w:r>
      <w:rPr>
        <w:rFonts w:ascii="宋体" w:hAnsi="宋体" w:eastAsia="宋体"/>
        <w:sz w:val="28"/>
        <w:szCs w:val="28"/>
      </w:rPr>
      <w:fldChar w:fldCharType="end"/>
    </w:r>
    <w:r>
      <w:rPr>
        <w:rStyle w:val="46"/>
        <w:rFonts w:hint="eastAsia" w:ascii="宋体" w:hAnsi="宋体" w:eastAsia="宋体"/>
        <w:sz w:val="28"/>
        <w:szCs w:val="28"/>
      </w:rPr>
      <w:t xml:space="preserve"> —</w:t>
    </w:r>
  </w:p>
  <w:p>
    <w:pPr>
      <w:pStyle w:val="29"/>
      <w:ind w:right="720" w:firstLine="180" w:firstLineChars="100"/>
      <w:jc w:val="both"/>
      <w:rPr>
        <w:rFonts w:hint="eastAsia"/>
      </w:rPr>
    </w:pPr>
    <w:r>
      <w:rPr>
        <w:rFonts w:hint="eastAsia"/>
      </w:rPr>
      <w:t xml:space="preserve">                                                           东阳市公共资源交易中心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6"/>
        <w:rFonts w:hint="eastAsia" w:ascii="宋体" w:hAnsi="宋体" w:eastAsia="宋体"/>
        <w:sz w:val="28"/>
        <w:szCs w:val="28"/>
      </w:rPr>
    </w:pPr>
    <w:r>
      <w:rPr>
        <w:rStyle w:val="46"/>
        <w:rFonts w:hint="eastAsia" w:ascii="宋体" w:hAnsi="宋体" w:eastAsia="宋体"/>
        <w:sz w:val="28"/>
        <w:szCs w:val="28"/>
      </w:rPr>
      <w:t xml:space="preserve">— </w:t>
    </w:r>
    <w:r>
      <w:rPr>
        <w:rFonts w:ascii="宋体" w:hAnsi="宋体" w:eastAsia="宋体"/>
        <w:sz w:val="28"/>
        <w:szCs w:val="28"/>
      </w:rPr>
      <w:fldChar w:fldCharType="begin"/>
    </w:r>
    <w:r>
      <w:rPr>
        <w:rStyle w:val="46"/>
        <w:rFonts w:ascii="宋体" w:hAnsi="宋体" w:eastAsia="宋体"/>
        <w:sz w:val="28"/>
        <w:szCs w:val="28"/>
      </w:rPr>
      <w:instrText xml:space="preserve">PAGE  </w:instrText>
    </w:r>
    <w:r>
      <w:rPr>
        <w:rFonts w:ascii="宋体" w:hAnsi="宋体" w:eastAsia="宋体"/>
        <w:sz w:val="28"/>
        <w:szCs w:val="28"/>
      </w:rPr>
      <w:fldChar w:fldCharType="separate"/>
    </w:r>
    <w:r>
      <w:rPr>
        <w:rStyle w:val="46"/>
        <w:rFonts w:ascii="宋体" w:hAnsi="宋体" w:eastAsia="宋体"/>
        <w:sz w:val="28"/>
        <w:szCs w:val="28"/>
      </w:rPr>
      <w:t>55</w:t>
    </w:r>
    <w:r>
      <w:rPr>
        <w:rFonts w:ascii="宋体" w:hAnsi="宋体" w:eastAsia="宋体"/>
        <w:sz w:val="28"/>
        <w:szCs w:val="28"/>
      </w:rPr>
      <w:fldChar w:fldCharType="end"/>
    </w:r>
    <w:r>
      <w:rPr>
        <w:rStyle w:val="46"/>
        <w:rFonts w:hint="eastAsia" w:ascii="宋体" w:hAnsi="宋体" w:eastAsia="宋体"/>
        <w:sz w:val="28"/>
        <w:szCs w:val="28"/>
      </w:rPr>
      <w:t xml:space="preserve"> —</w:t>
    </w:r>
  </w:p>
  <w:p>
    <w:pPr>
      <w:pStyle w:val="29"/>
      <w:ind w:right="720" w:firstLine="180" w:firstLineChars="100"/>
      <w:jc w:val="center"/>
      <w:rPr>
        <w:rFonts w:hint="eastAsia"/>
      </w:rPr>
    </w:pPr>
    <w:r>
      <w:rPr>
        <w:rFonts w:hint="eastAsia"/>
      </w:rPr>
      <w:t>东阳市公共资源交易中心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u w:val="single"/>
      </w:rPr>
    </w:pPr>
    <w:r>
      <w:rPr>
        <w:rFonts w:hint="eastAsia"/>
        <w:u w:val="single"/>
      </w:rPr>
      <w:t>东阳市教育网升级改造及运维服务项目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rPr>
        <w:rFonts w:hint="eastAsia"/>
        <w:u w:val="single"/>
      </w:rPr>
    </w:pPr>
    <w:r>
      <w:rPr>
        <w:rFonts w:hint="eastAsia"/>
        <w:u w:val="single"/>
      </w:rPr>
      <w:t xml:space="preserve">东阳市人民医院、东阳市妇幼保健院医疗设备项目                                             </w:t>
    </w: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u w:val="single"/>
      </w:rPr>
    </w:pPr>
    <w:r>
      <w:rPr>
        <w:rFonts w:hint="eastAsia"/>
        <w:u w:val="single"/>
      </w:rPr>
      <w:t>东阳市教育网升级改造及运维服务项目</w:t>
    </w:r>
  </w:p>
  <w:p>
    <w:pPr>
      <w:pStyle w:val="3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rPr>
        <w:u w:val="single"/>
      </w:rPr>
    </w:pPr>
    <w:r>
      <w:rPr>
        <w:rFonts w:hint="eastAsia"/>
        <w:u w:val="single"/>
      </w:rPr>
      <w:t xml:space="preserve">东阳市人民医院、东阳市妇幼保健院医疗设备项目                                             </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u w:val="single"/>
      </w:rPr>
    </w:pPr>
    <w:r>
      <w:rPr>
        <w:rFonts w:hint="eastAsia"/>
        <w:u w:val="single"/>
      </w:rPr>
      <w:t>东阳市教育网升级改造及运维服务项目</w:t>
    </w:r>
  </w:p>
  <w:p>
    <w:pPr>
      <w:pStyle w:val="3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rPr>
        <w:rFonts w:hint="eastAsia"/>
        <w:u w:val="single"/>
      </w:rPr>
    </w:pPr>
    <w:r>
      <w:rPr>
        <w:rFonts w:hint="eastAsia"/>
        <w:u w:val="single"/>
      </w:rPr>
      <w:t xml:space="preserve">东阳市人民医院、东阳市妇幼保健院医疗设备项目                                             </w:t>
    </w:r>
  </w:p>
  <w:p>
    <w:pP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u w:val="single"/>
      </w:rPr>
    </w:pPr>
    <w:r>
      <w:rPr>
        <w:rFonts w:hint="eastAsia"/>
        <w:u w:val="single"/>
      </w:rPr>
      <w:t xml:space="preserve">东阳市教育云数据中心设备政府采购项目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rPr>
        <w:rFonts w:hint="eastAsia"/>
        <w:u w:val="single"/>
      </w:rPr>
    </w:pPr>
    <w:r>
      <w:rPr>
        <w:rFonts w:hint="eastAsia"/>
        <w:u w:val="single"/>
      </w:rPr>
      <w:t xml:space="preserve">东阳市人民医院、东阳市妇幼保健院医疗设备项目                                             </w:t>
    </w:r>
  </w:p>
  <w:p>
    <w:pP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ascii="宋体" w:hAnsi="宋体"/>
        <w:b/>
        <w:bCs/>
        <w:sz w:val="21"/>
        <w:szCs w:val="21"/>
      </w:rPr>
    </w:pPr>
    <w:r>
      <w:rPr>
        <w:rFonts w:hint="eastAsia" w:hAnsi="宋体"/>
        <w:sz w:val="24"/>
        <w:szCs w:val="24"/>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u w:val="single"/>
      </w:rPr>
    </w:pPr>
    <w:r>
      <w:rPr>
        <w:rFonts w:hint="eastAsia"/>
        <w:u w:val="single"/>
      </w:rPr>
      <w:t>东阳市教育网升级改造及运维服务项目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8ABFD"/>
    <w:multiLevelType w:val="singleLevel"/>
    <w:tmpl w:val="C878ABFD"/>
    <w:lvl w:ilvl="0" w:tentative="0">
      <w:start w:val="1"/>
      <w:numFmt w:val="decimal"/>
      <w:lvlText w:val="%1."/>
      <w:lvlJc w:val="left"/>
      <w:pPr>
        <w:ind w:left="425" w:hanging="425"/>
      </w:pPr>
      <w:rPr>
        <w:rFonts w:hint="default"/>
      </w:rPr>
    </w:lvl>
  </w:abstractNum>
  <w:abstractNum w:abstractNumId="1">
    <w:nsid w:val="EB4BE631"/>
    <w:multiLevelType w:val="singleLevel"/>
    <w:tmpl w:val="EB4BE631"/>
    <w:lvl w:ilvl="0" w:tentative="0">
      <w:start w:val="1"/>
      <w:numFmt w:val="decimal"/>
      <w:lvlText w:val="%1."/>
      <w:lvlJc w:val="left"/>
      <w:pPr>
        <w:tabs>
          <w:tab w:val="left" w:pos="312"/>
        </w:tabs>
      </w:pPr>
    </w:lvl>
  </w:abstractNum>
  <w:abstractNum w:abstractNumId="2">
    <w:nsid w:val="FFFFFFFB"/>
    <w:multiLevelType w:val="multilevel"/>
    <w:tmpl w:val="FFFFFFFB"/>
    <w:lvl w:ilvl="0" w:tentative="0">
      <w:start w:val="1"/>
      <w:numFmt w:val="chineseCountingThousand"/>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9"/>
      <w:suff w:val="nothing"/>
      <w:lvlText w:val=""/>
      <w:lvlJc w:val="left"/>
    </w:lvl>
    <w:lvl w:ilvl="7" w:tentative="0">
      <w:start w:val="1"/>
      <w:numFmt w:val="none"/>
      <w:pStyle w:val="10"/>
      <w:suff w:val="nothing"/>
      <w:lvlText w:val=""/>
      <w:lvlJc w:val="left"/>
    </w:lvl>
    <w:lvl w:ilvl="8" w:tentative="0">
      <w:start w:val="1"/>
      <w:numFmt w:val="none"/>
      <w:pStyle w:val="11"/>
      <w:suff w:val="nothing"/>
      <w:lvlText w:val=""/>
      <w:lvlJc w:val="left"/>
    </w:lvl>
  </w:abstractNum>
  <w:abstractNum w:abstractNumId="3">
    <w:nsid w:val="00000023"/>
    <w:multiLevelType w:val="multilevel"/>
    <w:tmpl w:val="00000023"/>
    <w:lvl w:ilvl="0" w:tentative="0">
      <w:start w:val="1"/>
      <w:numFmt w:val="decimal"/>
      <w:lvlText w:val="(%1)"/>
      <w:lvlJc w:val="left"/>
      <w:pPr>
        <w:tabs>
          <w:tab w:val="left" w:pos="644"/>
        </w:tabs>
        <w:ind w:left="284"/>
      </w:pPr>
      <w:rPr>
        <w:rFonts w:hint="eastAsia"/>
      </w:rPr>
    </w:lvl>
    <w:lvl w:ilvl="1" w:tentative="0">
      <w:start w:val="3"/>
      <w:numFmt w:val="bullet"/>
      <w:lvlText w:val="●"/>
      <w:lvlJc w:val="left"/>
      <w:pPr>
        <w:tabs>
          <w:tab w:val="left" w:pos="870"/>
        </w:tabs>
        <w:ind w:left="870" w:hanging="450"/>
      </w:pPr>
      <w:rPr>
        <w:rFonts w:hint="eastAsia" w:ascii="宋体" w:hAnsi="宋体" w:eastAsia="宋体"/>
        <w:sz w:val="18"/>
        <w:szCs w:val="18"/>
      </w:rPr>
    </w:lvl>
    <w:lvl w:ilvl="2" w:tentative="0">
      <w:start w:val="1"/>
      <w:numFmt w:val="decimal"/>
      <w:lvlText w:val="%3、"/>
      <w:lvlJc w:val="left"/>
      <w:pPr>
        <w:tabs>
          <w:tab w:val="left" w:pos="1200"/>
        </w:tabs>
        <w:ind w:left="1200" w:hanging="360"/>
      </w:pPr>
      <w:rPr>
        <w:rFonts w:hint="default"/>
        <w:color w:val="auto"/>
      </w:rPr>
    </w:lvl>
    <w:lvl w:ilvl="3" w:tentative="0">
      <w:start w:val="1"/>
      <w:numFmt w:val="decimal"/>
      <w:lvlText w:val="%4）"/>
      <w:lvlJc w:val="left"/>
      <w:pPr>
        <w:tabs>
          <w:tab w:val="left" w:pos="1620"/>
        </w:tabs>
        <w:ind w:left="1620" w:hanging="360"/>
      </w:pPr>
      <w:rPr>
        <w:rFonts w:hint="default"/>
      </w:rPr>
    </w:lvl>
    <w:lvl w:ilvl="4" w:tentative="0">
      <w:start w:val="1"/>
      <w:numFmt w:val="upperLetter"/>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6FA4AAD"/>
    <w:multiLevelType w:val="multilevel"/>
    <w:tmpl w:val="06FA4A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B26339"/>
    <w:multiLevelType w:val="multilevel"/>
    <w:tmpl w:val="07B26339"/>
    <w:lvl w:ilvl="0" w:tentative="0">
      <w:start w:val="1"/>
      <w:numFmt w:val="bullet"/>
      <w:lvlText w:val=""/>
      <w:lvlJc w:val="left"/>
      <w:pPr>
        <w:ind w:left="2580" w:hanging="420"/>
      </w:pPr>
      <w:rPr>
        <w:rFonts w:hint="default" w:ascii="Wingdings" w:hAnsi="Wingdings" w:cs="Wingdings"/>
      </w:rPr>
    </w:lvl>
    <w:lvl w:ilvl="1" w:tentative="0">
      <w:start w:val="1"/>
      <w:numFmt w:val="bullet"/>
      <w:lvlText w:val=""/>
      <w:lvlJc w:val="left"/>
      <w:pPr>
        <w:ind w:left="3000" w:hanging="420"/>
      </w:pPr>
      <w:rPr>
        <w:rFonts w:hint="default" w:ascii="Wingdings" w:hAnsi="Wingdings" w:cs="Wingdings"/>
      </w:rPr>
    </w:lvl>
    <w:lvl w:ilvl="2" w:tentative="0">
      <w:start w:val="1"/>
      <w:numFmt w:val="bullet"/>
      <w:lvlText w:val=""/>
      <w:lvlJc w:val="left"/>
      <w:pPr>
        <w:ind w:left="3420" w:hanging="420"/>
      </w:pPr>
      <w:rPr>
        <w:rFonts w:hint="default" w:ascii="Wingdings" w:hAnsi="Wingdings" w:cs="Wingdings"/>
      </w:rPr>
    </w:lvl>
    <w:lvl w:ilvl="3" w:tentative="0">
      <w:start w:val="1"/>
      <w:numFmt w:val="bullet"/>
      <w:lvlText w:val=""/>
      <w:lvlJc w:val="left"/>
      <w:pPr>
        <w:ind w:left="3840" w:hanging="420"/>
      </w:pPr>
      <w:rPr>
        <w:rFonts w:hint="default" w:ascii="Wingdings" w:hAnsi="Wingdings" w:cs="Wingdings"/>
      </w:rPr>
    </w:lvl>
    <w:lvl w:ilvl="4" w:tentative="0">
      <w:start w:val="1"/>
      <w:numFmt w:val="bullet"/>
      <w:lvlText w:val=""/>
      <w:lvlJc w:val="left"/>
      <w:pPr>
        <w:ind w:left="4260" w:hanging="420"/>
      </w:pPr>
      <w:rPr>
        <w:rFonts w:hint="default" w:ascii="Wingdings" w:hAnsi="Wingdings" w:cs="Wingdings"/>
      </w:rPr>
    </w:lvl>
    <w:lvl w:ilvl="5" w:tentative="0">
      <w:start w:val="1"/>
      <w:numFmt w:val="bullet"/>
      <w:lvlText w:val=""/>
      <w:lvlJc w:val="left"/>
      <w:pPr>
        <w:ind w:left="4680" w:hanging="420"/>
      </w:pPr>
      <w:rPr>
        <w:rFonts w:hint="default" w:ascii="Wingdings" w:hAnsi="Wingdings" w:cs="Wingdings"/>
      </w:rPr>
    </w:lvl>
    <w:lvl w:ilvl="6" w:tentative="0">
      <w:start w:val="1"/>
      <w:numFmt w:val="bullet"/>
      <w:lvlText w:val=""/>
      <w:lvlJc w:val="left"/>
      <w:pPr>
        <w:ind w:left="5100" w:hanging="420"/>
      </w:pPr>
      <w:rPr>
        <w:rFonts w:hint="default" w:ascii="Wingdings" w:hAnsi="Wingdings" w:cs="Wingdings"/>
      </w:rPr>
    </w:lvl>
    <w:lvl w:ilvl="7" w:tentative="0">
      <w:start w:val="1"/>
      <w:numFmt w:val="bullet"/>
      <w:lvlText w:val=""/>
      <w:lvlJc w:val="left"/>
      <w:pPr>
        <w:ind w:left="5520" w:hanging="420"/>
      </w:pPr>
      <w:rPr>
        <w:rFonts w:hint="default" w:ascii="Wingdings" w:hAnsi="Wingdings" w:cs="Wingdings"/>
      </w:rPr>
    </w:lvl>
    <w:lvl w:ilvl="8" w:tentative="0">
      <w:start w:val="1"/>
      <w:numFmt w:val="bullet"/>
      <w:lvlText w:val=""/>
      <w:lvlJc w:val="left"/>
      <w:pPr>
        <w:ind w:left="5940" w:hanging="420"/>
      </w:pPr>
      <w:rPr>
        <w:rFonts w:hint="default" w:ascii="Wingdings" w:hAnsi="Wingdings" w:cs="Wingdings"/>
      </w:rPr>
    </w:lvl>
  </w:abstractNum>
  <w:abstractNum w:abstractNumId="6">
    <w:nsid w:val="0D397EA9"/>
    <w:multiLevelType w:val="multilevel"/>
    <w:tmpl w:val="0D397E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29F1596"/>
    <w:multiLevelType w:val="multilevel"/>
    <w:tmpl w:val="129F1596"/>
    <w:lvl w:ilvl="0" w:tentative="0">
      <w:start w:val="6"/>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19E81F5B"/>
    <w:multiLevelType w:val="multilevel"/>
    <w:tmpl w:val="19E81F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A991DC5"/>
    <w:multiLevelType w:val="multilevel"/>
    <w:tmpl w:val="1A991D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8A46F4"/>
    <w:multiLevelType w:val="multilevel"/>
    <w:tmpl w:val="1E8A46F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0923864"/>
    <w:multiLevelType w:val="multilevel"/>
    <w:tmpl w:val="209238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4ADFFF"/>
    <w:multiLevelType w:val="singleLevel"/>
    <w:tmpl w:val="254ADFFF"/>
    <w:lvl w:ilvl="0" w:tentative="0">
      <w:start w:val="2"/>
      <w:numFmt w:val="decimal"/>
      <w:lvlText w:val="%1."/>
      <w:lvlJc w:val="left"/>
      <w:pPr>
        <w:tabs>
          <w:tab w:val="left" w:pos="312"/>
        </w:tabs>
      </w:pPr>
    </w:lvl>
  </w:abstractNum>
  <w:abstractNum w:abstractNumId="13">
    <w:nsid w:val="26A54A1D"/>
    <w:multiLevelType w:val="multilevel"/>
    <w:tmpl w:val="26A54A1D"/>
    <w:lvl w:ilvl="0" w:tentative="0">
      <w:start w:val="1"/>
      <w:numFmt w:val="decimal"/>
      <w:lvlText w:val="（%1）"/>
      <w:lvlJc w:val="left"/>
      <w:pPr>
        <w:ind w:left="1251" w:hanging="825"/>
      </w:pPr>
      <w:rPr>
        <w:rFonts w:hint="default"/>
      </w:rPr>
    </w:lvl>
    <w:lvl w:ilvl="1" w:tentative="0">
      <w:start w:val="1"/>
      <w:numFmt w:val="lowerLetter"/>
      <w:lvlText w:val="%2)"/>
      <w:lvlJc w:val="left"/>
      <w:pPr>
        <w:ind w:left="1605" w:hanging="420"/>
      </w:pPr>
    </w:lvl>
    <w:lvl w:ilvl="2" w:tentative="0">
      <w:start w:val="1"/>
      <w:numFmt w:val="lowerRoman"/>
      <w:lvlText w:val="%3."/>
      <w:lvlJc w:val="right"/>
      <w:pPr>
        <w:ind w:left="2025" w:hanging="420"/>
      </w:pPr>
    </w:lvl>
    <w:lvl w:ilvl="3" w:tentative="0">
      <w:start w:val="1"/>
      <w:numFmt w:val="decimal"/>
      <w:lvlText w:val="%4."/>
      <w:lvlJc w:val="left"/>
      <w:pPr>
        <w:ind w:left="2445" w:hanging="420"/>
      </w:pPr>
    </w:lvl>
    <w:lvl w:ilvl="4" w:tentative="0">
      <w:start w:val="1"/>
      <w:numFmt w:val="lowerLetter"/>
      <w:lvlText w:val="%5)"/>
      <w:lvlJc w:val="left"/>
      <w:pPr>
        <w:ind w:left="2865" w:hanging="420"/>
      </w:pPr>
    </w:lvl>
    <w:lvl w:ilvl="5" w:tentative="0">
      <w:start w:val="1"/>
      <w:numFmt w:val="lowerRoman"/>
      <w:lvlText w:val="%6."/>
      <w:lvlJc w:val="right"/>
      <w:pPr>
        <w:ind w:left="3285" w:hanging="420"/>
      </w:pPr>
    </w:lvl>
    <w:lvl w:ilvl="6" w:tentative="0">
      <w:start w:val="1"/>
      <w:numFmt w:val="decimal"/>
      <w:lvlText w:val="%7."/>
      <w:lvlJc w:val="left"/>
      <w:pPr>
        <w:ind w:left="3705" w:hanging="420"/>
      </w:pPr>
    </w:lvl>
    <w:lvl w:ilvl="7" w:tentative="0">
      <w:start w:val="1"/>
      <w:numFmt w:val="lowerLetter"/>
      <w:lvlText w:val="%8)"/>
      <w:lvlJc w:val="left"/>
      <w:pPr>
        <w:ind w:left="4125" w:hanging="420"/>
      </w:pPr>
    </w:lvl>
    <w:lvl w:ilvl="8" w:tentative="0">
      <w:start w:val="1"/>
      <w:numFmt w:val="lowerRoman"/>
      <w:lvlText w:val="%9."/>
      <w:lvlJc w:val="right"/>
      <w:pPr>
        <w:ind w:left="4545" w:hanging="420"/>
      </w:pPr>
    </w:lvl>
  </w:abstractNum>
  <w:abstractNum w:abstractNumId="14">
    <w:nsid w:val="2BA87701"/>
    <w:multiLevelType w:val="multilevel"/>
    <w:tmpl w:val="2BA87701"/>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2F6C0D5D"/>
    <w:multiLevelType w:val="multilevel"/>
    <w:tmpl w:val="2F6C0D5D"/>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F9644A8"/>
    <w:multiLevelType w:val="multilevel"/>
    <w:tmpl w:val="2F9644A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317306C"/>
    <w:multiLevelType w:val="multilevel"/>
    <w:tmpl w:val="331730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54F6257"/>
    <w:multiLevelType w:val="multilevel"/>
    <w:tmpl w:val="354F6257"/>
    <w:lvl w:ilvl="0" w:tentative="0">
      <w:start w:val="1"/>
      <w:numFmt w:val="decimal"/>
      <w:lvlText w:val="%1、"/>
      <w:lvlJc w:val="left"/>
      <w:pPr>
        <w:ind w:left="1440" w:hanging="360"/>
      </w:pPr>
      <w:rPr>
        <w:rFonts w:hint="default"/>
      </w:rPr>
    </w:lvl>
    <w:lvl w:ilvl="1" w:tentative="0">
      <w:start w:val="1"/>
      <w:numFmt w:val="lowerLetter"/>
      <w:lvlText w:val="%2)"/>
      <w:lvlJc w:val="left"/>
      <w:pPr>
        <w:ind w:left="1920" w:hanging="420"/>
      </w:pPr>
    </w:lvl>
    <w:lvl w:ilvl="2" w:tentative="0">
      <w:start w:val="1"/>
      <w:numFmt w:val="lowerRoman"/>
      <w:lvlText w:val="%3."/>
      <w:lvlJc w:val="right"/>
      <w:pPr>
        <w:ind w:left="2340" w:hanging="420"/>
      </w:pPr>
    </w:lvl>
    <w:lvl w:ilvl="3" w:tentative="0">
      <w:start w:val="1"/>
      <w:numFmt w:val="decimal"/>
      <w:lvlText w:val="%4."/>
      <w:lvlJc w:val="left"/>
      <w:pPr>
        <w:ind w:left="2760" w:hanging="420"/>
      </w:pPr>
    </w:lvl>
    <w:lvl w:ilvl="4" w:tentative="0">
      <w:start w:val="1"/>
      <w:numFmt w:val="lowerLetter"/>
      <w:lvlText w:val="%5)"/>
      <w:lvlJc w:val="left"/>
      <w:pPr>
        <w:ind w:left="3180" w:hanging="420"/>
      </w:pPr>
    </w:lvl>
    <w:lvl w:ilvl="5" w:tentative="0">
      <w:start w:val="1"/>
      <w:numFmt w:val="lowerRoman"/>
      <w:lvlText w:val="%6."/>
      <w:lvlJc w:val="right"/>
      <w:pPr>
        <w:ind w:left="3600" w:hanging="420"/>
      </w:pPr>
    </w:lvl>
    <w:lvl w:ilvl="6" w:tentative="0">
      <w:start w:val="1"/>
      <w:numFmt w:val="decimal"/>
      <w:lvlText w:val="%7."/>
      <w:lvlJc w:val="left"/>
      <w:pPr>
        <w:ind w:left="4020" w:hanging="420"/>
      </w:pPr>
    </w:lvl>
    <w:lvl w:ilvl="7" w:tentative="0">
      <w:start w:val="1"/>
      <w:numFmt w:val="lowerLetter"/>
      <w:lvlText w:val="%8)"/>
      <w:lvlJc w:val="left"/>
      <w:pPr>
        <w:ind w:left="4440" w:hanging="420"/>
      </w:pPr>
    </w:lvl>
    <w:lvl w:ilvl="8" w:tentative="0">
      <w:start w:val="1"/>
      <w:numFmt w:val="lowerRoman"/>
      <w:lvlText w:val="%9."/>
      <w:lvlJc w:val="right"/>
      <w:pPr>
        <w:ind w:left="4860" w:hanging="420"/>
      </w:pPr>
    </w:lvl>
  </w:abstractNum>
  <w:abstractNum w:abstractNumId="19">
    <w:nsid w:val="38A84850"/>
    <w:multiLevelType w:val="multilevel"/>
    <w:tmpl w:val="38A848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42D45EE"/>
    <w:multiLevelType w:val="multilevel"/>
    <w:tmpl w:val="442D45EE"/>
    <w:lvl w:ilvl="0" w:tentative="0">
      <w:start w:val="1"/>
      <w:numFmt w:val="bullet"/>
      <w:lvlText w:val=""/>
      <w:lvlJc w:val="left"/>
      <w:pPr>
        <w:ind w:left="2580" w:hanging="420"/>
      </w:pPr>
      <w:rPr>
        <w:rFonts w:hint="default" w:ascii="Wingdings" w:hAnsi="Wingdings" w:cs="Wingdings"/>
      </w:rPr>
    </w:lvl>
    <w:lvl w:ilvl="1" w:tentative="0">
      <w:start w:val="1"/>
      <w:numFmt w:val="bullet"/>
      <w:lvlText w:val=""/>
      <w:lvlJc w:val="left"/>
      <w:pPr>
        <w:ind w:left="3000" w:hanging="420"/>
      </w:pPr>
      <w:rPr>
        <w:rFonts w:hint="default" w:ascii="Wingdings" w:hAnsi="Wingdings" w:cs="Wingdings"/>
      </w:rPr>
    </w:lvl>
    <w:lvl w:ilvl="2" w:tentative="0">
      <w:start w:val="1"/>
      <w:numFmt w:val="bullet"/>
      <w:lvlText w:val=""/>
      <w:lvlJc w:val="left"/>
      <w:pPr>
        <w:ind w:left="3420" w:hanging="420"/>
      </w:pPr>
      <w:rPr>
        <w:rFonts w:hint="default" w:ascii="Wingdings" w:hAnsi="Wingdings" w:cs="Wingdings"/>
      </w:rPr>
    </w:lvl>
    <w:lvl w:ilvl="3" w:tentative="0">
      <w:start w:val="1"/>
      <w:numFmt w:val="bullet"/>
      <w:lvlText w:val=""/>
      <w:lvlJc w:val="left"/>
      <w:pPr>
        <w:ind w:left="3840" w:hanging="420"/>
      </w:pPr>
      <w:rPr>
        <w:rFonts w:hint="default" w:ascii="Wingdings" w:hAnsi="Wingdings" w:cs="Wingdings"/>
      </w:rPr>
    </w:lvl>
    <w:lvl w:ilvl="4" w:tentative="0">
      <w:start w:val="1"/>
      <w:numFmt w:val="bullet"/>
      <w:lvlText w:val=""/>
      <w:lvlJc w:val="left"/>
      <w:pPr>
        <w:ind w:left="4260" w:hanging="420"/>
      </w:pPr>
      <w:rPr>
        <w:rFonts w:hint="default" w:ascii="Wingdings" w:hAnsi="Wingdings" w:cs="Wingdings"/>
      </w:rPr>
    </w:lvl>
    <w:lvl w:ilvl="5" w:tentative="0">
      <w:start w:val="1"/>
      <w:numFmt w:val="bullet"/>
      <w:lvlText w:val=""/>
      <w:lvlJc w:val="left"/>
      <w:pPr>
        <w:ind w:left="4680" w:hanging="420"/>
      </w:pPr>
      <w:rPr>
        <w:rFonts w:hint="default" w:ascii="Wingdings" w:hAnsi="Wingdings" w:cs="Wingdings"/>
      </w:rPr>
    </w:lvl>
    <w:lvl w:ilvl="6" w:tentative="0">
      <w:start w:val="1"/>
      <w:numFmt w:val="bullet"/>
      <w:lvlText w:val=""/>
      <w:lvlJc w:val="left"/>
      <w:pPr>
        <w:ind w:left="5100" w:hanging="420"/>
      </w:pPr>
      <w:rPr>
        <w:rFonts w:hint="default" w:ascii="Wingdings" w:hAnsi="Wingdings" w:cs="Wingdings"/>
      </w:rPr>
    </w:lvl>
    <w:lvl w:ilvl="7" w:tentative="0">
      <w:start w:val="1"/>
      <w:numFmt w:val="bullet"/>
      <w:lvlText w:val=""/>
      <w:lvlJc w:val="left"/>
      <w:pPr>
        <w:ind w:left="5520" w:hanging="420"/>
      </w:pPr>
      <w:rPr>
        <w:rFonts w:hint="default" w:ascii="Wingdings" w:hAnsi="Wingdings" w:cs="Wingdings"/>
      </w:rPr>
    </w:lvl>
    <w:lvl w:ilvl="8" w:tentative="0">
      <w:start w:val="1"/>
      <w:numFmt w:val="bullet"/>
      <w:lvlText w:val=""/>
      <w:lvlJc w:val="left"/>
      <w:pPr>
        <w:ind w:left="5940" w:hanging="420"/>
      </w:pPr>
      <w:rPr>
        <w:rFonts w:hint="default" w:ascii="Wingdings" w:hAnsi="Wingdings" w:cs="Wingdings"/>
      </w:rPr>
    </w:lvl>
  </w:abstractNum>
  <w:abstractNum w:abstractNumId="21">
    <w:nsid w:val="4EF73211"/>
    <w:multiLevelType w:val="multilevel"/>
    <w:tmpl w:val="4EF732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F163E3E"/>
    <w:multiLevelType w:val="multilevel"/>
    <w:tmpl w:val="4F163E3E"/>
    <w:lvl w:ilvl="0" w:tentative="0">
      <w:start w:val="9"/>
      <w:numFmt w:val="japaneseCounting"/>
      <w:lvlText w:val="%1、"/>
      <w:lvlJc w:val="left"/>
      <w:pPr>
        <w:ind w:left="1202" w:hanging="720"/>
      </w:pPr>
      <w:rPr>
        <w:rFonts w:hint="default" w:ascii="Arial" w:hAnsi="Arial" w:cs="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3">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4">
    <w:nsid w:val="591248D6"/>
    <w:multiLevelType w:val="multilevel"/>
    <w:tmpl w:val="591248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9E02474"/>
    <w:multiLevelType w:val="singleLevel"/>
    <w:tmpl w:val="59E02474"/>
    <w:lvl w:ilvl="0" w:tentative="0">
      <w:start w:val="12"/>
      <w:numFmt w:val="chineseCounting"/>
      <w:suff w:val="nothing"/>
      <w:lvlText w:val="%1、"/>
      <w:lvlJc w:val="left"/>
    </w:lvl>
  </w:abstractNum>
  <w:abstractNum w:abstractNumId="26">
    <w:nsid w:val="5F1F6C28"/>
    <w:multiLevelType w:val="multilevel"/>
    <w:tmpl w:val="5F1F6C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0956DB5"/>
    <w:multiLevelType w:val="multilevel"/>
    <w:tmpl w:val="60956D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29">
    <w:nsid w:val="642D64BF"/>
    <w:multiLevelType w:val="multilevel"/>
    <w:tmpl w:val="642D64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9C6111A"/>
    <w:multiLevelType w:val="multilevel"/>
    <w:tmpl w:val="69C611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F5F657A"/>
    <w:multiLevelType w:val="multilevel"/>
    <w:tmpl w:val="6F5F65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43E34F4"/>
    <w:multiLevelType w:val="multilevel"/>
    <w:tmpl w:val="743E34F4"/>
    <w:lvl w:ilvl="0" w:tentative="0">
      <w:start w:val="1"/>
      <w:numFmt w:val="japaneseCounting"/>
      <w:lvlText w:val="（%1）"/>
      <w:lvlJc w:val="left"/>
      <w:pPr>
        <w:ind w:left="1452" w:hanging="88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3">
    <w:nsid w:val="74A70C40"/>
    <w:multiLevelType w:val="multilevel"/>
    <w:tmpl w:val="74A70C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5D94CCF"/>
    <w:multiLevelType w:val="multilevel"/>
    <w:tmpl w:val="75D94CCF"/>
    <w:lvl w:ilvl="0" w:tentative="0">
      <w:start w:val="1"/>
      <w:numFmt w:val="decimal"/>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35">
    <w:nsid w:val="763060DB"/>
    <w:multiLevelType w:val="multilevel"/>
    <w:tmpl w:val="763060DB"/>
    <w:lvl w:ilvl="0" w:tentative="0">
      <w:start w:val="1"/>
      <w:numFmt w:val="japaneseCounting"/>
      <w:pStyle w:val="280"/>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6">
    <w:nsid w:val="76F860F2"/>
    <w:multiLevelType w:val="multilevel"/>
    <w:tmpl w:val="76F860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25"/>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4"/>
  </w:num>
  <w:num w:numId="6">
    <w:abstractNumId w:val="23"/>
  </w:num>
  <w:num w:numId="7">
    <w:abstractNumId w:val="0"/>
  </w:num>
  <w:num w:numId="8">
    <w:abstractNumId w:val="3"/>
  </w:num>
  <w:num w:numId="9">
    <w:abstractNumId w:val="24"/>
  </w:num>
  <w:num w:numId="10">
    <w:abstractNumId w:val="9"/>
  </w:num>
  <w:num w:numId="11">
    <w:abstractNumId w:val="19"/>
  </w:num>
  <w:num w:numId="12">
    <w:abstractNumId w:val="21"/>
  </w:num>
  <w:num w:numId="13">
    <w:abstractNumId w:val="36"/>
  </w:num>
  <w:num w:numId="14">
    <w:abstractNumId w:val="11"/>
  </w:num>
  <w:num w:numId="15">
    <w:abstractNumId w:val="16"/>
  </w:num>
  <w:num w:numId="16">
    <w:abstractNumId w:val="6"/>
  </w:num>
  <w:num w:numId="17">
    <w:abstractNumId w:val="31"/>
  </w:num>
  <w:num w:numId="18">
    <w:abstractNumId w:val="29"/>
  </w:num>
  <w:num w:numId="19">
    <w:abstractNumId w:val="27"/>
  </w:num>
  <w:num w:numId="20">
    <w:abstractNumId w:val="33"/>
  </w:num>
  <w:num w:numId="21">
    <w:abstractNumId w:val="10"/>
  </w:num>
  <w:num w:numId="22">
    <w:abstractNumId w:val="17"/>
  </w:num>
  <w:num w:numId="23">
    <w:abstractNumId w:val="4"/>
  </w:num>
  <w:num w:numId="24">
    <w:abstractNumId w:val="8"/>
  </w:num>
  <w:num w:numId="25">
    <w:abstractNumId w:val="26"/>
  </w:num>
  <w:num w:numId="26">
    <w:abstractNumId w:val="30"/>
  </w:num>
  <w:num w:numId="27">
    <w:abstractNumId w:val="7"/>
  </w:num>
  <w:num w:numId="28">
    <w:abstractNumId w:val="13"/>
  </w:num>
  <w:num w:numId="29">
    <w:abstractNumId w:val="18"/>
  </w:num>
  <w:num w:numId="30">
    <w:abstractNumId w:val="34"/>
  </w:num>
  <w:num w:numId="31">
    <w:abstractNumId w:val="5"/>
  </w:num>
  <w:num w:numId="32">
    <w:abstractNumId w:val="20"/>
  </w:num>
  <w:num w:numId="33">
    <w:abstractNumId w:val="15"/>
  </w:num>
  <w:num w:numId="34">
    <w:abstractNumId w:val="1"/>
  </w:num>
  <w:num w:numId="35">
    <w:abstractNumId w:val="12"/>
  </w:num>
  <w:num w:numId="36">
    <w:abstractNumId w:val="3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A5"/>
    <w:rsid w:val="000000D1"/>
    <w:rsid w:val="00000340"/>
    <w:rsid w:val="000006C3"/>
    <w:rsid w:val="00000DCA"/>
    <w:rsid w:val="000018F0"/>
    <w:rsid w:val="0000191A"/>
    <w:rsid w:val="00001AEE"/>
    <w:rsid w:val="00001C58"/>
    <w:rsid w:val="00001E53"/>
    <w:rsid w:val="000020C7"/>
    <w:rsid w:val="0000210D"/>
    <w:rsid w:val="0000211C"/>
    <w:rsid w:val="00002191"/>
    <w:rsid w:val="000022B1"/>
    <w:rsid w:val="00002345"/>
    <w:rsid w:val="000025F1"/>
    <w:rsid w:val="0000277E"/>
    <w:rsid w:val="00002B8F"/>
    <w:rsid w:val="00002BBE"/>
    <w:rsid w:val="00003094"/>
    <w:rsid w:val="000034C3"/>
    <w:rsid w:val="00004B38"/>
    <w:rsid w:val="00004CC2"/>
    <w:rsid w:val="000056BA"/>
    <w:rsid w:val="000059AB"/>
    <w:rsid w:val="000059C9"/>
    <w:rsid w:val="000060A9"/>
    <w:rsid w:val="00006A51"/>
    <w:rsid w:val="00006AE1"/>
    <w:rsid w:val="000071E6"/>
    <w:rsid w:val="00007291"/>
    <w:rsid w:val="00007A56"/>
    <w:rsid w:val="00010555"/>
    <w:rsid w:val="00010E41"/>
    <w:rsid w:val="00011286"/>
    <w:rsid w:val="000115EC"/>
    <w:rsid w:val="0001172B"/>
    <w:rsid w:val="0001266B"/>
    <w:rsid w:val="00012B66"/>
    <w:rsid w:val="00013496"/>
    <w:rsid w:val="00013AA1"/>
    <w:rsid w:val="00013AB2"/>
    <w:rsid w:val="00013D8D"/>
    <w:rsid w:val="00013E3C"/>
    <w:rsid w:val="00013EC1"/>
    <w:rsid w:val="000147F2"/>
    <w:rsid w:val="0001611A"/>
    <w:rsid w:val="00016430"/>
    <w:rsid w:val="0001652B"/>
    <w:rsid w:val="00016779"/>
    <w:rsid w:val="00016FC5"/>
    <w:rsid w:val="00017153"/>
    <w:rsid w:val="000172BC"/>
    <w:rsid w:val="00017B58"/>
    <w:rsid w:val="00020546"/>
    <w:rsid w:val="00020694"/>
    <w:rsid w:val="000209DD"/>
    <w:rsid w:val="000209DF"/>
    <w:rsid w:val="00020FDC"/>
    <w:rsid w:val="00021008"/>
    <w:rsid w:val="000214FC"/>
    <w:rsid w:val="0002173B"/>
    <w:rsid w:val="00021D0C"/>
    <w:rsid w:val="0002231B"/>
    <w:rsid w:val="00022470"/>
    <w:rsid w:val="0002272E"/>
    <w:rsid w:val="00022E02"/>
    <w:rsid w:val="00023147"/>
    <w:rsid w:val="00023774"/>
    <w:rsid w:val="000239A1"/>
    <w:rsid w:val="00023DC7"/>
    <w:rsid w:val="00023DF1"/>
    <w:rsid w:val="00023E04"/>
    <w:rsid w:val="00023F7B"/>
    <w:rsid w:val="00024E4D"/>
    <w:rsid w:val="00024FA5"/>
    <w:rsid w:val="0002553E"/>
    <w:rsid w:val="0002611F"/>
    <w:rsid w:val="00026F23"/>
    <w:rsid w:val="00027623"/>
    <w:rsid w:val="000277B1"/>
    <w:rsid w:val="00027E31"/>
    <w:rsid w:val="00030010"/>
    <w:rsid w:val="00030029"/>
    <w:rsid w:val="00030527"/>
    <w:rsid w:val="00030687"/>
    <w:rsid w:val="00031987"/>
    <w:rsid w:val="00031997"/>
    <w:rsid w:val="000319DA"/>
    <w:rsid w:val="00031C2E"/>
    <w:rsid w:val="00032B05"/>
    <w:rsid w:val="00032B28"/>
    <w:rsid w:val="00033B46"/>
    <w:rsid w:val="00034021"/>
    <w:rsid w:val="00034EA7"/>
    <w:rsid w:val="00035005"/>
    <w:rsid w:val="000352EC"/>
    <w:rsid w:val="0003568B"/>
    <w:rsid w:val="00036568"/>
    <w:rsid w:val="000366E3"/>
    <w:rsid w:val="000373DA"/>
    <w:rsid w:val="000377F6"/>
    <w:rsid w:val="0003788B"/>
    <w:rsid w:val="000379B8"/>
    <w:rsid w:val="00040139"/>
    <w:rsid w:val="000401F4"/>
    <w:rsid w:val="00040A37"/>
    <w:rsid w:val="00041488"/>
    <w:rsid w:val="00041B03"/>
    <w:rsid w:val="00041BFA"/>
    <w:rsid w:val="00042172"/>
    <w:rsid w:val="000422F1"/>
    <w:rsid w:val="00042506"/>
    <w:rsid w:val="0004252B"/>
    <w:rsid w:val="000428D7"/>
    <w:rsid w:val="00042FD0"/>
    <w:rsid w:val="00044004"/>
    <w:rsid w:val="00044A91"/>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444"/>
    <w:rsid w:val="000529BF"/>
    <w:rsid w:val="000537E7"/>
    <w:rsid w:val="00053A90"/>
    <w:rsid w:val="00053CBC"/>
    <w:rsid w:val="0005431E"/>
    <w:rsid w:val="00054EC2"/>
    <w:rsid w:val="0005501E"/>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21A8"/>
    <w:rsid w:val="00063AF2"/>
    <w:rsid w:val="00063B88"/>
    <w:rsid w:val="00063DA9"/>
    <w:rsid w:val="00064897"/>
    <w:rsid w:val="00064B0B"/>
    <w:rsid w:val="0006534E"/>
    <w:rsid w:val="000656B7"/>
    <w:rsid w:val="00065932"/>
    <w:rsid w:val="00065ADF"/>
    <w:rsid w:val="00065EA0"/>
    <w:rsid w:val="000669FB"/>
    <w:rsid w:val="00067099"/>
    <w:rsid w:val="00067212"/>
    <w:rsid w:val="00067333"/>
    <w:rsid w:val="0006776B"/>
    <w:rsid w:val="00067F5F"/>
    <w:rsid w:val="00070801"/>
    <w:rsid w:val="0007096D"/>
    <w:rsid w:val="00071901"/>
    <w:rsid w:val="00071A99"/>
    <w:rsid w:val="00071F17"/>
    <w:rsid w:val="00072BA1"/>
    <w:rsid w:val="00072D2C"/>
    <w:rsid w:val="00072D2E"/>
    <w:rsid w:val="00074094"/>
    <w:rsid w:val="00074586"/>
    <w:rsid w:val="00074682"/>
    <w:rsid w:val="00074B32"/>
    <w:rsid w:val="00077DFF"/>
    <w:rsid w:val="00080056"/>
    <w:rsid w:val="00081768"/>
    <w:rsid w:val="0008229D"/>
    <w:rsid w:val="000829AA"/>
    <w:rsid w:val="000829AE"/>
    <w:rsid w:val="00082D59"/>
    <w:rsid w:val="000834A4"/>
    <w:rsid w:val="0008365F"/>
    <w:rsid w:val="000838F4"/>
    <w:rsid w:val="00084863"/>
    <w:rsid w:val="000849AC"/>
    <w:rsid w:val="000849AF"/>
    <w:rsid w:val="00084EA2"/>
    <w:rsid w:val="000857BE"/>
    <w:rsid w:val="00086BF9"/>
    <w:rsid w:val="00086DF1"/>
    <w:rsid w:val="00086FE5"/>
    <w:rsid w:val="0008719C"/>
    <w:rsid w:val="000871BC"/>
    <w:rsid w:val="00087239"/>
    <w:rsid w:val="00087D00"/>
    <w:rsid w:val="0009033F"/>
    <w:rsid w:val="00090353"/>
    <w:rsid w:val="00090906"/>
    <w:rsid w:val="00090939"/>
    <w:rsid w:val="00090EB3"/>
    <w:rsid w:val="00091CF0"/>
    <w:rsid w:val="000927D1"/>
    <w:rsid w:val="00092858"/>
    <w:rsid w:val="000929C0"/>
    <w:rsid w:val="00092CBE"/>
    <w:rsid w:val="00092DAD"/>
    <w:rsid w:val="00092E33"/>
    <w:rsid w:val="00093561"/>
    <w:rsid w:val="0009361E"/>
    <w:rsid w:val="0009467F"/>
    <w:rsid w:val="0009491B"/>
    <w:rsid w:val="00094BF1"/>
    <w:rsid w:val="00094E44"/>
    <w:rsid w:val="00094ED7"/>
    <w:rsid w:val="00095EEF"/>
    <w:rsid w:val="000963A0"/>
    <w:rsid w:val="00096A58"/>
    <w:rsid w:val="00097712"/>
    <w:rsid w:val="00097914"/>
    <w:rsid w:val="000979B7"/>
    <w:rsid w:val="000A01B3"/>
    <w:rsid w:val="000A062B"/>
    <w:rsid w:val="000A0F96"/>
    <w:rsid w:val="000A11CC"/>
    <w:rsid w:val="000A13D3"/>
    <w:rsid w:val="000A17F0"/>
    <w:rsid w:val="000A1D78"/>
    <w:rsid w:val="000A1EF5"/>
    <w:rsid w:val="000A2196"/>
    <w:rsid w:val="000A22C1"/>
    <w:rsid w:val="000A2595"/>
    <w:rsid w:val="000A282E"/>
    <w:rsid w:val="000A374D"/>
    <w:rsid w:val="000A3B2C"/>
    <w:rsid w:val="000A48F4"/>
    <w:rsid w:val="000A53E7"/>
    <w:rsid w:val="000A555B"/>
    <w:rsid w:val="000A5803"/>
    <w:rsid w:val="000A5D1A"/>
    <w:rsid w:val="000A5ED4"/>
    <w:rsid w:val="000A62F2"/>
    <w:rsid w:val="000A6B19"/>
    <w:rsid w:val="000A7109"/>
    <w:rsid w:val="000A71AC"/>
    <w:rsid w:val="000A7272"/>
    <w:rsid w:val="000A7D5B"/>
    <w:rsid w:val="000B0514"/>
    <w:rsid w:val="000B0692"/>
    <w:rsid w:val="000B0F89"/>
    <w:rsid w:val="000B1454"/>
    <w:rsid w:val="000B1AD5"/>
    <w:rsid w:val="000B289B"/>
    <w:rsid w:val="000B296D"/>
    <w:rsid w:val="000B298B"/>
    <w:rsid w:val="000B34F0"/>
    <w:rsid w:val="000B350F"/>
    <w:rsid w:val="000B3668"/>
    <w:rsid w:val="000B3E38"/>
    <w:rsid w:val="000B41DE"/>
    <w:rsid w:val="000B4283"/>
    <w:rsid w:val="000B45A1"/>
    <w:rsid w:val="000B54FC"/>
    <w:rsid w:val="000B6150"/>
    <w:rsid w:val="000B6D06"/>
    <w:rsid w:val="000B6F53"/>
    <w:rsid w:val="000B729C"/>
    <w:rsid w:val="000C00F8"/>
    <w:rsid w:val="000C023C"/>
    <w:rsid w:val="000C03B9"/>
    <w:rsid w:val="000C058A"/>
    <w:rsid w:val="000C0651"/>
    <w:rsid w:val="000C0B43"/>
    <w:rsid w:val="000C116D"/>
    <w:rsid w:val="000C14AB"/>
    <w:rsid w:val="000C2151"/>
    <w:rsid w:val="000C264D"/>
    <w:rsid w:val="000C2DA5"/>
    <w:rsid w:val="000C2F06"/>
    <w:rsid w:val="000C3624"/>
    <w:rsid w:val="000C36B9"/>
    <w:rsid w:val="000C3B63"/>
    <w:rsid w:val="000C3FFB"/>
    <w:rsid w:val="000C410C"/>
    <w:rsid w:val="000C4147"/>
    <w:rsid w:val="000C427E"/>
    <w:rsid w:val="000C49E2"/>
    <w:rsid w:val="000C5BA4"/>
    <w:rsid w:val="000C6028"/>
    <w:rsid w:val="000C61CB"/>
    <w:rsid w:val="000C62BA"/>
    <w:rsid w:val="000C66BE"/>
    <w:rsid w:val="000C72E2"/>
    <w:rsid w:val="000D022F"/>
    <w:rsid w:val="000D134D"/>
    <w:rsid w:val="000D137B"/>
    <w:rsid w:val="000D138A"/>
    <w:rsid w:val="000D13F5"/>
    <w:rsid w:val="000D18A3"/>
    <w:rsid w:val="000D2726"/>
    <w:rsid w:val="000D2790"/>
    <w:rsid w:val="000D2907"/>
    <w:rsid w:val="000D311D"/>
    <w:rsid w:val="000D3151"/>
    <w:rsid w:val="000D4867"/>
    <w:rsid w:val="000D4A39"/>
    <w:rsid w:val="000D4EB7"/>
    <w:rsid w:val="000D50BC"/>
    <w:rsid w:val="000D5631"/>
    <w:rsid w:val="000D6AE5"/>
    <w:rsid w:val="000D6EB9"/>
    <w:rsid w:val="000D6F4F"/>
    <w:rsid w:val="000D7988"/>
    <w:rsid w:val="000E080F"/>
    <w:rsid w:val="000E0938"/>
    <w:rsid w:val="000E13A3"/>
    <w:rsid w:val="000E1919"/>
    <w:rsid w:val="000E1BB5"/>
    <w:rsid w:val="000E1CBB"/>
    <w:rsid w:val="000E2319"/>
    <w:rsid w:val="000E28F6"/>
    <w:rsid w:val="000E2A9C"/>
    <w:rsid w:val="000E2F07"/>
    <w:rsid w:val="000E3467"/>
    <w:rsid w:val="000E38A6"/>
    <w:rsid w:val="000E3A69"/>
    <w:rsid w:val="000E3E1F"/>
    <w:rsid w:val="000E3EBB"/>
    <w:rsid w:val="000E4640"/>
    <w:rsid w:val="000E5664"/>
    <w:rsid w:val="000E5F83"/>
    <w:rsid w:val="000E5FB0"/>
    <w:rsid w:val="000E6C65"/>
    <w:rsid w:val="000E7413"/>
    <w:rsid w:val="000E7AEE"/>
    <w:rsid w:val="000E7F9B"/>
    <w:rsid w:val="000F0BBD"/>
    <w:rsid w:val="000F0E24"/>
    <w:rsid w:val="000F1085"/>
    <w:rsid w:val="000F1C74"/>
    <w:rsid w:val="000F1D40"/>
    <w:rsid w:val="000F1D96"/>
    <w:rsid w:val="000F2830"/>
    <w:rsid w:val="000F2CFE"/>
    <w:rsid w:val="000F337D"/>
    <w:rsid w:val="000F4916"/>
    <w:rsid w:val="000F526E"/>
    <w:rsid w:val="000F5571"/>
    <w:rsid w:val="000F5E48"/>
    <w:rsid w:val="000F65B7"/>
    <w:rsid w:val="000F65F9"/>
    <w:rsid w:val="000F661C"/>
    <w:rsid w:val="000F7306"/>
    <w:rsid w:val="000F73D1"/>
    <w:rsid w:val="000F7A54"/>
    <w:rsid w:val="000F7CBC"/>
    <w:rsid w:val="001006F0"/>
    <w:rsid w:val="00101A17"/>
    <w:rsid w:val="00101ADC"/>
    <w:rsid w:val="00101DD0"/>
    <w:rsid w:val="00101E0D"/>
    <w:rsid w:val="00102505"/>
    <w:rsid w:val="001025AB"/>
    <w:rsid w:val="001028D9"/>
    <w:rsid w:val="001034FE"/>
    <w:rsid w:val="00103B4E"/>
    <w:rsid w:val="00103EFE"/>
    <w:rsid w:val="001042F9"/>
    <w:rsid w:val="00104861"/>
    <w:rsid w:val="00104D94"/>
    <w:rsid w:val="0010577D"/>
    <w:rsid w:val="00106316"/>
    <w:rsid w:val="00107766"/>
    <w:rsid w:val="00110DDE"/>
    <w:rsid w:val="00111632"/>
    <w:rsid w:val="00111663"/>
    <w:rsid w:val="0011179A"/>
    <w:rsid w:val="001122F7"/>
    <w:rsid w:val="00112331"/>
    <w:rsid w:val="00112610"/>
    <w:rsid w:val="00112A92"/>
    <w:rsid w:val="00113256"/>
    <w:rsid w:val="00113257"/>
    <w:rsid w:val="001133A4"/>
    <w:rsid w:val="00114218"/>
    <w:rsid w:val="00114324"/>
    <w:rsid w:val="00114EE8"/>
    <w:rsid w:val="001153D2"/>
    <w:rsid w:val="00115684"/>
    <w:rsid w:val="001165E5"/>
    <w:rsid w:val="00117415"/>
    <w:rsid w:val="001174B5"/>
    <w:rsid w:val="00117A1E"/>
    <w:rsid w:val="0012006F"/>
    <w:rsid w:val="0012113F"/>
    <w:rsid w:val="001213E2"/>
    <w:rsid w:val="00122889"/>
    <w:rsid w:val="00122934"/>
    <w:rsid w:val="00123770"/>
    <w:rsid w:val="00123FE5"/>
    <w:rsid w:val="00124652"/>
    <w:rsid w:val="001249BA"/>
    <w:rsid w:val="00124E0A"/>
    <w:rsid w:val="001252B5"/>
    <w:rsid w:val="00125932"/>
    <w:rsid w:val="00125D29"/>
    <w:rsid w:val="00125EAF"/>
    <w:rsid w:val="00126231"/>
    <w:rsid w:val="00126DE1"/>
    <w:rsid w:val="001270F7"/>
    <w:rsid w:val="00127230"/>
    <w:rsid w:val="00127449"/>
    <w:rsid w:val="00127708"/>
    <w:rsid w:val="00127B05"/>
    <w:rsid w:val="00127DC2"/>
    <w:rsid w:val="00130534"/>
    <w:rsid w:val="00130ED0"/>
    <w:rsid w:val="001310CD"/>
    <w:rsid w:val="00131901"/>
    <w:rsid w:val="00131A38"/>
    <w:rsid w:val="00131BCA"/>
    <w:rsid w:val="00131EB2"/>
    <w:rsid w:val="00132695"/>
    <w:rsid w:val="001327F8"/>
    <w:rsid w:val="001333CA"/>
    <w:rsid w:val="001335B7"/>
    <w:rsid w:val="00133652"/>
    <w:rsid w:val="00133C59"/>
    <w:rsid w:val="001346C0"/>
    <w:rsid w:val="001349D3"/>
    <w:rsid w:val="00134F5D"/>
    <w:rsid w:val="00134F8A"/>
    <w:rsid w:val="001356E9"/>
    <w:rsid w:val="00135A0B"/>
    <w:rsid w:val="00135C76"/>
    <w:rsid w:val="00135CC8"/>
    <w:rsid w:val="00135F78"/>
    <w:rsid w:val="00135FC4"/>
    <w:rsid w:val="00136873"/>
    <w:rsid w:val="00136BC7"/>
    <w:rsid w:val="00137279"/>
    <w:rsid w:val="00137581"/>
    <w:rsid w:val="0013769A"/>
    <w:rsid w:val="0013788C"/>
    <w:rsid w:val="00137CD2"/>
    <w:rsid w:val="001405B3"/>
    <w:rsid w:val="00140F8E"/>
    <w:rsid w:val="0014154B"/>
    <w:rsid w:val="001415D3"/>
    <w:rsid w:val="001418EA"/>
    <w:rsid w:val="00141D98"/>
    <w:rsid w:val="001426FA"/>
    <w:rsid w:val="001436A3"/>
    <w:rsid w:val="001436B8"/>
    <w:rsid w:val="00143B64"/>
    <w:rsid w:val="00143C11"/>
    <w:rsid w:val="00143FC3"/>
    <w:rsid w:val="001444C0"/>
    <w:rsid w:val="00144E73"/>
    <w:rsid w:val="001457E6"/>
    <w:rsid w:val="00145937"/>
    <w:rsid w:val="00146370"/>
    <w:rsid w:val="00146E75"/>
    <w:rsid w:val="0014772C"/>
    <w:rsid w:val="00147BAD"/>
    <w:rsid w:val="00147BB4"/>
    <w:rsid w:val="00150086"/>
    <w:rsid w:val="001500F8"/>
    <w:rsid w:val="00150124"/>
    <w:rsid w:val="0015031F"/>
    <w:rsid w:val="00150728"/>
    <w:rsid w:val="00150835"/>
    <w:rsid w:val="00150EBE"/>
    <w:rsid w:val="00150F33"/>
    <w:rsid w:val="00151564"/>
    <w:rsid w:val="0015185A"/>
    <w:rsid w:val="00152D50"/>
    <w:rsid w:val="00152EAB"/>
    <w:rsid w:val="001534AF"/>
    <w:rsid w:val="001536C6"/>
    <w:rsid w:val="001548A6"/>
    <w:rsid w:val="001556C6"/>
    <w:rsid w:val="001558D7"/>
    <w:rsid w:val="00155A78"/>
    <w:rsid w:val="00155DA2"/>
    <w:rsid w:val="00155E9F"/>
    <w:rsid w:val="00156279"/>
    <w:rsid w:val="001608F6"/>
    <w:rsid w:val="00160A35"/>
    <w:rsid w:val="00160C7C"/>
    <w:rsid w:val="00161D97"/>
    <w:rsid w:val="00161F43"/>
    <w:rsid w:val="001625A1"/>
    <w:rsid w:val="001626E2"/>
    <w:rsid w:val="00162977"/>
    <w:rsid w:val="00162BC7"/>
    <w:rsid w:val="00162CC6"/>
    <w:rsid w:val="00162D09"/>
    <w:rsid w:val="00163D4C"/>
    <w:rsid w:val="00164022"/>
    <w:rsid w:val="00165379"/>
    <w:rsid w:val="00166616"/>
    <w:rsid w:val="00166A27"/>
    <w:rsid w:val="00166ECA"/>
    <w:rsid w:val="00166F0D"/>
    <w:rsid w:val="00167159"/>
    <w:rsid w:val="001676C8"/>
    <w:rsid w:val="00167780"/>
    <w:rsid w:val="0017036E"/>
    <w:rsid w:val="00170926"/>
    <w:rsid w:val="0017115A"/>
    <w:rsid w:val="00171A9B"/>
    <w:rsid w:val="00171D95"/>
    <w:rsid w:val="00172A1E"/>
    <w:rsid w:val="00172EA3"/>
    <w:rsid w:val="001732D9"/>
    <w:rsid w:val="00173C45"/>
    <w:rsid w:val="00173F6A"/>
    <w:rsid w:val="00174832"/>
    <w:rsid w:val="00174BB3"/>
    <w:rsid w:val="00174DC9"/>
    <w:rsid w:val="001752F1"/>
    <w:rsid w:val="001759DE"/>
    <w:rsid w:val="001761FE"/>
    <w:rsid w:val="0017679C"/>
    <w:rsid w:val="0017692E"/>
    <w:rsid w:val="00176970"/>
    <w:rsid w:val="00177E06"/>
    <w:rsid w:val="00180226"/>
    <w:rsid w:val="001806FF"/>
    <w:rsid w:val="00181066"/>
    <w:rsid w:val="00181A3D"/>
    <w:rsid w:val="00181B0B"/>
    <w:rsid w:val="00181F16"/>
    <w:rsid w:val="00182760"/>
    <w:rsid w:val="00182B9B"/>
    <w:rsid w:val="00183074"/>
    <w:rsid w:val="0018498C"/>
    <w:rsid w:val="00184D4D"/>
    <w:rsid w:val="001857AE"/>
    <w:rsid w:val="0018581A"/>
    <w:rsid w:val="00186170"/>
    <w:rsid w:val="001864FB"/>
    <w:rsid w:val="00186CB8"/>
    <w:rsid w:val="00186E0D"/>
    <w:rsid w:val="001904E6"/>
    <w:rsid w:val="001906B2"/>
    <w:rsid w:val="00190B0C"/>
    <w:rsid w:val="00190C05"/>
    <w:rsid w:val="00190CD0"/>
    <w:rsid w:val="0019156B"/>
    <w:rsid w:val="00191832"/>
    <w:rsid w:val="001918A0"/>
    <w:rsid w:val="00191B21"/>
    <w:rsid w:val="001920FF"/>
    <w:rsid w:val="001945BC"/>
    <w:rsid w:val="00194ADD"/>
    <w:rsid w:val="001956F8"/>
    <w:rsid w:val="001959C8"/>
    <w:rsid w:val="00195DFA"/>
    <w:rsid w:val="00196246"/>
    <w:rsid w:val="00196C84"/>
    <w:rsid w:val="00196E85"/>
    <w:rsid w:val="00196EC4"/>
    <w:rsid w:val="00197565"/>
    <w:rsid w:val="001A07B0"/>
    <w:rsid w:val="001A0E37"/>
    <w:rsid w:val="001A11F8"/>
    <w:rsid w:val="001A135D"/>
    <w:rsid w:val="001A1C07"/>
    <w:rsid w:val="001A1DCF"/>
    <w:rsid w:val="001A2321"/>
    <w:rsid w:val="001A2943"/>
    <w:rsid w:val="001A29FC"/>
    <w:rsid w:val="001A2AF5"/>
    <w:rsid w:val="001A36A1"/>
    <w:rsid w:val="001A39FB"/>
    <w:rsid w:val="001A3E16"/>
    <w:rsid w:val="001A3FB5"/>
    <w:rsid w:val="001A4080"/>
    <w:rsid w:val="001A4245"/>
    <w:rsid w:val="001A508B"/>
    <w:rsid w:val="001A550B"/>
    <w:rsid w:val="001A55EC"/>
    <w:rsid w:val="001A57B6"/>
    <w:rsid w:val="001A6889"/>
    <w:rsid w:val="001A6A12"/>
    <w:rsid w:val="001A71F0"/>
    <w:rsid w:val="001A7444"/>
    <w:rsid w:val="001B06B2"/>
    <w:rsid w:val="001B083D"/>
    <w:rsid w:val="001B09AF"/>
    <w:rsid w:val="001B13E1"/>
    <w:rsid w:val="001B20FE"/>
    <w:rsid w:val="001B22E5"/>
    <w:rsid w:val="001B2AE0"/>
    <w:rsid w:val="001B2D6D"/>
    <w:rsid w:val="001B398E"/>
    <w:rsid w:val="001B3C7D"/>
    <w:rsid w:val="001B3F56"/>
    <w:rsid w:val="001B403C"/>
    <w:rsid w:val="001B462E"/>
    <w:rsid w:val="001B4735"/>
    <w:rsid w:val="001B4A93"/>
    <w:rsid w:val="001B4D6F"/>
    <w:rsid w:val="001B510D"/>
    <w:rsid w:val="001B51BA"/>
    <w:rsid w:val="001B5F3E"/>
    <w:rsid w:val="001B64B4"/>
    <w:rsid w:val="001B6980"/>
    <w:rsid w:val="001B6F81"/>
    <w:rsid w:val="001B72F5"/>
    <w:rsid w:val="001B75B0"/>
    <w:rsid w:val="001B779A"/>
    <w:rsid w:val="001B7A14"/>
    <w:rsid w:val="001B7BB7"/>
    <w:rsid w:val="001B7CD2"/>
    <w:rsid w:val="001B7EE7"/>
    <w:rsid w:val="001C040C"/>
    <w:rsid w:val="001C0600"/>
    <w:rsid w:val="001C0CDB"/>
    <w:rsid w:val="001C0EAD"/>
    <w:rsid w:val="001C1C0D"/>
    <w:rsid w:val="001C22D4"/>
    <w:rsid w:val="001C3D05"/>
    <w:rsid w:val="001C3E4D"/>
    <w:rsid w:val="001C3F0A"/>
    <w:rsid w:val="001C41E9"/>
    <w:rsid w:val="001C4C22"/>
    <w:rsid w:val="001C4CB8"/>
    <w:rsid w:val="001C51E2"/>
    <w:rsid w:val="001C5C94"/>
    <w:rsid w:val="001C5E29"/>
    <w:rsid w:val="001C6F52"/>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C61"/>
    <w:rsid w:val="001D4EBD"/>
    <w:rsid w:val="001D592E"/>
    <w:rsid w:val="001D5954"/>
    <w:rsid w:val="001D5D7F"/>
    <w:rsid w:val="001D5FE2"/>
    <w:rsid w:val="001D7238"/>
    <w:rsid w:val="001D740F"/>
    <w:rsid w:val="001D7885"/>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AE3"/>
    <w:rsid w:val="001E4BB1"/>
    <w:rsid w:val="001E4C09"/>
    <w:rsid w:val="001E4D9E"/>
    <w:rsid w:val="001E4EBD"/>
    <w:rsid w:val="001E5281"/>
    <w:rsid w:val="001E5EC2"/>
    <w:rsid w:val="001E602F"/>
    <w:rsid w:val="001E68B8"/>
    <w:rsid w:val="001E6B2D"/>
    <w:rsid w:val="001E6CC0"/>
    <w:rsid w:val="001E6E6B"/>
    <w:rsid w:val="001E7932"/>
    <w:rsid w:val="001F0E08"/>
    <w:rsid w:val="001F1721"/>
    <w:rsid w:val="001F1AFC"/>
    <w:rsid w:val="001F1B90"/>
    <w:rsid w:val="001F2D97"/>
    <w:rsid w:val="001F2FF8"/>
    <w:rsid w:val="001F374E"/>
    <w:rsid w:val="001F3A4D"/>
    <w:rsid w:val="001F3DEB"/>
    <w:rsid w:val="001F4C7C"/>
    <w:rsid w:val="001F4F5B"/>
    <w:rsid w:val="001F5035"/>
    <w:rsid w:val="001F555E"/>
    <w:rsid w:val="001F5D1A"/>
    <w:rsid w:val="001F6D5B"/>
    <w:rsid w:val="001F7290"/>
    <w:rsid w:val="001F7BF7"/>
    <w:rsid w:val="002003E5"/>
    <w:rsid w:val="00200E2A"/>
    <w:rsid w:val="0020167C"/>
    <w:rsid w:val="002017A7"/>
    <w:rsid w:val="00201DFD"/>
    <w:rsid w:val="00202263"/>
    <w:rsid w:val="00202DF9"/>
    <w:rsid w:val="00203D02"/>
    <w:rsid w:val="002040C6"/>
    <w:rsid w:val="002043DC"/>
    <w:rsid w:val="00204C4A"/>
    <w:rsid w:val="002057A6"/>
    <w:rsid w:val="00205840"/>
    <w:rsid w:val="0020584C"/>
    <w:rsid w:val="0020597D"/>
    <w:rsid w:val="002062A2"/>
    <w:rsid w:val="00206BC5"/>
    <w:rsid w:val="00210F5A"/>
    <w:rsid w:val="00211242"/>
    <w:rsid w:val="002114DA"/>
    <w:rsid w:val="0021183D"/>
    <w:rsid w:val="0021183E"/>
    <w:rsid w:val="002126D7"/>
    <w:rsid w:val="002127D7"/>
    <w:rsid w:val="002131A0"/>
    <w:rsid w:val="0021337F"/>
    <w:rsid w:val="00213697"/>
    <w:rsid w:val="002146E8"/>
    <w:rsid w:val="002151DA"/>
    <w:rsid w:val="002155B3"/>
    <w:rsid w:val="00215A10"/>
    <w:rsid w:val="0021630C"/>
    <w:rsid w:val="002163F2"/>
    <w:rsid w:val="00216D65"/>
    <w:rsid w:val="00217380"/>
    <w:rsid w:val="00217E03"/>
    <w:rsid w:val="00220732"/>
    <w:rsid w:val="00221237"/>
    <w:rsid w:val="00221F48"/>
    <w:rsid w:val="0022223C"/>
    <w:rsid w:val="00222835"/>
    <w:rsid w:val="002228C3"/>
    <w:rsid w:val="0022296F"/>
    <w:rsid w:val="002230A4"/>
    <w:rsid w:val="00223A96"/>
    <w:rsid w:val="00223D04"/>
    <w:rsid w:val="00223DA3"/>
    <w:rsid w:val="00224745"/>
    <w:rsid w:val="002247D3"/>
    <w:rsid w:val="00224DD2"/>
    <w:rsid w:val="00225519"/>
    <w:rsid w:val="00225690"/>
    <w:rsid w:val="00225BFC"/>
    <w:rsid w:val="002261DD"/>
    <w:rsid w:val="002264E1"/>
    <w:rsid w:val="00226B24"/>
    <w:rsid w:val="00226CB7"/>
    <w:rsid w:val="00227930"/>
    <w:rsid w:val="00227B55"/>
    <w:rsid w:val="00227D64"/>
    <w:rsid w:val="00230C10"/>
    <w:rsid w:val="00230D8E"/>
    <w:rsid w:val="00231AF1"/>
    <w:rsid w:val="00232036"/>
    <w:rsid w:val="00232100"/>
    <w:rsid w:val="0023221E"/>
    <w:rsid w:val="002322D4"/>
    <w:rsid w:val="0023251E"/>
    <w:rsid w:val="00232A90"/>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2FF"/>
    <w:rsid w:val="0024147A"/>
    <w:rsid w:val="00241A4C"/>
    <w:rsid w:val="00241C29"/>
    <w:rsid w:val="002420FD"/>
    <w:rsid w:val="00242343"/>
    <w:rsid w:val="00242631"/>
    <w:rsid w:val="002428A1"/>
    <w:rsid w:val="00242F3E"/>
    <w:rsid w:val="00243BD4"/>
    <w:rsid w:val="00244CBD"/>
    <w:rsid w:val="00245628"/>
    <w:rsid w:val="00245F1F"/>
    <w:rsid w:val="002476AD"/>
    <w:rsid w:val="0024780E"/>
    <w:rsid w:val="002511AF"/>
    <w:rsid w:val="0025123A"/>
    <w:rsid w:val="002513D3"/>
    <w:rsid w:val="002518CB"/>
    <w:rsid w:val="0025238E"/>
    <w:rsid w:val="002523B4"/>
    <w:rsid w:val="00252803"/>
    <w:rsid w:val="00252E90"/>
    <w:rsid w:val="00253B9B"/>
    <w:rsid w:val="0025403E"/>
    <w:rsid w:val="002547FD"/>
    <w:rsid w:val="00254A78"/>
    <w:rsid w:val="00254AA3"/>
    <w:rsid w:val="00254F95"/>
    <w:rsid w:val="002552CD"/>
    <w:rsid w:val="0025582B"/>
    <w:rsid w:val="00255A1E"/>
    <w:rsid w:val="00255D59"/>
    <w:rsid w:val="00255D7E"/>
    <w:rsid w:val="0025609D"/>
    <w:rsid w:val="002567D3"/>
    <w:rsid w:val="002570DF"/>
    <w:rsid w:val="00257382"/>
    <w:rsid w:val="00257B12"/>
    <w:rsid w:val="00257BD0"/>
    <w:rsid w:val="00261207"/>
    <w:rsid w:val="00261901"/>
    <w:rsid w:val="00261906"/>
    <w:rsid w:val="00261DF5"/>
    <w:rsid w:val="00262226"/>
    <w:rsid w:val="00262851"/>
    <w:rsid w:val="00262DAD"/>
    <w:rsid w:val="002639A4"/>
    <w:rsid w:val="002639FA"/>
    <w:rsid w:val="0026410B"/>
    <w:rsid w:val="0026473A"/>
    <w:rsid w:val="002647E6"/>
    <w:rsid w:val="002649BE"/>
    <w:rsid w:val="002652B4"/>
    <w:rsid w:val="002655BA"/>
    <w:rsid w:val="00265804"/>
    <w:rsid w:val="00265C3E"/>
    <w:rsid w:val="00265F82"/>
    <w:rsid w:val="002661BB"/>
    <w:rsid w:val="00266537"/>
    <w:rsid w:val="002667F7"/>
    <w:rsid w:val="00266976"/>
    <w:rsid w:val="00266C32"/>
    <w:rsid w:val="002702BA"/>
    <w:rsid w:val="0027034C"/>
    <w:rsid w:val="00271B2A"/>
    <w:rsid w:val="00271F12"/>
    <w:rsid w:val="00272020"/>
    <w:rsid w:val="0027203C"/>
    <w:rsid w:val="002724E8"/>
    <w:rsid w:val="0027257B"/>
    <w:rsid w:val="002725B1"/>
    <w:rsid w:val="00273214"/>
    <w:rsid w:val="00273BB6"/>
    <w:rsid w:val="00273CD3"/>
    <w:rsid w:val="00273CE4"/>
    <w:rsid w:val="00274453"/>
    <w:rsid w:val="00274899"/>
    <w:rsid w:val="00274DCF"/>
    <w:rsid w:val="00274E09"/>
    <w:rsid w:val="00274F5D"/>
    <w:rsid w:val="002752B3"/>
    <w:rsid w:val="0027573F"/>
    <w:rsid w:val="00275C20"/>
    <w:rsid w:val="00275D0C"/>
    <w:rsid w:val="00275EB3"/>
    <w:rsid w:val="00276824"/>
    <w:rsid w:val="00276E0B"/>
    <w:rsid w:val="00276F64"/>
    <w:rsid w:val="00277064"/>
    <w:rsid w:val="00277217"/>
    <w:rsid w:val="00277456"/>
    <w:rsid w:val="00277486"/>
    <w:rsid w:val="002774D6"/>
    <w:rsid w:val="00277626"/>
    <w:rsid w:val="00277EDF"/>
    <w:rsid w:val="0028025E"/>
    <w:rsid w:val="00281185"/>
    <w:rsid w:val="00281B48"/>
    <w:rsid w:val="00282E84"/>
    <w:rsid w:val="00283137"/>
    <w:rsid w:val="002837FF"/>
    <w:rsid w:val="00283D8A"/>
    <w:rsid w:val="00283FCF"/>
    <w:rsid w:val="0028426E"/>
    <w:rsid w:val="002842F8"/>
    <w:rsid w:val="00284860"/>
    <w:rsid w:val="002852C6"/>
    <w:rsid w:val="002853AE"/>
    <w:rsid w:val="0028557E"/>
    <w:rsid w:val="0028593A"/>
    <w:rsid w:val="00285CEA"/>
    <w:rsid w:val="00285D04"/>
    <w:rsid w:val="00286A64"/>
    <w:rsid w:val="00286B97"/>
    <w:rsid w:val="00286E5E"/>
    <w:rsid w:val="00287EF6"/>
    <w:rsid w:val="0029022B"/>
    <w:rsid w:val="00290297"/>
    <w:rsid w:val="00290707"/>
    <w:rsid w:val="0029097E"/>
    <w:rsid w:val="00291220"/>
    <w:rsid w:val="00291500"/>
    <w:rsid w:val="00291654"/>
    <w:rsid w:val="00291B70"/>
    <w:rsid w:val="00291FCD"/>
    <w:rsid w:val="0029217D"/>
    <w:rsid w:val="00292B4A"/>
    <w:rsid w:val="00293067"/>
    <w:rsid w:val="0029311D"/>
    <w:rsid w:val="0029318C"/>
    <w:rsid w:val="0029362A"/>
    <w:rsid w:val="002947F1"/>
    <w:rsid w:val="00294D09"/>
    <w:rsid w:val="002960DF"/>
    <w:rsid w:val="002964E0"/>
    <w:rsid w:val="0029769C"/>
    <w:rsid w:val="002A04B5"/>
    <w:rsid w:val="002A0B6A"/>
    <w:rsid w:val="002A1D18"/>
    <w:rsid w:val="002A1FD2"/>
    <w:rsid w:val="002A24F8"/>
    <w:rsid w:val="002A272A"/>
    <w:rsid w:val="002A2E25"/>
    <w:rsid w:val="002A38E3"/>
    <w:rsid w:val="002A3BDC"/>
    <w:rsid w:val="002A4707"/>
    <w:rsid w:val="002A470A"/>
    <w:rsid w:val="002A4B99"/>
    <w:rsid w:val="002A54FE"/>
    <w:rsid w:val="002A55DB"/>
    <w:rsid w:val="002A56B7"/>
    <w:rsid w:val="002A58EF"/>
    <w:rsid w:val="002A5A44"/>
    <w:rsid w:val="002A6BFE"/>
    <w:rsid w:val="002A6C65"/>
    <w:rsid w:val="002A74D9"/>
    <w:rsid w:val="002A7683"/>
    <w:rsid w:val="002B0686"/>
    <w:rsid w:val="002B0D1A"/>
    <w:rsid w:val="002B1369"/>
    <w:rsid w:val="002B1414"/>
    <w:rsid w:val="002B1526"/>
    <w:rsid w:val="002B19B8"/>
    <w:rsid w:val="002B1AFD"/>
    <w:rsid w:val="002B26D4"/>
    <w:rsid w:val="002B2BF7"/>
    <w:rsid w:val="002B307C"/>
    <w:rsid w:val="002B36F6"/>
    <w:rsid w:val="002B4CFC"/>
    <w:rsid w:val="002B4F49"/>
    <w:rsid w:val="002B5F80"/>
    <w:rsid w:val="002B6313"/>
    <w:rsid w:val="002B6DBD"/>
    <w:rsid w:val="002B6DE3"/>
    <w:rsid w:val="002B720E"/>
    <w:rsid w:val="002B7739"/>
    <w:rsid w:val="002C0720"/>
    <w:rsid w:val="002C1B43"/>
    <w:rsid w:val="002C2134"/>
    <w:rsid w:val="002C242E"/>
    <w:rsid w:val="002C2DDC"/>
    <w:rsid w:val="002C3478"/>
    <w:rsid w:val="002C39FA"/>
    <w:rsid w:val="002C3D9A"/>
    <w:rsid w:val="002C3F95"/>
    <w:rsid w:val="002C42DB"/>
    <w:rsid w:val="002C43D0"/>
    <w:rsid w:val="002C471D"/>
    <w:rsid w:val="002C4DCE"/>
    <w:rsid w:val="002C50BE"/>
    <w:rsid w:val="002C60C7"/>
    <w:rsid w:val="002C661C"/>
    <w:rsid w:val="002C6B12"/>
    <w:rsid w:val="002D02A5"/>
    <w:rsid w:val="002D1010"/>
    <w:rsid w:val="002D112B"/>
    <w:rsid w:val="002D16A9"/>
    <w:rsid w:val="002D2003"/>
    <w:rsid w:val="002D2281"/>
    <w:rsid w:val="002D33AF"/>
    <w:rsid w:val="002D34B5"/>
    <w:rsid w:val="002D4334"/>
    <w:rsid w:val="002D4E73"/>
    <w:rsid w:val="002D55A1"/>
    <w:rsid w:val="002D5FF2"/>
    <w:rsid w:val="002D6442"/>
    <w:rsid w:val="002D6B7E"/>
    <w:rsid w:val="002D6CA7"/>
    <w:rsid w:val="002D6EC1"/>
    <w:rsid w:val="002D7363"/>
    <w:rsid w:val="002D7684"/>
    <w:rsid w:val="002D7B01"/>
    <w:rsid w:val="002D7DAE"/>
    <w:rsid w:val="002E02D3"/>
    <w:rsid w:val="002E071B"/>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462"/>
    <w:rsid w:val="002E4B87"/>
    <w:rsid w:val="002E4C68"/>
    <w:rsid w:val="002E5239"/>
    <w:rsid w:val="002E5273"/>
    <w:rsid w:val="002E58D1"/>
    <w:rsid w:val="002E5C86"/>
    <w:rsid w:val="002E606A"/>
    <w:rsid w:val="002E6663"/>
    <w:rsid w:val="002E67A6"/>
    <w:rsid w:val="002E6848"/>
    <w:rsid w:val="002E7241"/>
    <w:rsid w:val="002E7EC9"/>
    <w:rsid w:val="002F01F1"/>
    <w:rsid w:val="002F0678"/>
    <w:rsid w:val="002F0935"/>
    <w:rsid w:val="002F0C62"/>
    <w:rsid w:val="002F10D7"/>
    <w:rsid w:val="002F172B"/>
    <w:rsid w:val="002F1CA5"/>
    <w:rsid w:val="002F1DFD"/>
    <w:rsid w:val="002F2B0C"/>
    <w:rsid w:val="002F2D0D"/>
    <w:rsid w:val="002F3716"/>
    <w:rsid w:val="002F3E8F"/>
    <w:rsid w:val="002F46BC"/>
    <w:rsid w:val="002F487F"/>
    <w:rsid w:val="002F4906"/>
    <w:rsid w:val="002F4961"/>
    <w:rsid w:val="002F4A9A"/>
    <w:rsid w:val="002F4D1F"/>
    <w:rsid w:val="002F5135"/>
    <w:rsid w:val="002F58D6"/>
    <w:rsid w:val="002F5B7F"/>
    <w:rsid w:val="002F6000"/>
    <w:rsid w:val="002F60FC"/>
    <w:rsid w:val="002F61DA"/>
    <w:rsid w:val="002F6BB2"/>
    <w:rsid w:val="002F6E74"/>
    <w:rsid w:val="002F722B"/>
    <w:rsid w:val="002F7313"/>
    <w:rsid w:val="002F7418"/>
    <w:rsid w:val="00300230"/>
    <w:rsid w:val="003003A7"/>
    <w:rsid w:val="0030075B"/>
    <w:rsid w:val="00300B2D"/>
    <w:rsid w:val="00300C44"/>
    <w:rsid w:val="00300D1C"/>
    <w:rsid w:val="00300EFF"/>
    <w:rsid w:val="003014DD"/>
    <w:rsid w:val="0030179D"/>
    <w:rsid w:val="00301F8B"/>
    <w:rsid w:val="003022C1"/>
    <w:rsid w:val="00302A1D"/>
    <w:rsid w:val="00302E75"/>
    <w:rsid w:val="00303846"/>
    <w:rsid w:val="003041CB"/>
    <w:rsid w:val="003041D6"/>
    <w:rsid w:val="0030493C"/>
    <w:rsid w:val="0030495C"/>
    <w:rsid w:val="00304C52"/>
    <w:rsid w:val="00304F98"/>
    <w:rsid w:val="003051A9"/>
    <w:rsid w:val="00305BE6"/>
    <w:rsid w:val="00305FD7"/>
    <w:rsid w:val="00306093"/>
    <w:rsid w:val="003069D6"/>
    <w:rsid w:val="00306C4D"/>
    <w:rsid w:val="00307C93"/>
    <w:rsid w:val="003103BA"/>
    <w:rsid w:val="00310449"/>
    <w:rsid w:val="003104B9"/>
    <w:rsid w:val="00310928"/>
    <w:rsid w:val="00310A22"/>
    <w:rsid w:val="00311075"/>
    <w:rsid w:val="00311CB8"/>
    <w:rsid w:val="00311DCE"/>
    <w:rsid w:val="00311F19"/>
    <w:rsid w:val="003122A2"/>
    <w:rsid w:val="00312345"/>
    <w:rsid w:val="003124AC"/>
    <w:rsid w:val="00312B56"/>
    <w:rsid w:val="003140BD"/>
    <w:rsid w:val="00314EA9"/>
    <w:rsid w:val="0031536F"/>
    <w:rsid w:val="0031558C"/>
    <w:rsid w:val="00315755"/>
    <w:rsid w:val="00315AEF"/>
    <w:rsid w:val="00315DCF"/>
    <w:rsid w:val="003169C4"/>
    <w:rsid w:val="00316B20"/>
    <w:rsid w:val="00317248"/>
    <w:rsid w:val="003175FA"/>
    <w:rsid w:val="00317960"/>
    <w:rsid w:val="00317D8E"/>
    <w:rsid w:val="00320008"/>
    <w:rsid w:val="00320683"/>
    <w:rsid w:val="00320A09"/>
    <w:rsid w:val="00320B50"/>
    <w:rsid w:val="0032108A"/>
    <w:rsid w:val="0032148C"/>
    <w:rsid w:val="003214E7"/>
    <w:rsid w:val="00321B99"/>
    <w:rsid w:val="003223F8"/>
    <w:rsid w:val="00322490"/>
    <w:rsid w:val="00322E6B"/>
    <w:rsid w:val="00323C65"/>
    <w:rsid w:val="0032471B"/>
    <w:rsid w:val="00324EA4"/>
    <w:rsid w:val="0032616A"/>
    <w:rsid w:val="003269FF"/>
    <w:rsid w:val="00327A1D"/>
    <w:rsid w:val="00327AC0"/>
    <w:rsid w:val="0033026F"/>
    <w:rsid w:val="0033038E"/>
    <w:rsid w:val="00330A97"/>
    <w:rsid w:val="00331CB7"/>
    <w:rsid w:val="00331E70"/>
    <w:rsid w:val="00332910"/>
    <w:rsid w:val="003332F1"/>
    <w:rsid w:val="0033413E"/>
    <w:rsid w:val="00334218"/>
    <w:rsid w:val="003342BA"/>
    <w:rsid w:val="003348AC"/>
    <w:rsid w:val="003349BE"/>
    <w:rsid w:val="00334A34"/>
    <w:rsid w:val="00334C00"/>
    <w:rsid w:val="00334C49"/>
    <w:rsid w:val="00334CB4"/>
    <w:rsid w:val="00335007"/>
    <w:rsid w:val="0033518A"/>
    <w:rsid w:val="00335478"/>
    <w:rsid w:val="0033588A"/>
    <w:rsid w:val="00336079"/>
    <w:rsid w:val="00336529"/>
    <w:rsid w:val="0033707D"/>
    <w:rsid w:val="0034084B"/>
    <w:rsid w:val="003411B2"/>
    <w:rsid w:val="00341394"/>
    <w:rsid w:val="003419DE"/>
    <w:rsid w:val="00341A9C"/>
    <w:rsid w:val="0034206D"/>
    <w:rsid w:val="00342824"/>
    <w:rsid w:val="00342D57"/>
    <w:rsid w:val="00343702"/>
    <w:rsid w:val="00343A5F"/>
    <w:rsid w:val="00343B49"/>
    <w:rsid w:val="003445D1"/>
    <w:rsid w:val="0034465E"/>
    <w:rsid w:val="00344A66"/>
    <w:rsid w:val="00344E3F"/>
    <w:rsid w:val="00344F3B"/>
    <w:rsid w:val="003450F1"/>
    <w:rsid w:val="003451B2"/>
    <w:rsid w:val="00346068"/>
    <w:rsid w:val="00346589"/>
    <w:rsid w:val="00347898"/>
    <w:rsid w:val="00347D75"/>
    <w:rsid w:val="00350247"/>
    <w:rsid w:val="0035030A"/>
    <w:rsid w:val="00350351"/>
    <w:rsid w:val="003506F0"/>
    <w:rsid w:val="00350BBC"/>
    <w:rsid w:val="00350C07"/>
    <w:rsid w:val="00351055"/>
    <w:rsid w:val="00351E01"/>
    <w:rsid w:val="00351FCE"/>
    <w:rsid w:val="003520F5"/>
    <w:rsid w:val="003520F7"/>
    <w:rsid w:val="00352111"/>
    <w:rsid w:val="00352268"/>
    <w:rsid w:val="00352879"/>
    <w:rsid w:val="00352AAB"/>
    <w:rsid w:val="00352F92"/>
    <w:rsid w:val="003540CC"/>
    <w:rsid w:val="00354617"/>
    <w:rsid w:val="00355277"/>
    <w:rsid w:val="00355460"/>
    <w:rsid w:val="00355C4C"/>
    <w:rsid w:val="00356128"/>
    <w:rsid w:val="003561E5"/>
    <w:rsid w:val="00356C7B"/>
    <w:rsid w:val="00356E0D"/>
    <w:rsid w:val="00356F4E"/>
    <w:rsid w:val="00357081"/>
    <w:rsid w:val="0036054A"/>
    <w:rsid w:val="00360752"/>
    <w:rsid w:val="00360B4B"/>
    <w:rsid w:val="00360E12"/>
    <w:rsid w:val="00361480"/>
    <w:rsid w:val="00361CD6"/>
    <w:rsid w:val="0036261B"/>
    <w:rsid w:val="00362916"/>
    <w:rsid w:val="00362A49"/>
    <w:rsid w:val="00362C35"/>
    <w:rsid w:val="00362EAA"/>
    <w:rsid w:val="003636B1"/>
    <w:rsid w:val="003638B9"/>
    <w:rsid w:val="003638EA"/>
    <w:rsid w:val="003639DB"/>
    <w:rsid w:val="00363ECD"/>
    <w:rsid w:val="00364692"/>
    <w:rsid w:val="00365487"/>
    <w:rsid w:val="00365799"/>
    <w:rsid w:val="00365B67"/>
    <w:rsid w:val="00366688"/>
    <w:rsid w:val="003666F7"/>
    <w:rsid w:val="003667D9"/>
    <w:rsid w:val="00366980"/>
    <w:rsid w:val="00367B1A"/>
    <w:rsid w:val="00367BCB"/>
    <w:rsid w:val="00370648"/>
    <w:rsid w:val="003708A5"/>
    <w:rsid w:val="00370C6E"/>
    <w:rsid w:val="00371D3E"/>
    <w:rsid w:val="003720BE"/>
    <w:rsid w:val="00372576"/>
    <w:rsid w:val="0037260C"/>
    <w:rsid w:val="003726D6"/>
    <w:rsid w:val="00372928"/>
    <w:rsid w:val="00372C90"/>
    <w:rsid w:val="003730A0"/>
    <w:rsid w:val="0037346B"/>
    <w:rsid w:val="00374165"/>
    <w:rsid w:val="0037494D"/>
    <w:rsid w:val="00374EA8"/>
    <w:rsid w:val="00375B9E"/>
    <w:rsid w:val="00375E6B"/>
    <w:rsid w:val="003760AF"/>
    <w:rsid w:val="00377052"/>
    <w:rsid w:val="003774D2"/>
    <w:rsid w:val="00377A75"/>
    <w:rsid w:val="00377BCF"/>
    <w:rsid w:val="00377CC6"/>
    <w:rsid w:val="00377D93"/>
    <w:rsid w:val="00380081"/>
    <w:rsid w:val="0038047B"/>
    <w:rsid w:val="00380878"/>
    <w:rsid w:val="00380A8B"/>
    <w:rsid w:val="00380E50"/>
    <w:rsid w:val="003814C2"/>
    <w:rsid w:val="00381698"/>
    <w:rsid w:val="00382203"/>
    <w:rsid w:val="0038333E"/>
    <w:rsid w:val="00383720"/>
    <w:rsid w:val="00384121"/>
    <w:rsid w:val="00384D88"/>
    <w:rsid w:val="0038555C"/>
    <w:rsid w:val="003859D4"/>
    <w:rsid w:val="003862BB"/>
    <w:rsid w:val="00386365"/>
    <w:rsid w:val="00386910"/>
    <w:rsid w:val="003872CF"/>
    <w:rsid w:val="00387347"/>
    <w:rsid w:val="0038759C"/>
    <w:rsid w:val="00390050"/>
    <w:rsid w:val="003902D2"/>
    <w:rsid w:val="00390703"/>
    <w:rsid w:val="0039118B"/>
    <w:rsid w:val="003912D6"/>
    <w:rsid w:val="00391AF7"/>
    <w:rsid w:val="00391D04"/>
    <w:rsid w:val="00391D60"/>
    <w:rsid w:val="00392244"/>
    <w:rsid w:val="00392F36"/>
    <w:rsid w:val="00392F43"/>
    <w:rsid w:val="0039307E"/>
    <w:rsid w:val="00394AD2"/>
    <w:rsid w:val="0039509A"/>
    <w:rsid w:val="0039551E"/>
    <w:rsid w:val="0039562B"/>
    <w:rsid w:val="00395B04"/>
    <w:rsid w:val="00395DF3"/>
    <w:rsid w:val="0039638F"/>
    <w:rsid w:val="00396F2B"/>
    <w:rsid w:val="00397786"/>
    <w:rsid w:val="00397A8F"/>
    <w:rsid w:val="003A0456"/>
    <w:rsid w:val="003A0689"/>
    <w:rsid w:val="003A1E7E"/>
    <w:rsid w:val="003A24A1"/>
    <w:rsid w:val="003A3191"/>
    <w:rsid w:val="003A3318"/>
    <w:rsid w:val="003A3CAE"/>
    <w:rsid w:val="003A46C8"/>
    <w:rsid w:val="003A50B5"/>
    <w:rsid w:val="003A50BA"/>
    <w:rsid w:val="003A5345"/>
    <w:rsid w:val="003A5370"/>
    <w:rsid w:val="003A53E2"/>
    <w:rsid w:val="003A540E"/>
    <w:rsid w:val="003A59CB"/>
    <w:rsid w:val="003A5FE9"/>
    <w:rsid w:val="003A64B1"/>
    <w:rsid w:val="003A659D"/>
    <w:rsid w:val="003A66DC"/>
    <w:rsid w:val="003A720E"/>
    <w:rsid w:val="003A7461"/>
    <w:rsid w:val="003A75EC"/>
    <w:rsid w:val="003A774F"/>
    <w:rsid w:val="003B0757"/>
    <w:rsid w:val="003B09B8"/>
    <w:rsid w:val="003B0A35"/>
    <w:rsid w:val="003B12D2"/>
    <w:rsid w:val="003B12DB"/>
    <w:rsid w:val="003B1414"/>
    <w:rsid w:val="003B160B"/>
    <w:rsid w:val="003B175A"/>
    <w:rsid w:val="003B1875"/>
    <w:rsid w:val="003B249B"/>
    <w:rsid w:val="003B2AF8"/>
    <w:rsid w:val="003B2E6B"/>
    <w:rsid w:val="003B3FE8"/>
    <w:rsid w:val="003B41F0"/>
    <w:rsid w:val="003B4380"/>
    <w:rsid w:val="003B4BF8"/>
    <w:rsid w:val="003B4C49"/>
    <w:rsid w:val="003B4D6E"/>
    <w:rsid w:val="003B4FBD"/>
    <w:rsid w:val="003B58E0"/>
    <w:rsid w:val="003B659D"/>
    <w:rsid w:val="003B68D7"/>
    <w:rsid w:val="003B6BEC"/>
    <w:rsid w:val="003B6E58"/>
    <w:rsid w:val="003B6E7C"/>
    <w:rsid w:val="003B6ECD"/>
    <w:rsid w:val="003B7533"/>
    <w:rsid w:val="003B75E5"/>
    <w:rsid w:val="003B7976"/>
    <w:rsid w:val="003B797C"/>
    <w:rsid w:val="003C0942"/>
    <w:rsid w:val="003C0EEC"/>
    <w:rsid w:val="003C12E0"/>
    <w:rsid w:val="003C16A6"/>
    <w:rsid w:val="003C18DC"/>
    <w:rsid w:val="003C1E78"/>
    <w:rsid w:val="003C1F38"/>
    <w:rsid w:val="003C284C"/>
    <w:rsid w:val="003C2A02"/>
    <w:rsid w:val="003C2C6A"/>
    <w:rsid w:val="003C3A8E"/>
    <w:rsid w:val="003C3B7F"/>
    <w:rsid w:val="003C3EDC"/>
    <w:rsid w:val="003C42AA"/>
    <w:rsid w:val="003C470C"/>
    <w:rsid w:val="003C484A"/>
    <w:rsid w:val="003C60D6"/>
    <w:rsid w:val="003C63EB"/>
    <w:rsid w:val="003C6795"/>
    <w:rsid w:val="003C6E21"/>
    <w:rsid w:val="003C72D8"/>
    <w:rsid w:val="003C7D6D"/>
    <w:rsid w:val="003D01B4"/>
    <w:rsid w:val="003D06F1"/>
    <w:rsid w:val="003D0735"/>
    <w:rsid w:val="003D0DDE"/>
    <w:rsid w:val="003D12B8"/>
    <w:rsid w:val="003D1498"/>
    <w:rsid w:val="003D15BC"/>
    <w:rsid w:val="003D1AFF"/>
    <w:rsid w:val="003D242C"/>
    <w:rsid w:val="003D3528"/>
    <w:rsid w:val="003D360A"/>
    <w:rsid w:val="003D41AD"/>
    <w:rsid w:val="003D4549"/>
    <w:rsid w:val="003D4A84"/>
    <w:rsid w:val="003D4B3A"/>
    <w:rsid w:val="003D4B6A"/>
    <w:rsid w:val="003D515A"/>
    <w:rsid w:val="003D51A8"/>
    <w:rsid w:val="003D5AA4"/>
    <w:rsid w:val="003D5B61"/>
    <w:rsid w:val="003D5C20"/>
    <w:rsid w:val="003D5EC0"/>
    <w:rsid w:val="003D619A"/>
    <w:rsid w:val="003D66D2"/>
    <w:rsid w:val="003D7606"/>
    <w:rsid w:val="003D793B"/>
    <w:rsid w:val="003E024B"/>
    <w:rsid w:val="003E0B5B"/>
    <w:rsid w:val="003E0C79"/>
    <w:rsid w:val="003E0ECD"/>
    <w:rsid w:val="003E101A"/>
    <w:rsid w:val="003E18BA"/>
    <w:rsid w:val="003E260D"/>
    <w:rsid w:val="003E2782"/>
    <w:rsid w:val="003E2C80"/>
    <w:rsid w:val="003E3027"/>
    <w:rsid w:val="003E3D33"/>
    <w:rsid w:val="003E3DBC"/>
    <w:rsid w:val="003E5CD9"/>
    <w:rsid w:val="003E5E58"/>
    <w:rsid w:val="003E615B"/>
    <w:rsid w:val="003E669D"/>
    <w:rsid w:val="003E6C30"/>
    <w:rsid w:val="003E7ABC"/>
    <w:rsid w:val="003F0091"/>
    <w:rsid w:val="003F009D"/>
    <w:rsid w:val="003F02EE"/>
    <w:rsid w:val="003F0CE1"/>
    <w:rsid w:val="003F1359"/>
    <w:rsid w:val="003F2060"/>
    <w:rsid w:val="003F262C"/>
    <w:rsid w:val="003F2641"/>
    <w:rsid w:val="003F277F"/>
    <w:rsid w:val="003F2783"/>
    <w:rsid w:val="003F2DC1"/>
    <w:rsid w:val="003F3169"/>
    <w:rsid w:val="003F321F"/>
    <w:rsid w:val="003F3505"/>
    <w:rsid w:val="003F4897"/>
    <w:rsid w:val="003F5483"/>
    <w:rsid w:val="003F569F"/>
    <w:rsid w:val="003F5801"/>
    <w:rsid w:val="003F5D48"/>
    <w:rsid w:val="003F5DAA"/>
    <w:rsid w:val="003F5E01"/>
    <w:rsid w:val="003F5F7B"/>
    <w:rsid w:val="003F6518"/>
    <w:rsid w:val="003F6636"/>
    <w:rsid w:val="003F6A4A"/>
    <w:rsid w:val="003F6F48"/>
    <w:rsid w:val="003F73EA"/>
    <w:rsid w:val="003F7448"/>
    <w:rsid w:val="003F77A4"/>
    <w:rsid w:val="003F794E"/>
    <w:rsid w:val="003F7CD0"/>
    <w:rsid w:val="003F7D1A"/>
    <w:rsid w:val="0040007C"/>
    <w:rsid w:val="004004A9"/>
    <w:rsid w:val="0040053F"/>
    <w:rsid w:val="0040058B"/>
    <w:rsid w:val="00400600"/>
    <w:rsid w:val="004007CD"/>
    <w:rsid w:val="00400E88"/>
    <w:rsid w:val="0040119A"/>
    <w:rsid w:val="004012E6"/>
    <w:rsid w:val="004017CF"/>
    <w:rsid w:val="00401D12"/>
    <w:rsid w:val="00401D97"/>
    <w:rsid w:val="0040364D"/>
    <w:rsid w:val="0040403A"/>
    <w:rsid w:val="00404609"/>
    <w:rsid w:val="004046D8"/>
    <w:rsid w:val="0040492F"/>
    <w:rsid w:val="00405181"/>
    <w:rsid w:val="00405C0A"/>
    <w:rsid w:val="00407959"/>
    <w:rsid w:val="00407C71"/>
    <w:rsid w:val="004104C3"/>
    <w:rsid w:val="00410A98"/>
    <w:rsid w:val="00411908"/>
    <w:rsid w:val="004121BD"/>
    <w:rsid w:val="00412719"/>
    <w:rsid w:val="0041320D"/>
    <w:rsid w:val="00413665"/>
    <w:rsid w:val="0041376B"/>
    <w:rsid w:val="004137EF"/>
    <w:rsid w:val="00413827"/>
    <w:rsid w:val="00414670"/>
    <w:rsid w:val="004158F9"/>
    <w:rsid w:val="004159EA"/>
    <w:rsid w:val="00416727"/>
    <w:rsid w:val="00416D3F"/>
    <w:rsid w:val="004172A4"/>
    <w:rsid w:val="00417B88"/>
    <w:rsid w:val="00417DD8"/>
    <w:rsid w:val="004208D9"/>
    <w:rsid w:val="00420CD9"/>
    <w:rsid w:val="00421518"/>
    <w:rsid w:val="00421E7C"/>
    <w:rsid w:val="004225B7"/>
    <w:rsid w:val="00422ABD"/>
    <w:rsid w:val="00422B4E"/>
    <w:rsid w:val="00422FF6"/>
    <w:rsid w:val="00423486"/>
    <w:rsid w:val="00423668"/>
    <w:rsid w:val="00424227"/>
    <w:rsid w:val="00424C53"/>
    <w:rsid w:val="00425814"/>
    <w:rsid w:val="00425BE8"/>
    <w:rsid w:val="00425C5F"/>
    <w:rsid w:val="00426286"/>
    <w:rsid w:val="00427A24"/>
    <w:rsid w:val="00427F6B"/>
    <w:rsid w:val="0043073D"/>
    <w:rsid w:val="004313D1"/>
    <w:rsid w:val="004318EB"/>
    <w:rsid w:val="00431C4A"/>
    <w:rsid w:val="00432DFF"/>
    <w:rsid w:val="00433121"/>
    <w:rsid w:val="004331C3"/>
    <w:rsid w:val="0043323A"/>
    <w:rsid w:val="0043348B"/>
    <w:rsid w:val="004335B1"/>
    <w:rsid w:val="004337CC"/>
    <w:rsid w:val="004338D4"/>
    <w:rsid w:val="004348AD"/>
    <w:rsid w:val="00435F85"/>
    <w:rsid w:val="0043622B"/>
    <w:rsid w:val="00436BBC"/>
    <w:rsid w:val="00436E0B"/>
    <w:rsid w:val="0043714B"/>
    <w:rsid w:val="00437176"/>
    <w:rsid w:val="0043727C"/>
    <w:rsid w:val="004374E9"/>
    <w:rsid w:val="004401DF"/>
    <w:rsid w:val="00440E9B"/>
    <w:rsid w:val="00441E87"/>
    <w:rsid w:val="00442624"/>
    <w:rsid w:val="004427F7"/>
    <w:rsid w:val="004428EF"/>
    <w:rsid w:val="00442A58"/>
    <w:rsid w:val="00442D17"/>
    <w:rsid w:val="00443751"/>
    <w:rsid w:val="00443D0B"/>
    <w:rsid w:val="00443D9B"/>
    <w:rsid w:val="00444039"/>
    <w:rsid w:val="004448CC"/>
    <w:rsid w:val="00444E84"/>
    <w:rsid w:val="00444FDF"/>
    <w:rsid w:val="00445136"/>
    <w:rsid w:val="00445717"/>
    <w:rsid w:val="00445C6A"/>
    <w:rsid w:val="00447247"/>
    <w:rsid w:val="004507FD"/>
    <w:rsid w:val="00450971"/>
    <w:rsid w:val="00450E57"/>
    <w:rsid w:val="00450F16"/>
    <w:rsid w:val="00451267"/>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B4C"/>
    <w:rsid w:val="00457E0E"/>
    <w:rsid w:val="0046041E"/>
    <w:rsid w:val="00460EC2"/>
    <w:rsid w:val="00460F27"/>
    <w:rsid w:val="004610C4"/>
    <w:rsid w:val="004616C2"/>
    <w:rsid w:val="00461C34"/>
    <w:rsid w:val="00461CCF"/>
    <w:rsid w:val="00461DA4"/>
    <w:rsid w:val="00461E9B"/>
    <w:rsid w:val="004628BF"/>
    <w:rsid w:val="004629A9"/>
    <w:rsid w:val="00462A67"/>
    <w:rsid w:val="004633DA"/>
    <w:rsid w:val="004635E3"/>
    <w:rsid w:val="00463E7F"/>
    <w:rsid w:val="00464220"/>
    <w:rsid w:val="00464576"/>
    <w:rsid w:val="00464CD5"/>
    <w:rsid w:val="00465D99"/>
    <w:rsid w:val="00465E0A"/>
    <w:rsid w:val="00465EAB"/>
    <w:rsid w:val="00465F8B"/>
    <w:rsid w:val="00466031"/>
    <w:rsid w:val="004661ED"/>
    <w:rsid w:val="00467766"/>
    <w:rsid w:val="0047067C"/>
    <w:rsid w:val="00470AC0"/>
    <w:rsid w:val="00470CA0"/>
    <w:rsid w:val="00471073"/>
    <w:rsid w:val="004715E9"/>
    <w:rsid w:val="0047209E"/>
    <w:rsid w:val="0047248C"/>
    <w:rsid w:val="00472690"/>
    <w:rsid w:val="00472A2E"/>
    <w:rsid w:val="00472C21"/>
    <w:rsid w:val="00472D72"/>
    <w:rsid w:val="00473B88"/>
    <w:rsid w:val="00474BBA"/>
    <w:rsid w:val="00474FDA"/>
    <w:rsid w:val="00475118"/>
    <w:rsid w:val="004751F8"/>
    <w:rsid w:val="00475676"/>
    <w:rsid w:val="00475CDC"/>
    <w:rsid w:val="00475D82"/>
    <w:rsid w:val="00475F1D"/>
    <w:rsid w:val="0047619E"/>
    <w:rsid w:val="00476B39"/>
    <w:rsid w:val="00476BEC"/>
    <w:rsid w:val="00477078"/>
    <w:rsid w:val="00481E7E"/>
    <w:rsid w:val="004822AF"/>
    <w:rsid w:val="00482799"/>
    <w:rsid w:val="0048295B"/>
    <w:rsid w:val="00482B2F"/>
    <w:rsid w:val="00482DA4"/>
    <w:rsid w:val="00482E18"/>
    <w:rsid w:val="0048338D"/>
    <w:rsid w:val="00483A66"/>
    <w:rsid w:val="00483DEA"/>
    <w:rsid w:val="0048477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418"/>
    <w:rsid w:val="00492D83"/>
    <w:rsid w:val="00493BF9"/>
    <w:rsid w:val="00493EA2"/>
    <w:rsid w:val="004942AE"/>
    <w:rsid w:val="004949D4"/>
    <w:rsid w:val="004950BB"/>
    <w:rsid w:val="00495373"/>
    <w:rsid w:val="0049560E"/>
    <w:rsid w:val="00496733"/>
    <w:rsid w:val="00496B26"/>
    <w:rsid w:val="00497A8F"/>
    <w:rsid w:val="004A004B"/>
    <w:rsid w:val="004A0326"/>
    <w:rsid w:val="004A0699"/>
    <w:rsid w:val="004A0F7E"/>
    <w:rsid w:val="004A1792"/>
    <w:rsid w:val="004A1942"/>
    <w:rsid w:val="004A197A"/>
    <w:rsid w:val="004A268B"/>
    <w:rsid w:val="004A28DE"/>
    <w:rsid w:val="004A29C6"/>
    <w:rsid w:val="004A2CB7"/>
    <w:rsid w:val="004A3F42"/>
    <w:rsid w:val="004A4476"/>
    <w:rsid w:val="004A52CA"/>
    <w:rsid w:val="004A5E16"/>
    <w:rsid w:val="004A6037"/>
    <w:rsid w:val="004A6054"/>
    <w:rsid w:val="004A642F"/>
    <w:rsid w:val="004A68D0"/>
    <w:rsid w:val="004A6B9D"/>
    <w:rsid w:val="004A75BE"/>
    <w:rsid w:val="004A7631"/>
    <w:rsid w:val="004A7BE4"/>
    <w:rsid w:val="004A7D57"/>
    <w:rsid w:val="004B0150"/>
    <w:rsid w:val="004B01BD"/>
    <w:rsid w:val="004B026F"/>
    <w:rsid w:val="004B043D"/>
    <w:rsid w:val="004B0509"/>
    <w:rsid w:val="004B0DFA"/>
    <w:rsid w:val="004B139B"/>
    <w:rsid w:val="004B1575"/>
    <w:rsid w:val="004B215E"/>
    <w:rsid w:val="004B282E"/>
    <w:rsid w:val="004B2B77"/>
    <w:rsid w:val="004B32B0"/>
    <w:rsid w:val="004B4173"/>
    <w:rsid w:val="004B439C"/>
    <w:rsid w:val="004B4459"/>
    <w:rsid w:val="004B4898"/>
    <w:rsid w:val="004B4F2F"/>
    <w:rsid w:val="004B6406"/>
    <w:rsid w:val="004B69E0"/>
    <w:rsid w:val="004B7093"/>
    <w:rsid w:val="004B775F"/>
    <w:rsid w:val="004B78BD"/>
    <w:rsid w:val="004B79DA"/>
    <w:rsid w:val="004C0155"/>
    <w:rsid w:val="004C034C"/>
    <w:rsid w:val="004C04DD"/>
    <w:rsid w:val="004C072A"/>
    <w:rsid w:val="004C1977"/>
    <w:rsid w:val="004C19AF"/>
    <w:rsid w:val="004C1B6D"/>
    <w:rsid w:val="004C23F8"/>
    <w:rsid w:val="004C2769"/>
    <w:rsid w:val="004C3CA8"/>
    <w:rsid w:val="004C3D5E"/>
    <w:rsid w:val="004C3F45"/>
    <w:rsid w:val="004C3FE5"/>
    <w:rsid w:val="004C4B44"/>
    <w:rsid w:val="004C4B83"/>
    <w:rsid w:val="004C4C8C"/>
    <w:rsid w:val="004C5564"/>
    <w:rsid w:val="004C578B"/>
    <w:rsid w:val="004C57FD"/>
    <w:rsid w:val="004C5964"/>
    <w:rsid w:val="004C658D"/>
    <w:rsid w:val="004C6772"/>
    <w:rsid w:val="004C6D48"/>
    <w:rsid w:val="004D03E7"/>
    <w:rsid w:val="004D0A18"/>
    <w:rsid w:val="004D0C12"/>
    <w:rsid w:val="004D0E1B"/>
    <w:rsid w:val="004D149F"/>
    <w:rsid w:val="004D14D8"/>
    <w:rsid w:val="004D1536"/>
    <w:rsid w:val="004D19C2"/>
    <w:rsid w:val="004D228F"/>
    <w:rsid w:val="004D3A10"/>
    <w:rsid w:val="004D3E5E"/>
    <w:rsid w:val="004D3EE9"/>
    <w:rsid w:val="004D4C54"/>
    <w:rsid w:val="004D4E06"/>
    <w:rsid w:val="004D54EB"/>
    <w:rsid w:val="004D5540"/>
    <w:rsid w:val="004D55AA"/>
    <w:rsid w:val="004D5713"/>
    <w:rsid w:val="004D69A4"/>
    <w:rsid w:val="004D6C64"/>
    <w:rsid w:val="004D708E"/>
    <w:rsid w:val="004D72BE"/>
    <w:rsid w:val="004D78F2"/>
    <w:rsid w:val="004D7DD1"/>
    <w:rsid w:val="004D7EE8"/>
    <w:rsid w:val="004E0738"/>
    <w:rsid w:val="004E090A"/>
    <w:rsid w:val="004E174E"/>
    <w:rsid w:val="004E1D47"/>
    <w:rsid w:val="004E1D4A"/>
    <w:rsid w:val="004E254D"/>
    <w:rsid w:val="004E2852"/>
    <w:rsid w:val="004E40FE"/>
    <w:rsid w:val="004E4913"/>
    <w:rsid w:val="004E4A2F"/>
    <w:rsid w:val="004E6BEE"/>
    <w:rsid w:val="004E6E7D"/>
    <w:rsid w:val="004E6EAC"/>
    <w:rsid w:val="004E77D7"/>
    <w:rsid w:val="004E7A1F"/>
    <w:rsid w:val="004F0230"/>
    <w:rsid w:val="004F074D"/>
    <w:rsid w:val="004F11FE"/>
    <w:rsid w:val="004F1523"/>
    <w:rsid w:val="004F17F1"/>
    <w:rsid w:val="004F2C36"/>
    <w:rsid w:val="004F2D1B"/>
    <w:rsid w:val="004F2E17"/>
    <w:rsid w:val="004F2EC2"/>
    <w:rsid w:val="004F339C"/>
    <w:rsid w:val="004F3D0E"/>
    <w:rsid w:val="004F4211"/>
    <w:rsid w:val="004F4297"/>
    <w:rsid w:val="004F43C0"/>
    <w:rsid w:val="004F4B2E"/>
    <w:rsid w:val="004F4E1F"/>
    <w:rsid w:val="004F51CC"/>
    <w:rsid w:val="004F5566"/>
    <w:rsid w:val="004F5793"/>
    <w:rsid w:val="004F57A9"/>
    <w:rsid w:val="004F58A1"/>
    <w:rsid w:val="004F602C"/>
    <w:rsid w:val="004F707F"/>
    <w:rsid w:val="004F7223"/>
    <w:rsid w:val="004F75F3"/>
    <w:rsid w:val="00500B92"/>
    <w:rsid w:val="005011E3"/>
    <w:rsid w:val="00501886"/>
    <w:rsid w:val="00501EF6"/>
    <w:rsid w:val="00502998"/>
    <w:rsid w:val="005029D4"/>
    <w:rsid w:val="00502E9D"/>
    <w:rsid w:val="005038D7"/>
    <w:rsid w:val="0050496A"/>
    <w:rsid w:val="00504BF5"/>
    <w:rsid w:val="00504C3F"/>
    <w:rsid w:val="00505109"/>
    <w:rsid w:val="00505707"/>
    <w:rsid w:val="00505714"/>
    <w:rsid w:val="00505AE5"/>
    <w:rsid w:val="00505CEF"/>
    <w:rsid w:val="00506996"/>
    <w:rsid w:val="00506CE6"/>
    <w:rsid w:val="00506DB4"/>
    <w:rsid w:val="00506F24"/>
    <w:rsid w:val="00507C8F"/>
    <w:rsid w:val="0051070B"/>
    <w:rsid w:val="00510A0A"/>
    <w:rsid w:val="00510A12"/>
    <w:rsid w:val="00510B88"/>
    <w:rsid w:val="00510E19"/>
    <w:rsid w:val="00511525"/>
    <w:rsid w:val="0051160F"/>
    <w:rsid w:val="005116FA"/>
    <w:rsid w:val="00511B07"/>
    <w:rsid w:val="00511D31"/>
    <w:rsid w:val="00511FD1"/>
    <w:rsid w:val="00512821"/>
    <w:rsid w:val="0051334D"/>
    <w:rsid w:val="00514031"/>
    <w:rsid w:val="00514659"/>
    <w:rsid w:val="00514722"/>
    <w:rsid w:val="00515052"/>
    <w:rsid w:val="00516643"/>
    <w:rsid w:val="00516791"/>
    <w:rsid w:val="005167F2"/>
    <w:rsid w:val="0051685B"/>
    <w:rsid w:val="00516BA3"/>
    <w:rsid w:val="00516DFB"/>
    <w:rsid w:val="005170F6"/>
    <w:rsid w:val="00517545"/>
    <w:rsid w:val="005178FB"/>
    <w:rsid w:val="00517E25"/>
    <w:rsid w:val="00517F72"/>
    <w:rsid w:val="00517FA3"/>
    <w:rsid w:val="00517FB0"/>
    <w:rsid w:val="005200DC"/>
    <w:rsid w:val="0052025A"/>
    <w:rsid w:val="0052074C"/>
    <w:rsid w:val="0052092B"/>
    <w:rsid w:val="00520A22"/>
    <w:rsid w:val="00520FF4"/>
    <w:rsid w:val="0052102A"/>
    <w:rsid w:val="00521076"/>
    <w:rsid w:val="005215E4"/>
    <w:rsid w:val="00521842"/>
    <w:rsid w:val="00521A30"/>
    <w:rsid w:val="00521E64"/>
    <w:rsid w:val="00522267"/>
    <w:rsid w:val="005222D7"/>
    <w:rsid w:val="005224B2"/>
    <w:rsid w:val="00522DAB"/>
    <w:rsid w:val="00522FC8"/>
    <w:rsid w:val="00523976"/>
    <w:rsid w:val="00523CF3"/>
    <w:rsid w:val="0052479F"/>
    <w:rsid w:val="00525DEC"/>
    <w:rsid w:val="0052622B"/>
    <w:rsid w:val="005265AA"/>
    <w:rsid w:val="00526BFC"/>
    <w:rsid w:val="005279F4"/>
    <w:rsid w:val="00527E5A"/>
    <w:rsid w:val="005301E4"/>
    <w:rsid w:val="00530857"/>
    <w:rsid w:val="00530ABE"/>
    <w:rsid w:val="0053126F"/>
    <w:rsid w:val="00533464"/>
    <w:rsid w:val="00533918"/>
    <w:rsid w:val="00533AD4"/>
    <w:rsid w:val="00533FAD"/>
    <w:rsid w:val="00534906"/>
    <w:rsid w:val="005349E2"/>
    <w:rsid w:val="00534F77"/>
    <w:rsid w:val="005353E8"/>
    <w:rsid w:val="00535869"/>
    <w:rsid w:val="00535C85"/>
    <w:rsid w:val="00535E60"/>
    <w:rsid w:val="0053768D"/>
    <w:rsid w:val="005402BD"/>
    <w:rsid w:val="005403CC"/>
    <w:rsid w:val="00540D72"/>
    <w:rsid w:val="00540DE1"/>
    <w:rsid w:val="005416BF"/>
    <w:rsid w:val="0054185D"/>
    <w:rsid w:val="00541EF3"/>
    <w:rsid w:val="0054295C"/>
    <w:rsid w:val="005429BA"/>
    <w:rsid w:val="00543024"/>
    <w:rsid w:val="00543499"/>
    <w:rsid w:val="00543621"/>
    <w:rsid w:val="00543803"/>
    <w:rsid w:val="0054394B"/>
    <w:rsid w:val="005439C6"/>
    <w:rsid w:val="00543DC0"/>
    <w:rsid w:val="00544048"/>
    <w:rsid w:val="005442C7"/>
    <w:rsid w:val="0054439B"/>
    <w:rsid w:val="0054499C"/>
    <w:rsid w:val="005449B3"/>
    <w:rsid w:val="005454FA"/>
    <w:rsid w:val="005457F2"/>
    <w:rsid w:val="00545AD9"/>
    <w:rsid w:val="00546407"/>
    <w:rsid w:val="005470D4"/>
    <w:rsid w:val="00547241"/>
    <w:rsid w:val="00547765"/>
    <w:rsid w:val="00547826"/>
    <w:rsid w:val="00547CBD"/>
    <w:rsid w:val="00550178"/>
    <w:rsid w:val="00550536"/>
    <w:rsid w:val="00551349"/>
    <w:rsid w:val="005517EE"/>
    <w:rsid w:val="00552E42"/>
    <w:rsid w:val="005538BF"/>
    <w:rsid w:val="0055456C"/>
    <w:rsid w:val="00554F99"/>
    <w:rsid w:val="005554FD"/>
    <w:rsid w:val="005559B0"/>
    <w:rsid w:val="00555E55"/>
    <w:rsid w:val="00555EBF"/>
    <w:rsid w:val="005565E4"/>
    <w:rsid w:val="0055689F"/>
    <w:rsid w:val="00556BF6"/>
    <w:rsid w:val="00557B39"/>
    <w:rsid w:val="00557E84"/>
    <w:rsid w:val="00557F86"/>
    <w:rsid w:val="00557FCB"/>
    <w:rsid w:val="00560086"/>
    <w:rsid w:val="0056026B"/>
    <w:rsid w:val="00560511"/>
    <w:rsid w:val="00560777"/>
    <w:rsid w:val="00560C02"/>
    <w:rsid w:val="00561555"/>
    <w:rsid w:val="00561908"/>
    <w:rsid w:val="00561A8C"/>
    <w:rsid w:val="005625F4"/>
    <w:rsid w:val="0056315A"/>
    <w:rsid w:val="00564035"/>
    <w:rsid w:val="0056432B"/>
    <w:rsid w:val="005644D3"/>
    <w:rsid w:val="00564E47"/>
    <w:rsid w:val="00564ED1"/>
    <w:rsid w:val="00565D59"/>
    <w:rsid w:val="00565DD5"/>
    <w:rsid w:val="00565F6E"/>
    <w:rsid w:val="00566501"/>
    <w:rsid w:val="00566AAB"/>
    <w:rsid w:val="00566C7E"/>
    <w:rsid w:val="00567245"/>
    <w:rsid w:val="00567772"/>
    <w:rsid w:val="00567806"/>
    <w:rsid w:val="0057055C"/>
    <w:rsid w:val="005712CA"/>
    <w:rsid w:val="005717E1"/>
    <w:rsid w:val="005719C8"/>
    <w:rsid w:val="00571F48"/>
    <w:rsid w:val="005722A6"/>
    <w:rsid w:val="005726A9"/>
    <w:rsid w:val="00572F27"/>
    <w:rsid w:val="00572F85"/>
    <w:rsid w:val="00574642"/>
    <w:rsid w:val="00574684"/>
    <w:rsid w:val="00574F90"/>
    <w:rsid w:val="00574F9B"/>
    <w:rsid w:val="005750E4"/>
    <w:rsid w:val="00575DA2"/>
    <w:rsid w:val="00576443"/>
    <w:rsid w:val="00576823"/>
    <w:rsid w:val="00577C9C"/>
    <w:rsid w:val="00580189"/>
    <w:rsid w:val="00580681"/>
    <w:rsid w:val="00580E63"/>
    <w:rsid w:val="00580F15"/>
    <w:rsid w:val="0058135D"/>
    <w:rsid w:val="005816C2"/>
    <w:rsid w:val="00581786"/>
    <w:rsid w:val="00581F3C"/>
    <w:rsid w:val="005822E7"/>
    <w:rsid w:val="00582A1F"/>
    <w:rsid w:val="00582C55"/>
    <w:rsid w:val="0058313E"/>
    <w:rsid w:val="00584402"/>
    <w:rsid w:val="00584E55"/>
    <w:rsid w:val="00584F0C"/>
    <w:rsid w:val="00584FBD"/>
    <w:rsid w:val="00585425"/>
    <w:rsid w:val="0058565E"/>
    <w:rsid w:val="005857AA"/>
    <w:rsid w:val="00585E2A"/>
    <w:rsid w:val="005909FE"/>
    <w:rsid w:val="00590A90"/>
    <w:rsid w:val="005925A9"/>
    <w:rsid w:val="00592638"/>
    <w:rsid w:val="005927B8"/>
    <w:rsid w:val="0059283C"/>
    <w:rsid w:val="005934D9"/>
    <w:rsid w:val="00594BE1"/>
    <w:rsid w:val="00594CE1"/>
    <w:rsid w:val="00594D63"/>
    <w:rsid w:val="0059559D"/>
    <w:rsid w:val="00595771"/>
    <w:rsid w:val="00596C41"/>
    <w:rsid w:val="00597C24"/>
    <w:rsid w:val="005A0064"/>
    <w:rsid w:val="005A0A7B"/>
    <w:rsid w:val="005A1935"/>
    <w:rsid w:val="005A1BC3"/>
    <w:rsid w:val="005A1C0B"/>
    <w:rsid w:val="005A1D24"/>
    <w:rsid w:val="005A1D82"/>
    <w:rsid w:val="005A1FA7"/>
    <w:rsid w:val="005A208F"/>
    <w:rsid w:val="005A2553"/>
    <w:rsid w:val="005A2822"/>
    <w:rsid w:val="005A2D87"/>
    <w:rsid w:val="005A3AC7"/>
    <w:rsid w:val="005A4665"/>
    <w:rsid w:val="005A4972"/>
    <w:rsid w:val="005A4B08"/>
    <w:rsid w:val="005A5E6A"/>
    <w:rsid w:val="005A64E8"/>
    <w:rsid w:val="005A783A"/>
    <w:rsid w:val="005A7C55"/>
    <w:rsid w:val="005A7FEA"/>
    <w:rsid w:val="005B007F"/>
    <w:rsid w:val="005B0306"/>
    <w:rsid w:val="005B0957"/>
    <w:rsid w:val="005B12AF"/>
    <w:rsid w:val="005B1556"/>
    <w:rsid w:val="005B19B7"/>
    <w:rsid w:val="005B22A2"/>
    <w:rsid w:val="005B22A5"/>
    <w:rsid w:val="005B3286"/>
    <w:rsid w:val="005B34FF"/>
    <w:rsid w:val="005B4024"/>
    <w:rsid w:val="005B4F9D"/>
    <w:rsid w:val="005B5731"/>
    <w:rsid w:val="005B6022"/>
    <w:rsid w:val="005B60F3"/>
    <w:rsid w:val="005B6528"/>
    <w:rsid w:val="005B6A49"/>
    <w:rsid w:val="005B6EBC"/>
    <w:rsid w:val="005B6F2B"/>
    <w:rsid w:val="005B7793"/>
    <w:rsid w:val="005B7D10"/>
    <w:rsid w:val="005C06E6"/>
    <w:rsid w:val="005C0901"/>
    <w:rsid w:val="005C0B72"/>
    <w:rsid w:val="005C1747"/>
    <w:rsid w:val="005C1845"/>
    <w:rsid w:val="005C2600"/>
    <w:rsid w:val="005C2AF2"/>
    <w:rsid w:val="005C30AB"/>
    <w:rsid w:val="005C4C1D"/>
    <w:rsid w:val="005C4E6A"/>
    <w:rsid w:val="005C5239"/>
    <w:rsid w:val="005C52FD"/>
    <w:rsid w:val="005C5CF7"/>
    <w:rsid w:val="005C5DC9"/>
    <w:rsid w:val="005C6292"/>
    <w:rsid w:val="005C6673"/>
    <w:rsid w:val="005C69A8"/>
    <w:rsid w:val="005C69D5"/>
    <w:rsid w:val="005C6CC2"/>
    <w:rsid w:val="005C6E56"/>
    <w:rsid w:val="005C7D54"/>
    <w:rsid w:val="005C7FC9"/>
    <w:rsid w:val="005D0B8A"/>
    <w:rsid w:val="005D188B"/>
    <w:rsid w:val="005D275E"/>
    <w:rsid w:val="005D2D3B"/>
    <w:rsid w:val="005D3AB6"/>
    <w:rsid w:val="005D4031"/>
    <w:rsid w:val="005D408F"/>
    <w:rsid w:val="005D4727"/>
    <w:rsid w:val="005D5415"/>
    <w:rsid w:val="005D59D0"/>
    <w:rsid w:val="005D5B55"/>
    <w:rsid w:val="005D5D00"/>
    <w:rsid w:val="005D5EBC"/>
    <w:rsid w:val="005D5F47"/>
    <w:rsid w:val="005D6011"/>
    <w:rsid w:val="005D6BEB"/>
    <w:rsid w:val="005D6C36"/>
    <w:rsid w:val="005D76BF"/>
    <w:rsid w:val="005D7832"/>
    <w:rsid w:val="005D7B95"/>
    <w:rsid w:val="005D7D1A"/>
    <w:rsid w:val="005E062E"/>
    <w:rsid w:val="005E10D0"/>
    <w:rsid w:val="005E12A3"/>
    <w:rsid w:val="005E13D3"/>
    <w:rsid w:val="005E1961"/>
    <w:rsid w:val="005E1F0E"/>
    <w:rsid w:val="005E2116"/>
    <w:rsid w:val="005E23B4"/>
    <w:rsid w:val="005E254D"/>
    <w:rsid w:val="005E2B11"/>
    <w:rsid w:val="005E2B35"/>
    <w:rsid w:val="005E30A1"/>
    <w:rsid w:val="005E3340"/>
    <w:rsid w:val="005E34B8"/>
    <w:rsid w:val="005E36C1"/>
    <w:rsid w:val="005E3B1D"/>
    <w:rsid w:val="005E3B31"/>
    <w:rsid w:val="005E44F0"/>
    <w:rsid w:val="005E4529"/>
    <w:rsid w:val="005E48E9"/>
    <w:rsid w:val="005E5AF2"/>
    <w:rsid w:val="005E5EE2"/>
    <w:rsid w:val="005E65D2"/>
    <w:rsid w:val="005E6753"/>
    <w:rsid w:val="005E696B"/>
    <w:rsid w:val="005E72BB"/>
    <w:rsid w:val="005E73AC"/>
    <w:rsid w:val="005E7803"/>
    <w:rsid w:val="005E7DAF"/>
    <w:rsid w:val="005F04D9"/>
    <w:rsid w:val="005F08AD"/>
    <w:rsid w:val="005F115A"/>
    <w:rsid w:val="005F17A9"/>
    <w:rsid w:val="005F17DA"/>
    <w:rsid w:val="005F18E3"/>
    <w:rsid w:val="005F1988"/>
    <w:rsid w:val="005F1D95"/>
    <w:rsid w:val="005F1EA3"/>
    <w:rsid w:val="005F1F61"/>
    <w:rsid w:val="005F1F95"/>
    <w:rsid w:val="005F20A6"/>
    <w:rsid w:val="005F2A9C"/>
    <w:rsid w:val="005F3036"/>
    <w:rsid w:val="005F3871"/>
    <w:rsid w:val="005F393E"/>
    <w:rsid w:val="005F3B77"/>
    <w:rsid w:val="005F4BBD"/>
    <w:rsid w:val="005F5074"/>
    <w:rsid w:val="005F5477"/>
    <w:rsid w:val="005F5CCB"/>
    <w:rsid w:val="005F5D35"/>
    <w:rsid w:val="005F737B"/>
    <w:rsid w:val="005F746C"/>
    <w:rsid w:val="005F774D"/>
    <w:rsid w:val="005F799E"/>
    <w:rsid w:val="006000B0"/>
    <w:rsid w:val="0060059D"/>
    <w:rsid w:val="00600638"/>
    <w:rsid w:val="006012C3"/>
    <w:rsid w:val="00601435"/>
    <w:rsid w:val="00601A35"/>
    <w:rsid w:val="00601AAC"/>
    <w:rsid w:val="0060231C"/>
    <w:rsid w:val="006025C5"/>
    <w:rsid w:val="00602858"/>
    <w:rsid w:val="00603C5A"/>
    <w:rsid w:val="0060419E"/>
    <w:rsid w:val="00604448"/>
    <w:rsid w:val="00604C4B"/>
    <w:rsid w:val="006052FE"/>
    <w:rsid w:val="0060614D"/>
    <w:rsid w:val="006067EC"/>
    <w:rsid w:val="00607343"/>
    <w:rsid w:val="00607415"/>
    <w:rsid w:val="00607650"/>
    <w:rsid w:val="006078C1"/>
    <w:rsid w:val="00607A02"/>
    <w:rsid w:val="006100F3"/>
    <w:rsid w:val="00610BEC"/>
    <w:rsid w:val="006110A0"/>
    <w:rsid w:val="00611265"/>
    <w:rsid w:val="00611691"/>
    <w:rsid w:val="00611E04"/>
    <w:rsid w:val="006121F9"/>
    <w:rsid w:val="00612503"/>
    <w:rsid w:val="00612814"/>
    <w:rsid w:val="0061325B"/>
    <w:rsid w:val="006135B6"/>
    <w:rsid w:val="00613D14"/>
    <w:rsid w:val="0061401C"/>
    <w:rsid w:val="006142C3"/>
    <w:rsid w:val="00615203"/>
    <w:rsid w:val="006155FA"/>
    <w:rsid w:val="00615C07"/>
    <w:rsid w:val="00616581"/>
    <w:rsid w:val="00616599"/>
    <w:rsid w:val="006167F0"/>
    <w:rsid w:val="006168CA"/>
    <w:rsid w:val="00616D60"/>
    <w:rsid w:val="00616E01"/>
    <w:rsid w:val="006179D1"/>
    <w:rsid w:val="0062025F"/>
    <w:rsid w:val="00620B43"/>
    <w:rsid w:val="00620EAD"/>
    <w:rsid w:val="00621419"/>
    <w:rsid w:val="00621D0C"/>
    <w:rsid w:val="00622567"/>
    <w:rsid w:val="00622643"/>
    <w:rsid w:val="0062305C"/>
    <w:rsid w:val="00623605"/>
    <w:rsid w:val="006238A0"/>
    <w:rsid w:val="00623B42"/>
    <w:rsid w:val="006242F2"/>
    <w:rsid w:val="006242F4"/>
    <w:rsid w:val="006244DE"/>
    <w:rsid w:val="00624B4A"/>
    <w:rsid w:val="00625AF1"/>
    <w:rsid w:val="00626106"/>
    <w:rsid w:val="0062620E"/>
    <w:rsid w:val="00626346"/>
    <w:rsid w:val="006265E0"/>
    <w:rsid w:val="0062703B"/>
    <w:rsid w:val="0062704C"/>
    <w:rsid w:val="006279EA"/>
    <w:rsid w:val="00627CA9"/>
    <w:rsid w:val="00627ED8"/>
    <w:rsid w:val="00627FC3"/>
    <w:rsid w:val="006301A5"/>
    <w:rsid w:val="006303D0"/>
    <w:rsid w:val="0063070C"/>
    <w:rsid w:val="00630C91"/>
    <w:rsid w:val="00631260"/>
    <w:rsid w:val="006316D9"/>
    <w:rsid w:val="00631A1D"/>
    <w:rsid w:val="006320CB"/>
    <w:rsid w:val="00632378"/>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CEE"/>
    <w:rsid w:val="00636D62"/>
    <w:rsid w:val="00636F4C"/>
    <w:rsid w:val="00636FE9"/>
    <w:rsid w:val="00637EFA"/>
    <w:rsid w:val="00640797"/>
    <w:rsid w:val="00640BC8"/>
    <w:rsid w:val="00640F6E"/>
    <w:rsid w:val="006414FF"/>
    <w:rsid w:val="0064164D"/>
    <w:rsid w:val="006421D5"/>
    <w:rsid w:val="0064221C"/>
    <w:rsid w:val="00642451"/>
    <w:rsid w:val="0064267D"/>
    <w:rsid w:val="00642A41"/>
    <w:rsid w:val="00642B3F"/>
    <w:rsid w:val="00643194"/>
    <w:rsid w:val="0064375C"/>
    <w:rsid w:val="00643CF3"/>
    <w:rsid w:val="00644D51"/>
    <w:rsid w:val="00644DA3"/>
    <w:rsid w:val="00645994"/>
    <w:rsid w:val="00645A66"/>
    <w:rsid w:val="00645F59"/>
    <w:rsid w:val="006464B2"/>
    <w:rsid w:val="0064659A"/>
    <w:rsid w:val="00647075"/>
    <w:rsid w:val="00647171"/>
    <w:rsid w:val="00647480"/>
    <w:rsid w:val="00647AF1"/>
    <w:rsid w:val="0065116A"/>
    <w:rsid w:val="00651A5E"/>
    <w:rsid w:val="00651EF4"/>
    <w:rsid w:val="0065240B"/>
    <w:rsid w:val="00653B15"/>
    <w:rsid w:val="00654C2B"/>
    <w:rsid w:val="00655300"/>
    <w:rsid w:val="00655675"/>
    <w:rsid w:val="00656644"/>
    <w:rsid w:val="00656718"/>
    <w:rsid w:val="00656D17"/>
    <w:rsid w:val="00657254"/>
    <w:rsid w:val="00657313"/>
    <w:rsid w:val="006575BC"/>
    <w:rsid w:val="0065782A"/>
    <w:rsid w:val="00657D9B"/>
    <w:rsid w:val="00657F0F"/>
    <w:rsid w:val="00657FAA"/>
    <w:rsid w:val="006604D2"/>
    <w:rsid w:val="006612FC"/>
    <w:rsid w:val="0066196B"/>
    <w:rsid w:val="00661989"/>
    <w:rsid w:val="00661A46"/>
    <w:rsid w:val="00661B56"/>
    <w:rsid w:val="00661BF9"/>
    <w:rsid w:val="00661CA2"/>
    <w:rsid w:val="00661E87"/>
    <w:rsid w:val="00661FC1"/>
    <w:rsid w:val="00662327"/>
    <w:rsid w:val="00662795"/>
    <w:rsid w:val="00662A36"/>
    <w:rsid w:val="006631CB"/>
    <w:rsid w:val="0066369F"/>
    <w:rsid w:val="00663DA3"/>
    <w:rsid w:val="00664392"/>
    <w:rsid w:val="006644DF"/>
    <w:rsid w:val="00664B90"/>
    <w:rsid w:val="00664C5F"/>
    <w:rsid w:val="00664DCB"/>
    <w:rsid w:val="00666899"/>
    <w:rsid w:val="00666D48"/>
    <w:rsid w:val="00666DCF"/>
    <w:rsid w:val="00667139"/>
    <w:rsid w:val="0066715D"/>
    <w:rsid w:val="006671DD"/>
    <w:rsid w:val="00667241"/>
    <w:rsid w:val="006674B5"/>
    <w:rsid w:val="0066752A"/>
    <w:rsid w:val="006678BC"/>
    <w:rsid w:val="00667998"/>
    <w:rsid w:val="00670971"/>
    <w:rsid w:val="006722AC"/>
    <w:rsid w:val="006726B6"/>
    <w:rsid w:val="0067278A"/>
    <w:rsid w:val="00672E10"/>
    <w:rsid w:val="00673005"/>
    <w:rsid w:val="00673E7B"/>
    <w:rsid w:val="0067417E"/>
    <w:rsid w:val="006742D9"/>
    <w:rsid w:val="0067433D"/>
    <w:rsid w:val="00674502"/>
    <w:rsid w:val="006745BC"/>
    <w:rsid w:val="00674901"/>
    <w:rsid w:val="00674966"/>
    <w:rsid w:val="00676247"/>
    <w:rsid w:val="006766C0"/>
    <w:rsid w:val="0067736D"/>
    <w:rsid w:val="00677E63"/>
    <w:rsid w:val="00677EA7"/>
    <w:rsid w:val="00680025"/>
    <w:rsid w:val="00681256"/>
    <w:rsid w:val="0068197D"/>
    <w:rsid w:val="006821AC"/>
    <w:rsid w:val="00682252"/>
    <w:rsid w:val="00683127"/>
    <w:rsid w:val="00683736"/>
    <w:rsid w:val="006838A0"/>
    <w:rsid w:val="00683A1B"/>
    <w:rsid w:val="00684343"/>
    <w:rsid w:val="00685122"/>
    <w:rsid w:val="006854BD"/>
    <w:rsid w:val="006855E1"/>
    <w:rsid w:val="00685A27"/>
    <w:rsid w:val="00685C8C"/>
    <w:rsid w:val="00685F3C"/>
    <w:rsid w:val="00686587"/>
    <w:rsid w:val="006869FB"/>
    <w:rsid w:val="00686FBF"/>
    <w:rsid w:val="00687891"/>
    <w:rsid w:val="006903E9"/>
    <w:rsid w:val="00690DA7"/>
    <w:rsid w:val="00691504"/>
    <w:rsid w:val="0069156D"/>
    <w:rsid w:val="00691704"/>
    <w:rsid w:val="006922AF"/>
    <w:rsid w:val="00692406"/>
    <w:rsid w:val="006926B0"/>
    <w:rsid w:val="00692D4B"/>
    <w:rsid w:val="00692E1D"/>
    <w:rsid w:val="00693508"/>
    <w:rsid w:val="00694BCB"/>
    <w:rsid w:val="00695364"/>
    <w:rsid w:val="006956C2"/>
    <w:rsid w:val="006959F0"/>
    <w:rsid w:val="00695DA8"/>
    <w:rsid w:val="00695F26"/>
    <w:rsid w:val="00696A35"/>
    <w:rsid w:val="00696A4F"/>
    <w:rsid w:val="00697551"/>
    <w:rsid w:val="006977C9"/>
    <w:rsid w:val="0069796C"/>
    <w:rsid w:val="006A031E"/>
    <w:rsid w:val="006A034A"/>
    <w:rsid w:val="006A0560"/>
    <w:rsid w:val="006A0F3B"/>
    <w:rsid w:val="006A1091"/>
    <w:rsid w:val="006A177C"/>
    <w:rsid w:val="006A29B5"/>
    <w:rsid w:val="006A2D88"/>
    <w:rsid w:val="006A3464"/>
    <w:rsid w:val="006A3D3C"/>
    <w:rsid w:val="006A4059"/>
    <w:rsid w:val="006A4504"/>
    <w:rsid w:val="006A4B5E"/>
    <w:rsid w:val="006A516E"/>
    <w:rsid w:val="006A589B"/>
    <w:rsid w:val="006A5F1D"/>
    <w:rsid w:val="006A61CA"/>
    <w:rsid w:val="006A653F"/>
    <w:rsid w:val="006A67F6"/>
    <w:rsid w:val="006A6F61"/>
    <w:rsid w:val="006A74B3"/>
    <w:rsid w:val="006A74E9"/>
    <w:rsid w:val="006A7E99"/>
    <w:rsid w:val="006B01E7"/>
    <w:rsid w:val="006B0AFE"/>
    <w:rsid w:val="006B0B3A"/>
    <w:rsid w:val="006B0FFF"/>
    <w:rsid w:val="006B1828"/>
    <w:rsid w:val="006B1E65"/>
    <w:rsid w:val="006B2403"/>
    <w:rsid w:val="006B25A7"/>
    <w:rsid w:val="006B2D4E"/>
    <w:rsid w:val="006B309C"/>
    <w:rsid w:val="006B319C"/>
    <w:rsid w:val="006B332C"/>
    <w:rsid w:val="006B34E3"/>
    <w:rsid w:val="006B398D"/>
    <w:rsid w:val="006B3EE8"/>
    <w:rsid w:val="006B647A"/>
    <w:rsid w:val="006B653E"/>
    <w:rsid w:val="006B6A0B"/>
    <w:rsid w:val="006B7421"/>
    <w:rsid w:val="006B74D4"/>
    <w:rsid w:val="006B7B3C"/>
    <w:rsid w:val="006C088E"/>
    <w:rsid w:val="006C1746"/>
    <w:rsid w:val="006C2037"/>
    <w:rsid w:val="006C25F3"/>
    <w:rsid w:val="006C366B"/>
    <w:rsid w:val="006C3815"/>
    <w:rsid w:val="006C39BF"/>
    <w:rsid w:val="006C39C3"/>
    <w:rsid w:val="006C4600"/>
    <w:rsid w:val="006C503B"/>
    <w:rsid w:val="006C5660"/>
    <w:rsid w:val="006C5E1E"/>
    <w:rsid w:val="006C63AC"/>
    <w:rsid w:val="006C721C"/>
    <w:rsid w:val="006C7320"/>
    <w:rsid w:val="006C7465"/>
    <w:rsid w:val="006C785D"/>
    <w:rsid w:val="006D0230"/>
    <w:rsid w:val="006D0820"/>
    <w:rsid w:val="006D111F"/>
    <w:rsid w:val="006D1524"/>
    <w:rsid w:val="006D163A"/>
    <w:rsid w:val="006D1D10"/>
    <w:rsid w:val="006D2FFD"/>
    <w:rsid w:val="006D38EF"/>
    <w:rsid w:val="006D3AA4"/>
    <w:rsid w:val="006D4752"/>
    <w:rsid w:val="006D4848"/>
    <w:rsid w:val="006D4F76"/>
    <w:rsid w:val="006D5CC9"/>
    <w:rsid w:val="006D66A0"/>
    <w:rsid w:val="006D6D00"/>
    <w:rsid w:val="006D71BD"/>
    <w:rsid w:val="006D73F4"/>
    <w:rsid w:val="006E0041"/>
    <w:rsid w:val="006E0808"/>
    <w:rsid w:val="006E0ABC"/>
    <w:rsid w:val="006E0DBD"/>
    <w:rsid w:val="006E0F51"/>
    <w:rsid w:val="006E15EB"/>
    <w:rsid w:val="006E1A16"/>
    <w:rsid w:val="006E1D07"/>
    <w:rsid w:val="006E1ECB"/>
    <w:rsid w:val="006E2C95"/>
    <w:rsid w:val="006E2D6E"/>
    <w:rsid w:val="006E31AA"/>
    <w:rsid w:val="006E3402"/>
    <w:rsid w:val="006E390E"/>
    <w:rsid w:val="006E42CF"/>
    <w:rsid w:val="006E5BE1"/>
    <w:rsid w:val="006F0539"/>
    <w:rsid w:val="006F0E0E"/>
    <w:rsid w:val="006F0F6B"/>
    <w:rsid w:val="006F118F"/>
    <w:rsid w:val="006F11D3"/>
    <w:rsid w:val="006F13F9"/>
    <w:rsid w:val="006F1598"/>
    <w:rsid w:val="006F168B"/>
    <w:rsid w:val="006F19E5"/>
    <w:rsid w:val="006F2015"/>
    <w:rsid w:val="006F28F4"/>
    <w:rsid w:val="006F2DD2"/>
    <w:rsid w:val="006F3046"/>
    <w:rsid w:val="006F3C16"/>
    <w:rsid w:val="006F4849"/>
    <w:rsid w:val="006F496A"/>
    <w:rsid w:val="006F4F81"/>
    <w:rsid w:val="006F55DB"/>
    <w:rsid w:val="006F5C51"/>
    <w:rsid w:val="006F5E61"/>
    <w:rsid w:val="006F60EC"/>
    <w:rsid w:val="006F644E"/>
    <w:rsid w:val="006F6742"/>
    <w:rsid w:val="006F68CE"/>
    <w:rsid w:val="006F77C8"/>
    <w:rsid w:val="006F79CA"/>
    <w:rsid w:val="006F7AA4"/>
    <w:rsid w:val="00700A4A"/>
    <w:rsid w:val="007013D5"/>
    <w:rsid w:val="00701419"/>
    <w:rsid w:val="00701FDF"/>
    <w:rsid w:val="00702635"/>
    <w:rsid w:val="0070323D"/>
    <w:rsid w:val="00703465"/>
    <w:rsid w:val="0070385E"/>
    <w:rsid w:val="0070388F"/>
    <w:rsid w:val="00703F47"/>
    <w:rsid w:val="0070406D"/>
    <w:rsid w:val="0070561F"/>
    <w:rsid w:val="0070605D"/>
    <w:rsid w:val="00706B99"/>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E44"/>
    <w:rsid w:val="0071439C"/>
    <w:rsid w:val="00715E03"/>
    <w:rsid w:val="00716093"/>
    <w:rsid w:val="00716256"/>
    <w:rsid w:val="007163E9"/>
    <w:rsid w:val="0071666D"/>
    <w:rsid w:val="00716AB5"/>
    <w:rsid w:val="00717E72"/>
    <w:rsid w:val="00720704"/>
    <w:rsid w:val="00720F38"/>
    <w:rsid w:val="00721216"/>
    <w:rsid w:val="0072128E"/>
    <w:rsid w:val="00721326"/>
    <w:rsid w:val="00721874"/>
    <w:rsid w:val="007218D9"/>
    <w:rsid w:val="00721A25"/>
    <w:rsid w:val="00722D63"/>
    <w:rsid w:val="007231E4"/>
    <w:rsid w:val="007235EA"/>
    <w:rsid w:val="007236D3"/>
    <w:rsid w:val="00723722"/>
    <w:rsid w:val="00723947"/>
    <w:rsid w:val="00723D1E"/>
    <w:rsid w:val="00723D6E"/>
    <w:rsid w:val="00724175"/>
    <w:rsid w:val="00724D54"/>
    <w:rsid w:val="00724E97"/>
    <w:rsid w:val="00725E78"/>
    <w:rsid w:val="00725F3F"/>
    <w:rsid w:val="007273F1"/>
    <w:rsid w:val="00727E2A"/>
    <w:rsid w:val="00730970"/>
    <w:rsid w:val="00730B45"/>
    <w:rsid w:val="00730D08"/>
    <w:rsid w:val="00731742"/>
    <w:rsid w:val="00731A3C"/>
    <w:rsid w:val="00731B92"/>
    <w:rsid w:val="00731CEB"/>
    <w:rsid w:val="00732743"/>
    <w:rsid w:val="00732C53"/>
    <w:rsid w:val="007333C0"/>
    <w:rsid w:val="0073361E"/>
    <w:rsid w:val="00733A9C"/>
    <w:rsid w:val="00734A7D"/>
    <w:rsid w:val="0073562D"/>
    <w:rsid w:val="00735A4E"/>
    <w:rsid w:val="0073661F"/>
    <w:rsid w:val="00736B36"/>
    <w:rsid w:val="00736B46"/>
    <w:rsid w:val="00736E86"/>
    <w:rsid w:val="007372BA"/>
    <w:rsid w:val="00737C08"/>
    <w:rsid w:val="00737D80"/>
    <w:rsid w:val="00737FC7"/>
    <w:rsid w:val="007400AB"/>
    <w:rsid w:val="00740328"/>
    <w:rsid w:val="007403D8"/>
    <w:rsid w:val="00740781"/>
    <w:rsid w:val="00740C27"/>
    <w:rsid w:val="00741627"/>
    <w:rsid w:val="0074189B"/>
    <w:rsid w:val="0074450D"/>
    <w:rsid w:val="007445D1"/>
    <w:rsid w:val="0074482A"/>
    <w:rsid w:val="00744AE9"/>
    <w:rsid w:val="00745499"/>
    <w:rsid w:val="0074667D"/>
    <w:rsid w:val="00746AFF"/>
    <w:rsid w:val="007474EA"/>
    <w:rsid w:val="00747A80"/>
    <w:rsid w:val="00747E9B"/>
    <w:rsid w:val="00747EF7"/>
    <w:rsid w:val="00750949"/>
    <w:rsid w:val="007509EF"/>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68C8"/>
    <w:rsid w:val="00756972"/>
    <w:rsid w:val="00756A2E"/>
    <w:rsid w:val="00756B52"/>
    <w:rsid w:val="00756D51"/>
    <w:rsid w:val="00757BA6"/>
    <w:rsid w:val="00760A34"/>
    <w:rsid w:val="00760C73"/>
    <w:rsid w:val="00760D44"/>
    <w:rsid w:val="00761151"/>
    <w:rsid w:val="00761532"/>
    <w:rsid w:val="00761CFD"/>
    <w:rsid w:val="00762105"/>
    <w:rsid w:val="00762934"/>
    <w:rsid w:val="0076339B"/>
    <w:rsid w:val="00763665"/>
    <w:rsid w:val="00763A7C"/>
    <w:rsid w:val="00764F78"/>
    <w:rsid w:val="007651AF"/>
    <w:rsid w:val="007661F5"/>
    <w:rsid w:val="007670E9"/>
    <w:rsid w:val="00767EBD"/>
    <w:rsid w:val="00770055"/>
    <w:rsid w:val="00770089"/>
    <w:rsid w:val="007700A3"/>
    <w:rsid w:val="007706A5"/>
    <w:rsid w:val="007707B4"/>
    <w:rsid w:val="00770FA6"/>
    <w:rsid w:val="00771197"/>
    <w:rsid w:val="00771373"/>
    <w:rsid w:val="00771417"/>
    <w:rsid w:val="0077163B"/>
    <w:rsid w:val="007717F8"/>
    <w:rsid w:val="0077188E"/>
    <w:rsid w:val="00771DD7"/>
    <w:rsid w:val="00771ECE"/>
    <w:rsid w:val="0077276E"/>
    <w:rsid w:val="0077325D"/>
    <w:rsid w:val="0077366E"/>
    <w:rsid w:val="00773671"/>
    <w:rsid w:val="0077386F"/>
    <w:rsid w:val="00773F3A"/>
    <w:rsid w:val="00774179"/>
    <w:rsid w:val="0077525F"/>
    <w:rsid w:val="007760FF"/>
    <w:rsid w:val="00776342"/>
    <w:rsid w:val="00776E47"/>
    <w:rsid w:val="00776EEB"/>
    <w:rsid w:val="007774B5"/>
    <w:rsid w:val="0077790D"/>
    <w:rsid w:val="00777E2F"/>
    <w:rsid w:val="00781356"/>
    <w:rsid w:val="0078136C"/>
    <w:rsid w:val="007813C7"/>
    <w:rsid w:val="007825A9"/>
    <w:rsid w:val="007826F1"/>
    <w:rsid w:val="00782710"/>
    <w:rsid w:val="00782BDF"/>
    <w:rsid w:val="00782DE8"/>
    <w:rsid w:val="0078334F"/>
    <w:rsid w:val="007837B5"/>
    <w:rsid w:val="007838C4"/>
    <w:rsid w:val="00783F2B"/>
    <w:rsid w:val="00784108"/>
    <w:rsid w:val="00784604"/>
    <w:rsid w:val="007847CE"/>
    <w:rsid w:val="0078481A"/>
    <w:rsid w:val="00785176"/>
    <w:rsid w:val="00785460"/>
    <w:rsid w:val="00785ADC"/>
    <w:rsid w:val="0078729D"/>
    <w:rsid w:val="00787318"/>
    <w:rsid w:val="007875F6"/>
    <w:rsid w:val="00787837"/>
    <w:rsid w:val="007879D4"/>
    <w:rsid w:val="0079130C"/>
    <w:rsid w:val="007913C9"/>
    <w:rsid w:val="0079240C"/>
    <w:rsid w:val="007925C0"/>
    <w:rsid w:val="00792836"/>
    <w:rsid w:val="00792CDE"/>
    <w:rsid w:val="00793720"/>
    <w:rsid w:val="00793CAC"/>
    <w:rsid w:val="00793CFD"/>
    <w:rsid w:val="007946C0"/>
    <w:rsid w:val="007946FB"/>
    <w:rsid w:val="00794F40"/>
    <w:rsid w:val="00795150"/>
    <w:rsid w:val="007954C8"/>
    <w:rsid w:val="007955CA"/>
    <w:rsid w:val="007957F4"/>
    <w:rsid w:val="00795817"/>
    <w:rsid w:val="00796C7C"/>
    <w:rsid w:val="007974F6"/>
    <w:rsid w:val="00797F11"/>
    <w:rsid w:val="007A071B"/>
    <w:rsid w:val="007A1345"/>
    <w:rsid w:val="007A1DE4"/>
    <w:rsid w:val="007A2048"/>
    <w:rsid w:val="007A211D"/>
    <w:rsid w:val="007A22C2"/>
    <w:rsid w:val="007A25E0"/>
    <w:rsid w:val="007A276E"/>
    <w:rsid w:val="007A2DB4"/>
    <w:rsid w:val="007A3302"/>
    <w:rsid w:val="007A3335"/>
    <w:rsid w:val="007A36D1"/>
    <w:rsid w:val="007A39D8"/>
    <w:rsid w:val="007A3C41"/>
    <w:rsid w:val="007A4F0F"/>
    <w:rsid w:val="007A5A90"/>
    <w:rsid w:val="007A5B25"/>
    <w:rsid w:val="007A645A"/>
    <w:rsid w:val="007A69C3"/>
    <w:rsid w:val="007A6AA8"/>
    <w:rsid w:val="007A6D90"/>
    <w:rsid w:val="007A731A"/>
    <w:rsid w:val="007A7453"/>
    <w:rsid w:val="007A7B6E"/>
    <w:rsid w:val="007B0600"/>
    <w:rsid w:val="007B0801"/>
    <w:rsid w:val="007B0832"/>
    <w:rsid w:val="007B09DB"/>
    <w:rsid w:val="007B0B35"/>
    <w:rsid w:val="007B1D8A"/>
    <w:rsid w:val="007B1E09"/>
    <w:rsid w:val="007B2693"/>
    <w:rsid w:val="007B2F1E"/>
    <w:rsid w:val="007B3338"/>
    <w:rsid w:val="007B3B27"/>
    <w:rsid w:val="007B3FE2"/>
    <w:rsid w:val="007B4382"/>
    <w:rsid w:val="007B479F"/>
    <w:rsid w:val="007B494D"/>
    <w:rsid w:val="007B575F"/>
    <w:rsid w:val="007B5BFF"/>
    <w:rsid w:val="007B5F19"/>
    <w:rsid w:val="007B5F59"/>
    <w:rsid w:val="007B634F"/>
    <w:rsid w:val="007B6C56"/>
    <w:rsid w:val="007B73C6"/>
    <w:rsid w:val="007B7636"/>
    <w:rsid w:val="007B77EF"/>
    <w:rsid w:val="007B77F0"/>
    <w:rsid w:val="007C0094"/>
    <w:rsid w:val="007C0E21"/>
    <w:rsid w:val="007C10A5"/>
    <w:rsid w:val="007C132C"/>
    <w:rsid w:val="007C15FA"/>
    <w:rsid w:val="007C16EE"/>
    <w:rsid w:val="007C1EB6"/>
    <w:rsid w:val="007C1F49"/>
    <w:rsid w:val="007C2051"/>
    <w:rsid w:val="007C2737"/>
    <w:rsid w:val="007C2D3D"/>
    <w:rsid w:val="007C2E89"/>
    <w:rsid w:val="007C3144"/>
    <w:rsid w:val="007C377D"/>
    <w:rsid w:val="007C3946"/>
    <w:rsid w:val="007C41C5"/>
    <w:rsid w:val="007C468B"/>
    <w:rsid w:val="007C48F4"/>
    <w:rsid w:val="007C4F70"/>
    <w:rsid w:val="007C5232"/>
    <w:rsid w:val="007C595D"/>
    <w:rsid w:val="007C604A"/>
    <w:rsid w:val="007C60C0"/>
    <w:rsid w:val="007C6B2A"/>
    <w:rsid w:val="007C6CA9"/>
    <w:rsid w:val="007C6DA1"/>
    <w:rsid w:val="007C73F9"/>
    <w:rsid w:val="007C7B90"/>
    <w:rsid w:val="007C7BF1"/>
    <w:rsid w:val="007D0482"/>
    <w:rsid w:val="007D081A"/>
    <w:rsid w:val="007D0A70"/>
    <w:rsid w:val="007D16A3"/>
    <w:rsid w:val="007D19FB"/>
    <w:rsid w:val="007D1E47"/>
    <w:rsid w:val="007D2AD4"/>
    <w:rsid w:val="007D3750"/>
    <w:rsid w:val="007D3BF2"/>
    <w:rsid w:val="007D468E"/>
    <w:rsid w:val="007D4767"/>
    <w:rsid w:val="007D4A3C"/>
    <w:rsid w:val="007D4BC3"/>
    <w:rsid w:val="007D4BF4"/>
    <w:rsid w:val="007D4DEF"/>
    <w:rsid w:val="007D4E9A"/>
    <w:rsid w:val="007D59FB"/>
    <w:rsid w:val="007D71AE"/>
    <w:rsid w:val="007D73A2"/>
    <w:rsid w:val="007D7461"/>
    <w:rsid w:val="007E04A0"/>
    <w:rsid w:val="007E0528"/>
    <w:rsid w:val="007E06AE"/>
    <w:rsid w:val="007E08F6"/>
    <w:rsid w:val="007E12DC"/>
    <w:rsid w:val="007E1305"/>
    <w:rsid w:val="007E151A"/>
    <w:rsid w:val="007E161F"/>
    <w:rsid w:val="007E1B64"/>
    <w:rsid w:val="007E1D34"/>
    <w:rsid w:val="007E1F52"/>
    <w:rsid w:val="007E2ABF"/>
    <w:rsid w:val="007E2C3A"/>
    <w:rsid w:val="007E2FF9"/>
    <w:rsid w:val="007E38D7"/>
    <w:rsid w:val="007E4319"/>
    <w:rsid w:val="007E44A0"/>
    <w:rsid w:val="007E4C7E"/>
    <w:rsid w:val="007E4F7B"/>
    <w:rsid w:val="007E53C1"/>
    <w:rsid w:val="007E5A18"/>
    <w:rsid w:val="007E5A1C"/>
    <w:rsid w:val="007E60E9"/>
    <w:rsid w:val="007E676F"/>
    <w:rsid w:val="007E6851"/>
    <w:rsid w:val="007E7128"/>
    <w:rsid w:val="007E72ED"/>
    <w:rsid w:val="007F0625"/>
    <w:rsid w:val="007F083E"/>
    <w:rsid w:val="007F193B"/>
    <w:rsid w:val="007F285D"/>
    <w:rsid w:val="007F2993"/>
    <w:rsid w:val="007F2CD7"/>
    <w:rsid w:val="007F34E8"/>
    <w:rsid w:val="007F40A6"/>
    <w:rsid w:val="007F42FD"/>
    <w:rsid w:val="007F4694"/>
    <w:rsid w:val="007F5625"/>
    <w:rsid w:val="007F6124"/>
    <w:rsid w:val="007F683C"/>
    <w:rsid w:val="007F7AF2"/>
    <w:rsid w:val="007F7DCC"/>
    <w:rsid w:val="008009A7"/>
    <w:rsid w:val="00800AA6"/>
    <w:rsid w:val="00801267"/>
    <w:rsid w:val="008012A8"/>
    <w:rsid w:val="00801357"/>
    <w:rsid w:val="00801401"/>
    <w:rsid w:val="008019A6"/>
    <w:rsid w:val="00801FC1"/>
    <w:rsid w:val="00801FCE"/>
    <w:rsid w:val="00803C6A"/>
    <w:rsid w:val="00804356"/>
    <w:rsid w:val="008048DA"/>
    <w:rsid w:val="0080589B"/>
    <w:rsid w:val="008059CB"/>
    <w:rsid w:val="00805A29"/>
    <w:rsid w:val="00805F12"/>
    <w:rsid w:val="00805FC9"/>
    <w:rsid w:val="0080705B"/>
    <w:rsid w:val="00807083"/>
    <w:rsid w:val="0080742D"/>
    <w:rsid w:val="00807F10"/>
    <w:rsid w:val="00807F9F"/>
    <w:rsid w:val="00810302"/>
    <w:rsid w:val="0081087D"/>
    <w:rsid w:val="0081140B"/>
    <w:rsid w:val="008115BB"/>
    <w:rsid w:val="008117DB"/>
    <w:rsid w:val="00811FA5"/>
    <w:rsid w:val="0081212B"/>
    <w:rsid w:val="00812A29"/>
    <w:rsid w:val="00812A8B"/>
    <w:rsid w:val="008137C1"/>
    <w:rsid w:val="00813F2A"/>
    <w:rsid w:val="00814295"/>
    <w:rsid w:val="008143AB"/>
    <w:rsid w:val="00814616"/>
    <w:rsid w:val="00814875"/>
    <w:rsid w:val="00814A55"/>
    <w:rsid w:val="00814FF4"/>
    <w:rsid w:val="0081554B"/>
    <w:rsid w:val="008155C2"/>
    <w:rsid w:val="00815EAA"/>
    <w:rsid w:val="00815F0A"/>
    <w:rsid w:val="00816AA8"/>
    <w:rsid w:val="00817343"/>
    <w:rsid w:val="008203B6"/>
    <w:rsid w:val="008211E5"/>
    <w:rsid w:val="008212BF"/>
    <w:rsid w:val="008213FD"/>
    <w:rsid w:val="008214A9"/>
    <w:rsid w:val="0082181F"/>
    <w:rsid w:val="00821BF8"/>
    <w:rsid w:val="00822492"/>
    <w:rsid w:val="0082262D"/>
    <w:rsid w:val="00822747"/>
    <w:rsid w:val="00822826"/>
    <w:rsid w:val="008228E6"/>
    <w:rsid w:val="00822B08"/>
    <w:rsid w:val="00822E85"/>
    <w:rsid w:val="008234CF"/>
    <w:rsid w:val="0082375B"/>
    <w:rsid w:val="00823BFB"/>
    <w:rsid w:val="00823E39"/>
    <w:rsid w:val="00823F86"/>
    <w:rsid w:val="00824318"/>
    <w:rsid w:val="0082431D"/>
    <w:rsid w:val="00824A39"/>
    <w:rsid w:val="00825132"/>
    <w:rsid w:val="00825DEF"/>
    <w:rsid w:val="008263F9"/>
    <w:rsid w:val="00826FA1"/>
    <w:rsid w:val="00827002"/>
    <w:rsid w:val="00827783"/>
    <w:rsid w:val="0083088D"/>
    <w:rsid w:val="00830FB6"/>
    <w:rsid w:val="008314F3"/>
    <w:rsid w:val="00831687"/>
    <w:rsid w:val="00831D6F"/>
    <w:rsid w:val="00831DB4"/>
    <w:rsid w:val="00831E28"/>
    <w:rsid w:val="00832148"/>
    <w:rsid w:val="00832288"/>
    <w:rsid w:val="008327AD"/>
    <w:rsid w:val="008330B0"/>
    <w:rsid w:val="0083348A"/>
    <w:rsid w:val="00833674"/>
    <w:rsid w:val="0083398F"/>
    <w:rsid w:val="00833AAA"/>
    <w:rsid w:val="00833E93"/>
    <w:rsid w:val="00834512"/>
    <w:rsid w:val="00834B72"/>
    <w:rsid w:val="0083555A"/>
    <w:rsid w:val="00835A67"/>
    <w:rsid w:val="00836A2C"/>
    <w:rsid w:val="00836D90"/>
    <w:rsid w:val="00836DBD"/>
    <w:rsid w:val="00836F79"/>
    <w:rsid w:val="0083714A"/>
    <w:rsid w:val="008377D1"/>
    <w:rsid w:val="008378A5"/>
    <w:rsid w:val="0084118C"/>
    <w:rsid w:val="008419D1"/>
    <w:rsid w:val="00841A8A"/>
    <w:rsid w:val="00841C0C"/>
    <w:rsid w:val="00841EFC"/>
    <w:rsid w:val="00841F07"/>
    <w:rsid w:val="00842622"/>
    <w:rsid w:val="00842D32"/>
    <w:rsid w:val="00842F79"/>
    <w:rsid w:val="008432CF"/>
    <w:rsid w:val="00843420"/>
    <w:rsid w:val="008444B9"/>
    <w:rsid w:val="0084479C"/>
    <w:rsid w:val="00844A0A"/>
    <w:rsid w:val="00844BC9"/>
    <w:rsid w:val="00845037"/>
    <w:rsid w:val="00845428"/>
    <w:rsid w:val="0084566B"/>
    <w:rsid w:val="00845D79"/>
    <w:rsid w:val="0084634C"/>
    <w:rsid w:val="00846429"/>
    <w:rsid w:val="00846557"/>
    <w:rsid w:val="008469D5"/>
    <w:rsid w:val="00846A3B"/>
    <w:rsid w:val="00846D6C"/>
    <w:rsid w:val="00847B8F"/>
    <w:rsid w:val="00847C40"/>
    <w:rsid w:val="00847CE7"/>
    <w:rsid w:val="00847CE9"/>
    <w:rsid w:val="00850873"/>
    <w:rsid w:val="0085093C"/>
    <w:rsid w:val="00850D52"/>
    <w:rsid w:val="00851165"/>
    <w:rsid w:val="00851175"/>
    <w:rsid w:val="008512F4"/>
    <w:rsid w:val="0085133B"/>
    <w:rsid w:val="00851AA9"/>
    <w:rsid w:val="0085296E"/>
    <w:rsid w:val="00852A46"/>
    <w:rsid w:val="00853B1F"/>
    <w:rsid w:val="00853CB8"/>
    <w:rsid w:val="008546E8"/>
    <w:rsid w:val="008547BD"/>
    <w:rsid w:val="00855FCB"/>
    <w:rsid w:val="00855FD4"/>
    <w:rsid w:val="008560F3"/>
    <w:rsid w:val="00856D41"/>
    <w:rsid w:val="00857586"/>
    <w:rsid w:val="00857AD2"/>
    <w:rsid w:val="00857B74"/>
    <w:rsid w:val="0086044E"/>
    <w:rsid w:val="00860714"/>
    <w:rsid w:val="00860CC5"/>
    <w:rsid w:val="008610D1"/>
    <w:rsid w:val="008615B8"/>
    <w:rsid w:val="0086161A"/>
    <w:rsid w:val="00861B3C"/>
    <w:rsid w:val="00861BB9"/>
    <w:rsid w:val="0086218E"/>
    <w:rsid w:val="0086255C"/>
    <w:rsid w:val="00863008"/>
    <w:rsid w:val="008630C8"/>
    <w:rsid w:val="008633E5"/>
    <w:rsid w:val="008637BA"/>
    <w:rsid w:val="00863A36"/>
    <w:rsid w:val="00863C2F"/>
    <w:rsid w:val="008641A3"/>
    <w:rsid w:val="00865355"/>
    <w:rsid w:val="00866887"/>
    <w:rsid w:val="00866A4E"/>
    <w:rsid w:val="008672A0"/>
    <w:rsid w:val="00870601"/>
    <w:rsid w:val="00870651"/>
    <w:rsid w:val="00871394"/>
    <w:rsid w:val="00871497"/>
    <w:rsid w:val="00871E08"/>
    <w:rsid w:val="008722B3"/>
    <w:rsid w:val="008724D7"/>
    <w:rsid w:val="00872BE4"/>
    <w:rsid w:val="00873639"/>
    <w:rsid w:val="00873C4A"/>
    <w:rsid w:val="00873D85"/>
    <w:rsid w:val="00874992"/>
    <w:rsid w:val="008750FF"/>
    <w:rsid w:val="0087550A"/>
    <w:rsid w:val="008774BE"/>
    <w:rsid w:val="00877B83"/>
    <w:rsid w:val="00877E22"/>
    <w:rsid w:val="0088086D"/>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4635"/>
    <w:rsid w:val="00884953"/>
    <w:rsid w:val="00885044"/>
    <w:rsid w:val="00885612"/>
    <w:rsid w:val="00885C4F"/>
    <w:rsid w:val="00885C79"/>
    <w:rsid w:val="00886578"/>
    <w:rsid w:val="0088659E"/>
    <w:rsid w:val="00886862"/>
    <w:rsid w:val="008868BE"/>
    <w:rsid w:val="00886ABE"/>
    <w:rsid w:val="008871B9"/>
    <w:rsid w:val="008872F0"/>
    <w:rsid w:val="00887531"/>
    <w:rsid w:val="00887A1E"/>
    <w:rsid w:val="00887AA9"/>
    <w:rsid w:val="00887DDF"/>
    <w:rsid w:val="00890568"/>
    <w:rsid w:val="00890A69"/>
    <w:rsid w:val="00891772"/>
    <w:rsid w:val="00891A0F"/>
    <w:rsid w:val="00891B45"/>
    <w:rsid w:val="00892A82"/>
    <w:rsid w:val="00892DCB"/>
    <w:rsid w:val="00893380"/>
    <w:rsid w:val="00893DD3"/>
    <w:rsid w:val="0089402B"/>
    <w:rsid w:val="0089435F"/>
    <w:rsid w:val="0089482E"/>
    <w:rsid w:val="008948C0"/>
    <w:rsid w:val="00894BBD"/>
    <w:rsid w:val="008953D3"/>
    <w:rsid w:val="00895478"/>
    <w:rsid w:val="00895A1E"/>
    <w:rsid w:val="00895C68"/>
    <w:rsid w:val="00895DE8"/>
    <w:rsid w:val="008960EA"/>
    <w:rsid w:val="008965C9"/>
    <w:rsid w:val="00897297"/>
    <w:rsid w:val="00897620"/>
    <w:rsid w:val="00897C71"/>
    <w:rsid w:val="008A1C67"/>
    <w:rsid w:val="008A1FE1"/>
    <w:rsid w:val="008A21D3"/>
    <w:rsid w:val="008A2A1F"/>
    <w:rsid w:val="008A2B10"/>
    <w:rsid w:val="008A2D57"/>
    <w:rsid w:val="008A2ECB"/>
    <w:rsid w:val="008A39AE"/>
    <w:rsid w:val="008A4579"/>
    <w:rsid w:val="008A47E1"/>
    <w:rsid w:val="008A4954"/>
    <w:rsid w:val="008A54B4"/>
    <w:rsid w:val="008A54EB"/>
    <w:rsid w:val="008A556E"/>
    <w:rsid w:val="008A55E8"/>
    <w:rsid w:val="008A614A"/>
    <w:rsid w:val="008A6168"/>
    <w:rsid w:val="008A63AB"/>
    <w:rsid w:val="008A63CB"/>
    <w:rsid w:val="008A6717"/>
    <w:rsid w:val="008A6B28"/>
    <w:rsid w:val="008A6B4F"/>
    <w:rsid w:val="008A71B5"/>
    <w:rsid w:val="008A77CC"/>
    <w:rsid w:val="008A7ADF"/>
    <w:rsid w:val="008A7DED"/>
    <w:rsid w:val="008B00C0"/>
    <w:rsid w:val="008B0F3C"/>
    <w:rsid w:val="008B0FD9"/>
    <w:rsid w:val="008B0FFC"/>
    <w:rsid w:val="008B131F"/>
    <w:rsid w:val="008B18EE"/>
    <w:rsid w:val="008B2859"/>
    <w:rsid w:val="008B30B3"/>
    <w:rsid w:val="008B3842"/>
    <w:rsid w:val="008B44FD"/>
    <w:rsid w:val="008B4529"/>
    <w:rsid w:val="008B4991"/>
    <w:rsid w:val="008B4C07"/>
    <w:rsid w:val="008B4F80"/>
    <w:rsid w:val="008B4F8C"/>
    <w:rsid w:val="008B5015"/>
    <w:rsid w:val="008B52A7"/>
    <w:rsid w:val="008B5B07"/>
    <w:rsid w:val="008B5B94"/>
    <w:rsid w:val="008B5F15"/>
    <w:rsid w:val="008B61E2"/>
    <w:rsid w:val="008B6503"/>
    <w:rsid w:val="008B670B"/>
    <w:rsid w:val="008B6ACC"/>
    <w:rsid w:val="008B756E"/>
    <w:rsid w:val="008B7708"/>
    <w:rsid w:val="008B7CCA"/>
    <w:rsid w:val="008C090F"/>
    <w:rsid w:val="008C0911"/>
    <w:rsid w:val="008C0A1D"/>
    <w:rsid w:val="008C1881"/>
    <w:rsid w:val="008C1AD5"/>
    <w:rsid w:val="008C2F60"/>
    <w:rsid w:val="008C3636"/>
    <w:rsid w:val="008C3F3E"/>
    <w:rsid w:val="008C4BDC"/>
    <w:rsid w:val="008C56D0"/>
    <w:rsid w:val="008C71A7"/>
    <w:rsid w:val="008D0596"/>
    <w:rsid w:val="008D0868"/>
    <w:rsid w:val="008D0D33"/>
    <w:rsid w:val="008D1592"/>
    <w:rsid w:val="008D1707"/>
    <w:rsid w:val="008D1C13"/>
    <w:rsid w:val="008D1D6F"/>
    <w:rsid w:val="008D1DE0"/>
    <w:rsid w:val="008D1FF3"/>
    <w:rsid w:val="008D2492"/>
    <w:rsid w:val="008D3F2C"/>
    <w:rsid w:val="008D4015"/>
    <w:rsid w:val="008D4174"/>
    <w:rsid w:val="008D430D"/>
    <w:rsid w:val="008D47E9"/>
    <w:rsid w:val="008D4888"/>
    <w:rsid w:val="008D50AE"/>
    <w:rsid w:val="008D513A"/>
    <w:rsid w:val="008D67DB"/>
    <w:rsid w:val="008D6A81"/>
    <w:rsid w:val="008E077E"/>
    <w:rsid w:val="008E0A5D"/>
    <w:rsid w:val="008E1713"/>
    <w:rsid w:val="008E1ACE"/>
    <w:rsid w:val="008E1DF8"/>
    <w:rsid w:val="008E2147"/>
    <w:rsid w:val="008E261D"/>
    <w:rsid w:val="008E274C"/>
    <w:rsid w:val="008E29A9"/>
    <w:rsid w:val="008E2DA1"/>
    <w:rsid w:val="008E343B"/>
    <w:rsid w:val="008E3595"/>
    <w:rsid w:val="008E37A1"/>
    <w:rsid w:val="008E3D18"/>
    <w:rsid w:val="008E4238"/>
    <w:rsid w:val="008E4E74"/>
    <w:rsid w:val="008E4F36"/>
    <w:rsid w:val="008E599F"/>
    <w:rsid w:val="008E5D5F"/>
    <w:rsid w:val="008E5DB1"/>
    <w:rsid w:val="008E61A5"/>
    <w:rsid w:val="008E62F8"/>
    <w:rsid w:val="008E72A3"/>
    <w:rsid w:val="008E747C"/>
    <w:rsid w:val="008E7584"/>
    <w:rsid w:val="008E7BE6"/>
    <w:rsid w:val="008E7E0D"/>
    <w:rsid w:val="008F0033"/>
    <w:rsid w:val="008F00F9"/>
    <w:rsid w:val="008F06A9"/>
    <w:rsid w:val="008F1106"/>
    <w:rsid w:val="008F1184"/>
    <w:rsid w:val="008F1B16"/>
    <w:rsid w:val="008F1BD1"/>
    <w:rsid w:val="008F1BEC"/>
    <w:rsid w:val="008F2841"/>
    <w:rsid w:val="008F2CB3"/>
    <w:rsid w:val="008F2CF5"/>
    <w:rsid w:val="008F2DF4"/>
    <w:rsid w:val="008F3381"/>
    <w:rsid w:val="008F3481"/>
    <w:rsid w:val="008F3BCF"/>
    <w:rsid w:val="008F46EE"/>
    <w:rsid w:val="008F50E4"/>
    <w:rsid w:val="008F5F7F"/>
    <w:rsid w:val="008F6009"/>
    <w:rsid w:val="008F6CB5"/>
    <w:rsid w:val="008F6FE3"/>
    <w:rsid w:val="008F7AAC"/>
    <w:rsid w:val="0090009A"/>
    <w:rsid w:val="009006CB"/>
    <w:rsid w:val="0090082D"/>
    <w:rsid w:val="00900E08"/>
    <w:rsid w:val="0090141A"/>
    <w:rsid w:val="00901521"/>
    <w:rsid w:val="009016C6"/>
    <w:rsid w:val="00901E87"/>
    <w:rsid w:val="00901F26"/>
    <w:rsid w:val="009021E8"/>
    <w:rsid w:val="0090258D"/>
    <w:rsid w:val="009027C2"/>
    <w:rsid w:val="00902AE7"/>
    <w:rsid w:val="009038FF"/>
    <w:rsid w:val="00903C31"/>
    <w:rsid w:val="00903E77"/>
    <w:rsid w:val="00904907"/>
    <w:rsid w:val="00904950"/>
    <w:rsid w:val="00904C33"/>
    <w:rsid w:val="00905233"/>
    <w:rsid w:val="009054A6"/>
    <w:rsid w:val="00905B55"/>
    <w:rsid w:val="009071A0"/>
    <w:rsid w:val="00907680"/>
    <w:rsid w:val="009077CB"/>
    <w:rsid w:val="00907BD2"/>
    <w:rsid w:val="00907CD9"/>
    <w:rsid w:val="00907D5A"/>
    <w:rsid w:val="00910553"/>
    <w:rsid w:val="00910ED4"/>
    <w:rsid w:val="00911184"/>
    <w:rsid w:val="009117F5"/>
    <w:rsid w:val="00911CD7"/>
    <w:rsid w:val="009120F7"/>
    <w:rsid w:val="00912372"/>
    <w:rsid w:val="0091276F"/>
    <w:rsid w:val="00912BB1"/>
    <w:rsid w:val="0091302A"/>
    <w:rsid w:val="0091361E"/>
    <w:rsid w:val="00913A02"/>
    <w:rsid w:val="00913E7F"/>
    <w:rsid w:val="00913FBB"/>
    <w:rsid w:val="00913FCC"/>
    <w:rsid w:val="009143FF"/>
    <w:rsid w:val="009152BF"/>
    <w:rsid w:val="00915E5B"/>
    <w:rsid w:val="00915F25"/>
    <w:rsid w:val="009163C9"/>
    <w:rsid w:val="009168AE"/>
    <w:rsid w:val="00916967"/>
    <w:rsid w:val="00917329"/>
    <w:rsid w:val="00917DFD"/>
    <w:rsid w:val="00920123"/>
    <w:rsid w:val="009205F6"/>
    <w:rsid w:val="00920C80"/>
    <w:rsid w:val="00920E25"/>
    <w:rsid w:val="00921275"/>
    <w:rsid w:val="0092158D"/>
    <w:rsid w:val="0092188C"/>
    <w:rsid w:val="00923AE1"/>
    <w:rsid w:val="00923F4A"/>
    <w:rsid w:val="0092404C"/>
    <w:rsid w:val="009240EF"/>
    <w:rsid w:val="00924627"/>
    <w:rsid w:val="0092484A"/>
    <w:rsid w:val="0092490C"/>
    <w:rsid w:val="00924919"/>
    <w:rsid w:val="00925125"/>
    <w:rsid w:val="009252A9"/>
    <w:rsid w:val="009253D3"/>
    <w:rsid w:val="009259DC"/>
    <w:rsid w:val="00925E17"/>
    <w:rsid w:val="00925FEC"/>
    <w:rsid w:val="00926022"/>
    <w:rsid w:val="0092647E"/>
    <w:rsid w:val="009266CB"/>
    <w:rsid w:val="00926C5E"/>
    <w:rsid w:val="009274C2"/>
    <w:rsid w:val="0092784B"/>
    <w:rsid w:val="00927934"/>
    <w:rsid w:val="00927F6C"/>
    <w:rsid w:val="00930A02"/>
    <w:rsid w:val="009313F7"/>
    <w:rsid w:val="00931404"/>
    <w:rsid w:val="009317E9"/>
    <w:rsid w:val="0093229C"/>
    <w:rsid w:val="00932803"/>
    <w:rsid w:val="00932D0C"/>
    <w:rsid w:val="009348F2"/>
    <w:rsid w:val="00934971"/>
    <w:rsid w:val="00936212"/>
    <w:rsid w:val="00936342"/>
    <w:rsid w:val="009367B7"/>
    <w:rsid w:val="00936CE7"/>
    <w:rsid w:val="009371DC"/>
    <w:rsid w:val="00937EB2"/>
    <w:rsid w:val="009401AB"/>
    <w:rsid w:val="0094048F"/>
    <w:rsid w:val="00940668"/>
    <w:rsid w:val="00941223"/>
    <w:rsid w:val="00941A75"/>
    <w:rsid w:val="00941F98"/>
    <w:rsid w:val="00942D11"/>
    <w:rsid w:val="009431F3"/>
    <w:rsid w:val="009436BF"/>
    <w:rsid w:val="00943DD3"/>
    <w:rsid w:val="00944298"/>
    <w:rsid w:val="0094496F"/>
    <w:rsid w:val="00944E46"/>
    <w:rsid w:val="00945464"/>
    <w:rsid w:val="00945CCD"/>
    <w:rsid w:val="00945CE0"/>
    <w:rsid w:val="00946470"/>
    <w:rsid w:val="0094678D"/>
    <w:rsid w:val="00946A4A"/>
    <w:rsid w:val="00946D85"/>
    <w:rsid w:val="009475C5"/>
    <w:rsid w:val="00947889"/>
    <w:rsid w:val="00950547"/>
    <w:rsid w:val="009506BA"/>
    <w:rsid w:val="00950FBA"/>
    <w:rsid w:val="00951284"/>
    <w:rsid w:val="00951673"/>
    <w:rsid w:val="00951EE4"/>
    <w:rsid w:val="00951F51"/>
    <w:rsid w:val="009520E8"/>
    <w:rsid w:val="00952AEC"/>
    <w:rsid w:val="00952C24"/>
    <w:rsid w:val="00952FD0"/>
    <w:rsid w:val="0095317D"/>
    <w:rsid w:val="009537D1"/>
    <w:rsid w:val="009538B5"/>
    <w:rsid w:val="00953A5B"/>
    <w:rsid w:val="00953AAD"/>
    <w:rsid w:val="00953CEC"/>
    <w:rsid w:val="00953FF9"/>
    <w:rsid w:val="009542A7"/>
    <w:rsid w:val="00954898"/>
    <w:rsid w:val="00954D4A"/>
    <w:rsid w:val="00954E12"/>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9F6"/>
    <w:rsid w:val="00961F33"/>
    <w:rsid w:val="00962B96"/>
    <w:rsid w:val="009638FD"/>
    <w:rsid w:val="00963B35"/>
    <w:rsid w:val="009645ED"/>
    <w:rsid w:val="00964A57"/>
    <w:rsid w:val="009654B1"/>
    <w:rsid w:val="009659B4"/>
    <w:rsid w:val="00966601"/>
    <w:rsid w:val="0096689B"/>
    <w:rsid w:val="00966A80"/>
    <w:rsid w:val="00966B7A"/>
    <w:rsid w:val="00966B7C"/>
    <w:rsid w:val="00967727"/>
    <w:rsid w:val="00967D7D"/>
    <w:rsid w:val="00967FE6"/>
    <w:rsid w:val="009701A4"/>
    <w:rsid w:val="00970C36"/>
    <w:rsid w:val="00970E1B"/>
    <w:rsid w:val="009710D6"/>
    <w:rsid w:val="00972849"/>
    <w:rsid w:val="0097297E"/>
    <w:rsid w:val="00972F47"/>
    <w:rsid w:val="00973D62"/>
    <w:rsid w:val="00973F44"/>
    <w:rsid w:val="0097484A"/>
    <w:rsid w:val="00974FB9"/>
    <w:rsid w:val="0097515D"/>
    <w:rsid w:val="00975399"/>
    <w:rsid w:val="00975687"/>
    <w:rsid w:val="009757AF"/>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B78"/>
    <w:rsid w:val="009820A3"/>
    <w:rsid w:val="00982529"/>
    <w:rsid w:val="00982A2F"/>
    <w:rsid w:val="00982BCC"/>
    <w:rsid w:val="00983BA8"/>
    <w:rsid w:val="009848DE"/>
    <w:rsid w:val="00984A2B"/>
    <w:rsid w:val="00985171"/>
    <w:rsid w:val="0098522D"/>
    <w:rsid w:val="009852E4"/>
    <w:rsid w:val="0098554C"/>
    <w:rsid w:val="0098578C"/>
    <w:rsid w:val="009863F6"/>
    <w:rsid w:val="00986577"/>
    <w:rsid w:val="009866DF"/>
    <w:rsid w:val="0098685B"/>
    <w:rsid w:val="0098694E"/>
    <w:rsid w:val="00986C49"/>
    <w:rsid w:val="00986E3F"/>
    <w:rsid w:val="00987C85"/>
    <w:rsid w:val="00987F64"/>
    <w:rsid w:val="0099009C"/>
    <w:rsid w:val="00990470"/>
    <w:rsid w:val="009911A5"/>
    <w:rsid w:val="0099215D"/>
    <w:rsid w:val="00992A17"/>
    <w:rsid w:val="00993665"/>
    <w:rsid w:val="009936DE"/>
    <w:rsid w:val="00993773"/>
    <w:rsid w:val="009940FF"/>
    <w:rsid w:val="00994B6C"/>
    <w:rsid w:val="00994BF2"/>
    <w:rsid w:val="00995288"/>
    <w:rsid w:val="00995BAC"/>
    <w:rsid w:val="00995CAE"/>
    <w:rsid w:val="00996725"/>
    <w:rsid w:val="0099672A"/>
    <w:rsid w:val="009970B9"/>
    <w:rsid w:val="00997B30"/>
    <w:rsid w:val="00997BF7"/>
    <w:rsid w:val="00997C70"/>
    <w:rsid w:val="00997E23"/>
    <w:rsid w:val="009A00EC"/>
    <w:rsid w:val="009A011C"/>
    <w:rsid w:val="009A0272"/>
    <w:rsid w:val="009A0E18"/>
    <w:rsid w:val="009A124B"/>
    <w:rsid w:val="009A1504"/>
    <w:rsid w:val="009A1B28"/>
    <w:rsid w:val="009A237C"/>
    <w:rsid w:val="009A28DD"/>
    <w:rsid w:val="009A2C39"/>
    <w:rsid w:val="009A2C96"/>
    <w:rsid w:val="009A2D91"/>
    <w:rsid w:val="009A2FFC"/>
    <w:rsid w:val="009A31F0"/>
    <w:rsid w:val="009A3F69"/>
    <w:rsid w:val="009A3FF5"/>
    <w:rsid w:val="009A4455"/>
    <w:rsid w:val="009A4575"/>
    <w:rsid w:val="009A46FD"/>
    <w:rsid w:val="009A47CF"/>
    <w:rsid w:val="009A48CC"/>
    <w:rsid w:val="009A4BD8"/>
    <w:rsid w:val="009A4FD1"/>
    <w:rsid w:val="009A5117"/>
    <w:rsid w:val="009A56DF"/>
    <w:rsid w:val="009A570F"/>
    <w:rsid w:val="009A60B3"/>
    <w:rsid w:val="009A6F9B"/>
    <w:rsid w:val="009B0037"/>
    <w:rsid w:val="009B0450"/>
    <w:rsid w:val="009B04AB"/>
    <w:rsid w:val="009B1600"/>
    <w:rsid w:val="009B1630"/>
    <w:rsid w:val="009B1A4C"/>
    <w:rsid w:val="009B2757"/>
    <w:rsid w:val="009B29E9"/>
    <w:rsid w:val="009B2B0D"/>
    <w:rsid w:val="009B2F38"/>
    <w:rsid w:val="009B3390"/>
    <w:rsid w:val="009B3968"/>
    <w:rsid w:val="009B4335"/>
    <w:rsid w:val="009B474C"/>
    <w:rsid w:val="009B4CC3"/>
    <w:rsid w:val="009B4DE6"/>
    <w:rsid w:val="009B5378"/>
    <w:rsid w:val="009B5EF5"/>
    <w:rsid w:val="009B635B"/>
    <w:rsid w:val="009B6779"/>
    <w:rsid w:val="009B734B"/>
    <w:rsid w:val="009B74D2"/>
    <w:rsid w:val="009B7EC7"/>
    <w:rsid w:val="009C06CA"/>
    <w:rsid w:val="009C0A54"/>
    <w:rsid w:val="009C0C8C"/>
    <w:rsid w:val="009C1409"/>
    <w:rsid w:val="009C1692"/>
    <w:rsid w:val="009C192E"/>
    <w:rsid w:val="009C4C0F"/>
    <w:rsid w:val="009C560C"/>
    <w:rsid w:val="009C6D7E"/>
    <w:rsid w:val="009C6DA9"/>
    <w:rsid w:val="009C7A18"/>
    <w:rsid w:val="009C7D2E"/>
    <w:rsid w:val="009C7F8C"/>
    <w:rsid w:val="009D0AFD"/>
    <w:rsid w:val="009D2987"/>
    <w:rsid w:val="009D29A5"/>
    <w:rsid w:val="009D2C34"/>
    <w:rsid w:val="009D3F0F"/>
    <w:rsid w:val="009D43E3"/>
    <w:rsid w:val="009D4B4D"/>
    <w:rsid w:val="009D500C"/>
    <w:rsid w:val="009D55D5"/>
    <w:rsid w:val="009D59B0"/>
    <w:rsid w:val="009D5CB5"/>
    <w:rsid w:val="009D5D63"/>
    <w:rsid w:val="009D670A"/>
    <w:rsid w:val="009D70C9"/>
    <w:rsid w:val="009D76E7"/>
    <w:rsid w:val="009E0CB7"/>
    <w:rsid w:val="009E1314"/>
    <w:rsid w:val="009E13E5"/>
    <w:rsid w:val="009E177B"/>
    <w:rsid w:val="009E177D"/>
    <w:rsid w:val="009E1A5D"/>
    <w:rsid w:val="009E1A98"/>
    <w:rsid w:val="009E1C30"/>
    <w:rsid w:val="009E1E14"/>
    <w:rsid w:val="009E23D7"/>
    <w:rsid w:val="009E2E34"/>
    <w:rsid w:val="009E326C"/>
    <w:rsid w:val="009E3A7D"/>
    <w:rsid w:val="009E4461"/>
    <w:rsid w:val="009E4CA5"/>
    <w:rsid w:val="009E4D70"/>
    <w:rsid w:val="009E4F8D"/>
    <w:rsid w:val="009E5636"/>
    <w:rsid w:val="009E5FA4"/>
    <w:rsid w:val="009E6049"/>
    <w:rsid w:val="009E622F"/>
    <w:rsid w:val="009E6E97"/>
    <w:rsid w:val="009E726C"/>
    <w:rsid w:val="009E7402"/>
    <w:rsid w:val="009E75C9"/>
    <w:rsid w:val="009E7612"/>
    <w:rsid w:val="009E7D1B"/>
    <w:rsid w:val="009F030B"/>
    <w:rsid w:val="009F0320"/>
    <w:rsid w:val="009F0547"/>
    <w:rsid w:val="009F08FF"/>
    <w:rsid w:val="009F1531"/>
    <w:rsid w:val="009F168B"/>
    <w:rsid w:val="009F1D27"/>
    <w:rsid w:val="009F2042"/>
    <w:rsid w:val="009F234D"/>
    <w:rsid w:val="009F2C28"/>
    <w:rsid w:val="009F2F3A"/>
    <w:rsid w:val="009F329A"/>
    <w:rsid w:val="009F3946"/>
    <w:rsid w:val="009F436E"/>
    <w:rsid w:val="009F4C79"/>
    <w:rsid w:val="009F5255"/>
    <w:rsid w:val="009F54AD"/>
    <w:rsid w:val="009F54C8"/>
    <w:rsid w:val="009F573F"/>
    <w:rsid w:val="009F5B48"/>
    <w:rsid w:val="009F5DD3"/>
    <w:rsid w:val="009F6075"/>
    <w:rsid w:val="009F631B"/>
    <w:rsid w:val="009F73AF"/>
    <w:rsid w:val="00A00304"/>
    <w:rsid w:val="00A0084A"/>
    <w:rsid w:val="00A008E3"/>
    <w:rsid w:val="00A00B43"/>
    <w:rsid w:val="00A012D4"/>
    <w:rsid w:val="00A017CD"/>
    <w:rsid w:val="00A01ACF"/>
    <w:rsid w:val="00A01AFC"/>
    <w:rsid w:val="00A0249B"/>
    <w:rsid w:val="00A025F4"/>
    <w:rsid w:val="00A02AD9"/>
    <w:rsid w:val="00A02DD0"/>
    <w:rsid w:val="00A03624"/>
    <w:rsid w:val="00A0387A"/>
    <w:rsid w:val="00A03961"/>
    <w:rsid w:val="00A03EAD"/>
    <w:rsid w:val="00A041FD"/>
    <w:rsid w:val="00A04564"/>
    <w:rsid w:val="00A045F2"/>
    <w:rsid w:val="00A04DDE"/>
    <w:rsid w:val="00A05826"/>
    <w:rsid w:val="00A061C3"/>
    <w:rsid w:val="00A06A19"/>
    <w:rsid w:val="00A06AC9"/>
    <w:rsid w:val="00A0732D"/>
    <w:rsid w:val="00A0742A"/>
    <w:rsid w:val="00A07665"/>
    <w:rsid w:val="00A07C70"/>
    <w:rsid w:val="00A07DE8"/>
    <w:rsid w:val="00A07DF0"/>
    <w:rsid w:val="00A10115"/>
    <w:rsid w:val="00A103F9"/>
    <w:rsid w:val="00A109F6"/>
    <w:rsid w:val="00A11226"/>
    <w:rsid w:val="00A11331"/>
    <w:rsid w:val="00A12767"/>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836"/>
    <w:rsid w:val="00A21F50"/>
    <w:rsid w:val="00A22073"/>
    <w:rsid w:val="00A225C6"/>
    <w:rsid w:val="00A22E2E"/>
    <w:rsid w:val="00A22E95"/>
    <w:rsid w:val="00A23497"/>
    <w:rsid w:val="00A23546"/>
    <w:rsid w:val="00A23EB1"/>
    <w:rsid w:val="00A23F69"/>
    <w:rsid w:val="00A23F8A"/>
    <w:rsid w:val="00A24739"/>
    <w:rsid w:val="00A24CB2"/>
    <w:rsid w:val="00A24EB4"/>
    <w:rsid w:val="00A25602"/>
    <w:rsid w:val="00A25F50"/>
    <w:rsid w:val="00A265C6"/>
    <w:rsid w:val="00A266E5"/>
    <w:rsid w:val="00A274DF"/>
    <w:rsid w:val="00A2767E"/>
    <w:rsid w:val="00A277DB"/>
    <w:rsid w:val="00A27FCD"/>
    <w:rsid w:val="00A302D8"/>
    <w:rsid w:val="00A30634"/>
    <w:rsid w:val="00A31086"/>
    <w:rsid w:val="00A3194C"/>
    <w:rsid w:val="00A31B22"/>
    <w:rsid w:val="00A31F29"/>
    <w:rsid w:val="00A31FE6"/>
    <w:rsid w:val="00A3253A"/>
    <w:rsid w:val="00A325C2"/>
    <w:rsid w:val="00A32945"/>
    <w:rsid w:val="00A32A0E"/>
    <w:rsid w:val="00A32D6C"/>
    <w:rsid w:val="00A33567"/>
    <w:rsid w:val="00A34450"/>
    <w:rsid w:val="00A35668"/>
    <w:rsid w:val="00A35917"/>
    <w:rsid w:val="00A359CE"/>
    <w:rsid w:val="00A35EB1"/>
    <w:rsid w:val="00A362A6"/>
    <w:rsid w:val="00A367B8"/>
    <w:rsid w:val="00A36832"/>
    <w:rsid w:val="00A373F9"/>
    <w:rsid w:val="00A3765F"/>
    <w:rsid w:val="00A40C61"/>
    <w:rsid w:val="00A4136E"/>
    <w:rsid w:val="00A422A5"/>
    <w:rsid w:val="00A429E5"/>
    <w:rsid w:val="00A4328E"/>
    <w:rsid w:val="00A435BA"/>
    <w:rsid w:val="00A43731"/>
    <w:rsid w:val="00A44014"/>
    <w:rsid w:val="00A44452"/>
    <w:rsid w:val="00A44474"/>
    <w:rsid w:val="00A444EA"/>
    <w:rsid w:val="00A45336"/>
    <w:rsid w:val="00A454E7"/>
    <w:rsid w:val="00A455D9"/>
    <w:rsid w:val="00A45826"/>
    <w:rsid w:val="00A45C50"/>
    <w:rsid w:val="00A45ED2"/>
    <w:rsid w:val="00A47273"/>
    <w:rsid w:val="00A47381"/>
    <w:rsid w:val="00A5056A"/>
    <w:rsid w:val="00A50927"/>
    <w:rsid w:val="00A50CC4"/>
    <w:rsid w:val="00A511F0"/>
    <w:rsid w:val="00A51A44"/>
    <w:rsid w:val="00A52815"/>
    <w:rsid w:val="00A529F3"/>
    <w:rsid w:val="00A52B33"/>
    <w:rsid w:val="00A52C3A"/>
    <w:rsid w:val="00A535A1"/>
    <w:rsid w:val="00A53749"/>
    <w:rsid w:val="00A54D49"/>
    <w:rsid w:val="00A54D82"/>
    <w:rsid w:val="00A550E0"/>
    <w:rsid w:val="00A5522E"/>
    <w:rsid w:val="00A553E8"/>
    <w:rsid w:val="00A55401"/>
    <w:rsid w:val="00A55D8A"/>
    <w:rsid w:val="00A5609F"/>
    <w:rsid w:val="00A56F89"/>
    <w:rsid w:val="00A604CF"/>
    <w:rsid w:val="00A60EF3"/>
    <w:rsid w:val="00A6110B"/>
    <w:rsid w:val="00A61752"/>
    <w:rsid w:val="00A622EA"/>
    <w:rsid w:val="00A62A0A"/>
    <w:rsid w:val="00A630A6"/>
    <w:rsid w:val="00A632FA"/>
    <w:rsid w:val="00A63826"/>
    <w:rsid w:val="00A63B1D"/>
    <w:rsid w:val="00A6448C"/>
    <w:rsid w:val="00A64578"/>
    <w:rsid w:val="00A64BE8"/>
    <w:rsid w:val="00A65292"/>
    <w:rsid w:val="00A662B6"/>
    <w:rsid w:val="00A66A19"/>
    <w:rsid w:val="00A66AAE"/>
    <w:rsid w:val="00A66DB5"/>
    <w:rsid w:val="00A67A31"/>
    <w:rsid w:val="00A67CD8"/>
    <w:rsid w:val="00A70448"/>
    <w:rsid w:val="00A70D9B"/>
    <w:rsid w:val="00A70F55"/>
    <w:rsid w:val="00A71B83"/>
    <w:rsid w:val="00A71C2D"/>
    <w:rsid w:val="00A71D13"/>
    <w:rsid w:val="00A72053"/>
    <w:rsid w:val="00A721B5"/>
    <w:rsid w:val="00A72568"/>
    <w:rsid w:val="00A72581"/>
    <w:rsid w:val="00A7262F"/>
    <w:rsid w:val="00A739EE"/>
    <w:rsid w:val="00A740D5"/>
    <w:rsid w:val="00A74106"/>
    <w:rsid w:val="00A7469A"/>
    <w:rsid w:val="00A74CCA"/>
    <w:rsid w:val="00A74D65"/>
    <w:rsid w:val="00A74EC2"/>
    <w:rsid w:val="00A75ED2"/>
    <w:rsid w:val="00A7656A"/>
    <w:rsid w:val="00A76681"/>
    <w:rsid w:val="00A767E9"/>
    <w:rsid w:val="00A7685C"/>
    <w:rsid w:val="00A77ACC"/>
    <w:rsid w:val="00A77BC5"/>
    <w:rsid w:val="00A802E1"/>
    <w:rsid w:val="00A807FA"/>
    <w:rsid w:val="00A808BF"/>
    <w:rsid w:val="00A81352"/>
    <w:rsid w:val="00A81529"/>
    <w:rsid w:val="00A817C4"/>
    <w:rsid w:val="00A81BA8"/>
    <w:rsid w:val="00A81EB7"/>
    <w:rsid w:val="00A8258D"/>
    <w:rsid w:val="00A826B6"/>
    <w:rsid w:val="00A8275F"/>
    <w:rsid w:val="00A82F26"/>
    <w:rsid w:val="00A837FB"/>
    <w:rsid w:val="00A83F4C"/>
    <w:rsid w:val="00A842EF"/>
    <w:rsid w:val="00A84E57"/>
    <w:rsid w:val="00A85145"/>
    <w:rsid w:val="00A85330"/>
    <w:rsid w:val="00A85832"/>
    <w:rsid w:val="00A86145"/>
    <w:rsid w:val="00A87973"/>
    <w:rsid w:val="00A87FA2"/>
    <w:rsid w:val="00A90406"/>
    <w:rsid w:val="00A906B0"/>
    <w:rsid w:val="00A9086A"/>
    <w:rsid w:val="00A90A2E"/>
    <w:rsid w:val="00A910CE"/>
    <w:rsid w:val="00A9135E"/>
    <w:rsid w:val="00A91B7B"/>
    <w:rsid w:val="00A9203C"/>
    <w:rsid w:val="00A9227F"/>
    <w:rsid w:val="00A92492"/>
    <w:rsid w:val="00A93555"/>
    <w:rsid w:val="00A94336"/>
    <w:rsid w:val="00A94405"/>
    <w:rsid w:val="00A946E9"/>
    <w:rsid w:val="00A94886"/>
    <w:rsid w:val="00A94B57"/>
    <w:rsid w:val="00A94B9A"/>
    <w:rsid w:val="00A9500D"/>
    <w:rsid w:val="00A951A8"/>
    <w:rsid w:val="00A9557D"/>
    <w:rsid w:val="00A95DAF"/>
    <w:rsid w:val="00A96539"/>
    <w:rsid w:val="00A96776"/>
    <w:rsid w:val="00A96A86"/>
    <w:rsid w:val="00A97092"/>
    <w:rsid w:val="00A9775E"/>
    <w:rsid w:val="00A97FDE"/>
    <w:rsid w:val="00AA041E"/>
    <w:rsid w:val="00AA0501"/>
    <w:rsid w:val="00AA079A"/>
    <w:rsid w:val="00AA12EC"/>
    <w:rsid w:val="00AA1840"/>
    <w:rsid w:val="00AA18DE"/>
    <w:rsid w:val="00AA1E51"/>
    <w:rsid w:val="00AA1E96"/>
    <w:rsid w:val="00AA3371"/>
    <w:rsid w:val="00AA404F"/>
    <w:rsid w:val="00AA4917"/>
    <w:rsid w:val="00AA4E9F"/>
    <w:rsid w:val="00AA5159"/>
    <w:rsid w:val="00AA653A"/>
    <w:rsid w:val="00AA6599"/>
    <w:rsid w:val="00AA70ED"/>
    <w:rsid w:val="00AA7106"/>
    <w:rsid w:val="00AA7FBE"/>
    <w:rsid w:val="00AB024A"/>
    <w:rsid w:val="00AB160C"/>
    <w:rsid w:val="00AB2131"/>
    <w:rsid w:val="00AB2FCE"/>
    <w:rsid w:val="00AB3779"/>
    <w:rsid w:val="00AB3BDB"/>
    <w:rsid w:val="00AB42F2"/>
    <w:rsid w:val="00AB4679"/>
    <w:rsid w:val="00AB4722"/>
    <w:rsid w:val="00AB4B9F"/>
    <w:rsid w:val="00AB4E09"/>
    <w:rsid w:val="00AB5A6F"/>
    <w:rsid w:val="00AB5E7F"/>
    <w:rsid w:val="00AB64E4"/>
    <w:rsid w:val="00AB6D92"/>
    <w:rsid w:val="00AB7642"/>
    <w:rsid w:val="00AB7B39"/>
    <w:rsid w:val="00AB7C8B"/>
    <w:rsid w:val="00AC0907"/>
    <w:rsid w:val="00AC12F9"/>
    <w:rsid w:val="00AC15B1"/>
    <w:rsid w:val="00AC1F1C"/>
    <w:rsid w:val="00AC2AF2"/>
    <w:rsid w:val="00AC301D"/>
    <w:rsid w:val="00AC33A9"/>
    <w:rsid w:val="00AC33F8"/>
    <w:rsid w:val="00AC35C3"/>
    <w:rsid w:val="00AC42B9"/>
    <w:rsid w:val="00AC4496"/>
    <w:rsid w:val="00AC44AC"/>
    <w:rsid w:val="00AC4EAB"/>
    <w:rsid w:val="00AC4F34"/>
    <w:rsid w:val="00AC4F76"/>
    <w:rsid w:val="00AC519D"/>
    <w:rsid w:val="00AC5818"/>
    <w:rsid w:val="00AC59E9"/>
    <w:rsid w:val="00AC5F58"/>
    <w:rsid w:val="00AC6701"/>
    <w:rsid w:val="00AC6883"/>
    <w:rsid w:val="00AC6D2E"/>
    <w:rsid w:val="00AC7A11"/>
    <w:rsid w:val="00AD2143"/>
    <w:rsid w:val="00AD28FB"/>
    <w:rsid w:val="00AD2BDA"/>
    <w:rsid w:val="00AD3CF4"/>
    <w:rsid w:val="00AD4127"/>
    <w:rsid w:val="00AD5372"/>
    <w:rsid w:val="00AD5C9F"/>
    <w:rsid w:val="00AD6899"/>
    <w:rsid w:val="00AD6F7D"/>
    <w:rsid w:val="00AD7144"/>
    <w:rsid w:val="00AD7EB3"/>
    <w:rsid w:val="00AE069C"/>
    <w:rsid w:val="00AE0B5D"/>
    <w:rsid w:val="00AE0C05"/>
    <w:rsid w:val="00AE0D8F"/>
    <w:rsid w:val="00AE14E3"/>
    <w:rsid w:val="00AE158D"/>
    <w:rsid w:val="00AE2F5F"/>
    <w:rsid w:val="00AE3223"/>
    <w:rsid w:val="00AE3AF5"/>
    <w:rsid w:val="00AE433E"/>
    <w:rsid w:val="00AE4592"/>
    <w:rsid w:val="00AE461B"/>
    <w:rsid w:val="00AE4909"/>
    <w:rsid w:val="00AE5A8A"/>
    <w:rsid w:val="00AE5EF5"/>
    <w:rsid w:val="00AE61F2"/>
    <w:rsid w:val="00AE72A2"/>
    <w:rsid w:val="00AE7669"/>
    <w:rsid w:val="00AE7FF4"/>
    <w:rsid w:val="00AF00AC"/>
    <w:rsid w:val="00AF022E"/>
    <w:rsid w:val="00AF0538"/>
    <w:rsid w:val="00AF0C90"/>
    <w:rsid w:val="00AF139B"/>
    <w:rsid w:val="00AF1D54"/>
    <w:rsid w:val="00AF2924"/>
    <w:rsid w:val="00AF2933"/>
    <w:rsid w:val="00AF2D4E"/>
    <w:rsid w:val="00AF2E69"/>
    <w:rsid w:val="00AF3922"/>
    <w:rsid w:val="00AF48A3"/>
    <w:rsid w:val="00AF50A6"/>
    <w:rsid w:val="00AF62D7"/>
    <w:rsid w:val="00AF6631"/>
    <w:rsid w:val="00AF6832"/>
    <w:rsid w:val="00AF6C48"/>
    <w:rsid w:val="00AF7156"/>
    <w:rsid w:val="00AF7256"/>
    <w:rsid w:val="00AF7DB0"/>
    <w:rsid w:val="00B005D5"/>
    <w:rsid w:val="00B006A2"/>
    <w:rsid w:val="00B00A08"/>
    <w:rsid w:val="00B0125E"/>
    <w:rsid w:val="00B0141B"/>
    <w:rsid w:val="00B018B5"/>
    <w:rsid w:val="00B0223B"/>
    <w:rsid w:val="00B0274A"/>
    <w:rsid w:val="00B02909"/>
    <w:rsid w:val="00B029E1"/>
    <w:rsid w:val="00B02CBD"/>
    <w:rsid w:val="00B03594"/>
    <w:rsid w:val="00B036F2"/>
    <w:rsid w:val="00B039D3"/>
    <w:rsid w:val="00B03D5F"/>
    <w:rsid w:val="00B0415D"/>
    <w:rsid w:val="00B04316"/>
    <w:rsid w:val="00B0491C"/>
    <w:rsid w:val="00B0505E"/>
    <w:rsid w:val="00B059DB"/>
    <w:rsid w:val="00B06893"/>
    <w:rsid w:val="00B071A7"/>
    <w:rsid w:val="00B1073C"/>
    <w:rsid w:val="00B10CC6"/>
    <w:rsid w:val="00B10F0A"/>
    <w:rsid w:val="00B10F3F"/>
    <w:rsid w:val="00B110C3"/>
    <w:rsid w:val="00B11B94"/>
    <w:rsid w:val="00B11E67"/>
    <w:rsid w:val="00B11FAD"/>
    <w:rsid w:val="00B12464"/>
    <w:rsid w:val="00B12E5A"/>
    <w:rsid w:val="00B13DEB"/>
    <w:rsid w:val="00B14171"/>
    <w:rsid w:val="00B14953"/>
    <w:rsid w:val="00B14955"/>
    <w:rsid w:val="00B15579"/>
    <w:rsid w:val="00B168FE"/>
    <w:rsid w:val="00B16A06"/>
    <w:rsid w:val="00B173A0"/>
    <w:rsid w:val="00B177F4"/>
    <w:rsid w:val="00B17FAF"/>
    <w:rsid w:val="00B2099C"/>
    <w:rsid w:val="00B20C22"/>
    <w:rsid w:val="00B217FF"/>
    <w:rsid w:val="00B22C78"/>
    <w:rsid w:val="00B22D6A"/>
    <w:rsid w:val="00B233DE"/>
    <w:rsid w:val="00B23B85"/>
    <w:rsid w:val="00B23CD0"/>
    <w:rsid w:val="00B23D70"/>
    <w:rsid w:val="00B23F1B"/>
    <w:rsid w:val="00B2430E"/>
    <w:rsid w:val="00B24431"/>
    <w:rsid w:val="00B2466A"/>
    <w:rsid w:val="00B247B5"/>
    <w:rsid w:val="00B251F9"/>
    <w:rsid w:val="00B25503"/>
    <w:rsid w:val="00B25F34"/>
    <w:rsid w:val="00B2647B"/>
    <w:rsid w:val="00B266EF"/>
    <w:rsid w:val="00B26FED"/>
    <w:rsid w:val="00B27E2A"/>
    <w:rsid w:val="00B30301"/>
    <w:rsid w:val="00B303B1"/>
    <w:rsid w:val="00B30C38"/>
    <w:rsid w:val="00B30E36"/>
    <w:rsid w:val="00B30EC4"/>
    <w:rsid w:val="00B318D2"/>
    <w:rsid w:val="00B31C20"/>
    <w:rsid w:val="00B31C87"/>
    <w:rsid w:val="00B31DEF"/>
    <w:rsid w:val="00B329FC"/>
    <w:rsid w:val="00B33D87"/>
    <w:rsid w:val="00B34F2C"/>
    <w:rsid w:val="00B34FCD"/>
    <w:rsid w:val="00B3574D"/>
    <w:rsid w:val="00B357C9"/>
    <w:rsid w:val="00B35BA1"/>
    <w:rsid w:val="00B36144"/>
    <w:rsid w:val="00B37823"/>
    <w:rsid w:val="00B3798C"/>
    <w:rsid w:val="00B37C8F"/>
    <w:rsid w:val="00B37D10"/>
    <w:rsid w:val="00B37E8E"/>
    <w:rsid w:val="00B40F0B"/>
    <w:rsid w:val="00B40F3E"/>
    <w:rsid w:val="00B4153C"/>
    <w:rsid w:val="00B4285C"/>
    <w:rsid w:val="00B42BF1"/>
    <w:rsid w:val="00B433CC"/>
    <w:rsid w:val="00B43C4B"/>
    <w:rsid w:val="00B43E54"/>
    <w:rsid w:val="00B445A0"/>
    <w:rsid w:val="00B44B8C"/>
    <w:rsid w:val="00B44D04"/>
    <w:rsid w:val="00B457D4"/>
    <w:rsid w:val="00B46181"/>
    <w:rsid w:val="00B46D30"/>
    <w:rsid w:val="00B47B6B"/>
    <w:rsid w:val="00B47D87"/>
    <w:rsid w:val="00B47EE6"/>
    <w:rsid w:val="00B504B5"/>
    <w:rsid w:val="00B50E0A"/>
    <w:rsid w:val="00B510B9"/>
    <w:rsid w:val="00B515F4"/>
    <w:rsid w:val="00B51BC9"/>
    <w:rsid w:val="00B52045"/>
    <w:rsid w:val="00B52092"/>
    <w:rsid w:val="00B52925"/>
    <w:rsid w:val="00B52C4D"/>
    <w:rsid w:val="00B5316E"/>
    <w:rsid w:val="00B53CF5"/>
    <w:rsid w:val="00B54B7F"/>
    <w:rsid w:val="00B54D09"/>
    <w:rsid w:val="00B55A78"/>
    <w:rsid w:val="00B55DC6"/>
    <w:rsid w:val="00B56705"/>
    <w:rsid w:val="00B568EA"/>
    <w:rsid w:val="00B56BA2"/>
    <w:rsid w:val="00B56DD1"/>
    <w:rsid w:val="00B57494"/>
    <w:rsid w:val="00B57772"/>
    <w:rsid w:val="00B578B7"/>
    <w:rsid w:val="00B57914"/>
    <w:rsid w:val="00B57EB6"/>
    <w:rsid w:val="00B57F12"/>
    <w:rsid w:val="00B603E7"/>
    <w:rsid w:val="00B60D82"/>
    <w:rsid w:val="00B60E36"/>
    <w:rsid w:val="00B61E07"/>
    <w:rsid w:val="00B62B99"/>
    <w:rsid w:val="00B63C4A"/>
    <w:rsid w:val="00B642BD"/>
    <w:rsid w:val="00B6440B"/>
    <w:rsid w:val="00B645F8"/>
    <w:rsid w:val="00B64909"/>
    <w:rsid w:val="00B64A5A"/>
    <w:rsid w:val="00B64D5E"/>
    <w:rsid w:val="00B6687D"/>
    <w:rsid w:val="00B670DF"/>
    <w:rsid w:val="00B672DC"/>
    <w:rsid w:val="00B67381"/>
    <w:rsid w:val="00B674D4"/>
    <w:rsid w:val="00B67B3B"/>
    <w:rsid w:val="00B701A1"/>
    <w:rsid w:val="00B7030C"/>
    <w:rsid w:val="00B708EF"/>
    <w:rsid w:val="00B70A25"/>
    <w:rsid w:val="00B70AC7"/>
    <w:rsid w:val="00B70DC7"/>
    <w:rsid w:val="00B711C8"/>
    <w:rsid w:val="00B7143D"/>
    <w:rsid w:val="00B722BE"/>
    <w:rsid w:val="00B7324B"/>
    <w:rsid w:val="00B7328F"/>
    <w:rsid w:val="00B734D7"/>
    <w:rsid w:val="00B7495B"/>
    <w:rsid w:val="00B75230"/>
    <w:rsid w:val="00B7555F"/>
    <w:rsid w:val="00B761CB"/>
    <w:rsid w:val="00B766DB"/>
    <w:rsid w:val="00B7735F"/>
    <w:rsid w:val="00B80166"/>
    <w:rsid w:val="00B805C8"/>
    <w:rsid w:val="00B80A27"/>
    <w:rsid w:val="00B80AC0"/>
    <w:rsid w:val="00B80BA7"/>
    <w:rsid w:val="00B80BEF"/>
    <w:rsid w:val="00B816AA"/>
    <w:rsid w:val="00B8172D"/>
    <w:rsid w:val="00B81C6F"/>
    <w:rsid w:val="00B820B0"/>
    <w:rsid w:val="00B82CB6"/>
    <w:rsid w:val="00B832A3"/>
    <w:rsid w:val="00B83C21"/>
    <w:rsid w:val="00B84826"/>
    <w:rsid w:val="00B84D81"/>
    <w:rsid w:val="00B851A5"/>
    <w:rsid w:val="00B855AF"/>
    <w:rsid w:val="00B856F4"/>
    <w:rsid w:val="00B85F9D"/>
    <w:rsid w:val="00B86155"/>
    <w:rsid w:val="00B86162"/>
    <w:rsid w:val="00B87599"/>
    <w:rsid w:val="00B9015B"/>
    <w:rsid w:val="00B909DB"/>
    <w:rsid w:val="00B9112C"/>
    <w:rsid w:val="00B92384"/>
    <w:rsid w:val="00B92AD4"/>
    <w:rsid w:val="00B92AFA"/>
    <w:rsid w:val="00B92C35"/>
    <w:rsid w:val="00B92D68"/>
    <w:rsid w:val="00B93222"/>
    <w:rsid w:val="00B93273"/>
    <w:rsid w:val="00B9338D"/>
    <w:rsid w:val="00B94342"/>
    <w:rsid w:val="00B946A3"/>
    <w:rsid w:val="00B9472F"/>
    <w:rsid w:val="00B948C4"/>
    <w:rsid w:val="00B94962"/>
    <w:rsid w:val="00B94A91"/>
    <w:rsid w:val="00B94F52"/>
    <w:rsid w:val="00B95080"/>
    <w:rsid w:val="00B95689"/>
    <w:rsid w:val="00B956E3"/>
    <w:rsid w:val="00B95D38"/>
    <w:rsid w:val="00B9665E"/>
    <w:rsid w:val="00B968BA"/>
    <w:rsid w:val="00B97958"/>
    <w:rsid w:val="00BA015C"/>
    <w:rsid w:val="00BA03C2"/>
    <w:rsid w:val="00BA0F31"/>
    <w:rsid w:val="00BA0F62"/>
    <w:rsid w:val="00BA1338"/>
    <w:rsid w:val="00BA17E8"/>
    <w:rsid w:val="00BA2917"/>
    <w:rsid w:val="00BA3113"/>
    <w:rsid w:val="00BA325C"/>
    <w:rsid w:val="00BA3FA0"/>
    <w:rsid w:val="00BA4065"/>
    <w:rsid w:val="00BA4DBD"/>
    <w:rsid w:val="00BA4E82"/>
    <w:rsid w:val="00BA4F0D"/>
    <w:rsid w:val="00BA4F82"/>
    <w:rsid w:val="00BA52C1"/>
    <w:rsid w:val="00BA5B3A"/>
    <w:rsid w:val="00BA5DF0"/>
    <w:rsid w:val="00BA61A3"/>
    <w:rsid w:val="00BA7977"/>
    <w:rsid w:val="00BA7A69"/>
    <w:rsid w:val="00BA7B13"/>
    <w:rsid w:val="00BA7F2A"/>
    <w:rsid w:val="00BB1702"/>
    <w:rsid w:val="00BB174B"/>
    <w:rsid w:val="00BB2EB0"/>
    <w:rsid w:val="00BB324B"/>
    <w:rsid w:val="00BB38ED"/>
    <w:rsid w:val="00BB44E2"/>
    <w:rsid w:val="00BB482F"/>
    <w:rsid w:val="00BB4F35"/>
    <w:rsid w:val="00BB508F"/>
    <w:rsid w:val="00BB5AEC"/>
    <w:rsid w:val="00BB5D48"/>
    <w:rsid w:val="00BB6916"/>
    <w:rsid w:val="00BB70C2"/>
    <w:rsid w:val="00BB766A"/>
    <w:rsid w:val="00BB7C60"/>
    <w:rsid w:val="00BB7E3F"/>
    <w:rsid w:val="00BB7EC8"/>
    <w:rsid w:val="00BC0998"/>
    <w:rsid w:val="00BC0E96"/>
    <w:rsid w:val="00BC0FBF"/>
    <w:rsid w:val="00BC1E37"/>
    <w:rsid w:val="00BC2459"/>
    <w:rsid w:val="00BC264A"/>
    <w:rsid w:val="00BC3031"/>
    <w:rsid w:val="00BC3414"/>
    <w:rsid w:val="00BC3EBC"/>
    <w:rsid w:val="00BC3FFF"/>
    <w:rsid w:val="00BC525C"/>
    <w:rsid w:val="00BC53BA"/>
    <w:rsid w:val="00BC543D"/>
    <w:rsid w:val="00BC58CB"/>
    <w:rsid w:val="00BC5DFC"/>
    <w:rsid w:val="00BC5EEA"/>
    <w:rsid w:val="00BC6AAE"/>
    <w:rsid w:val="00BC6B11"/>
    <w:rsid w:val="00BC6CC5"/>
    <w:rsid w:val="00BC7516"/>
    <w:rsid w:val="00BC7637"/>
    <w:rsid w:val="00BC7AEC"/>
    <w:rsid w:val="00BC7CFE"/>
    <w:rsid w:val="00BC7D1F"/>
    <w:rsid w:val="00BD045D"/>
    <w:rsid w:val="00BD0BAC"/>
    <w:rsid w:val="00BD1230"/>
    <w:rsid w:val="00BD183D"/>
    <w:rsid w:val="00BD2208"/>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D5E"/>
    <w:rsid w:val="00BD6DAF"/>
    <w:rsid w:val="00BD73C1"/>
    <w:rsid w:val="00BD76E3"/>
    <w:rsid w:val="00BE022E"/>
    <w:rsid w:val="00BE185A"/>
    <w:rsid w:val="00BE2886"/>
    <w:rsid w:val="00BE2C7E"/>
    <w:rsid w:val="00BE32D2"/>
    <w:rsid w:val="00BE3A95"/>
    <w:rsid w:val="00BE3C4D"/>
    <w:rsid w:val="00BE4156"/>
    <w:rsid w:val="00BE426B"/>
    <w:rsid w:val="00BE42A3"/>
    <w:rsid w:val="00BE43D7"/>
    <w:rsid w:val="00BE4AEB"/>
    <w:rsid w:val="00BE5025"/>
    <w:rsid w:val="00BE531C"/>
    <w:rsid w:val="00BE5493"/>
    <w:rsid w:val="00BE55B6"/>
    <w:rsid w:val="00BE615C"/>
    <w:rsid w:val="00BE652D"/>
    <w:rsid w:val="00BE68CD"/>
    <w:rsid w:val="00BE68D0"/>
    <w:rsid w:val="00BE6CE8"/>
    <w:rsid w:val="00BE7177"/>
    <w:rsid w:val="00BE72AA"/>
    <w:rsid w:val="00BE7307"/>
    <w:rsid w:val="00BF05F8"/>
    <w:rsid w:val="00BF0688"/>
    <w:rsid w:val="00BF16C0"/>
    <w:rsid w:val="00BF17D3"/>
    <w:rsid w:val="00BF1ED6"/>
    <w:rsid w:val="00BF2126"/>
    <w:rsid w:val="00BF2140"/>
    <w:rsid w:val="00BF26AE"/>
    <w:rsid w:val="00BF372B"/>
    <w:rsid w:val="00BF3AE1"/>
    <w:rsid w:val="00BF4E16"/>
    <w:rsid w:val="00BF5F6F"/>
    <w:rsid w:val="00BF6B58"/>
    <w:rsid w:val="00BF72DD"/>
    <w:rsid w:val="00BF74AD"/>
    <w:rsid w:val="00BF753F"/>
    <w:rsid w:val="00BF7DB9"/>
    <w:rsid w:val="00C00629"/>
    <w:rsid w:val="00C010D3"/>
    <w:rsid w:val="00C010D5"/>
    <w:rsid w:val="00C0110A"/>
    <w:rsid w:val="00C01178"/>
    <w:rsid w:val="00C01BAF"/>
    <w:rsid w:val="00C01FBF"/>
    <w:rsid w:val="00C0204A"/>
    <w:rsid w:val="00C0280B"/>
    <w:rsid w:val="00C02E13"/>
    <w:rsid w:val="00C03D72"/>
    <w:rsid w:val="00C04281"/>
    <w:rsid w:val="00C045BE"/>
    <w:rsid w:val="00C045F7"/>
    <w:rsid w:val="00C04705"/>
    <w:rsid w:val="00C04819"/>
    <w:rsid w:val="00C04F22"/>
    <w:rsid w:val="00C053EA"/>
    <w:rsid w:val="00C0571E"/>
    <w:rsid w:val="00C05784"/>
    <w:rsid w:val="00C05D5C"/>
    <w:rsid w:val="00C06A6B"/>
    <w:rsid w:val="00C06A82"/>
    <w:rsid w:val="00C06B94"/>
    <w:rsid w:val="00C06BBE"/>
    <w:rsid w:val="00C071C2"/>
    <w:rsid w:val="00C10368"/>
    <w:rsid w:val="00C1087D"/>
    <w:rsid w:val="00C1096E"/>
    <w:rsid w:val="00C10D01"/>
    <w:rsid w:val="00C10F22"/>
    <w:rsid w:val="00C1135F"/>
    <w:rsid w:val="00C119FF"/>
    <w:rsid w:val="00C11B62"/>
    <w:rsid w:val="00C11BA7"/>
    <w:rsid w:val="00C122B4"/>
    <w:rsid w:val="00C127B5"/>
    <w:rsid w:val="00C12B0F"/>
    <w:rsid w:val="00C12C78"/>
    <w:rsid w:val="00C12CF3"/>
    <w:rsid w:val="00C13B6F"/>
    <w:rsid w:val="00C13E14"/>
    <w:rsid w:val="00C14A9E"/>
    <w:rsid w:val="00C14D3A"/>
    <w:rsid w:val="00C14DCF"/>
    <w:rsid w:val="00C15B8A"/>
    <w:rsid w:val="00C16900"/>
    <w:rsid w:val="00C1702C"/>
    <w:rsid w:val="00C17C32"/>
    <w:rsid w:val="00C17DE0"/>
    <w:rsid w:val="00C17F6C"/>
    <w:rsid w:val="00C21175"/>
    <w:rsid w:val="00C211A4"/>
    <w:rsid w:val="00C21704"/>
    <w:rsid w:val="00C21E11"/>
    <w:rsid w:val="00C2233D"/>
    <w:rsid w:val="00C22468"/>
    <w:rsid w:val="00C22679"/>
    <w:rsid w:val="00C2292C"/>
    <w:rsid w:val="00C22D69"/>
    <w:rsid w:val="00C230D7"/>
    <w:rsid w:val="00C23288"/>
    <w:rsid w:val="00C23A44"/>
    <w:rsid w:val="00C23B3A"/>
    <w:rsid w:val="00C24B62"/>
    <w:rsid w:val="00C2503C"/>
    <w:rsid w:val="00C25F0B"/>
    <w:rsid w:val="00C26D6F"/>
    <w:rsid w:val="00C305F5"/>
    <w:rsid w:val="00C30D20"/>
    <w:rsid w:val="00C30E67"/>
    <w:rsid w:val="00C31055"/>
    <w:rsid w:val="00C3114A"/>
    <w:rsid w:val="00C3168A"/>
    <w:rsid w:val="00C31E3F"/>
    <w:rsid w:val="00C327AE"/>
    <w:rsid w:val="00C333A8"/>
    <w:rsid w:val="00C33427"/>
    <w:rsid w:val="00C33B32"/>
    <w:rsid w:val="00C33FF7"/>
    <w:rsid w:val="00C34C6E"/>
    <w:rsid w:val="00C3576B"/>
    <w:rsid w:val="00C3638F"/>
    <w:rsid w:val="00C36903"/>
    <w:rsid w:val="00C36B4E"/>
    <w:rsid w:val="00C36B9C"/>
    <w:rsid w:val="00C36D3F"/>
    <w:rsid w:val="00C37333"/>
    <w:rsid w:val="00C373C8"/>
    <w:rsid w:val="00C374A7"/>
    <w:rsid w:val="00C37BC3"/>
    <w:rsid w:val="00C37E09"/>
    <w:rsid w:val="00C37F74"/>
    <w:rsid w:val="00C40BD7"/>
    <w:rsid w:val="00C40D8E"/>
    <w:rsid w:val="00C40DF2"/>
    <w:rsid w:val="00C4122F"/>
    <w:rsid w:val="00C41574"/>
    <w:rsid w:val="00C41DC4"/>
    <w:rsid w:val="00C43B53"/>
    <w:rsid w:val="00C448EA"/>
    <w:rsid w:val="00C44A29"/>
    <w:rsid w:val="00C450E8"/>
    <w:rsid w:val="00C455D3"/>
    <w:rsid w:val="00C45771"/>
    <w:rsid w:val="00C4596E"/>
    <w:rsid w:val="00C4599B"/>
    <w:rsid w:val="00C466BF"/>
    <w:rsid w:val="00C46B8B"/>
    <w:rsid w:val="00C46E7E"/>
    <w:rsid w:val="00C47071"/>
    <w:rsid w:val="00C50057"/>
    <w:rsid w:val="00C501F0"/>
    <w:rsid w:val="00C50FFF"/>
    <w:rsid w:val="00C51A8A"/>
    <w:rsid w:val="00C52211"/>
    <w:rsid w:val="00C52890"/>
    <w:rsid w:val="00C52C53"/>
    <w:rsid w:val="00C53C43"/>
    <w:rsid w:val="00C545F1"/>
    <w:rsid w:val="00C547D5"/>
    <w:rsid w:val="00C56060"/>
    <w:rsid w:val="00C5667C"/>
    <w:rsid w:val="00C56A59"/>
    <w:rsid w:val="00C56EB3"/>
    <w:rsid w:val="00C571D5"/>
    <w:rsid w:val="00C5767F"/>
    <w:rsid w:val="00C576E8"/>
    <w:rsid w:val="00C57CBA"/>
    <w:rsid w:val="00C60546"/>
    <w:rsid w:val="00C60FCB"/>
    <w:rsid w:val="00C6125C"/>
    <w:rsid w:val="00C614A8"/>
    <w:rsid w:val="00C61555"/>
    <w:rsid w:val="00C6205F"/>
    <w:rsid w:val="00C6217C"/>
    <w:rsid w:val="00C62220"/>
    <w:rsid w:val="00C6239C"/>
    <w:rsid w:val="00C63DF3"/>
    <w:rsid w:val="00C6407C"/>
    <w:rsid w:val="00C641FD"/>
    <w:rsid w:val="00C64269"/>
    <w:rsid w:val="00C64958"/>
    <w:rsid w:val="00C6554E"/>
    <w:rsid w:val="00C65882"/>
    <w:rsid w:val="00C67A52"/>
    <w:rsid w:val="00C704F5"/>
    <w:rsid w:val="00C708B2"/>
    <w:rsid w:val="00C710AC"/>
    <w:rsid w:val="00C71509"/>
    <w:rsid w:val="00C71E55"/>
    <w:rsid w:val="00C723F5"/>
    <w:rsid w:val="00C72523"/>
    <w:rsid w:val="00C73BA4"/>
    <w:rsid w:val="00C74159"/>
    <w:rsid w:val="00C74559"/>
    <w:rsid w:val="00C74752"/>
    <w:rsid w:val="00C748DC"/>
    <w:rsid w:val="00C749D9"/>
    <w:rsid w:val="00C74C41"/>
    <w:rsid w:val="00C74F14"/>
    <w:rsid w:val="00C753CA"/>
    <w:rsid w:val="00C7637C"/>
    <w:rsid w:val="00C76405"/>
    <w:rsid w:val="00C764C3"/>
    <w:rsid w:val="00C76ECC"/>
    <w:rsid w:val="00C774B0"/>
    <w:rsid w:val="00C777A8"/>
    <w:rsid w:val="00C778A0"/>
    <w:rsid w:val="00C77AD1"/>
    <w:rsid w:val="00C77CBB"/>
    <w:rsid w:val="00C80C02"/>
    <w:rsid w:val="00C80C4C"/>
    <w:rsid w:val="00C80D76"/>
    <w:rsid w:val="00C8254D"/>
    <w:rsid w:val="00C825B6"/>
    <w:rsid w:val="00C82638"/>
    <w:rsid w:val="00C8273E"/>
    <w:rsid w:val="00C828A5"/>
    <w:rsid w:val="00C828D7"/>
    <w:rsid w:val="00C82BEF"/>
    <w:rsid w:val="00C8318E"/>
    <w:rsid w:val="00C832DD"/>
    <w:rsid w:val="00C832FB"/>
    <w:rsid w:val="00C83925"/>
    <w:rsid w:val="00C83F25"/>
    <w:rsid w:val="00C8477A"/>
    <w:rsid w:val="00C849A3"/>
    <w:rsid w:val="00C85042"/>
    <w:rsid w:val="00C850CC"/>
    <w:rsid w:val="00C85232"/>
    <w:rsid w:val="00C852E1"/>
    <w:rsid w:val="00C859C6"/>
    <w:rsid w:val="00C85E41"/>
    <w:rsid w:val="00C86BD0"/>
    <w:rsid w:val="00C8747C"/>
    <w:rsid w:val="00C9020D"/>
    <w:rsid w:val="00C902C0"/>
    <w:rsid w:val="00C904E8"/>
    <w:rsid w:val="00C90979"/>
    <w:rsid w:val="00C90D35"/>
    <w:rsid w:val="00C91113"/>
    <w:rsid w:val="00C919F9"/>
    <w:rsid w:val="00C9246A"/>
    <w:rsid w:val="00C92802"/>
    <w:rsid w:val="00C92BBD"/>
    <w:rsid w:val="00C93B9C"/>
    <w:rsid w:val="00C93CA9"/>
    <w:rsid w:val="00C93DE2"/>
    <w:rsid w:val="00C93E28"/>
    <w:rsid w:val="00C943B4"/>
    <w:rsid w:val="00C95414"/>
    <w:rsid w:val="00C962EB"/>
    <w:rsid w:val="00C969FC"/>
    <w:rsid w:val="00C96B36"/>
    <w:rsid w:val="00C96B66"/>
    <w:rsid w:val="00C96D0C"/>
    <w:rsid w:val="00C97419"/>
    <w:rsid w:val="00CA0171"/>
    <w:rsid w:val="00CA072E"/>
    <w:rsid w:val="00CA0D4E"/>
    <w:rsid w:val="00CA10A8"/>
    <w:rsid w:val="00CA10DE"/>
    <w:rsid w:val="00CA111D"/>
    <w:rsid w:val="00CA1BD2"/>
    <w:rsid w:val="00CA1F7F"/>
    <w:rsid w:val="00CA215F"/>
    <w:rsid w:val="00CA2903"/>
    <w:rsid w:val="00CA3146"/>
    <w:rsid w:val="00CA375E"/>
    <w:rsid w:val="00CA40C1"/>
    <w:rsid w:val="00CA4105"/>
    <w:rsid w:val="00CA4B77"/>
    <w:rsid w:val="00CA4CB3"/>
    <w:rsid w:val="00CA5767"/>
    <w:rsid w:val="00CA588D"/>
    <w:rsid w:val="00CA5DED"/>
    <w:rsid w:val="00CA614E"/>
    <w:rsid w:val="00CA68C4"/>
    <w:rsid w:val="00CA692F"/>
    <w:rsid w:val="00CA6A00"/>
    <w:rsid w:val="00CA6B04"/>
    <w:rsid w:val="00CA72F6"/>
    <w:rsid w:val="00CA7865"/>
    <w:rsid w:val="00CA7B22"/>
    <w:rsid w:val="00CA7D65"/>
    <w:rsid w:val="00CB038B"/>
    <w:rsid w:val="00CB09D7"/>
    <w:rsid w:val="00CB125A"/>
    <w:rsid w:val="00CB1561"/>
    <w:rsid w:val="00CB1F89"/>
    <w:rsid w:val="00CB21BF"/>
    <w:rsid w:val="00CB255C"/>
    <w:rsid w:val="00CB33A3"/>
    <w:rsid w:val="00CB348C"/>
    <w:rsid w:val="00CB3642"/>
    <w:rsid w:val="00CB39C5"/>
    <w:rsid w:val="00CB3A98"/>
    <w:rsid w:val="00CB3E82"/>
    <w:rsid w:val="00CB43EC"/>
    <w:rsid w:val="00CB4501"/>
    <w:rsid w:val="00CB478B"/>
    <w:rsid w:val="00CB4B7E"/>
    <w:rsid w:val="00CB4BAF"/>
    <w:rsid w:val="00CB5101"/>
    <w:rsid w:val="00CB5986"/>
    <w:rsid w:val="00CB5C91"/>
    <w:rsid w:val="00CB6D3B"/>
    <w:rsid w:val="00CB6E69"/>
    <w:rsid w:val="00CB72F8"/>
    <w:rsid w:val="00CB766F"/>
    <w:rsid w:val="00CB7E83"/>
    <w:rsid w:val="00CC0146"/>
    <w:rsid w:val="00CC043D"/>
    <w:rsid w:val="00CC0565"/>
    <w:rsid w:val="00CC05EB"/>
    <w:rsid w:val="00CC096D"/>
    <w:rsid w:val="00CC0B96"/>
    <w:rsid w:val="00CC0C38"/>
    <w:rsid w:val="00CC0D87"/>
    <w:rsid w:val="00CC0E84"/>
    <w:rsid w:val="00CC1198"/>
    <w:rsid w:val="00CC13B0"/>
    <w:rsid w:val="00CC196B"/>
    <w:rsid w:val="00CC2B53"/>
    <w:rsid w:val="00CC3295"/>
    <w:rsid w:val="00CC347C"/>
    <w:rsid w:val="00CC4704"/>
    <w:rsid w:val="00CC513B"/>
    <w:rsid w:val="00CC55B4"/>
    <w:rsid w:val="00CC5AAA"/>
    <w:rsid w:val="00CC5CAA"/>
    <w:rsid w:val="00CC6A74"/>
    <w:rsid w:val="00CC713F"/>
    <w:rsid w:val="00CC7818"/>
    <w:rsid w:val="00CC785D"/>
    <w:rsid w:val="00CD0482"/>
    <w:rsid w:val="00CD0845"/>
    <w:rsid w:val="00CD0A6E"/>
    <w:rsid w:val="00CD1CD7"/>
    <w:rsid w:val="00CD1D09"/>
    <w:rsid w:val="00CD232D"/>
    <w:rsid w:val="00CD264E"/>
    <w:rsid w:val="00CD3344"/>
    <w:rsid w:val="00CD3515"/>
    <w:rsid w:val="00CD3B2C"/>
    <w:rsid w:val="00CD4179"/>
    <w:rsid w:val="00CD41E5"/>
    <w:rsid w:val="00CD440B"/>
    <w:rsid w:val="00CD441E"/>
    <w:rsid w:val="00CD4B79"/>
    <w:rsid w:val="00CD52FB"/>
    <w:rsid w:val="00CD53A8"/>
    <w:rsid w:val="00CD53DD"/>
    <w:rsid w:val="00CD5897"/>
    <w:rsid w:val="00CD5947"/>
    <w:rsid w:val="00CD631B"/>
    <w:rsid w:val="00CD700D"/>
    <w:rsid w:val="00CD7624"/>
    <w:rsid w:val="00CD7C10"/>
    <w:rsid w:val="00CD7EE5"/>
    <w:rsid w:val="00CE01B9"/>
    <w:rsid w:val="00CE0532"/>
    <w:rsid w:val="00CE0CFC"/>
    <w:rsid w:val="00CE1426"/>
    <w:rsid w:val="00CE15D5"/>
    <w:rsid w:val="00CE16C1"/>
    <w:rsid w:val="00CE1932"/>
    <w:rsid w:val="00CE1E01"/>
    <w:rsid w:val="00CE1E0E"/>
    <w:rsid w:val="00CE1F64"/>
    <w:rsid w:val="00CE2336"/>
    <w:rsid w:val="00CE2435"/>
    <w:rsid w:val="00CE276E"/>
    <w:rsid w:val="00CE2C49"/>
    <w:rsid w:val="00CE3A31"/>
    <w:rsid w:val="00CE42B2"/>
    <w:rsid w:val="00CE42C3"/>
    <w:rsid w:val="00CE480D"/>
    <w:rsid w:val="00CE5048"/>
    <w:rsid w:val="00CE517C"/>
    <w:rsid w:val="00CE5580"/>
    <w:rsid w:val="00CE5768"/>
    <w:rsid w:val="00CE668C"/>
    <w:rsid w:val="00CE67DC"/>
    <w:rsid w:val="00CE7B12"/>
    <w:rsid w:val="00CE7B7B"/>
    <w:rsid w:val="00CE7BBF"/>
    <w:rsid w:val="00CF0E4F"/>
    <w:rsid w:val="00CF1CB5"/>
    <w:rsid w:val="00CF4241"/>
    <w:rsid w:val="00CF455C"/>
    <w:rsid w:val="00CF5A4E"/>
    <w:rsid w:val="00CF5DFF"/>
    <w:rsid w:val="00CF5FCD"/>
    <w:rsid w:val="00CF6667"/>
    <w:rsid w:val="00CF6FDD"/>
    <w:rsid w:val="00CF71A9"/>
    <w:rsid w:val="00CF782E"/>
    <w:rsid w:val="00CF7DF1"/>
    <w:rsid w:val="00D000FE"/>
    <w:rsid w:val="00D0074C"/>
    <w:rsid w:val="00D00888"/>
    <w:rsid w:val="00D00BAC"/>
    <w:rsid w:val="00D011FF"/>
    <w:rsid w:val="00D0151A"/>
    <w:rsid w:val="00D0176E"/>
    <w:rsid w:val="00D01980"/>
    <w:rsid w:val="00D01D61"/>
    <w:rsid w:val="00D02251"/>
    <w:rsid w:val="00D024F9"/>
    <w:rsid w:val="00D02514"/>
    <w:rsid w:val="00D02738"/>
    <w:rsid w:val="00D0292E"/>
    <w:rsid w:val="00D03A41"/>
    <w:rsid w:val="00D04456"/>
    <w:rsid w:val="00D04534"/>
    <w:rsid w:val="00D04CBB"/>
    <w:rsid w:val="00D05036"/>
    <w:rsid w:val="00D05771"/>
    <w:rsid w:val="00D05AD6"/>
    <w:rsid w:val="00D05B87"/>
    <w:rsid w:val="00D06077"/>
    <w:rsid w:val="00D060ED"/>
    <w:rsid w:val="00D064CF"/>
    <w:rsid w:val="00D065AB"/>
    <w:rsid w:val="00D06DF6"/>
    <w:rsid w:val="00D06FD4"/>
    <w:rsid w:val="00D07400"/>
    <w:rsid w:val="00D0740D"/>
    <w:rsid w:val="00D07D0A"/>
    <w:rsid w:val="00D10344"/>
    <w:rsid w:val="00D10AF1"/>
    <w:rsid w:val="00D11011"/>
    <w:rsid w:val="00D115AD"/>
    <w:rsid w:val="00D11807"/>
    <w:rsid w:val="00D119FE"/>
    <w:rsid w:val="00D11E94"/>
    <w:rsid w:val="00D11EF8"/>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398"/>
    <w:rsid w:val="00D216F5"/>
    <w:rsid w:val="00D21DB1"/>
    <w:rsid w:val="00D22487"/>
    <w:rsid w:val="00D22C27"/>
    <w:rsid w:val="00D22ED7"/>
    <w:rsid w:val="00D236A3"/>
    <w:rsid w:val="00D23729"/>
    <w:rsid w:val="00D23834"/>
    <w:rsid w:val="00D24260"/>
    <w:rsid w:val="00D249E0"/>
    <w:rsid w:val="00D24EF4"/>
    <w:rsid w:val="00D25651"/>
    <w:rsid w:val="00D25709"/>
    <w:rsid w:val="00D2589C"/>
    <w:rsid w:val="00D25960"/>
    <w:rsid w:val="00D25BC3"/>
    <w:rsid w:val="00D2652B"/>
    <w:rsid w:val="00D26570"/>
    <w:rsid w:val="00D268C6"/>
    <w:rsid w:val="00D2695C"/>
    <w:rsid w:val="00D26B4D"/>
    <w:rsid w:val="00D26BE8"/>
    <w:rsid w:val="00D26E21"/>
    <w:rsid w:val="00D2770C"/>
    <w:rsid w:val="00D2771F"/>
    <w:rsid w:val="00D27A6C"/>
    <w:rsid w:val="00D3075B"/>
    <w:rsid w:val="00D3086B"/>
    <w:rsid w:val="00D3095A"/>
    <w:rsid w:val="00D31540"/>
    <w:rsid w:val="00D318E4"/>
    <w:rsid w:val="00D31E74"/>
    <w:rsid w:val="00D31F58"/>
    <w:rsid w:val="00D32305"/>
    <w:rsid w:val="00D32692"/>
    <w:rsid w:val="00D32884"/>
    <w:rsid w:val="00D33DD5"/>
    <w:rsid w:val="00D3407D"/>
    <w:rsid w:val="00D35205"/>
    <w:rsid w:val="00D354AC"/>
    <w:rsid w:val="00D355A5"/>
    <w:rsid w:val="00D35BD1"/>
    <w:rsid w:val="00D3618C"/>
    <w:rsid w:val="00D36936"/>
    <w:rsid w:val="00D36B1E"/>
    <w:rsid w:val="00D375D1"/>
    <w:rsid w:val="00D37741"/>
    <w:rsid w:val="00D403B6"/>
    <w:rsid w:val="00D407FD"/>
    <w:rsid w:val="00D41D6B"/>
    <w:rsid w:val="00D41DED"/>
    <w:rsid w:val="00D42069"/>
    <w:rsid w:val="00D42084"/>
    <w:rsid w:val="00D4252C"/>
    <w:rsid w:val="00D42DD3"/>
    <w:rsid w:val="00D432BB"/>
    <w:rsid w:val="00D4360E"/>
    <w:rsid w:val="00D4388D"/>
    <w:rsid w:val="00D44514"/>
    <w:rsid w:val="00D44845"/>
    <w:rsid w:val="00D4487F"/>
    <w:rsid w:val="00D44AC3"/>
    <w:rsid w:val="00D44B33"/>
    <w:rsid w:val="00D45349"/>
    <w:rsid w:val="00D454BD"/>
    <w:rsid w:val="00D45C95"/>
    <w:rsid w:val="00D45F23"/>
    <w:rsid w:val="00D47246"/>
    <w:rsid w:val="00D47A08"/>
    <w:rsid w:val="00D47C3D"/>
    <w:rsid w:val="00D500D0"/>
    <w:rsid w:val="00D50282"/>
    <w:rsid w:val="00D5078D"/>
    <w:rsid w:val="00D508A6"/>
    <w:rsid w:val="00D5144C"/>
    <w:rsid w:val="00D5175B"/>
    <w:rsid w:val="00D52091"/>
    <w:rsid w:val="00D52323"/>
    <w:rsid w:val="00D52736"/>
    <w:rsid w:val="00D52B04"/>
    <w:rsid w:val="00D53071"/>
    <w:rsid w:val="00D5316A"/>
    <w:rsid w:val="00D53795"/>
    <w:rsid w:val="00D53F84"/>
    <w:rsid w:val="00D54C62"/>
    <w:rsid w:val="00D54C9C"/>
    <w:rsid w:val="00D54EB5"/>
    <w:rsid w:val="00D551F5"/>
    <w:rsid w:val="00D554CF"/>
    <w:rsid w:val="00D5577F"/>
    <w:rsid w:val="00D55BE7"/>
    <w:rsid w:val="00D55E10"/>
    <w:rsid w:val="00D55E59"/>
    <w:rsid w:val="00D560B1"/>
    <w:rsid w:val="00D56106"/>
    <w:rsid w:val="00D56333"/>
    <w:rsid w:val="00D56B97"/>
    <w:rsid w:val="00D57741"/>
    <w:rsid w:val="00D57BF5"/>
    <w:rsid w:val="00D57F67"/>
    <w:rsid w:val="00D6076B"/>
    <w:rsid w:val="00D607BC"/>
    <w:rsid w:val="00D60CAC"/>
    <w:rsid w:val="00D60CFC"/>
    <w:rsid w:val="00D615EB"/>
    <w:rsid w:val="00D62456"/>
    <w:rsid w:val="00D62768"/>
    <w:rsid w:val="00D63933"/>
    <w:rsid w:val="00D63A83"/>
    <w:rsid w:val="00D63DD6"/>
    <w:rsid w:val="00D641DB"/>
    <w:rsid w:val="00D64BB0"/>
    <w:rsid w:val="00D65A9A"/>
    <w:rsid w:val="00D65BE8"/>
    <w:rsid w:val="00D65CFA"/>
    <w:rsid w:val="00D65F68"/>
    <w:rsid w:val="00D662A0"/>
    <w:rsid w:val="00D662EF"/>
    <w:rsid w:val="00D66C7F"/>
    <w:rsid w:val="00D679D8"/>
    <w:rsid w:val="00D67A2B"/>
    <w:rsid w:val="00D7090A"/>
    <w:rsid w:val="00D716AA"/>
    <w:rsid w:val="00D718F9"/>
    <w:rsid w:val="00D7198E"/>
    <w:rsid w:val="00D720BE"/>
    <w:rsid w:val="00D72897"/>
    <w:rsid w:val="00D72AD9"/>
    <w:rsid w:val="00D736BE"/>
    <w:rsid w:val="00D73A15"/>
    <w:rsid w:val="00D73ACE"/>
    <w:rsid w:val="00D74FD9"/>
    <w:rsid w:val="00D75DA2"/>
    <w:rsid w:val="00D761EA"/>
    <w:rsid w:val="00D763AF"/>
    <w:rsid w:val="00D76C0D"/>
    <w:rsid w:val="00D77404"/>
    <w:rsid w:val="00D7745B"/>
    <w:rsid w:val="00D776C2"/>
    <w:rsid w:val="00D779D9"/>
    <w:rsid w:val="00D77D91"/>
    <w:rsid w:val="00D8094B"/>
    <w:rsid w:val="00D80DE0"/>
    <w:rsid w:val="00D815C0"/>
    <w:rsid w:val="00D818FC"/>
    <w:rsid w:val="00D81D3A"/>
    <w:rsid w:val="00D82254"/>
    <w:rsid w:val="00D827EC"/>
    <w:rsid w:val="00D8287F"/>
    <w:rsid w:val="00D828E7"/>
    <w:rsid w:val="00D8527C"/>
    <w:rsid w:val="00D8551E"/>
    <w:rsid w:val="00D86CA9"/>
    <w:rsid w:val="00D871E8"/>
    <w:rsid w:val="00D87A7C"/>
    <w:rsid w:val="00D90328"/>
    <w:rsid w:val="00D905FA"/>
    <w:rsid w:val="00D906ED"/>
    <w:rsid w:val="00D90C90"/>
    <w:rsid w:val="00D912A6"/>
    <w:rsid w:val="00D915FE"/>
    <w:rsid w:val="00D91F19"/>
    <w:rsid w:val="00D922C5"/>
    <w:rsid w:val="00D9270F"/>
    <w:rsid w:val="00D92CEC"/>
    <w:rsid w:val="00D92F1B"/>
    <w:rsid w:val="00D933C3"/>
    <w:rsid w:val="00D94525"/>
    <w:rsid w:val="00D9458A"/>
    <w:rsid w:val="00D945DC"/>
    <w:rsid w:val="00D94675"/>
    <w:rsid w:val="00D94840"/>
    <w:rsid w:val="00D949D6"/>
    <w:rsid w:val="00D94B32"/>
    <w:rsid w:val="00D95018"/>
    <w:rsid w:val="00D9574C"/>
    <w:rsid w:val="00D95E3F"/>
    <w:rsid w:val="00D95FEB"/>
    <w:rsid w:val="00D965DB"/>
    <w:rsid w:val="00D96E44"/>
    <w:rsid w:val="00D97061"/>
    <w:rsid w:val="00D97945"/>
    <w:rsid w:val="00D97C07"/>
    <w:rsid w:val="00DA0475"/>
    <w:rsid w:val="00DA0BC9"/>
    <w:rsid w:val="00DA0DDE"/>
    <w:rsid w:val="00DA0E40"/>
    <w:rsid w:val="00DA1828"/>
    <w:rsid w:val="00DA1CBF"/>
    <w:rsid w:val="00DA1F0A"/>
    <w:rsid w:val="00DA1FD6"/>
    <w:rsid w:val="00DA269A"/>
    <w:rsid w:val="00DA2F06"/>
    <w:rsid w:val="00DA30A3"/>
    <w:rsid w:val="00DA3683"/>
    <w:rsid w:val="00DA3F5A"/>
    <w:rsid w:val="00DA55C0"/>
    <w:rsid w:val="00DA57D6"/>
    <w:rsid w:val="00DA62F5"/>
    <w:rsid w:val="00DA62F7"/>
    <w:rsid w:val="00DA6F9A"/>
    <w:rsid w:val="00DA6FD0"/>
    <w:rsid w:val="00DA7370"/>
    <w:rsid w:val="00DB0235"/>
    <w:rsid w:val="00DB06EB"/>
    <w:rsid w:val="00DB0902"/>
    <w:rsid w:val="00DB1538"/>
    <w:rsid w:val="00DB2BD8"/>
    <w:rsid w:val="00DB335D"/>
    <w:rsid w:val="00DB444C"/>
    <w:rsid w:val="00DB57B9"/>
    <w:rsid w:val="00DB5A59"/>
    <w:rsid w:val="00DB6558"/>
    <w:rsid w:val="00DB6851"/>
    <w:rsid w:val="00DB68E2"/>
    <w:rsid w:val="00DB6D07"/>
    <w:rsid w:val="00DB71AB"/>
    <w:rsid w:val="00DB72D6"/>
    <w:rsid w:val="00DC0114"/>
    <w:rsid w:val="00DC0D44"/>
    <w:rsid w:val="00DC0FC9"/>
    <w:rsid w:val="00DC14AA"/>
    <w:rsid w:val="00DC16B9"/>
    <w:rsid w:val="00DC174C"/>
    <w:rsid w:val="00DC1D03"/>
    <w:rsid w:val="00DC1F2D"/>
    <w:rsid w:val="00DC2E11"/>
    <w:rsid w:val="00DC5429"/>
    <w:rsid w:val="00DC5F94"/>
    <w:rsid w:val="00DC620C"/>
    <w:rsid w:val="00DC662C"/>
    <w:rsid w:val="00DC68E6"/>
    <w:rsid w:val="00DC6E3F"/>
    <w:rsid w:val="00DC73A9"/>
    <w:rsid w:val="00DC7582"/>
    <w:rsid w:val="00DC7586"/>
    <w:rsid w:val="00DC7B76"/>
    <w:rsid w:val="00DC7CF1"/>
    <w:rsid w:val="00DC7E51"/>
    <w:rsid w:val="00DD0388"/>
    <w:rsid w:val="00DD0C75"/>
    <w:rsid w:val="00DD1246"/>
    <w:rsid w:val="00DD19AD"/>
    <w:rsid w:val="00DD1BEF"/>
    <w:rsid w:val="00DD20B4"/>
    <w:rsid w:val="00DD2583"/>
    <w:rsid w:val="00DD2A09"/>
    <w:rsid w:val="00DD2B19"/>
    <w:rsid w:val="00DD2C08"/>
    <w:rsid w:val="00DD30FA"/>
    <w:rsid w:val="00DD328A"/>
    <w:rsid w:val="00DD3898"/>
    <w:rsid w:val="00DD3D28"/>
    <w:rsid w:val="00DD3D5C"/>
    <w:rsid w:val="00DD3FB9"/>
    <w:rsid w:val="00DD414F"/>
    <w:rsid w:val="00DD5978"/>
    <w:rsid w:val="00DD6790"/>
    <w:rsid w:val="00DD6C0E"/>
    <w:rsid w:val="00DD6C1F"/>
    <w:rsid w:val="00DD70F1"/>
    <w:rsid w:val="00DD7208"/>
    <w:rsid w:val="00DD723F"/>
    <w:rsid w:val="00DD7559"/>
    <w:rsid w:val="00DD76CA"/>
    <w:rsid w:val="00DD7B42"/>
    <w:rsid w:val="00DE038C"/>
    <w:rsid w:val="00DE0ECA"/>
    <w:rsid w:val="00DE1158"/>
    <w:rsid w:val="00DE21E0"/>
    <w:rsid w:val="00DE23AC"/>
    <w:rsid w:val="00DE2E03"/>
    <w:rsid w:val="00DE3159"/>
    <w:rsid w:val="00DE3358"/>
    <w:rsid w:val="00DE3569"/>
    <w:rsid w:val="00DE3DFE"/>
    <w:rsid w:val="00DE4A40"/>
    <w:rsid w:val="00DE5212"/>
    <w:rsid w:val="00DE546E"/>
    <w:rsid w:val="00DE54CF"/>
    <w:rsid w:val="00DE552E"/>
    <w:rsid w:val="00DE5853"/>
    <w:rsid w:val="00DE6390"/>
    <w:rsid w:val="00DE649F"/>
    <w:rsid w:val="00DE6575"/>
    <w:rsid w:val="00DE66AD"/>
    <w:rsid w:val="00DE67CA"/>
    <w:rsid w:val="00DE6A77"/>
    <w:rsid w:val="00DE6B16"/>
    <w:rsid w:val="00DE6B29"/>
    <w:rsid w:val="00DE6FC3"/>
    <w:rsid w:val="00DE7224"/>
    <w:rsid w:val="00DF0ED3"/>
    <w:rsid w:val="00DF1521"/>
    <w:rsid w:val="00DF15F9"/>
    <w:rsid w:val="00DF187E"/>
    <w:rsid w:val="00DF27B1"/>
    <w:rsid w:val="00DF28EF"/>
    <w:rsid w:val="00DF397E"/>
    <w:rsid w:val="00DF4745"/>
    <w:rsid w:val="00DF491A"/>
    <w:rsid w:val="00DF5070"/>
    <w:rsid w:val="00DF549A"/>
    <w:rsid w:val="00DF54EA"/>
    <w:rsid w:val="00DF5A2E"/>
    <w:rsid w:val="00DF673E"/>
    <w:rsid w:val="00DF69E7"/>
    <w:rsid w:val="00DF6DD1"/>
    <w:rsid w:val="00DF6E39"/>
    <w:rsid w:val="00DF758E"/>
    <w:rsid w:val="00DF77BD"/>
    <w:rsid w:val="00E00158"/>
    <w:rsid w:val="00E005FC"/>
    <w:rsid w:val="00E00A1E"/>
    <w:rsid w:val="00E01E82"/>
    <w:rsid w:val="00E025FF"/>
    <w:rsid w:val="00E0296D"/>
    <w:rsid w:val="00E02C94"/>
    <w:rsid w:val="00E030D1"/>
    <w:rsid w:val="00E03D86"/>
    <w:rsid w:val="00E03DE6"/>
    <w:rsid w:val="00E045CF"/>
    <w:rsid w:val="00E04833"/>
    <w:rsid w:val="00E04B0A"/>
    <w:rsid w:val="00E05FE2"/>
    <w:rsid w:val="00E063B6"/>
    <w:rsid w:val="00E0767D"/>
    <w:rsid w:val="00E07757"/>
    <w:rsid w:val="00E07C16"/>
    <w:rsid w:val="00E101D9"/>
    <w:rsid w:val="00E108AA"/>
    <w:rsid w:val="00E1092D"/>
    <w:rsid w:val="00E10CE5"/>
    <w:rsid w:val="00E10D1C"/>
    <w:rsid w:val="00E10FD5"/>
    <w:rsid w:val="00E11607"/>
    <w:rsid w:val="00E11960"/>
    <w:rsid w:val="00E11EEE"/>
    <w:rsid w:val="00E124AE"/>
    <w:rsid w:val="00E1277F"/>
    <w:rsid w:val="00E12EF6"/>
    <w:rsid w:val="00E13718"/>
    <w:rsid w:val="00E14139"/>
    <w:rsid w:val="00E142B3"/>
    <w:rsid w:val="00E143A2"/>
    <w:rsid w:val="00E14793"/>
    <w:rsid w:val="00E14931"/>
    <w:rsid w:val="00E149FC"/>
    <w:rsid w:val="00E14BF0"/>
    <w:rsid w:val="00E14FCA"/>
    <w:rsid w:val="00E1569B"/>
    <w:rsid w:val="00E157BF"/>
    <w:rsid w:val="00E16A9F"/>
    <w:rsid w:val="00E16ACE"/>
    <w:rsid w:val="00E175DE"/>
    <w:rsid w:val="00E176F4"/>
    <w:rsid w:val="00E2059B"/>
    <w:rsid w:val="00E20A86"/>
    <w:rsid w:val="00E20E39"/>
    <w:rsid w:val="00E2162A"/>
    <w:rsid w:val="00E21942"/>
    <w:rsid w:val="00E22332"/>
    <w:rsid w:val="00E2248D"/>
    <w:rsid w:val="00E22BC7"/>
    <w:rsid w:val="00E23B90"/>
    <w:rsid w:val="00E23C14"/>
    <w:rsid w:val="00E23E24"/>
    <w:rsid w:val="00E24181"/>
    <w:rsid w:val="00E242FC"/>
    <w:rsid w:val="00E246E5"/>
    <w:rsid w:val="00E24B2C"/>
    <w:rsid w:val="00E24D04"/>
    <w:rsid w:val="00E25533"/>
    <w:rsid w:val="00E26416"/>
    <w:rsid w:val="00E26F4F"/>
    <w:rsid w:val="00E27712"/>
    <w:rsid w:val="00E3014C"/>
    <w:rsid w:val="00E30438"/>
    <w:rsid w:val="00E305E4"/>
    <w:rsid w:val="00E31120"/>
    <w:rsid w:val="00E3118C"/>
    <w:rsid w:val="00E3256A"/>
    <w:rsid w:val="00E3297E"/>
    <w:rsid w:val="00E32FF4"/>
    <w:rsid w:val="00E333AF"/>
    <w:rsid w:val="00E337D6"/>
    <w:rsid w:val="00E33B0A"/>
    <w:rsid w:val="00E33D6A"/>
    <w:rsid w:val="00E343CE"/>
    <w:rsid w:val="00E346AB"/>
    <w:rsid w:val="00E34B41"/>
    <w:rsid w:val="00E353CC"/>
    <w:rsid w:val="00E35FB3"/>
    <w:rsid w:val="00E370C6"/>
    <w:rsid w:val="00E3728B"/>
    <w:rsid w:val="00E3785A"/>
    <w:rsid w:val="00E378BC"/>
    <w:rsid w:val="00E378D3"/>
    <w:rsid w:val="00E379BD"/>
    <w:rsid w:val="00E37D54"/>
    <w:rsid w:val="00E37F3A"/>
    <w:rsid w:val="00E4082B"/>
    <w:rsid w:val="00E40DA0"/>
    <w:rsid w:val="00E4196D"/>
    <w:rsid w:val="00E42263"/>
    <w:rsid w:val="00E4284E"/>
    <w:rsid w:val="00E43C23"/>
    <w:rsid w:val="00E446C7"/>
    <w:rsid w:val="00E446F2"/>
    <w:rsid w:val="00E45429"/>
    <w:rsid w:val="00E45488"/>
    <w:rsid w:val="00E45C8E"/>
    <w:rsid w:val="00E462B8"/>
    <w:rsid w:val="00E47929"/>
    <w:rsid w:val="00E47B17"/>
    <w:rsid w:val="00E50153"/>
    <w:rsid w:val="00E50D70"/>
    <w:rsid w:val="00E50F07"/>
    <w:rsid w:val="00E51EDF"/>
    <w:rsid w:val="00E5247B"/>
    <w:rsid w:val="00E52611"/>
    <w:rsid w:val="00E52788"/>
    <w:rsid w:val="00E528AF"/>
    <w:rsid w:val="00E52EFB"/>
    <w:rsid w:val="00E53708"/>
    <w:rsid w:val="00E53EB6"/>
    <w:rsid w:val="00E54419"/>
    <w:rsid w:val="00E55D49"/>
    <w:rsid w:val="00E561BC"/>
    <w:rsid w:val="00E562C2"/>
    <w:rsid w:val="00E562DC"/>
    <w:rsid w:val="00E56CC8"/>
    <w:rsid w:val="00E56D85"/>
    <w:rsid w:val="00E56ED9"/>
    <w:rsid w:val="00E57BED"/>
    <w:rsid w:val="00E6085E"/>
    <w:rsid w:val="00E60C66"/>
    <w:rsid w:val="00E61167"/>
    <w:rsid w:val="00E6193F"/>
    <w:rsid w:val="00E61CC7"/>
    <w:rsid w:val="00E61F7A"/>
    <w:rsid w:val="00E624FE"/>
    <w:rsid w:val="00E628D6"/>
    <w:rsid w:val="00E62DD1"/>
    <w:rsid w:val="00E62F71"/>
    <w:rsid w:val="00E630A8"/>
    <w:rsid w:val="00E630C7"/>
    <w:rsid w:val="00E635D2"/>
    <w:rsid w:val="00E63778"/>
    <w:rsid w:val="00E63AB4"/>
    <w:rsid w:val="00E63DD1"/>
    <w:rsid w:val="00E63EBD"/>
    <w:rsid w:val="00E65192"/>
    <w:rsid w:val="00E657F6"/>
    <w:rsid w:val="00E65D05"/>
    <w:rsid w:val="00E6635A"/>
    <w:rsid w:val="00E66AF8"/>
    <w:rsid w:val="00E6711A"/>
    <w:rsid w:val="00E67A80"/>
    <w:rsid w:val="00E67F2F"/>
    <w:rsid w:val="00E67FF8"/>
    <w:rsid w:val="00E701DE"/>
    <w:rsid w:val="00E702D0"/>
    <w:rsid w:val="00E7109D"/>
    <w:rsid w:val="00E717E0"/>
    <w:rsid w:val="00E71ED3"/>
    <w:rsid w:val="00E7272E"/>
    <w:rsid w:val="00E7298E"/>
    <w:rsid w:val="00E72B13"/>
    <w:rsid w:val="00E72EFC"/>
    <w:rsid w:val="00E73F21"/>
    <w:rsid w:val="00E74757"/>
    <w:rsid w:val="00E74C63"/>
    <w:rsid w:val="00E75567"/>
    <w:rsid w:val="00E75847"/>
    <w:rsid w:val="00E75973"/>
    <w:rsid w:val="00E75B93"/>
    <w:rsid w:val="00E75BD5"/>
    <w:rsid w:val="00E75DFD"/>
    <w:rsid w:val="00E76595"/>
    <w:rsid w:val="00E76DEA"/>
    <w:rsid w:val="00E76EFA"/>
    <w:rsid w:val="00E77B2D"/>
    <w:rsid w:val="00E804EA"/>
    <w:rsid w:val="00E80ACB"/>
    <w:rsid w:val="00E810B0"/>
    <w:rsid w:val="00E813C0"/>
    <w:rsid w:val="00E81424"/>
    <w:rsid w:val="00E81F3A"/>
    <w:rsid w:val="00E82ACA"/>
    <w:rsid w:val="00E82C12"/>
    <w:rsid w:val="00E833A7"/>
    <w:rsid w:val="00E836B5"/>
    <w:rsid w:val="00E83A6F"/>
    <w:rsid w:val="00E83E01"/>
    <w:rsid w:val="00E83EDA"/>
    <w:rsid w:val="00E842C2"/>
    <w:rsid w:val="00E84448"/>
    <w:rsid w:val="00E8458F"/>
    <w:rsid w:val="00E845A1"/>
    <w:rsid w:val="00E84DBD"/>
    <w:rsid w:val="00E85210"/>
    <w:rsid w:val="00E85236"/>
    <w:rsid w:val="00E85773"/>
    <w:rsid w:val="00E85DF2"/>
    <w:rsid w:val="00E87330"/>
    <w:rsid w:val="00E873A1"/>
    <w:rsid w:val="00E87440"/>
    <w:rsid w:val="00E90557"/>
    <w:rsid w:val="00E905BE"/>
    <w:rsid w:val="00E91FF1"/>
    <w:rsid w:val="00E9267D"/>
    <w:rsid w:val="00E92CC0"/>
    <w:rsid w:val="00E937CA"/>
    <w:rsid w:val="00E93B51"/>
    <w:rsid w:val="00E93C24"/>
    <w:rsid w:val="00E944BD"/>
    <w:rsid w:val="00E949FD"/>
    <w:rsid w:val="00E94C66"/>
    <w:rsid w:val="00E95A45"/>
    <w:rsid w:val="00E95B64"/>
    <w:rsid w:val="00E95E7D"/>
    <w:rsid w:val="00E9605F"/>
    <w:rsid w:val="00E968A8"/>
    <w:rsid w:val="00E97F75"/>
    <w:rsid w:val="00EA035B"/>
    <w:rsid w:val="00EA0C4C"/>
    <w:rsid w:val="00EA10AD"/>
    <w:rsid w:val="00EA1131"/>
    <w:rsid w:val="00EA19A9"/>
    <w:rsid w:val="00EA1C03"/>
    <w:rsid w:val="00EA2376"/>
    <w:rsid w:val="00EA2964"/>
    <w:rsid w:val="00EA2F4B"/>
    <w:rsid w:val="00EA310C"/>
    <w:rsid w:val="00EA32E4"/>
    <w:rsid w:val="00EA34E8"/>
    <w:rsid w:val="00EA3822"/>
    <w:rsid w:val="00EA3EA5"/>
    <w:rsid w:val="00EA3EB0"/>
    <w:rsid w:val="00EA4E2E"/>
    <w:rsid w:val="00EA5192"/>
    <w:rsid w:val="00EA5375"/>
    <w:rsid w:val="00EA5702"/>
    <w:rsid w:val="00EA6A66"/>
    <w:rsid w:val="00EA6DA4"/>
    <w:rsid w:val="00EA71AC"/>
    <w:rsid w:val="00EA79B4"/>
    <w:rsid w:val="00EA7ACE"/>
    <w:rsid w:val="00EA7CAB"/>
    <w:rsid w:val="00EB00B3"/>
    <w:rsid w:val="00EB026F"/>
    <w:rsid w:val="00EB058C"/>
    <w:rsid w:val="00EB182F"/>
    <w:rsid w:val="00EB2365"/>
    <w:rsid w:val="00EB2C0B"/>
    <w:rsid w:val="00EB2D3E"/>
    <w:rsid w:val="00EB2E08"/>
    <w:rsid w:val="00EB30A9"/>
    <w:rsid w:val="00EB3FDE"/>
    <w:rsid w:val="00EB42DC"/>
    <w:rsid w:val="00EB482B"/>
    <w:rsid w:val="00EB4BD5"/>
    <w:rsid w:val="00EB55EF"/>
    <w:rsid w:val="00EB5A8C"/>
    <w:rsid w:val="00EB604F"/>
    <w:rsid w:val="00EB7500"/>
    <w:rsid w:val="00EB7C9B"/>
    <w:rsid w:val="00EB7CDA"/>
    <w:rsid w:val="00EC0098"/>
    <w:rsid w:val="00EC0A2A"/>
    <w:rsid w:val="00EC0F7E"/>
    <w:rsid w:val="00EC1378"/>
    <w:rsid w:val="00EC13C1"/>
    <w:rsid w:val="00EC19E5"/>
    <w:rsid w:val="00EC1E8F"/>
    <w:rsid w:val="00EC208D"/>
    <w:rsid w:val="00EC21C2"/>
    <w:rsid w:val="00EC21CD"/>
    <w:rsid w:val="00EC2727"/>
    <w:rsid w:val="00EC2E2E"/>
    <w:rsid w:val="00EC2E8D"/>
    <w:rsid w:val="00EC3797"/>
    <w:rsid w:val="00EC3DA4"/>
    <w:rsid w:val="00EC4DC9"/>
    <w:rsid w:val="00EC4FCD"/>
    <w:rsid w:val="00EC4FFC"/>
    <w:rsid w:val="00EC54D5"/>
    <w:rsid w:val="00EC580D"/>
    <w:rsid w:val="00EC59BF"/>
    <w:rsid w:val="00EC5F40"/>
    <w:rsid w:val="00EC723E"/>
    <w:rsid w:val="00EC73B6"/>
    <w:rsid w:val="00EC74D0"/>
    <w:rsid w:val="00EC77CD"/>
    <w:rsid w:val="00EC77FE"/>
    <w:rsid w:val="00ED2073"/>
    <w:rsid w:val="00ED2B8A"/>
    <w:rsid w:val="00ED30B9"/>
    <w:rsid w:val="00ED3397"/>
    <w:rsid w:val="00ED3BE2"/>
    <w:rsid w:val="00ED4235"/>
    <w:rsid w:val="00ED4668"/>
    <w:rsid w:val="00ED47B0"/>
    <w:rsid w:val="00ED4BDB"/>
    <w:rsid w:val="00ED5169"/>
    <w:rsid w:val="00ED5844"/>
    <w:rsid w:val="00ED69DE"/>
    <w:rsid w:val="00ED6F39"/>
    <w:rsid w:val="00ED722D"/>
    <w:rsid w:val="00ED73B6"/>
    <w:rsid w:val="00ED750A"/>
    <w:rsid w:val="00ED7BC9"/>
    <w:rsid w:val="00ED7D9E"/>
    <w:rsid w:val="00EE0537"/>
    <w:rsid w:val="00EE0B9A"/>
    <w:rsid w:val="00EE1AC6"/>
    <w:rsid w:val="00EE1BD3"/>
    <w:rsid w:val="00EE20A1"/>
    <w:rsid w:val="00EE2185"/>
    <w:rsid w:val="00EE22B8"/>
    <w:rsid w:val="00EE241F"/>
    <w:rsid w:val="00EE249A"/>
    <w:rsid w:val="00EE2825"/>
    <w:rsid w:val="00EE2BBB"/>
    <w:rsid w:val="00EE3D64"/>
    <w:rsid w:val="00EE432F"/>
    <w:rsid w:val="00EE49DB"/>
    <w:rsid w:val="00EE5498"/>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2C16"/>
    <w:rsid w:val="00EF365C"/>
    <w:rsid w:val="00EF3735"/>
    <w:rsid w:val="00EF43E8"/>
    <w:rsid w:val="00EF4747"/>
    <w:rsid w:val="00EF5126"/>
    <w:rsid w:val="00EF51B0"/>
    <w:rsid w:val="00EF5C92"/>
    <w:rsid w:val="00EF65B5"/>
    <w:rsid w:val="00EF68E3"/>
    <w:rsid w:val="00EF6ECF"/>
    <w:rsid w:val="00EF73E2"/>
    <w:rsid w:val="00EF7626"/>
    <w:rsid w:val="00EF7DD6"/>
    <w:rsid w:val="00F01634"/>
    <w:rsid w:val="00F01916"/>
    <w:rsid w:val="00F01E4B"/>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78"/>
    <w:rsid w:val="00F1001F"/>
    <w:rsid w:val="00F101AB"/>
    <w:rsid w:val="00F105D4"/>
    <w:rsid w:val="00F110F3"/>
    <w:rsid w:val="00F11334"/>
    <w:rsid w:val="00F1165A"/>
    <w:rsid w:val="00F11B44"/>
    <w:rsid w:val="00F11BED"/>
    <w:rsid w:val="00F11C2F"/>
    <w:rsid w:val="00F11E8F"/>
    <w:rsid w:val="00F121D9"/>
    <w:rsid w:val="00F12414"/>
    <w:rsid w:val="00F126BC"/>
    <w:rsid w:val="00F12966"/>
    <w:rsid w:val="00F12C18"/>
    <w:rsid w:val="00F12F2F"/>
    <w:rsid w:val="00F1304A"/>
    <w:rsid w:val="00F134D3"/>
    <w:rsid w:val="00F1350D"/>
    <w:rsid w:val="00F1369F"/>
    <w:rsid w:val="00F13F84"/>
    <w:rsid w:val="00F146D6"/>
    <w:rsid w:val="00F14B40"/>
    <w:rsid w:val="00F14BC3"/>
    <w:rsid w:val="00F157AC"/>
    <w:rsid w:val="00F159E3"/>
    <w:rsid w:val="00F15AC4"/>
    <w:rsid w:val="00F15D15"/>
    <w:rsid w:val="00F15E4B"/>
    <w:rsid w:val="00F15EAB"/>
    <w:rsid w:val="00F16097"/>
    <w:rsid w:val="00F164A8"/>
    <w:rsid w:val="00F171A2"/>
    <w:rsid w:val="00F171CA"/>
    <w:rsid w:val="00F177F8"/>
    <w:rsid w:val="00F17AA0"/>
    <w:rsid w:val="00F2066B"/>
    <w:rsid w:val="00F20863"/>
    <w:rsid w:val="00F20880"/>
    <w:rsid w:val="00F21192"/>
    <w:rsid w:val="00F214A6"/>
    <w:rsid w:val="00F216F9"/>
    <w:rsid w:val="00F21B8F"/>
    <w:rsid w:val="00F21BF5"/>
    <w:rsid w:val="00F22193"/>
    <w:rsid w:val="00F221A0"/>
    <w:rsid w:val="00F224AE"/>
    <w:rsid w:val="00F249E5"/>
    <w:rsid w:val="00F25146"/>
    <w:rsid w:val="00F25D10"/>
    <w:rsid w:val="00F2690D"/>
    <w:rsid w:val="00F300F2"/>
    <w:rsid w:val="00F302AE"/>
    <w:rsid w:val="00F302B1"/>
    <w:rsid w:val="00F304C3"/>
    <w:rsid w:val="00F30BEB"/>
    <w:rsid w:val="00F313A3"/>
    <w:rsid w:val="00F314D3"/>
    <w:rsid w:val="00F316A3"/>
    <w:rsid w:val="00F32084"/>
    <w:rsid w:val="00F32102"/>
    <w:rsid w:val="00F32784"/>
    <w:rsid w:val="00F32833"/>
    <w:rsid w:val="00F34073"/>
    <w:rsid w:val="00F340F8"/>
    <w:rsid w:val="00F3469A"/>
    <w:rsid w:val="00F3487C"/>
    <w:rsid w:val="00F34C22"/>
    <w:rsid w:val="00F34CF0"/>
    <w:rsid w:val="00F3555F"/>
    <w:rsid w:val="00F355DD"/>
    <w:rsid w:val="00F35873"/>
    <w:rsid w:val="00F35E39"/>
    <w:rsid w:val="00F35F93"/>
    <w:rsid w:val="00F35FA4"/>
    <w:rsid w:val="00F36648"/>
    <w:rsid w:val="00F36D41"/>
    <w:rsid w:val="00F374DB"/>
    <w:rsid w:val="00F37761"/>
    <w:rsid w:val="00F37A48"/>
    <w:rsid w:val="00F37AAD"/>
    <w:rsid w:val="00F37B05"/>
    <w:rsid w:val="00F37CF0"/>
    <w:rsid w:val="00F404A0"/>
    <w:rsid w:val="00F409F0"/>
    <w:rsid w:val="00F41091"/>
    <w:rsid w:val="00F4120B"/>
    <w:rsid w:val="00F416DC"/>
    <w:rsid w:val="00F41ACE"/>
    <w:rsid w:val="00F41C73"/>
    <w:rsid w:val="00F41D10"/>
    <w:rsid w:val="00F4322C"/>
    <w:rsid w:val="00F4369E"/>
    <w:rsid w:val="00F437DF"/>
    <w:rsid w:val="00F438D4"/>
    <w:rsid w:val="00F43B88"/>
    <w:rsid w:val="00F43CCA"/>
    <w:rsid w:val="00F443DB"/>
    <w:rsid w:val="00F44534"/>
    <w:rsid w:val="00F44E0C"/>
    <w:rsid w:val="00F45648"/>
    <w:rsid w:val="00F459AD"/>
    <w:rsid w:val="00F47021"/>
    <w:rsid w:val="00F470F8"/>
    <w:rsid w:val="00F474B9"/>
    <w:rsid w:val="00F47895"/>
    <w:rsid w:val="00F5001C"/>
    <w:rsid w:val="00F503BF"/>
    <w:rsid w:val="00F506B4"/>
    <w:rsid w:val="00F51250"/>
    <w:rsid w:val="00F51274"/>
    <w:rsid w:val="00F513AA"/>
    <w:rsid w:val="00F5180E"/>
    <w:rsid w:val="00F52328"/>
    <w:rsid w:val="00F52578"/>
    <w:rsid w:val="00F52722"/>
    <w:rsid w:val="00F52765"/>
    <w:rsid w:val="00F528A7"/>
    <w:rsid w:val="00F533B1"/>
    <w:rsid w:val="00F53ACF"/>
    <w:rsid w:val="00F53DED"/>
    <w:rsid w:val="00F54111"/>
    <w:rsid w:val="00F54A34"/>
    <w:rsid w:val="00F55695"/>
    <w:rsid w:val="00F559DE"/>
    <w:rsid w:val="00F55B4D"/>
    <w:rsid w:val="00F55D36"/>
    <w:rsid w:val="00F56329"/>
    <w:rsid w:val="00F56423"/>
    <w:rsid w:val="00F56AC8"/>
    <w:rsid w:val="00F56DBE"/>
    <w:rsid w:val="00F57776"/>
    <w:rsid w:val="00F577FC"/>
    <w:rsid w:val="00F60509"/>
    <w:rsid w:val="00F60555"/>
    <w:rsid w:val="00F605D3"/>
    <w:rsid w:val="00F607DC"/>
    <w:rsid w:val="00F60E8F"/>
    <w:rsid w:val="00F612A8"/>
    <w:rsid w:val="00F61B87"/>
    <w:rsid w:val="00F61F3F"/>
    <w:rsid w:val="00F622B0"/>
    <w:rsid w:val="00F63394"/>
    <w:rsid w:val="00F6353E"/>
    <w:rsid w:val="00F63723"/>
    <w:rsid w:val="00F6392C"/>
    <w:rsid w:val="00F64685"/>
    <w:rsid w:val="00F646A3"/>
    <w:rsid w:val="00F65A68"/>
    <w:rsid w:val="00F65CD9"/>
    <w:rsid w:val="00F661C0"/>
    <w:rsid w:val="00F66354"/>
    <w:rsid w:val="00F66492"/>
    <w:rsid w:val="00F67568"/>
    <w:rsid w:val="00F6764B"/>
    <w:rsid w:val="00F67A76"/>
    <w:rsid w:val="00F7089C"/>
    <w:rsid w:val="00F70E79"/>
    <w:rsid w:val="00F71193"/>
    <w:rsid w:val="00F71B3D"/>
    <w:rsid w:val="00F71D33"/>
    <w:rsid w:val="00F71D44"/>
    <w:rsid w:val="00F7208B"/>
    <w:rsid w:val="00F720A4"/>
    <w:rsid w:val="00F72145"/>
    <w:rsid w:val="00F7281C"/>
    <w:rsid w:val="00F72DBF"/>
    <w:rsid w:val="00F73BA4"/>
    <w:rsid w:val="00F74050"/>
    <w:rsid w:val="00F74439"/>
    <w:rsid w:val="00F74C28"/>
    <w:rsid w:val="00F751CB"/>
    <w:rsid w:val="00F75529"/>
    <w:rsid w:val="00F7605C"/>
    <w:rsid w:val="00F76062"/>
    <w:rsid w:val="00F76535"/>
    <w:rsid w:val="00F76A79"/>
    <w:rsid w:val="00F773A3"/>
    <w:rsid w:val="00F77479"/>
    <w:rsid w:val="00F80184"/>
    <w:rsid w:val="00F80574"/>
    <w:rsid w:val="00F80AC0"/>
    <w:rsid w:val="00F80D2D"/>
    <w:rsid w:val="00F80D83"/>
    <w:rsid w:val="00F810F3"/>
    <w:rsid w:val="00F813D0"/>
    <w:rsid w:val="00F81419"/>
    <w:rsid w:val="00F81450"/>
    <w:rsid w:val="00F81659"/>
    <w:rsid w:val="00F81B61"/>
    <w:rsid w:val="00F81BE2"/>
    <w:rsid w:val="00F81BFD"/>
    <w:rsid w:val="00F81F38"/>
    <w:rsid w:val="00F83468"/>
    <w:rsid w:val="00F8412A"/>
    <w:rsid w:val="00F8417C"/>
    <w:rsid w:val="00F84FA7"/>
    <w:rsid w:val="00F85B6F"/>
    <w:rsid w:val="00F86574"/>
    <w:rsid w:val="00F86B81"/>
    <w:rsid w:val="00F873CD"/>
    <w:rsid w:val="00F87507"/>
    <w:rsid w:val="00F87C75"/>
    <w:rsid w:val="00F87FC9"/>
    <w:rsid w:val="00F90954"/>
    <w:rsid w:val="00F90DDA"/>
    <w:rsid w:val="00F91066"/>
    <w:rsid w:val="00F919B1"/>
    <w:rsid w:val="00F92200"/>
    <w:rsid w:val="00F932F7"/>
    <w:rsid w:val="00F93EB4"/>
    <w:rsid w:val="00F94580"/>
    <w:rsid w:val="00F94910"/>
    <w:rsid w:val="00F94A7E"/>
    <w:rsid w:val="00F9511F"/>
    <w:rsid w:val="00F95347"/>
    <w:rsid w:val="00F95593"/>
    <w:rsid w:val="00F95653"/>
    <w:rsid w:val="00F96CDC"/>
    <w:rsid w:val="00F97AFC"/>
    <w:rsid w:val="00F97C84"/>
    <w:rsid w:val="00FA17CD"/>
    <w:rsid w:val="00FA18D3"/>
    <w:rsid w:val="00FA22AC"/>
    <w:rsid w:val="00FA2563"/>
    <w:rsid w:val="00FA2D42"/>
    <w:rsid w:val="00FA33AC"/>
    <w:rsid w:val="00FA34C8"/>
    <w:rsid w:val="00FA3A4D"/>
    <w:rsid w:val="00FA3E43"/>
    <w:rsid w:val="00FA5017"/>
    <w:rsid w:val="00FA5163"/>
    <w:rsid w:val="00FA5203"/>
    <w:rsid w:val="00FA54E1"/>
    <w:rsid w:val="00FA58A8"/>
    <w:rsid w:val="00FA591D"/>
    <w:rsid w:val="00FA61E6"/>
    <w:rsid w:val="00FA6559"/>
    <w:rsid w:val="00FA6788"/>
    <w:rsid w:val="00FA6C1A"/>
    <w:rsid w:val="00FA6CB7"/>
    <w:rsid w:val="00FA6DC2"/>
    <w:rsid w:val="00FA71D5"/>
    <w:rsid w:val="00FA750D"/>
    <w:rsid w:val="00FA7E0B"/>
    <w:rsid w:val="00FB0536"/>
    <w:rsid w:val="00FB0E06"/>
    <w:rsid w:val="00FB0F2E"/>
    <w:rsid w:val="00FB1606"/>
    <w:rsid w:val="00FB1800"/>
    <w:rsid w:val="00FB21A3"/>
    <w:rsid w:val="00FB2A29"/>
    <w:rsid w:val="00FB55F0"/>
    <w:rsid w:val="00FB5FF1"/>
    <w:rsid w:val="00FB6017"/>
    <w:rsid w:val="00FB6D9B"/>
    <w:rsid w:val="00FB6FE9"/>
    <w:rsid w:val="00FB7240"/>
    <w:rsid w:val="00FB73B8"/>
    <w:rsid w:val="00FB75C0"/>
    <w:rsid w:val="00FB77B1"/>
    <w:rsid w:val="00FB7977"/>
    <w:rsid w:val="00FC069D"/>
    <w:rsid w:val="00FC0EC7"/>
    <w:rsid w:val="00FC0F5F"/>
    <w:rsid w:val="00FC11E1"/>
    <w:rsid w:val="00FC12E2"/>
    <w:rsid w:val="00FC2879"/>
    <w:rsid w:val="00FC2F9D"/>
    <w:rsid w:val="00FC3254"/>
    <w:rsid w:val="00FC3483"/>
    <w:rsid w:val="00FC3FD6"/>
    <w:rsid w:val="00FC4C2E"/>
    <w:rsid w:val="00FC6207"/>
    <w:rsid w:val="00FC7439"/>
    <w:rsid w:val="00FC755D"/>
    <w:rsid w:val="00FC7642"/>
    <w:rsid w:val="00FD02AE"/>
    <w:rsid w:val="00FD03FC"/>
    <w:rsid w:val="00FD0AAB"/>
    <w:rsid w:val="00FD0FE1"/>
    <w:rsid w:val="00FD1029"/>
    <w:rsid w:val="00FD113F"/>
    <w:rsid w:val="00FD1444"/>
    <w:rsid w:val="00FD193F"/>
    <w:rsid w:val="00FD1AF8"/>
    <w:rsid w:val="00FD21EE"/>
    <w:rsid w:val="00FD269D"/>
    <w:rsid w:val="00FD2F48"/>
    <w:rsid w:val="00FD3A1B"/>
    <w:rsid w:val="00FD3C1C"/>
    <w:rsid w:val="00FD42EF"/>
    <w:rsid w:val="00FD5665"/>
    <w:rsid w:val="00FD5828"/>
    <w:rsid w:val="00FD65A2"/>
    <w:rsid w:val="00FD65EE"/>
    <w:rsid w:val="00FD6717"/>
    <w:rsid w:val="00FD74F4"/>
    <w:rsid w:val="00FD7648"/>
    <w:rsid w:val="00FE06D7"/>
    <w:rsid w:val="00FE08EB"/>
    <w:rsid w:val="00FE0FF1"/>
    <w:rsid w:val="00FE16ED"/>
    <w:rsid w:val="00FE187E"/>
    <w:rsid w:val="00FE1CF0"/>
    <w:rsid w:val="00FE2B39"/>
    <w:rsid w:val="00FE2F68"/>
    <w:rsid w:val="00FE30E7"/>
    <w:rsid w:val="00FE3679"/>
    <w:rsid w:val="00FE477A"/>
    <w:rsid w:val="00FE4E90"/>
    <w:rsid w:val="00FE5A5B"/>
    <w:rsid w:val="00FE5D2D"/>
    <w:rsid w:val="00FE616A"/>
    <w:rsid w:val="00FE6447"/>
    <w:rsid w:val="00FE66AE"/>
    <w:rsid w:val="00FE69E3"/>
    <w:rsid w:val="00FE6AE0"/>
    <w:rsid w:val="00FE732F"/>
    <w:rsid w:val="00FE7DE7"/>
    <w:rsid w:val="00FF0077"/>
    <w:rsid w:val="00FF110E"/>
    <w:rsid w:val="00FF121C"/>
    <w:rsid w:val="00FF1919"/>
    <w:rsid w:val="00FF2155"/>
    <w:rsid w:val="00FF23F9"/>
    <w:rsid w:val="00FF2684"/>
    <w:rsid w:val="00FF29B8"/>
    <w:rsid w:val="00FF2E1C"/>
    <w:rsid w:val="00FF369A"/>
    <w:rsid w:val="00FF3A85"/>
    <w:rsid w:val="00FF3DDC"/>
    <w:rsid w:val="00FF50EE"/>
    <w:rsid w:val="00FF51DC"/>
    <w:rsid w:val="00FF51F9"/>
    <w:rsid w:val="00FF5421"/>
    <w:rsid w:val="00FF585E"/>
    <w:rsid w:val="00FF5998"/>
    <w:rsid w:val="00FF64B4"/>
    <w:rsid w:val="00FF6B61"/>
    <w:rsid w:val="00FF6BCE"/>
    <w:rsid w:val="00FF6CB6"/>
    <w:rsid w:val="00FF6FCD"/>
    <w:rsid w:val="00FF734A"/>
    <w:rsid w:val="00FF73FD"/>
    <w:rsid w:val="00FF7C73"/>
    <w:rsid w:val="00FF7DDB"/>
    <w:rsid w:val="01314A90"/>
    <w:rsid w:val="02F25ABA"/>
    <w:rsid w:val="032D2137"/>
    <w:rsid w:val="03943A84"/>
    <w:rsid w:val="053C728D"/>
    <w:rsid w:val="06655FBF"/>
    <w:rsid w:val="068576BC"/>
    <w:rsid w:val="0734045B"/>
    <w:rsid w:val="08470061"/>
    <w:rsid w:val="0989592D"/>
    <w:rsid w:val="0A0A5CD5"/>
    <w:rsid w:val="0A2F3FAC"/>
    <w:rsid w:val="0CC678CF"/>
    <w:rsid w:val="0EBE22E0"/>
    <w:rsid w:val="0F753397"/>
    <w:rsid w:val="117B0BF9"/>
    <w:rsid w:val="1180788A"/>
    <w:rsid w:val="13E83C70"/>
    <w:rsid w:val="14230E9F"/>
    <w:rsid w:val="15FC44C6"/>
    <w:rsid w:val="188B3955"/>
    <w:rsid w:val="1B334376"/>
    <w:rsid w:val="1BF817FD"/>
    <w:rsid w:val="1CD46D00"/>
    <w:rsid w:val="1CEB654E"/>
    <w:rsid w:val="1E300C40"/>
    <w:rsid w:val="1F97341C"/>
    <w:rsid w:val="21685AC7"/>
    <w:rsid w:val="22876259"/>
    <w:rsid w:val="23BD7132"/>
    <w:rsid w:val="23C63068"/>
    <w:rsid w:val="25505D76"/>
    <w:rsid w:val="25667BB5"/>
    <w:rsid w:val="266516F4"/>
    <w:rsid w:val="27B94B49"/>
    <w:rsid w:val="286D402B"/>
    <w:rsid w:val="289C537F"/>
    <w:rsid w:val="29F052ED"/>
    <w:rsid w:val="2D8F0AB1"/>
    <w:rsid w:val="2E826EF2"/>
    <w:rsid w:val="2F5E4F5A"/>
    <w:rsid w:val="31A56636"/>
    <w:rsid w:val="33840D42"/>
    <w:rsid w:val="34A71152"/>
    <w:rsid w:val="355669EB"/>
    <w:rsid w:val="374D56FC"/>
    <w:rsid w:val="37733F50"/>
    <w:rsid w:val="38C97C84"/>
    <w:rsid w:val="38D95683"/>
    <w:rsid w:val="38EB185E"/>
    <w:rsid w:val="39B07EA8"/>
    <w:rsid w:val="3C315A31"/>
    <w:rsid w:val="3C7B1CC5"/>
    <w:rsid w:val="3CD01BFB"/>
    <w:rsid w:val="3D356845"/>
    <w:rsid w:val="3DC13736"/>
    <w:rsid w:val="4212785B"/>
    <w:rsid w:val="43E7702E"/>
    <w:rsid w:val="456A67D3"/>
    <w:rsid w:val="46363EDE"/>
    <w:rsid w:val="475D3488"/>
    <w:rsid w:val="48D5329C"/>
    <w:rsid w:val="490B347A"/>
    <w:rsid w:val="4A3E608C"/>
    <w:rsid w:val="4A6C2EA9"/>
    <w:rsid w:val="4BA3025A"/>
    <w:rsid w:val="4E8629C3"/>
    <w:rsid w:val="4F3C6460"/>
    <w:rsid w:val="4F9A3591"/>
    <w:rsid w:val="4FE537B4"/>
    <w:rsid w:val="508C237A"/>
    <w:rsid w:val="51A7302E"/>
    <w:rsid w:val="55177628"/>
    <w:rsid w:val="56B07E55"/>
    <w:rsid w:val="57AC555A"/>
    <w:rsid w:val="59934F9C"/>
    <w:rsid w:val="5DE02BE4"/>
    <w:rsid w:val="602E0212"/>
    <w:rsid w:val="626A04A1"/>
    <w:rsid w:val="638C410F"/>
    <w:rsid w:val="65D4631D"/>
    <w:rsid w:val="693D083A"/>
    <w:rsid w:val="69FF2EE1"/>
    <w:rsid w:val="6A8C32CC"/>
    <w:rsid w:val="6B8B08A7"/>
    <w:rsid w:val="6FA01780"/>
    <w:rsid w:val="70092847"/>
    <w:rsid w:val="70877F6F"/>
    <w:rsid w:val="72D2085A"/>
    <w:rsid w:val="73EF300F"/>
    <w:rsid w:val="74E80010"/>
    <w:rsid w:val="781A701D"/>
    <w:rsid w:val="784D2144"/>
    <w:rsid w:val="78E21B7D"/>
    <w:rsid w:val="7CCC560A"/>
    <w:rsid w:val="7CFD344D"/>
    <w:rsid w:val="7DD33E7C"/>
    <w:rsid w:val="7FC060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79"/>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5"/>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5"/>
    <w:qFormat/>
    <w:uiPriority w:val="99"/>
    <w:pPr>
      <w:keepNext/>
      <w:keepLines/>
      <w:spacing w:before="280" w:after="290" w:line="376" w:lineRule="auto"/>
      <w:outlineLvl w:val="4"/>
    </w:pPr>
    <w:rPr>
      <w:b/>
      <w:bCs/>
      <w:sz w:val="28"/>
      <w:szCs w:val="28"/>
    </w:rPr>
  </w:style>
  <w:style w:type="paragraph" w:styleId="8">
    <w:name w:val="heading 6"/>
    <w:basedOn w:val="1"/>
    <w:next w:val="1"/>
    <w:link w:val="102"/>
    <w:qFormat/>
    <w:uiPriority w:val="99"/>
    <w:pPr>
      <w:keepNext/>
      <w:keepLines/>
      <w:spacing w:before="240" w:after="64" w:line="320" w:lineRule="auto"/>
      <w:outlineLvl w:val="5"/>
    </w:pPr>
    <w:rPr>
      <w:rFonts w:ascii="Arial" w:hAnsi="Arial" w:eastAsia="黑体"/>
      <w:b/>
      <w:bCs/>
      <w:sz w:val="24"/>
      <w:szCs w:val="20"/>
    </w:rPr>
  </w:style>
  <w:style w:type="paragraph" w:styleId="9">
    <w:name w:val="heading 7"/>
    <w:basedOn w:val="1"/>
    <w:next w:val="1"/>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10">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44">
    <w:name w:val="Default Paragraph Font"/>
    <w:semiHidden/>
    <w:uiPriority w:val="0"/>
  </w:style>
  <w:style w:type="table" w:default="1" w:styleId="42">
    <w:name w:val="Normal Table"/>
    <w:semiHidden/>
    <w:uiPriority w:val="0"/>
    <w:tblPr>
      <w:tblStyle w:val="42"/>
      <w:tblCellMar>
        <w:top w:w="0" w:type="dxa"/>
        <w:left w:w="108" w:type="dxa"/>
        <w:bottom w:w="0" w:type="dxa"/>
        <w:right w:w="108" w:type="dxa"/>
      </w:tblCellMar>
    </w:tblPr>
  </w:style>
  <w:style w:type="paragraph" w:styleId="5">
    <w:name w:val="Normal Indent"/>
    <w:basedOn w:val="1"/>
    <w:link w:val="61"/>
    <w:uiPriority w:val="0"/>
    <w:pPr>
      <w:ind w:firstLine="420"/>
    </w:pPr>
    <w:rPr>
      <w:szCs w:val="20"/>
    </w:rPr>
  </w:style>
  <w:style w:type="paragraph" w:styleId="12">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List Bullet"/>
    <w:basedOn w:val="1"/>
    <w:uiPriority w:val="0"/>
    <w:pPr>
      <w:widowControl/>
      <w:tabs>
        <w:tab w:val="left" w:pos="900"/>
      </w:tabs>
      <w:spacing w:before="100" w:beforeAutospacing="1" w:after="100" w:afterLines="50" w:afterAutospacing="1"/>
      <w:ind w:left="900" w:hanging="420"/>
      <w:jc w:val="left"/>
    </w:pPr>
    <w:rPr>
      <w:kern w:val="0"/>
      <w:szCs w:val="20"/>
    </w:rPr>
  </w:style>
  <w:style w:type="paragraph" w:styleId="15">
    <w:name w:val="Document Map"/>
    <w:basedOn w:val="1"/>
    <w:link w:val="62"/>
    <w:semiHidden/>
    <w:uiPriority w:val="99"/>
    <w:pPr>
      <w:shd w:val="clear" w:color="auto" w:fill="000080"/>
    </w:pPr>
  </w:style>
  <w:style w:type="paragraph" w:styleId="16">
    <w:name w:val="annotation text"/>
    <w:basedOn w:val="1"/>
    <w:link w:val="69"/>
    <w:semiHidden/>
    <w:uiPriority w:val="0"/>
    <w:pPr>
      <w:jc w:val="left"/>
    </w:pPr>
  </w:style>
  <w:style w:type="paragraph" w:styleId="17">
    <w:name w:val="Salutation"/>
    <w:basedOn w:val="1"/>
    <w:next w:val="1"/>
    <w:uiPriority w:val="0"/>
    <w:rPr>
      <w:sz w:val="24"/>
    </w:rPr>
  </w:style>
  <w:style w:type="paragraph" w:styleId="18">
    <w:name w:val="Body Text 3"/>
    <w:basedOn w:val="1"/>
    <w:uiPriority w:val="0"/>
    <w:pPr>
      <w:snapToGrid w:val="0"/>
      <w:spacing w:before="50" w:after="50"/>
    </w:pPr>
    <w:rPr>
      <w:rFonts w:hAnsi="宋体" w:eastAsia="仿宋_GB2312"/>
      <w:b/>
      <w:bCs/>
      <w:sz w:val="24"/>
      <w:szCs w:val="20"/>
    </w:rPr>
  </w:style>
  <w:style w:type="paragraph" w:styleId="19">
    <w:name w:val="Body Text"/>
    <w:basedOn w:val="1"/>
    <w:link w:val="108"/>
    <w:uiPriority w:val="0"/>
    <w:pPr>
      <w:spacing w:after="120"/>
    </w:pPr>
    <w:rPr>
      <w:sz w:val="28"/>
    </w:rPr>
  </w:style>
  <w:style w:type="paragraph" w:styleId="20">
    <w:name w:val="Body Text Indent"/>
    <w:basedOn w:val="1"/>
    <w:next w:val="5"/>
    <w:link w:val="114"/>
    <w:qFormat/>
    <w:uiPriority w:val="0"/>
    <w:pPr>
      <w:spacing w:line="200" w:lineRule="exact"/>
      <w:ind w:firstLine="301"/>
    </w:pPr>
    <w:rPr>
      <w:rFonts w:ascii="宋体" w:hAnsi="Courier New"/>
      <w:spacing w:val="-4"/>
      <w:sz w:val="18"/>
      <w:szCs w:val="20"/>
    </w:rPr>
  </w:style>
  <w:style w:type="paragraph" w:styleId="21">
    <w:name w:val="List Number 3"/>
    <w:basedOn w:val="1"/>
    <w:uiPriority w:val="0"/>
    <w:pPr>
      <w:tabs>
        <w:tab w:val="left" w:pos="1200"/>
      </w:tabs>
      <w:ind w:left="1200" w:leftChars="400" w:hanging="360" w:hangingChars="200"/>
    </w:pPr>
  </w:style>
  <w:style w:type="paragraph" w:styleId="22">
    <w:name w:val="List 2"/>
    <w:basedOn w:val="1"/>
    <w:uiPriority w:val="0"/>
    <w:pPr>
      <w:ind w:left="100" w:leftChars="200" w:hanging="200" w:hangingChars="200"/>
    </w:pPr>
    <w:rPr>
      <w:sz w:val="28"/>
    </w:rPr>
  </w:style>
  <w:style w:type="paragraph" w:styleId="23">
    <w:name w:val="List Bullet 2"/>
    <w:basedOn w:val="1"/>
    <w:uiPriority w:val="0"/>
    <w:pPr>
      <w:tabs>
        <w:tab w:val="left" w:pos="360"/>
        <w:tab w:val="left" w:pos="1191"/>
      </w:tabs>
      <w:snapToGrid w:val="0"/>
      <w:spacing w:line="360" w:lineRule="auto"/>
      <w:ind w:left="482" w:hanging="482" w:hangingChars="200"/>
      <w:jc w:val="left"/>
    </w:pPr>
    <w:rPr>
      <w:b/>
      <w:bCs/>
      <w:sz w:val="24"/>
      <w:szCs w:val="32"/>
    </w:rPr>
  </w:style>
  <w:style w:type="paragraph" w:styleId="24">
    <w:name w:val="Plain Text"/>
    <w:basedOn w:val="1"/>
    <w:next w:val="1"/>
    <w:link w:val="123"/>
    <w:qFormat/>
    <w:uiPriority w:val="99"/>
    <w:pPr>
      <w:spacing w:before="156" w:beforeLines="50" w:after="156" w:afterLines="50" w:line="400" w:lineRule="exact"/>
    </w:pPr>
    <w:rPr>
      <w:rFonts w:ascii="宋体" w:hAnsi="Courier New"/>
      <w:sz w:val="24"/>
    </w:rPr>
  </w:style>
  <w:style w:type="paragraph" w:styleId="25">
    <w:name w:val="Date"/>
    <w:basedOn w:val="1"/>
    <w:next w:val="1"/>
    <w:uiPriority w:val="0"/>
    <w:pPr>
      <w:ind w:leftChars="2500"/>
    </w:pPr>
    <w:rPr>
      <w:rFonts w:eastAsia="楷体_GB2312"/>
      <w:sz w:val="32"/>
      <w:szCs w:val="20"/>
    </w:rPr>
  </w:style>
  <w:style w:type="paragraph" w:styleId="26">
    <w:name w:val="Body Text Indent 2"/>
    <w:basedOn w:val="1"/>
    <w:qFormat/>
    <w:uiPriority w:val="0"/>
    <w:pPr>
      <w:snapToGrid w:val="0"/>
      <w:ind w:firstLine="542" w:firstLineChars="225"/>
    </w:pPr>
    <w:rPr>
      <w:rFonts w:ascii="仿宋_GB2312" w:hAnsi="宋体" w:cs="Arial"/>
      <w:b/>
      <w:bCs/>
      <w:color w:val="000000"/>
      <w:sz w:val="24"/>
    </w:rPr>
  </w:style>
  <w:style w:type="paragraph" w:styleId="27">
    <w:name w:val="endnote text"/>
    <w:basedOn w:val="1"/>
    <w:semiHidden/>
    <w:uiPriority w:val="0"/>
    <w:pPr>
      <w:snapToGrid w:val="0"/>
      <w:spacing w:after="50" w:afterLines="50"/>
      <w:jc w:val="left"/>
    </w:pPr>
    <w:rPr>
      <w:rFonts w:ascii="宋体"/>
      <w:snapToGrid w:val="0"/>
      <w:kern w:val="0"/>
      <w:szCs w:val="20"/>
    </w:rPr>
  </w:style>
  <w:style w:type="paragraph" w:styleId="28">
    <w:name w:val="Balloon Text"/>
    <w:basedOn w:val="1"/>
    <w:link w:val="53"/>
    <w:semiHidden/>
    <w:uiPriority w:val="99"/>
    <w:rPr>
      <w:sz w:val="18"/>
      <w:szCs w:val="18"/>
    </w:rPr>
  </w:style>
  <w:style w:type="paragraph" w:styleId="29">
    <w:name w:val="footer"/>
    <w:basedOn w:val="1"/>
    <w:link w:val="59"/>
    <w:uiPriority w:val="99"/>
    <w:pPr>
      <w:tabs>
        <w:tab w:val="center" w:pos="4153"/>
        <w:tab w:val="right" w:pos="8306"/>
      </w:tabs>
      <w:snapToGrid w:val="0"/>
      <w:jc w:val="left"/>
    </w:pPr>
    <w:rPr>
      <w:rFonts w:eastAsia="黑体"/>
      <w:kern w:val="0"/>
      <w:sz w:val="18"/>
      <w:szCs w:val="18"/>
    </w:rPr>
  </w:style>
  <w:style w:type="paragraph" w:styleId="30">
    <w:name w:val="header"/>
    <w:basedOn w:val="1"/>
    <w:link w:val="77"/>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1">
    <w:name w:val="toc 1"/>
    <w:basedOn w:val="1"/>
    <w:next w:val="1"/>
    <w:semiHidden/>
    <w:uiPriority w:val="0"/>
  </w:style>
  <w:style w:type="paragraph" w:styleId="32">
    <w:name w:val="Subtitle"/>
    <w:basedOn w:val="1"/>
    <w:qFormat/>
    <w:uiPriority w:val="0"/>
    <w:pPr>
      <w:spacing w:after="60" w:afterLines="50"/>
      <w:jc w:val="center"/>
    </w:pPr>
    <w:rPr>
      <w:rFonts w:ascii="宋体"/>
      <w:i/>
      <w:snapToGrid w:val="0"/>
      <w:kern w:val="0"/>
      <w:sz w:val="36"/>
      <w:szCs w:val="20"/>
      <w:lang w:val="en-AU"/>
    </w:rPr>
  </w:style>
  <w:style w:type="paragraph" w:styleId="33">
    <w:name w:val="List"/>
    <w:basedOn w:val="1"/>
    <w:uiPriority w:val="0"/>
    <w:pPr>
      <w:ind w:left="200" w:hanging="200" w:hangingChars="200"/>
    </w:pPr>
    <w:rPr>
      <w:sz w:val="28"/>
    </w:rPr>
  </w:style>
  <w:style w:type="paragraph" w:styleId="34">
    <w:name w:val="Body Text Indent 3"/>
    <w:basedOn w:val="1"/>
    <w:link w:val="132"/>
    <w:uiPriority w:val="0"/>
    <w:pPr>
      <w:snapToGrid w:val="0"/>
      <w:ind w:firstLine="480" w:firstLineChars="200"/>
      <w:jc w:val="left"/>
    </w:pPr>
    <w:rPr>
      <w:rFonts w:ascii="仿宋_GB2312" w:hAnsi="宋体" w:eastAsia="仿宋_GB2312"/>
      <w:color w:val="000000"/>
      <w:sz w:val="24"/>
    </w:rPr>
  </w:style>
  <w:style w:type="paragraph" w:styleId="35">
    <w:name w:val="Body Text 2"/>
    <w:basedOn w:val="1"/>
    <w:uiPriority w:val="0"/>
    <w:pPr>
      <w:widowControl/>
      <w:snapToGrid w:val="0"/>
      <w:spacing w:before="50" w:after="156" w:afterLines="50" w:line="400" w:lineRule="exact"/>
      <w:jc w:val="left"/>
    </w:pPr>
    <w:rPr>
      <w:rFonts w:ascii="宋体" w:hAnsi="宋体"/>
      <w:color w:val="000000"/>
      <w:sz w:val="24"/>
    </w:rPr>
  </w:style>
  <w:style w:type="paragraph" w:styleId="36">
    <w:name w:val="HTML Preformatted"/>
    <w:basedOn w:val="1"/>
    <w:link w:val="80"/>
    <w:uiPriority w:val="99"/>
    <w:rPr>
      <w:rFonts w:ascii="Courier New" w:hAnsi="Courier New"/>
      <w:sz w:val="20"/>
      <w:szCs w:val="20"/>
    </w:rPr>
  </w:style>
  <w:style w:type="paragraph" w:styleId="3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8">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39">
    <w:name w:val="annotation subject"/>
    <w:basedOn w:val="16"/>
    <w:next w:val="16"/>
    <w:link w:val="81"/>
    <w:uiPriority w:val="0"/>
    <w:rPr>
      <w:b/>
      <w:bCs/>
    </w:rPr>
  </w:style>
  <w:style w:type="paragraph" w:styleId="40">
    <w:name w:val="Body Text First Indent"/>
    <w:basedOn w:val="19"/>
    <w:uiPriority w:val="0"/>
    <w:pPr>
      <w:spacing w:line="360" w:lineRule="auto"/>
      <w:ind w:firstLine="200" w:firstLineChars="200"/>
      <w:jc w:val="left"/>
    </w:pPr>
    <w:rPr>
      <w:bCs/>
      <w:sz w:val="24"/>
    </w:rPr>
  </w:style>
  <w:style w:type="paragraph" w:styleId="41">
    <w:name w:val="Body Text First Indent 2"/>
    <w:basedOn w:val="20"/>
    <w:link w:val="86"/>
    <w:uiPriority w:val="0"/>
    <w:pPr>
      <w:spacing w:after="120" w:line="240" w:lineRule="auto"/>
      <w:ind w:left="420" w:leftChars="200" w:firstLine="420" w:firstLineChars="200"/>
    </w:pPr>
    <w:rPr>
      <w:sz w:val="21"/>
      <w:szCs w:val="24"/>
    </w:rPr>
  </w:style>
  <w:style w:type="table" w:styleId="43">
    <w:name w:val="Table Grid"/>
    <w:basedOn w:val="42"/>
    <w:uiPriority w:val="39"/>
    <w:pPr>
      <w:widowControl w:val="0"/>
      <w:jc w:val="both"/>
    </w:pPr>
    <w:tblPr>
      <w:tblStyle w:val="4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99"/>
    <w:rPr>
      <w:b/>
      <w:bCs/>
    </w:rPr>
  </w:style>
  <w:style w:type="character" w:styleId="46">
    <w:name w:val="page number"/>
    <w:basedOn w:val="44"/>
    <w:uiPriority w:val="99"/>
  </w:style>
  <w:style w:type="character" w:styleId="47">
    <w:name w:val="FollowedHyperlink"/>
    <w:uiPriority w:val="0"/>
    <w:rPr>
      <w:color w:val="800080"/>
      <w:u w:val="single"/>
    </w:rPr>
  </w:style>
  <w:style w:type="character" w:styleId="48">
    <w:name w:val="Emphasis"/>
    <w:qFormat/>
    <w:uiPriority w:val="0"/>
    <w:rPr>
      <w:i/>
      <w:iCs/>
    </w:rPr>
  </w:style>
  <w:style w:type="character" w:styleId="49">
    <w:name w:val="Hyperlink"/>
    <w:uiPriority w:val="99"/>
    <w:rPr>
      <w:color w:val="0000FF"/>
      <w:u w:val="single"/>
    </w:rPr>
  </w:style>
  <w:style w:type="character" w:styleId="50">
    <w:name w:val="annotation reference"/>
    <w:uiPriority w:val="99"/>
    <w:rPr>
      <w:sz w:val="21"/>
      <w:szCs w:val="21"/>
    </w:rPr>
  </w:style>
  <w:style w:type="character" w:customStyle="1" w:styleId="51">
    <w:name w:val="para"/>
    <w:basedOn w:val="44"/>
    <w:uiPriority w:val="0"/>
  </w:style>
  <w:style w:type="character" w:customStyle="1" w:styleId="52">
    <w:name w:val="font11"/>
    <w:uiPriority w:val="99"/>
    <w:rPr>
      <w:rFonts w:ascii="宋体" w:hAnsi="宋体" w:eastAsia="宋体" w:cs="宋体"/>
      <w:color w:val="000000"/>
      <w:sz w:val="22"/>
      <w:szCs w:val="22"/>
      <w:u w:val="none"/>
    </w:rPr>
  </w:style>
  <w:style w:type="character" w:customStyle="1" w:styleId="53">
    <w:name w:val="批注框文本 Char"/>
    <w:link w:val="28"/>
    <w:semiHidden/>
    <w:locked/>
    <w:uiPriority w:val="99"/>
    <w:rPr>
      <w:kern w:val="2"/>
      <w:sz w:val="18"/>
      <w:szCs w:val="18"/>
    </w:rPr>
  </w:style>
  <w:style w:type="character" w:customStyle="1" w:styleId="54">
    <w:name w:val="style101"/>
    <w:uiPriority w:val="0"/>
    <w:rPr>
      <w:color w:val="FFFFFF"/>
    </w:rPr>
  </w:style>
  <w:style w:type="character" w:customStyle="1" w:styleId="55">
    <w:name w:val=" Char Char7"/>
    <w:uiPriority w:val="0"/>
    <w:rPr>
      <w:rFonts w:ascii="宋体" w:hAnsi="Courier New" w:eastAsia="宋体"/>
      <w:spacing w:val="-4"/>
      <w:kern w:val="2"/>
      <w:sz w:val="18"/>
      <w:lang w:val="en-US" w:eastAsia="zh-CN" w:bidi="ar-SA"/>
    </w:rPr>
  </w:style>
  <w:style w:type="character" w:customStyle="1" w:styleId="56">
    <w:name w:val="正文文本缩进 3 Char"/>
    <w:uiPriority w:val="0"/>
    <w:rPr>
      <w:rFonts w:ascii="仿宋_GB2312" w:hAnsi="宋体" w:eastAsia="仿宋_GB2312"/>
      <w:color w:val="000000"/>
      <w:kern w:val="2"/>
      <w:sz w:val="24"/>
      <w:szCs w:val="24"/>
      <w:lang w:val="en-US" w:eastAsia="zh-CN" w:bidi="ar-SA"/>
    </w:rPr>
  </w:style>
  <w:style w:type="character" w:customStyle="1" w:styleId="57">
    <w:name w:val="标题 2 Char"/>
    <w:uiPriority w:val="99"/>
    <w:rPr>
      <w:rFonts w:ascii="Arial" w:hAnsi="Arial" w:eastAsia="黑体"/>
      <w:b/>
      <w:bCs/>
      <w:kern w:val="2"/>
      <w:sz w:val="32"/>
      <w:szCs w:val="32"/>
      <w:lang w:val="en-US" w:eastAsia="zh-CN" w:bidi="ar-SA"/>
    </w:rPr>
  </w:style>
  <w:style w:type="character" w:customStyle="1" w:styleId="58">
    <w:name w:val="样式 小四"/>
    <w:uiPriority w:val="0"/>
    <w:rPr>
      <w:sz w:val="21"/>
    </w:rPr>
  </w:style>
  <w:style w:type="character" w:customStyle="1" w:styleId="59">
    <w:name w:val="页脚 Char"/>
    <w:link w:val="29"/>
    <w:locked/>
    <w:uiPriority w:val="99"/>
    <w:rPr>
      <w:rFonts w:eastAsia="黑体"/>
      <w:snapToGrid/>
      <w:sz w:val="18"/>
      <w:szCs w:val="18"/>
    </w:rPr>
  </w:style>
  <w:style w:type="character" w:customStyle="1" w:styleId="60">
    <w:name w:val="tw4winPopup"/>
    <w:uiPriority w:val="0"/>
    <w:rPr>
      <w:rFonts w:ascii="Courier New" w:hAnsi="Courier New"/>
      <w:color w:val="008000"/>
    </w:rPr>
  </w:style>
  <w:style w:type="character" w:customStyle="1" w:styleId="61">
    <w:name w:val="正文缩进 Char1"/>
    <w:link w:val="5"/>
    <w:uiPriority w:val="0"/>
    <w:rPr>
      <w:rFonts w:eastAsia="宋体"/>
      <w:kern w:val="2"/>
      <w:sz w:val="21"/>
      <w:lang w:val="en-US" w:eastAsia="zh-CN" w:bidi="ar-SA"/>
    </w:rPr>
  </w:style>
  <w:style w:type="character" w:customStyle="1" w:styleId="62">
    <w:name w:val="文档结构图 Char"/>
    <w:link w:val="15"/>
    <w:semiHidden/>
    <w:locked/>
    <w:uiPriority w:val="99"/>
    <w:rPr>
      <w:kern w:val="2"/>
      <w:sz w:val="21"/>
      <w:szCs w:val="24"/>
      <w:shd w:val="clear" w:color="auto" w:fill="000080"/>
    </w:rPr>
  </w:style>
  <w:style w:type="character" w:customStyle="1" w:styleId="63">
    <w:name w:val="font171"/>
    <w:uiPriority w:val="99"/>
    <w:rPr>
      <w:rFonts w:ascii="font-weight : 400" w:hAnsi="font-weight : 400" w:cs="font-weight : 400"/>
      <w:color w:val="000000"/>
      <w:sz w:val="20"/>
      <w:szCs w:val="20"/>
      <w:u w:val="none"/>
    </w:rPr>
  </w:style>
  <w:style w:type="character" w:customStyle="1" w:styleId="64">
    <w:name w:val="tw4winMark"/>
    <w:uiPriority w:val="0"/>
    <w:rPr>
      <w:rFonts w:ascii="Courier New" w:hAnsi="Courier New"/>
      <w:vanish/>
      <w:color w:val="800080"/>
      <w:vertAlign w:val="subscript"/>
    </w:rPr>
  </w:style>
  <w:style w:type="character" w:customStyle="1" w:styleId="65">
    <w:name w:val="font131"/>
    <w:uiPriority w:val="99"/>
    <w:rPr>
      <w:rFonts w:ascii="等线" w:hAnsi="等线" w:eastAsia="等线" w:cs="等线"/>
      <w:color w:val="FF0000"/>
      <w:sz w:val="22"/>
      <w:szCs w:val="22"/>
      <w:u w:val="none"/>
    </w:rPr>
  </w:style>
  <w:style w:type="character" w:customStyle="1" w:styleId="66">
    <w:name w:val="font161"/>
    <w:uiPriority w:val="99"/>
    <w:rPr>
      <w:rFonts w:ascii="宋体" w:hAnsi="宋体" w:eastAsia="宋体" w:cs="宋体"/>
      <w:color w:val="000000"/>
      <w:sz w:val="20"/>
      <w:szCs w:val="20"/>
      <w:u w:val="none"/>
    </w:rPr>
  </w:style>
  <w:style w:type="character" w:customStyle="1" w:styleId="67">
    <w:name w:val="纯文本 Char2"/>
    <w:aliases w:val="普通文字 Char Char1,纯文本 Char Char Char,纯文本 Char Char1,普通文字 Char Char Char1,普通文字 Char Char Char Char1,普通文字 Char Char Char Char Char,普通文字 Char1,0921 Char,Texte Char,小 Char,正 文 1 Char,Plain Text Char,普通文字1 Char,普通文字2 Char,普通文字3 Char,普通文字4 Char"/>
    <w:locked/>
    <w:uiPriority w:val="0"/>
    <w:rPr>
      <w:rFonts w:ascii="宋体" w:hAnsi="Courier New" w:eastAsia="宋体"/>
      <w:kern w:val="2"/>
      <w:sz w:val="21"/>
      <w:lang w:val="en-US" w:eastAsia="zh-CN" w:bidi="ar-SA"/>
    </w:rPr>
  </w:style>
  <w:style w:type="character" w:customStyle="1" w:styleId="68">
    <w:name w:val="font51"/>
    <w:uiPriority w:val="99"/>
    <w:rPr>
      <w:rFonts w:ascii="宋体" w:hAnsi="宋体" w:eastAsia="宋体" w:cs="宋体"/>
      <w:color w:val="000000"/>
      <w:sz w:val="20"/>
      <w:szCs w:val="20"/>
      <w:u w:val="none"/>
    </w:rPr>
  </w:style>
  <w:style w:type="character" w:customStyle="1" w:styleId="69">
    <w:name w:val="批注文字 Char1"/>
    <w:link w:val="16"/>
    <w:uiPriority w:val="0"/>
    <w:rPr>
      <w:rFonts w:eastAsia="宋体"/>
      <w:kern w:val="2"/>
      <w:sz w:val="21"/>
      <w:szCs w:val="24"/>
      <w:lang w:val="en-US" w:eastAsia="zh-CN" w:bidi="ar-SA"/>
    </w:rPr>
  </w:style>
  <w:style w:type="character" w:customStyle="1" w:styleId="70">
    <w:name w:val="!我的正文 Ctr+Q Char"/>
    <w:link w:val="71"/>
    <w:uiPriority w:val="0"/>
    <w:rPr>
      <w:rFonts w:ascii="Arial" w:hAnsi="Arial" w:eastAsia="宋体"/>
      <w:kern w:val="2"/>
      <w:sz w:val="24"/>
      <w:szCs w:val="21"/>
      <w:lang w:val="en-US" w:eastAsia="zh-CN" w:bidi="ar-SA"/>
    </w:rPr>
  </w:style>
  <w:style w:type="paragraph" w:customStyle="1" w:styleId="71">
    <w:name w:val="!我的正文 Ctr+Q"/>
    <w:basedOn w:val="1"/>
    <w:link w:val="70"/>
    <w:uiPriority w:val="0"/>
    <w:pPr>
      <w:adjustRightInd w:val="0"/>
      <w:snapToGrid w:val="0"/>
      <w:spacing w:line="360" w:lineRule="auto"/>
      <w:ind w:firstLine="480" w:firstLineChars="200"/>
    </w:pPr>
    <w:rPr>
      <w:rFonts w:ascii="Arial" w:hAnsi="Arial"/>
      <w:sz w:val="24"/>
      <w:szCs w:val="21"/>
    </w:rPr>
  </w:style>
  <w:style w:type="character" w:customStyle="1" w:styleId="72">
    <w:name w:val="font31"/>
    <w:uiPriority w:val="99"/>
    <w:rPr>
      <w:rFonts w:ascii="宋体" w:hAnsi="宋体" w:eastAsia="宋体" w:cs="宋体"/>
      <w:color w:val="000000"/>
      <w:sz w:val="24"/>
      <w:szCs w:val="24"/>
      <w:u w:val="none"/>
    </w:rPr>
  </w:style>
  <w:style w:type="character" w:customStyle="1" w:styleId="73">
    <w:name w:val="large1"/>
    <w:uiPriority w:val="99"/>
    <w:rPr>
      <w:rFonts w:hint="eastAsia" w:ascii="宋体" w:hAnsi="宋体" w:eastAsia="宋体"/>
      <w:sz w:val="21"/>
      <w:szCs w:val="21"/>
    </w:rPr>
  </w:style>
  <w:style w:type="character" w:customStyle="1" w:styleId="74">
    <w:name w:val="批注主题 Char"/>
    <w:uiPriority w:val="99"/>
    <w:rPr>
      <w:rFonts w:eastAsia="宋体"/>
      <w:b/>
      <w:bCs/>
      <w:kern w:val="2"/>
      <w:sz w:val="21"/>
      <w:szCs w:val="24"/>
      <w:lang w:val="en-US" w:eastAsia="zh-CN" w:bidi="ar-SA"/>
    </w:rPr>
  </w:style>
  <w:style w:type="character" w:customStyle="1" w:styleId="75">
    <w:name w:val="标题 1 Char Char"/>
    <w:uiPriority w:val="0"/>
    <w:rPr>
      <w:rFonts w:eastAsia="宋体"/>
      <w:b/>
      <w:spacing w:val="-2"/>
      <w:sz w:val="24"/>
      <w:lang w:val="en-US" w:eastAsia="zh-CN" w:bidi="ar-SA"/>
    </w:rPr>
  </w:style>
  <w:style w:type="character" w:customStyle="1" w:styleId="76">
    <w:name w:val="正文缩进 Char"/>
    <w:uiPriority w:val="0"/>
    <w:rPr>
      <w:rFonts w:eastAsia="宋体"/>
      <w:kern w:val="2"/>
      <w:sz w:val="21"/>
      <w:lang w:val="en-US" w:eastAsia="zh-CN" w:bidi="ar-SA"/>
    </w:rPr>
  </w:style>
  <w:style w:type="character" w:customStyle="1" w:styleId="77">
    <w:name w:val="页眉 Char"/>
    <w:link w:val="30"/>
    <w:locked/>
    <w:uiPriority w:val="99"/>
    <w:rPr>
      <w:rFonts w:eastAsia="仿宋_GB2312"/>
      <w:kern w:val="2"/>
      <w:sz w:val="18"/>
    </w:rPr>
  </w:style>
  <w:style w:type="character" w:customStyle="1" w:styleId="78">
    <w:name w:val="正文文本 Char"/>
    <w:uiPriority w:val="99"/>
    <w:rPr>
      <w:rFonts w:eastAsia="宋体"/>
      <w:kern w:val="2"/>
      <w:sz w:val="28"/>
      <w:szCs w:val="24"/>
      <w:lang w:val="en-US" w:eastAsia="zh-CN" w:bidi="ar-SA"/>
    </w:rPr>
  </w:style>
  <w:style w:type="character" w:customStyle="1" w:styleId="79">
    <w:name w:val="标题 2 Char4"/>
    <w:link w:val="3"/>
    <w:qFormat/>
    <w:uiPriority w:val="0"/>
    <w:rPr>
      <w:rFonts w:ascii="Arial" w:hAnsi="Arial"/>
      <w:b/>
      <w:bCs/>
      <w:sz w:val="28"/>
      <w:szCs w:val="32"/>
    </w:rPr>
  </w:style>
  <w:style w:type="character" w:customStyle="1" w:styleId="80">
    <w:name w:val="HTML 预设格式 Char"/>
    <w:link w:val="36"/>
    <w:locked/>
    <w:uiPriority w:val="99"/>
    <w:rPr>
      <w:rFonts w:ascii="Courier New" w:hAnsi="Courier New" w:cs="Courier New"/>
      <w:kern w:val="2"/>
    </w:rPr>
  </w:style>
  <w:style w:type="character" w:customStyle="1" w:styleId="81">
    <w:name w:val="批注主题 Char1"/>
    <w:link w:val="39"/>
    <w:uiPriority w:val="0"/>
    <w:rPr>
      <w:rFonts w:eastAsia="宋体"/>
      <w:b/>
      <w:bCs/>
      <w:kern w:val="2"/>
      <w:sz w:val="21"/>
      <w:szCs w:val="24"/>
      <w:lang w:val="en-US" w:eastAsia="zh-CN" w:bidi="ar-SA"/>
    </w:rPr>
  </w:style>
  <w:style w:type="character" w:customStyle="1" w:styleId="82">
    <w:name w:val=" Char Char19"/>
    <w:qFormat/>
    <w:uiPriority w:val="0"/>
    <w:rPr>
      <w:rFonts w:ascii="Arial" w:hAnsi="Arial" w:eastAsia="宋体"/>
      <w:b/>
      <w:bCs/>
      <w:kern w:val="2"/>
      <w:sz w:val="28"/>
      <w:szCs w:val="32"/>
      <w:lang w:val="en-US" w:eastAsia="zh-CN" w:bidi="ar-SA"/>
    </w:rPr>
  </w:style>
  <w:style w:type="character" w:customStyle="1" w:styleId="83">
    <w:name w:val="批注文字 Char"/>
    <w:uiPriority w:val="99"/>
    <w:rPr>
      <w:rFonts w:eastAsia="宋体"/>
      <w:kern w:val="2"/>
      <w:sz w:val="21"/>
      <w:szCs w:val="24"/>
      <w:lang w:val="en-US" w:eastAsia="zh-CN" w:bidi="ar-SA"/>
    </w:rPr>
  </w:style>
  <w:style w:type="character" w:customStyle="1" w:styleId="84">
    <w:name w:val=" Char Char21"/>
    <w:qFormat/>
    <w:uiPriority w:val="0"/>
    <w:rPr>
      <w:rFonts w:ascii="Arial" w:hAnsi="Arial" w:eastAsia="宋体"/>
      <w:b/>
      <w:bCs/>
      <w:kern w:val="2"/>
      <w:sz w:val="28"/>
      <w:szCs w:val="32"/>
      <w:lang w:val="en-US" w:eastAsia="zh-CN" w:bidi="ar-SA"/>
    </w:rPr>
  </w:style>
  <w:style w:type="character" w:customStyle="1" w:styleId="85">
    <w:name w:val="font2"/>
    <w:uiPriority w:val="0"/>
    <w:rPr>
      <w:rFonts w:hint="default" w:ascii="Arial" w:hAnsi="Arial" w:cs="Arial"/>
      <w:color w:val="333333"/>
      <w:spacing w:val="0"/>
      <w:sz w:val="18"/>
      <w:szCs w:val="18"/>
    </w:rPr>
  </w:style>
  <w:style w:type="character" w:customStyle="1" w:styleId="86">
    <w:name w:val="正文首行缩进 2 Char1"/>
    <w:link w:val="41"/>
    <w:uiPriority w:val="0"/>
    <w:rPr>
      <w:rFonts w:ascii="宋体" w:hAnsi="Courier New"/>
      <w:spacing w:val="-4"/>
      <w:kern w:val="2"/>
      <w:sz w:val="21"/>
      <w:szCs w:val="24"/>
    </w:rPr>
  </w:style>
  <w:style w:type="character" w:customStyle="1" w:styleId="87">
    <w:name w:val="标题 3 Char"/>
    <w:aliases w:val="Heading 3 - old Char,h3 Char,ISO2 Char,L3 Char,heading 3 Char,H3 Char,l3 Char,CT Char,BOD 0 Char,3rd level Char,3 Char,Head 3 Char,level_3 Char,PIM 3 Char,Level 3 Head Char,二级节名 Char,sect1.2.3 Char,sect1.2.31 Char,sect1.2.32 Char,sl3 Char"/>
    <w:uiPriority w:val="99"/>
    <w:rPr>
      <w:rFonts w:eastAsia="宋体"/>
      <w:b/>
      <w:kern w:val="2"/>
      <w:sz w:val="32"/>
      <w:lang w:val="en-US" w:eastAsia="zh-CN"/>
    </w:rPr>
  </w:style>
  <w:style w:type="character" w:customStyle="1" w:styleId="88">
    <w:name w:val="正文文本缩进 Char"/>
    <w:uiPriority w:val="99"/>
    <w:rPr>
      <w:rFonts w:ascii="宋体" w:hAnsi="Courier New"/>
      <w:spacing w:val="-4"/>
      <w:kern w:val="2"/>
      <w:sz w:val="18"/>
    </w:rPr>
  </w:style>
  <w:style w:type="character" w:customStyle="1" w:styleId="89">
    <w:name w:val="fontblank12"/>
    <w:basedOn w:val="44"/>
    <w:uiPriority w:val="0"/>
  </w:style>
  <w:style w:type="character" w:customStyle="1" w:styleId="90">
    <w:name w:val="text11"/>
    <w:uiPriority w:val="0"/>
    <w:rPr>
      <w:rFonts w:hint="default" w:ascii="Verdana" w:hAnsi="Verdana"/>
      <w:color w:val="4E4E4E"/>
      <w:sz w:val="18"/>
      <w:szCs w:val="18"/>
    </w:rPr>
  </w:style>
  <w:style w:type="character" w:customStyle="1" w:styleId="91">
    <w:name w:val=" Char Char17"/>
    <w:uiPriority w:val="0"/>
    <w:rPr>
      <w:rFonts w:ascii="宋体" w:hAnsi="Courier New" w:eastAsia="宋体"/>
      <w:kern w:val="2"/>
      <w:sz w:val="24"/>
      <w:szCs w:val="24"/>
      <w:lang w:val="en-US" w:eastAsia="zh-CN" w:bidi="ar-SA"/>
    </w:rPr>
  </w:style>
  <w:style w:type="character" w:customStyle="1" w:styleId="92">
    <w:name w:val="huide001"/>
    <w:uiPriority w:val="0"/>
    <w:rPr>
      <w:rFonts w:hint="default" w:ascii="Arial" w:hAnsi="Arial" w:cs="Arial"/>
      <w:color w:val="666666"/>
      <w:sz w:val="18"/>
      <w:szCs w:val="18"/>
    </w:rPr>
  </w:style>
  <w:style w:type="character" w:customStyle="1" w:styleId="93">
    <w:name w:val="style31"/>
    <w:uiPriority w:val="0"/>
    <w:rPr>
      <w:color w:val="4B4B4B"/>
    </w:rPr>
  </w:style>
  <w:style w:type="character" w:customStyle="1" w:styleId="94">
    <w:name w:val="tw4winJump"/>
    <w:uiPriority w:val="0"/>
    <w:rPr>
      <w:rFonts w:ascii="Courier New" w:hAnsi="Courier New"/>
      <w:color w:val="008080"/>
    </w:rPr>
  </w:style>
  <w:style w:type="character" w:customStyle="1" w:styleId="95">
    <w:name w:val="font01"/>
    <w:uiPriority w:val="99"/>
    <w:rPr>
      <w:rFonts w:ascii="宋体" w:hAnsi="宋体" w:eastAsia="宋体" w:cs="宋体"/>
      <w:color w:val="000000"/>
      <w:sz w:val="20"/>
      <w:szCs w:val="20"/>
      <w:u w:val="none"/>
    </w:rPr>
  </w:style>
  <w:style w:type="character" w:customStyle="1" w:styleId="96">
    <w:name w:val="纯文本 Char"/>
    <w:qFormat/>
    <w:uiPriority w:val="99"/>
    <w:rPr>
      <w:rFonts w:ascii="宋体" w:hAnsi="Courier New" w:eastAsia="宋体"/>
      <w:kern w:val="2"/>
      <w:sz w:val="24"/>
      <w:szCs w:val="24"/>
      <w:lang w:val="en-US" w:eastAsia="zh-CN" w:bidi="ar-SA"/>
    </w:rPr>
  </w:style>
  <w:style w:type="character" w:customStyle="1" w:styleId="97">
    <w:name w:val="style11"/>
    <w:uiPriority w:val="0"/>
    <w:rPr>
      <w:rFonts w:eastAsia="宋体"/>
      <w:kern w:val="2"/>
      <w:sz w:val="21"/>
      <w:szCs w:val="21"/>
      <w:lang w:val="en-US" w:eastAsia="zh-CN"/>
    </w:rPr>
  </w:style>
  <w:style w:type="character" w:customStyle="1" w:styleId="98">
    <w:name w:val="tw4winError"/>
    <w:uiPriority w:val="0"/>
    <w:rPr>
      <w:rFonts w:ascii="Courier New" w:hAnsi="Courier New"/>
      <w:color w:val="00FF00"/>
      <w:sz w:val="40"/>
    </w:rPr>
  </w:style>
  <w:style w:type="character" w:customStyle="1" w:styleId="99">
    <w:name w:val="标题 2 Char3"/>
    <w:qFormat/>
    <w:uiPriority w:val="0"/>
    <w:rPr>
      <w:rFonts w:ascii="Arial" w:hAnsi="Arial" w:eastAsia="宋体"/>
      <w:b/>
      <w:bCs/>
      <w:kern w:val="2"/>
      <w:sz w:val="28"/>
      <w:szCs w:val="32"/>
      <w:lang w:val="en-US" w:eastAsia="zh-CN" w:bidi="ar-SA"/>
    </w:rPr>
  </w:style>
  <w:style w:type="character" w:customStyle="1" w:styleId="100">
    <w:name w:val="pagetitle"/>
    <w:basedOn w:val="44"/>
    <w:uiPriority w:val="0"/>
  </w:style>
  <w:style w:type="character" w:customStyle="1" w:styleId="101">
    <w:name w:val="正文首行缩进 2 Char"/>
    <w:locked/>
    <w:uiPriority w:val="99"/>
    <w:rPr>
      <w:rFonts w:ascii="Times New Roman" w:hAnsi="Times New Roman"/>
      <w:spacing w:val="-4"/>
      <w:kern w:val="2"/>
      <w:sz w:val="22"/>
    </w:rPr>
  </w:style>
  <w:style w:type="character" w:customStyle="1" w:styleId="102">
    <w:name w:val="标题 6 Char"/>
    <w:link w:val="8"/>
    <w:locked/>
    <w:uiPriority w:val="99"/>
    <w:rPr>
      <w:rFonts w:ascii="Arial" w:hAnsi="Arial" w:eastAsia="黑体"/>
      <w:b/>
      <w:bCs/>
      <w:kern w:val="2"/>
      <w:sz w:val="24"/>
    </w:rPr>
  </w:style>
  <w:style w:type="character" w:customStyle="1" w:styleId="103">
    <w:name w:val="不明显强调1"/>
    <w:uiPriority w:val="99"/>
    <w:rPr>
      <w:i/>
      <w:iCs/>
      <w:color w:val="auto"/>
    </w:rPr>
  </w:style>
  <w:style w:type="character" w:customStyle="1" w:styleId="104">
    <w:name w:val="font3"/>
    <w:basedOn w:val="44"/>
    <w:uiPriority w:val="0"/>
  </w:style>
  <w:style w:type="character" w:customStyle="1" w:styleId="105">
    <w:name w:val="标题 5 Char"/>
    <w:link w:val="7"/>
    <w:locked/>
    <w:uiPriority w:val="99"/>
    <w:rPr>
      <w:b/>
      <w:bCs/>
      <w:kern w:val="2"/>
      <w:sz w:val="28"/>
      <w:szCs w:val="28"/>
    </w:rPr>
  </w:style>
  <w:style w:type="character" w:customStyle="1" w:styleId="106">
    <w:name w:val="font61"/>
    <w:uiPriority w:val="99"/>
    <w:rPr>
      <w:rFonts w:ascii="宋体" w:hAnsi="宋体" w:eastAsia="宋体" w:cs="宋体"/>
      <w:color w:val="7030A0"/>
      <w:sz w:val="20"/>
      <w:szCs w:val="20"/>
      <w:u w:val="none"/>
    </w:rPr>
  </w:style>
  <w:style w:type="character" w:customStyle="1" w:styleId="107">
    <w:name w:val="font71"/>
    <w:uiPriority w:val="99"/>
    <w:rPr>
      <w:rFonts w:ascii="宋体" w:hAnsi="宋体" w:eastAsia="宋体" w:cs="宋体"/>
      <w:color w:val="000000"/>
      <w:sz w:val="18"/>
      <w:szCs w:val="18"/>
      <w:u w:val="none"/>
    </w:rPr>
  </w:style>
  <w:style w:type="character" w:customStyle="1" w:styleId="108">
    <w:name w:val="正文文本 Char1"/>
    <w:link w:val="19"/>
    <w:uiPriority w:val="0"/>
    <w:rPr>
      <w:rFonts w:eastAsia="宋体"/>
      <w:kern w:val="2"/>
      <w:sz w:val="28"/>
      <w:szCs w:val="24"/>
      <w:lang w:val="en-US" w:eastAsia="zh-CN" w:bidi="ar-SA"/>
    </w:rPr>
  </w:style>
  <w:style w:type="character" w:customStyle="1" w:styleId="109">
    <w:name w:val="b titlename wangputoptitle"/>
    <w:basedOn w:val="44"/>
    <w:uiPriority w:val="0"/>
  </w:style>
  <w:style w:type="character" w:customStyle="1" w:styleId="110">
    <w:name w:val="font141"/>
    <w:uiPriority w:val="99"/>
    <w:rPr>
      <w:rFonts w:ascii="宋体" w:hAnsi="宋体" w:eastAsia="宋体" w:cs="宋体"/>
      <w:color w:val="000000"/>
      <w:sz w:val="20"/>
      <w:szCs w:val="20"/>
      <w:u w:val="none"/>
    </w:rPr>
  </w:style>
  <w:style w:type="character" w:customStyle="1" w:styleId="111">
    <w:name w:val="line1"/>
    <w:uiPriority w:val="0"/>
    <w:rPr>
      <w:u w:val="none"/>
    </w:rPr>
  </w:style>
  <w:style w:type="character" w:customStyle="1" w:styleId="112">
    <w:name w:val="point_normal1"/>
    <w:uiPriority w:val="0"/>
    <w:rPr>
      <w:rFonts w:hint="default" w:ascii="Arial" w:hAnsi="Arial" w:cs="Arial"/>
      <w:sz w:val="18"/>
      <w:szCs w:val="18"/>
    </w:rPr>
  </w:style>
  <w:style w:type="character" w:customStyle="1" w:styleId="113">
    <w:name w:val=" Char Char27"/>
    <w:uiPriority w:val="0"/>
    <w:rPr>
      <w:rFonts w:ascii="宋体" w:hAnsi="Courier New" w:eastAsia="宋体"/>
      <w:kern w:val="2"/>
      <w:sz w:val="24"/>
      <w:szCs w:val="24"/>
      <w:lang w:val="en-US" w:eastAsia="zh-CN" w:bidi="ar-SA"/>
    </w:rPr>
  </w:style>
  <w:style w:type="character" w:customStyle="1" w:styleId="114">
    <w:name w:val="正文文本缩进 Char1"/>
    <w:link w:val="20"/>
    <w:uiPriority w:val="0"/>
    <w:rPr>
      <w:rFonts w:ascii="宋体" w:hAnsi="Courier New"/>
      <w:spacing w:val="-4"/>
      <w:kern w:val="2"/>
      <w:sz w:val="18"/>
    </w:rPr>
  </w:style>
  <w:style w:type="character" w:customStyle="1" w:styleId="115">
    <w:name w:val="font41"/>
    <w:uiPriority w:val="99"/>
    <w:rPr>
      <w:rFonts w:ascii="Calibri" w:hAnsi="Calibri" w:cs="Calibri"/>
      <w:color w:val="000000"/>
      <w:sz w:val="18"/>
      <w:szCs w:val="18"/>
      <w:u w:val="none"/>
    </w:rPr>
  </w:style>
  <w:style w:type="character" w:customStyle="1" w:styleId="116">
    <w:name w:val="标题 2 Char2"/>
    <w:qFormat/>
    <w:uiPriority w:val="0"/>
    <w:rPr>
      <w:rFonts w:ascii="Arial" w:hAnsi="Arial"/>
      <w:b/>
      <w:bCs/>
      <w:sz w:val="28"/>
      <w:szCs w:val="32"/>
    </w:rPr>
  </w:style>
  <w:style w:type="character" w:customStyle="1" w:styleId="117">
    <w:name w:val="tw4winInternal"/>
    <w:uiPriority w:val="0"/>
    <w:rPr>
      <w:rFonts w:ascii="Courier New" w:hAnsi="Courier New"/>
      <w:color w:val="FF0000"/>
    </w:rPr>
  </w:style>
  <w:style w:type="character" w:customStyle="1" w:styleId="118">
    <w:name w:val="A C"/>
    <w:uiPriority w:val="0"/>
    <w:rPr>
      <w:rFonts w:ascii="仿宋_GB2312"/>
      <w:bCs/>
      <w:iCs/>
      <w:sz w:val="24"/>
    </w:rPr>
  </w:style>
  <w:style w:type="character" w:customStyle="1" w:styleId="119">
    <w:name w:val="font151"/>
    <w:uiPriority w:val="99"/>
    <w:rPr>
      <w:rFonts w:ascii="宋体" w:hAnsi="宋体" w:eastAsia="宋体" w:cs="宋体"/>
      <w:color w:val="000000"/>
      <w:sz w:val="20"/>
      <w:szCs w:val="20"/>
      <w:u w:val="none"/>
    </w:rPr>
  </w:style>
  <w:style w:type="character" w:customStyle="1" w:styleId="120">
    <w:name w:val="标题 1 Char"/>
    <w:link w:val="2"/>
    <w:qFormat/>
    <w:uiPriority w:val="99"/>
    <w:rPr>
      <w:b/>
      <w:bCs/>
      <w:kern w:val="44"/>
      <w:sz w:val="44"/>
      <w:szCs w:val="44"/>
    </w:rPr>
  </w:style>
  <w:style w:type="character" w:customStyle="1" w:styleId="121">
    <w:name w:val="unnamed11"/>
    <w:uiPriority w:val="0"/>
    <w:rPr>
      <w:sz w:val="20"/>
      <w:szCs w:val="20"/>
    </w:rPr>
  </w:style>
  <w:style w:type="character" w:customStyle="1" w:styleId="122">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123">
    <w:name w:val="纯文本 Char1"/>
    <w:link w:val="24"/>
    <w:uiPriority w:val="99"/>
    <w:rPr>
      <w:rFonts w:ascii="宋体" w:hAnsi="Courier New" w:eastAsia="宋体"/>
      <w:kern w:val="2"/>
      <w:sz w:val="24"/>
      <w:szCs w:val="24"/>
      <w:lang w:val="en-US" w:eastAsia="zh-CN" w:bidi="ar-SA"/>
    </w:rPr>
  </w:style>
  <w:style w:type="character" w:customStyle="1" w:styleId="124">
    <w:name w:val=" Char Char3"/>
    <w:uiPriority w:val="0"/>
    <w:rPr>
      <w:rFonts w:ascii="仿宋_GB2312" w:hAnsi="宋体" w:eastAsia="仿宋_GB2312"/>
      <w:color w:val="000000"/>
      <w:sz w:val="24"/>
      <w:szCs w:val="24"/>
      <w:lang w:bidi="ar-SA"/>
    </w:rPr>
  </w:style>
  <w:style w:type="character" w:customStyle="1" w:styleId="125">
    <w:name w:val="无"/>
    <w:qFormat/>
    <w:uiPriority w:val="0"/>
  </w:style>
  <w:style w:type="character" w:customStyle="1" w:styleId="126">
    <w:name w:val="列出段落 Char"/>
    <w:link w:val="127"/>
    <w:locked/>
    <w:uiPriority w:val="34"/>
    <w:rPr>
      <w:sz w:val="22"/>
      <w:szCs w:val="22"/>
    </w:rPr>
  </w:style>
  <w:style w:type="paragraph" w:customStyle="1" w:styleId="127">
    <w:name w:val="_Style 170"/>
    <w:basedOn w:val="1"/>
    <w:next w:val="128"/>
    <w:link w:val="126"/>
    <w:qFormat/>
    <w:uiPriority w:val="34"/>
    <w:pPr>
      <w:widowControl/>
      <w:spacing w:after="200" w:line="276" w:lineRule="auto"/>
      <w:ind w:left="720"/>
      <w:contextualSpacing/>
      <w:jc w:val="left"/>
    </w:pPr>
    <w:rPr>
      <w:kern w:val="0"/>
      <w:sz w:val="22"/>
      <w:szCs w:val="22"/>
    </w:rPr>
  </w:style>
  <w:style w:type="paragraph" w:styleId="128">
    <w:name w:val="List Paragraph"/>
    <w:basedOn w:val="1"/>
    <w:qFormat/>
    <w:uiPriority w:val="34"/>
    <w:pPr>
      <w:widowControl/>
      <w:spacing w:after="200" w:line="276" w:lineRule="auto"/>
      <w:ind w:left="720"/>
      <w:contextualSpacing/>
      <w:jc w:val="left"/>
    </w:pPr>
    <w:rPr>
      <w:rFonts w:ascii="Calibri" w:hAnsi="Calibri" w:eastAsia="宋体" w:cs="Times New Roman"/>
      <w:kern w:val="0"/>
      <w:sz w:val="22"/>
      <w:szCs w:val="22"/>
    </w:rPr>
  </w:style>
  <w:style w:type="character" w:customStyle="1" w:styleId="129">
    <w:name w:val="Normal Indent Char1 Char1 Char2 Char Char Char Char Char Char Char Char Char Char Char Char Char Char"/>
    <w:uiPriority w:val="0"/>
    <w:rPr>
      <w:rFonts w:eastAsia="仿宋_GB2312"/>
      <w:kern w:val="2"/>
      <w:sz w:val="22"/>
      <w:szCs w:val="24"/>
      <w:lang w:val="en-US" w:eastAsia="zh-CN" w:bidi="ar-SA"/>
    </w:rPr>
  </w:style>
  <w:style w:type="character" w:customStyle="1" w:styleId="130">
    <w:name w:val="font21"/>
    <w:uiPriority w:val="99"/>
    <w:rPr>
      <w:rFonts w:ascii="宋体" w:hAnsi="宋体" w:eastAsia="宋体" w:cs="宋体"/>
      <w:color w:val="000000"/>
      <w:sz w:val="22"/>
      <w:szCs w:val="22"/>
      <w:u w:val="none"/>
    </w:rPr>
  </w:style>
  <w:style w:type="character" w:customStyle="1" w:styleId="131">
    <w:name w:val="tw4winTerm"/>
    <w:uiPriority w:val="0"/>
    <w:rPr>
      <w:color w:val="0000FF"/>
    </w:rPr>
  </w:style>
  <w:style w:type="character" w:customStyle="1" w:styleId="132">
    <w:name w:val="正文文本缩进 3 Char1"/>
    <w:link w:val="34"/>
    <w:uiPriority w:val="0"/>
    <w:rPr>
      <w:rFonts w:ascii="仿宋_GB2312" w:hAnsi="宋体" w:eastAsia="仿宋_GB2312"/>
      <w:color w:val="000000"/>
      <w:kern w:val="2"/>
      <w:sz w:val="24"/>
      <w:szCs w:val="24"/>
      <w:lang w:val="en-US" w:eastAsia="zh-CN" w:bidi="ar-SA"/>
    </w:rPr>
  </w:style>
  <w:style w:type="character" w:customStyle="1" w:styleId="133">
    <w:name w:val="标题 2 Char1"/>
    <w:qFormat/>
    <w:uiPriority w:val="0"/>
    <w:rPr>
      <w:rFonts w:ascii="Arial" w:hAnsi="Arial" w:eastAsia="宋体" w:cs="Times New Roman"/>
      <w:b/>
      <w:bCs/>
      <w:sz w:val="28"/>
      <w:szCs w:val="32"/>
    </w:rPr>
  </w:style>
  <w:style w:type="character" w:customStyle="1" w:styleId="134">
    <w:name w:val="tw4winExternal"/>
    <w:uiPriority w:val="0"/>
    <w:rPr>
      <w:rFonts w:ascii="Courier New" w:hAnsi="Courier New"/>
      <w:color w:val="808080"/>
    </w:rPr>
  </w:style>
  <w:style w:type="paragraph" w:customStyle="1" w:styleId="135">
    <w:name w:val="最新标题2"/>
    <w:basedOn w:val="136"/>
    <w:next w:val="137"/>
    <w:uiPriority w:val="0"/>
    <w:pPr>
      <w:spacing w:after="120"/>
    </w:pPr>
  </w:style>
  <w:style w:type="paragraph" w:customStyle="1" w:styleId="136">
    <w:name w:val="样式 标题 2"/>
    <w:basedOn w:val="3"/>
    <w:next w:val="137"/>
    <w:uiPriority w:val="0"/>
    <w:pPr>
      <w:keepLines w:val="0"/>
      <w:spacing w:before="120" w:after="50" w:afterLines="50" w:line="240" w:lineRule="auto"/>
      <w:ind w:left="380" w:hanging="380"/>
      <w:jc w:val="left"/>
    </w:pPr>
    <w:rPr>
      <w:rFonts w:ascii="宋体" w:hAnsi="Times New Roman" w:eastAsia="宋体" w:cs="宋体"/>
      <w:snapToGrid w:val="0"/>
      <w:kern w:val="0"/>
      <w:sz w:val="28"/>
      <w:szCs w:val="20"/>
    </w:rPr>
  </w:style>
  <w:style w:type="paragraph" w:customStyle="1" w:styleId="137">
    <w:name w:val="最新标题3"/>
    <w:basedOn w:val="138"/>
    <w:next w:val="139"/>
    <w:uiPriority w:val="0"/>
    <w:pPr>
      <w:spacing w:after="120"/>
    </w:pPr>
  </w:style>
  <w:style w:type="paragraph" w:customStyle="1" w:styleId="138">
    <w:name w:val="样式 标题 3"/>
    <w:basedOn w:val="4"/>
    <w:next w:val="139"/>
    <w:uiPriority w:val="0"/>
    <w:pPr>
      <w:keepLines w:val="0"/>
      <w:autoSpaceDE/>
      <w:autoSpaceDN/>
      <w:adjustRightInd/>
      <w:spacing w:before="120" w:after="50" w:afterLines="50"/>
    </w:pPr>
    <w:rPr>
      <w:rFonts w:cs="宋体"/>
      <w:bCs/>
      <w:snapToGrid w:val="0"/>
      <w:u w:val="none"/>
    </w:rPr>
  </w:style>
  <w:style w:type="paragraph" w:customStyle="1" w:styleId="139">
    <w:name w:val="最新标题4"/>
    <w:basedOn w:val="140"/>
    <w:next w:val="1"/>
    <w:uiPriority w:val="0"/>
    <w:pPr>
      <w:spacing w:after="120"/>
      <w:ind w:left="0" w:firstLine="0"/>
    </w:pPr>
  </w:style>
  <w:style w:type="paragraph" w:customStyle="1" w:styleId="140">
    <w:name w:val="样式 标题 4"/>
    <w:basedOn w:val="141"/>
    <w:next w:val="143"/>
    <w:uiPriority w:val="0"/>
    <w:pPr>
      <w:tabs>
        <w:tab w:val="left" w:pos="2100"/>
      </w:tabs>
      <w:spacing w:after="50"/>
      <w:ind w:left="2100" w:hanging="420"/>
    </w:pPr>
  </w:style>
  <w:style w:type="paragraph" w:customStyle="1" w:styleId="141">
    <w:name w:val="样式 标题 4Chapter X.X.X.X. + 段后: 0.5 行1"/>
    <w:basedOn w:val="142"/>
    <w:uiPriority w:val="0"/>
    <w:pPr>
      <w:spacing w:after="120"/>
    </w:pPr>
  </w:style>
  <w:style w:type="paragraph" w:customStyle="1" w:styleId="142">
    <w:name w:val="样式 标题 4 + 段后: 0.5 行"/>
    <w:basedOn w:val="6"/>
    <w:uiPriority w:val="0"/>
    <w:pPr>
      <w:keepLines w:val="0"/>
      <w:spacing w:before="120" w:after="50" w:afterLines="50" w:line="240" w:lineRule="auto"/>
      <w:jc w:val="left"/>
    </w:pPr>
    <w:rPr>
      <w:rFonts w:ascii="宋体" w:hAnsi="Times New Roman" w:eastAsia="宋体" w:cs="宋体"/>
      <w:snapToGrid w:val="0"/>
      <w:kern w:val="0"/>
      <w:sz w:val="21"/>
      <w:szCs w:val="20"/>
    </w:rPr>
  </w:style>
  <w:style w:type="paragraph" w:customStyle="1" w:styleId="143">
    <w:name w:val="样式 正文"/>
    <w:basedOn w:val="1"/>
    <w:next w:val="1"/>
    <w:uiPriority w:val="0"/>
    <w:pPr>
      <w:spacing w:after="120" w:afterLines="50"/>
      <w:jc w:val="left"/>
    </w:pPr>
    <w:rPr>
      <w:rFonts w:ascii="宋体" w:cs="宋体"/>
      <w:snapToGrid w:val="0"/>
      <w:kern w:val="0"/>
      <w:szCs w:val="20"/>
    </w:rPr>
  </w:style>
  <w:style w:type="paragraph" w:customStyle="1" w:styleId="144">
    <w:name w:val="Table Paragraph"/>
    <w:basedOn w:val="1"/>
    <w:uiPriority w:val="99"/>
    <w:rPr>
      <w:rFonts w:ascii="PMingLiU" w:hAnsi="PMingLiU" w:eastAsia="PMingLiU" w:cs="PMingLiU"/>
      <w:szCs w:val="21"/>
      <w:lang w:val="zh-CN"/>
    </w:rPr>
  </w:style>
  <w:style w:type="paragraph" w:customStyle="1" w:styleId="145">
    <w:name w:val="Style-正文"/>
    <w:basedOn w:val="1"/>
    <w:uiPriority w:val="0"/>
    <w:pPr>
      <w:spacing w:line="360" w:lineRule="auto"/>
      <w:ind w:firstLine="420"/>
    </w:pPr>
    <w:rPr>
      <w:rFonts w:ascii="宋体" w:hAnsi="宋体"/>
      <w:sz w:val="24"/>
    </w:rPr>
  </w:style>
  <w:style w:type="paragraph" w:customStyle="1" w:styleId="146">
    <w:name w:val="列出段落2"/>
    <w:basedOn w:val="1"/>
    <w:uiPriority w:val="0"/>
    <w:pPr>
      <w:ind w:firstLine="420" w:firstLineChars="200"/>
    </w:pPr>
    <w:rPr>
      <w:sz w:val="18"/>
    </w:rPr>
  </w:style>
  <w:style w:type="paragraph" w:customStyle="1" w:styleId="147">
    <w:name w:val=" Char2"/>
    <w:basedOn w:val="1"/>
    <w:uiPriority w:val="0"/>
    <w:pPr>
      <w:tabs>
        <w:tab w:val="left" w:pos="432"/>
      </w:tabs>
      <w:spacing w:before="50" w:beforeLines="50" w:after="50" w:afterLines="50"/>
      <w:ind w:left="432" w:hanging="432"/>
    </w:pPr>
    <w:rPr>
      <w:sz w:val="24"/>
    </w:rPr>
  </w:style>
  <w:style w:type="paragraph" w:customStyle="1" w:styleId="148">
    <w:name w:val="Main Title"/>
    <w:basedOn w:val="1"/>
    <w:uiPriority w:val="0"/>
    <w:pPr>
      <w:spacing w:before="480" w:after="60" w:afterLines="50"/>
      <w:jc w:val="center"/>
    </w:pPr>
    <w:rPr>
      <w:rFonts w:ascii="宋体"/>
      <w:b/>
      <w:snapToGrid w:val="0"/>
      <w:kern w:val="28"/>
      <w:sz w:val="32"/>
      <w:szCs w:val="20"/>
    </w:rPr>
  </w:style>
  <w:style w:type="paragraph" w:customStyle="1" w:styleId="149">
    <w:name w:val="S4-L15-No"/>
    <w:basedOn w:val="150"/>
    <w:uiPriority w:val="0"/>
    <w:pPr>
      <w:tabs>
        <w:tab w:val="left" w:pos="720"/>
      </w:tabs>
      <w:ind w:hanging="720"/>
    </w:pPr>
  </w:style>
  <w:style w:type="paragraph" w:customStyle="1" w:styleId="150">
    <w:name w:val="S4-L15"/>
    <w:basedOn w:val="1"/>
    <w:uiPriority w:val="0"/>
    <w:pPr>
      <w:spacing w:after="120" w:line="360" w:lineRule="auto"/>
      <w:ind w:left="720" w:firstLine="392"/>
    </w:pPr>
    <w:rPr>
      <w:szCs w:val="21"/>
      <w:lang w:val="fr-FR"/>
    </w:rPr>
  </w:style>
  <w:style w:type="paragraph" w:customStyle="1" w:styleId="151">
    <w:name w:val="正文文字 Char"/>
    <w:basedOn w:val="1"/>
    <w:next w:val="3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52">
    <w:name w:val="Char Char Char Char"/>
    <w:basedOn w:val="1"/>
    <w:uiPriority w:val="0"/>
  </w:style>
  <w:style w:type="paragraph" w:customStyle="1" w:styleId="153">
    <w:name w:val="样式 样式3 + 宋体 五号 Char Char Char"/>
    <w:basedOn w:val="1"/>
    <w:uiPriority w:val="0"/>
    <w:pPr>
      <w:keepNext/>
      <w:keepLines/>
      <w:tabs>
        <w:tab w:val="left" w:pos="1050"/>
      </w:tabs>
      <w:ind w:left="1050" w:hanging="450"/>
      <w:jc w:val="left"/>
      <w:outlineLvl w:val="7"/>
    </w:pPr>
    <w:rPr>
      <w:rFonts w:ascii="宋体" w:hAnsi="宋体"/>
      <w:b/>
      <w:bCs/>
    </w:rPr>
  </w:style>
  <w:style w:type="paragraph" w:customStyle="1" w:styleId="154">
    <w:name w:val="表格(五号)"/>
    <w:basedOn w:val="1"/>
    <w:uiPriority w:val="0"/>
    <w:pPr>
      <w:adjustRightInd w:val="0"/>
      <w:snapToGrid w:val="0"/>
      <w:spacing w:line="300" w:lineRule="auto"/>
      <w:jc w:val="center"/>
    </w:pPr>
    <w:rPr>
      <w:snapToGrid w:val="0"/>
      <w:kern w:val="0"/>
      <w:sz w:val="18"/>
      <w:szCs w:val="20"/>
      <w:lang/>
    </w:rPr>
  </w:style>
  <w:style w:type="paragraph" w:customStyle="1" w:styleId="155">
    <w:name w:val="ÕýÎÄ"/>
    <w:uiPriority w:val="0"/>
    <w:pPr>
      <w:widowControl w:val="0"/>
      <w:overflowPunct w:val="0"/>
      <w:autoSpaceDE w:val="0"/>
      <w:autoSpaceDN w:val="0"/>
      <w:adjustRightInd w:val="0"/>
      <w:spacing w:line="351" w:lineRule="atLeast"/>
      <w:ind w:firstLine="419"/>
      <w:jc w:val="both"/>
      <w:textAlignment w:val="baseline"/>
    </w:pPr>
    <w:rPr>
      <w:color w:val="000000"/>
      <w:sz w:val="21"/>
      <w:lang w:val="en-US" w:eastAsia="zh-CN" w:bidi="ar-SA"/>
    </w:rPr>
  </w:style>
  <w:style w:type="paragraph" w:customStyle="1" w:styleId="156">
    <w:name w:val=" Char Char Char Char Char Char Char Char Char"/>
    <w:basedOn w:val="1"/>
    <w:uiPriority w:val="0"/>
    <w:rPr>
      <w:rFonts w:ascii="Tahoma" w:hAnsi="Tahoma" w:eastAsia="仿宋_GB2312"/>
      <w:sz w:val="24"/>
      <w:szCs w:val="20"/>
    </w:rPr>
  </w:style>
  <w:style w:type="paragraph" w:customStyle="1" w:styleId="157">
    <w:name w:val="样式 标题 2Chapter X.X. Statementh22Header 2l2Level 2 Headhea..."/>
    <w:basedOn w:val="3"/>
    <w:uiPriority w:val="0"/>
    <w:pPr>
      <w:keepLines w:val="0"/>
      <w:spacing w:before="120" w:after="50" w:afterLines="50" w:line="240" w:lineRule="auto"/>
      <w:jc w:val="left"/>
    </w:pPr>
    <w:rPr>
      <w:rFonts w:ascii="宋体" w:hAnsi="Times New Roman" w:eastAsia="宋体" w:cs="宋体"/>
      <w:snapToGrid w:val="0"/>
      <w:kern w:val="0"/>
      <w:sz w:val="24"/>
      <w:szCs w:val="24"/>
    </w:rPr>
  </w:style>
  <w:style w:type="paragraph" w:customStyle="1" w:styleId="158">
    <w:name w:val="InfoBlue"/>
    <w:basedOn w:val="1"/>
    <w:next w:val="19"/>
    <w:uiPriority w:val="0"/>
    <w:pPr>
      <w:spacing w:after="120" w:afterLines="50"/>
      <w:ind w:left="720"/>
      <w:jc w:val="left"/>
    </w:pPr>
    <w:rPr>
      <w:rFonts w:ascii="宋体"/>
      <w:i/>
      <w:snapToGrid w:val="0"/>
      <w:color w:val="0000FF"/>
      <w:kern w:val="0"/>
      <w:szCs w:val="20"/>
    </w:rPr>
  </w:style>
  <w:style w:type="paragraph" w:customStyle="1" w:styleId="159">
    <w:name w:val=" Char Char"/>
    <w:basedOn w:val="1"/>
    <w:uiPriority w:val="0"/>
    <w:pPr>
      <w:spacing w:line="240" w:lineRule="atLeast"/>
      <w:ind w:left="420" w:firstLine="420"/>
    </w:pPr>
    <w:rPr>
      <w:kern w:val="0"/>
      <w:szCs w:val="21"/>
    </w:rPr>
  </w:style>
  <w:style w:type="paragraph" w:customStyle="1" w:styleId="160">
    <w:name w:val=" Char1"/>
    <w:basedOn w:val="1"/>
    <w:uiPriority w:val="0"/>
    <w:pPr>
      <w:tabs>
        <w:tab w:val="left" w:pos="432"/>
      </w:tabs>
      <w:spacing w:before="50" w:beforeLines="50" w:after="50" w:afterLines="50"/>
      <w:ind w:left="432" w:hanging="432"/>
    </w:pPr>
    <w:rPr>
      <w:sz w:val="24"/>
    </w:rPr>
  </w:style>
  <w:style w:type="paragraph" w:customStyle="1" w:styleId="161">
    <w:name w:val="Char Char Char Char1 Char Char"/>
    <w:basedOn w:val="1"/>
    <w:uiPriority w:val="0"/>
    <w:pPr>
      <w:widowControl/>
      <w:spacing w:after="160" w:line="240" w:lineRule="exact"/>
      <w:jc w:val="left"/>
    </w:pPr>
    <w:rPr>
      <w:rFonts w:ascii="Verdana" w:hAnsi="Verdana"/>
      <w:kern w:val="0"/>
      <w:sz w:val="20"/>
      <w:szCs w:val="20"/>
      <w:lang w:eastAsia="en-US"/>
    </w:rPr>
  </w:style>
  <w:style w:type="paragraph" w:customStyle="1" w:styleId="162">
    <w:name w:val="段"/>
    <w:uiPriority w:val="0"/>
    <w:pPr>
      <w:autoSpaceDE w:val="0"/>
      <w:autoSpaceDN w:val="0"/>
      <w:ind w:firstLine="200" w:firstLineChars="200"/>
      <w:jc w:val="both"/>
    </w:pPr>
    <w:rPr>
      <w:rFonts w:ascii="宋体"/>
      <w:sz w:val="21"/>
      <w:lang w:val="en-US" w:eastAsia="zh-CN" w:bidi="ar-SA"/>
    </w:rPr>
  </w:style>
  <w:style w:type="paragraph" w:customStyle="1" w:styleId="163">
    <w:name w:val="章正文"/>
    <w:basedOn w:val="1"/>
    <w:uiPriority w:val="0"/>
    <w:pPr>
      <w:spacing w:before="156" w:beforeLines="50" w:after="120" w:line="300" w:lineRule="auto"/>
      <w:ind w:firstLine="480"/>
    </w:pPr>
    <w:rPr>
      <w:rFonts w:ascii="Helvetica" w:hAnsi="Helvetica"/>
      <w:kern w:val="0"/>
      <w:sz w:val="24"/>
    </w:rPr>
  </w:style>
  <w:style w:type="paragraph" w:customStyle="1" w:styleId="164">
    <w:name w:val="样式 标题 2Chapter X.X. Statementh22Header 2l2Level 2 Headhea...1"/>
    <w:basedOn w:val="4"/>
    <w:uiPriority w:val="0"/>
    <w:pPr>
      <w:keepLines w:val="0"/>
      <w:autoSpaceDE/>
      <w:autoSpaceDN/>
      <w:adjustRightInd/>
      <w:spacing w:before="120" w:afterLines="50"/>
    </w:pPr>
    <w:rPr>
      <w:rFonts w:cs="宋体"/>
      <w:bCs/>
      <w:snapToGrid w:val="0"/>
      <w:u w:val="none"/>
    </w:rPr>
  </w:style>
  <w:style w:type="paragraph" w:customStyle="1" w:styleId="165">
    <w:name w:val="Bullet"/>
    <w:basedOn w:val="1"/>
    <w:uiPriority w:val="0"/>
    <w:pPr>
      <w:widowControl/>
      <w:tabs>
        <w:tab w:val="left" w:pos="720"/>
        <w:tab w:val="left" w:pos="964"/>
      </w:tabs>
      <w:spacing w:before="120" w:after="50" w:afterLines="50"/>
      <w:ind w:left="720" w:right="360" w:hanging="482"/>
    </w:pPr>
    <w:rPr>
      <w:rFonts w:ascii="宋体"/>
      <w:snapToGrid w:val="0"/>
      <w:kern w:val="0"/>
      <w:szCs w:val="20"/>
    </w:rPr>
  </w:style>
  <w:style w:type="paragraph" w:customStyle="1" w:styleId="166">
    <w:name w:val="S4-I-U-L15-No-dot"/>
    <w:basedOn w:val="1"/>
    <w:uiPriority w:val="0"/>
    <w:pPr>
      <w:tabs>
        <w:tab w:val="left" w:pos="1112"/>
      </w:tabs>
      <w:spacing w:after="120" w:line="360" w:lineRule="auto"/>
      <w:ind w:left="1112" w:hanging="420"/>
    </w:pPr>
    <w:rPr>
      <w:i/>
      <w:sz w:val="24"/>
      <w:u w:val="single"/>
    </w:rPr>
  </w:style>
  <w:style w:type="paragraph" w:customStyle="1" w:styleId="167">
    <w:name w:val="S4-B-L15"/>
    <w:basedOn w:val="1"/>
    <w:uiPriority w:val="0"/>
    <w:pPr>
      <w:spacing w:line="360" w:lineRule="auto"/>
    </w:pPr>
    <w:rPr>
      <w:b/>
      <w:bCs/>
      <w:sz w:val="24"/>
    </w:rPr>
  </w:style>
  <w:style w:type="paragraph" w:customStyle="1" w:styleId="168">
    <w:name w:val="样式 左侧:  1 厘米 段后: 0.5 行"/>
    <w:basedOn w:val="1"/>
    <w:uiPriority w:val="0"/>
    <w:pPr>
      <w:spacing w:after="50" w:afterLines="50"/>
      <w:ind w:firstLine="425"/>
      <w:jc w:val="left"/>
    </w:pPr>
    <w:rPr>
      <w:rFonts w:ascii="宋体" w:cs="宋体"/>
      <w:snapToGrid w:val="0"/>
      <w:kern w:val="0"/>
      <w:szCs w:val="20"/>
    </w:rPr>
  </w:style>
  <w:style w:type="paragraph" w:customStyle="1" w:styleId="169">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0">
    <w:name w:val="样式 标题 3(A-3)sect1.2.3h3H3level_3PIM 3Level 3 HeadHeading..."/>
    <w:basedOn w:val="4"/>
    <w:uiPriority w:val="0"/>
    <w:pPr>
      <w:numPr>
        <w:ilvl w:val="2"/>
        <w:numId w:val="0"/>
      </w:numPr>
      <w:autoSpaceDE/>
      <w:autoSpaceDN/>
      <w:adjustRightInd/>
      <w:spacing w:before="260" w:after="260" w:line="416" w:lineRule="auto"/>
      <w:jc w:val="both"/>
    </w:pPr>
    <w:rPr>
      <w:rFonts w:ascii="Arial" w:hAnsi="Arial"/>
      <w:bCs/>
      <w:kern w:val="2"/>
      <w:sz w:val="30"/>
      <w:szCs w:val="32"/>
      <w:u w:val="none"/>
    </w:rPr>
  </w:style>
  <w:style w:type="paragraph" w:customStyle="1" w:styleId="171">
    <w:name w:val="正文 A"/>
    <w:uiPriority w:val="0"/>
    <w:pPr>
      <w:widowControl w:val="0"/>
      <w:pBdr>
        <w:top w:val="none" w:color="FFFFFF" w:sz="0" w:space="31"/>
        <w:left w:val="none" w:color="FFFFFF" w:sz="0" w:space="31"/>
        <w:bottom w:val="none" w:color="FFFFFF" w:sz="0" w:space="31"/>
        <w:right w:val="none" w:color="FFFFFF" w:sz="0" w:space="31"/>
      </w:pBdr>
      <w:jc w:val="both"/>
    </w:pPr>
    <w:rPr>
      <w:rFonts w:hAnsi="Arial Unicode MS" w:eastAsia="Times New Roman" w:cs="Calibri"/>
      <w:color w:val="000000"/>
      <w:kern w:val="2"/>
      <w:sz w:val="21"/>
      <w:szCs w:val="21"/>
      <w:u w:val="none" w:color="000000"/>
      <w:lang w:val="en-US" w:eastAsia="zh-CN" w:bidi="ar-SA"/>
    </w:rPr>
  </w:style>
  <w:style w:type="paragraph" w:customStyle="1" w:styleId="172">
    <w:name w:val="IBM 正文"/>
    <w:basedOn w:val="1"/>
    <w:uiPriority w:val="0"/>
    <w:pPr>
      <w:spacing w:line="360" w:lineRule="atLeast"/>
    </w:pPr>
    <w:rPr>
      <w:sz w:val="24"/>
      <w:szCs w:val="20"/>
    </w:rPr>
  </w:style>
  <w:style w:type="paragraph" w:customStyle="1" w:styleId="173">
    <w:name w:val="正文2"/>
    <w:basedOn w:val="1"/>
    <w:uiPriority w:val="99"/>
    <w:pPr>
      <w:spacing w:before="156" w:beforeLines="50" w:after="156" w:afterLines="50" w:line="360" w:lineRule="auto"/>
      <w:ind w:firstLine="480" w:firstLineChars="200"/>
    </w:pPr>
    <w:rPr>
      <w:rFonts w:ascii="仿宋_GB2312"/>
      <w:sz w:val="24"/>
      <w:szCs w:val="20"/>
    </w:rPr>
  </w:style>
  <w:style w:type="paragraph" w:customStyle="1" w:styleId="174">
    <w:name w:val="文档正文"/>
    <w:basedOn w:val="1"/>
    <w:uiPriority w:val="0"/>
    <w:pPr>
      <w:adjustRightInd w:val="0"/>
      <w:spacing w:line="440" w:lineRule="exact"/>
      <w:ind w:firstLine="567"/>
      <w:textAlignment w:val="baseline"/>
    </w:pPr>
    <w:rPr>
      <w:rFonts w:ascii="Arial Narrow" w:hAnsi="Arial Narrow"/>
      <w:kern w:val="0"/>
      <w:sz w:val="24"/>
    </w:rPr>
  </w:style>
  <w:style w:type="paragraph" w:customStyle="1" w:styleId="175">
    <w:name w:val="Paragraph1"/>
    <w:basedOn w:val="1"/>
    <w:uiPriority w:val="0"/>
    <w:pPr>
      <w:spacing w:before="80" w:after="50" w:afterLines="50"/>
    </w:pPr>
    <w:rPr>
      <w:rFonts w:ascii="宋体"/>
      <w:snapToGrid w:val="0"/>
      <w:kern w:val="0"/>
      <w:szCs w:val="20"/>
    </w:rPr>
  </w:style>
  <w:style w:type="paragraph" w:customStyle="1" w:styleId="176">
    <w:name w:val=" Char Char Char Char Char Char Char Char Char Char"/>
    <w:basedOn w:val="15"/>
    <w:uiPriority w:val="0"/>
    <w:rPr>
      <w:rFonts w:ascii="Tahoma" w:hAnsi="Tahoma"/>
      <w:sz w:val="24"/>
    </w:rPr>
  </w:style>
  <w:style w:type="paragraph" w:customStyle="1" w:styleId="177">
    <w:name w:val="paragraphindent"/>
    <w:basedOn w:val="1"/>
    <w:uiPriority w:val="99"/>
    <w:pPr>
      <w:widowControl/>
      <w:spacing w:before="100" w:beforeAutospacing="1" w:after="100" w:afterAutospacing="1"/>
      <w:jc w:val="left"/>
    </w:pPr>
    <w:rPr>
      <w:rFonts w:ascii="宋体" w:hAnsi="宋体" w:cs="宋体"/>
      <w:kern w:val="0"/>
      <w:sz w:val="24"/>
    </w:rPr>
  </w:style>
  <w:style w:type="paragraph" w:customStyle="1" w:styleId="178">
    <w:name w:val="此正文"/>
    <w:basedOn w:val="1"/>
    <w:uiPriority w:val="0"/>
    <w:pPr>
      <w:spacing w:line="360" w:lineRule="auto"/>
      <w:ind w:firstLine="200" w:firstLineChars="200"/>
    </w:pPr>
    <w:rPr>
      <w:sz w:val="24"/>
      <w:szCs w:val="20"/>
    </w:rPr>
  </w:style>
  <w:style w:type="paragraph" w:customStyle="1" w:styleId="179">
    <w:name w:val="Bullet1"/>
    <w:basedOn w:val="1"/>
    <w:uiPriority w:val="0"/>
    <w:pPr>
      <w:numPr>
        <w:ilvl w:val="0"/>
        <w:numId w:val="0"/>
      </w:numPr>
      <w:spacing w:after="50" w:afterLines="50"/>
      <w:ind w:left="720" w:hanging="432"/>
      <w:jc w:val="left"/>
    </w:pPr>
    <w:rPr>
      <w:rFonts w:ascii="宋体"/>
      <w:snapToGrid w:val="0"/>
      <w:kern w:val="0"/>
      <w:szCs w:val="20"/>
    </w:rPr>
  </w:style>
  <w:style w:type="paragraph" w:customStyle="1" w:styleId="180">
    <w:name w:val="列出段落1"/>
    <w:basedOn w:val="1"/>
    <w:qFormat/>
    <w:uiPriority w:val="99"/>
    <w:pPr>
      <w:spacing w:line="360" w:lineRule="auto"/>
      <w:ind w:firstLine="420" w:firstLineChars="200"/>
      <w:jc w:val="left"/>
    </w:pPr>
    <w:rPr>
      <w:rFonts w:ascii="Calibri" w:hAnsi="Calibri"/>
      <w:sz w:val="24"/>
      <w:szCs w:val="22"/>
    </w:rPr>
  </w:style>
  <w:style w:type="paragraph" w:customStyle="1" w:styleId="181">
    <w:name w:val="沈标题四"/>
    <w:basedOn w:val="6"/>
    <w:next w:val="1"/>
    <w:uiPriority w:val="0"/>
    <w:pPr>
      <w:keepNext w:val="0"/>
      <w:keepLines w:val="0"/>
      <w:spacing w:line="377" w:lineRule="auto"/>
    </w:pPr>
    <w:rPr>
      <w:rFonts w:ascii="Arial Narrow" w:hAnsi="Arial Narrow" w:eastAsia="方正姚体"/>
      <w:b w:val="0"/>
      <w:sz w:val="24"/>
      <w:szCs w:val="24"/>
    </w:rPr>
  </w:style>
  <w:style w:type="paragraph" w:customStyle="1" w:styleId="182">
    <w:name w:val="Table - Col. Head"/>
    <w:basedOn w:val="1"/>
    <w:uiPriority w:val="0"/>
    <w:pPr>
      <w:keepNext/>
      <w:widowControl/>
      <w:spacing w:before="60" w:after="60" w:afterLines="50"/>
      <w:jc w:val="left"/>
    </w:pPr>
    <w:rPr>
      <w:rFonts w:ascii="Arial" w:hAnsi="Arial"/>
      <w:b/>
      <w:kern w:val="0"/>
      <w:sz w:val="18"/>
      <w:szCs w:val="20"/>
      <w:lang w:eastAsia="en-US"/>
    </w:rPr>
  </w:style>
  <w:style w:type="paragraph" w:customStyle="1" w:styleId="183">
    <w:name w:val=" Char Char7 Char"/>
    <w:basedOn w:val="1"/>
    <w:uiPriority w:val="0"/>
    <w:pPr>
      <w:tabs>
        <w:tab w:val="left" w:pos="425"/>
      </w:tabs>
      <w:ind w:left="420" w:leftChars="200" w:firstLine="270" w:firstLineChars="150"/>
    </w:pPr>
    <w:rPr>
      <w:szCs w:val="20"/>
    </w:rPr>
  </w:style>
  <w:style w:type="paragraph" w:customStyle="1" w:styleId="184">
    <w:name w:val="样式 标题 3Chapter X.X.X. + 五号 段后: 0.5 行"/>
    <w:basedOn w:val="4"/>
    <w:uiPriority w:val="0"/>
    <w:pPr>
      <w:keepLines w:val="0"/>
      <w:autoSpaceDE/>
      <w:autoSpaceDN/>
      <w:adjustRightInd/>
      <w:spacing w:before="120" w:afterLines="50"/>
    </w:pPr>
    <w:rPr>
      <w:rFonts w:cs="宋体"/>
      <w:bCs/>
      <w:snapToGrid w:val="0"/>
      <w:sz w:val="21"/>
      <w:u w:val="none"/>
    </w:rPr>
  </w:style>
  <w:style w:type="paragraph" w:customStyle="1" w:styleId="185">
    <w:name w:val=" Char Char Char1 Char Char Char Char"/>
    <w:basedOn w:val="1"/>
    <w:uiPriority w:val="0"/>
    <w:rPr>
      <w:rFonts w:ascii="仿宋_GB2312" w:eastAsia="仿宋_GB2312"/>
      <w:b/>
      <w:sz w:val="32"/>
      <w:szCs w:val="32"/>
    </w:rPr>
  </w:style>
  <w:style w:type="paragraph" w:customStyle="1" w:styleId="186">
    <w:name w:val="列表段落"/>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187">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88">
    <w:name w:val="样式 标题 1 + 五号1 Char Char Char Char Char Char Char Char Char Char Char Char Char Char Char Char Char"/>
    <w:basedOn w:val="2"/>
    <w:uiPriority w:val="0"/>
    <w:pPr>
      <w:spacing w:before="0" w:after="0" w:line="480" w:lineRule="auto"/>
    </w:pPr>
    <w:rPr>
      <w:sz w:val="21"/>
    </w:rPr>
  </w:style>
  <w:style w:type="paragraph" w:customStyle="1" w:styleId="189">
    <w:name w:val="样式 标题 4Chapter X.X.X. + 段后: 0.5 行1 + 段后: 0.5 行"/>
    <w:basedOn w:val="190"/>
    <w:uiPriority w:val="0"/>
    <w:rPr>
      <w:szCs w:val="21"/>
    </w:rPr>
  </w:style>
  <w:style w:type="paragraph" w:customStyle="1" w:styleId="190">
    <w:name w:val="样式 标题 4Chapter X.X.X. + 段后: 0.5 行1"/>
    <w:basedOn w:val="6"/>
    <w:next w:val="6"/>
    <w:uiPriority w:val="0"/>
    <w:pPr>
      <w:keepLines w:val="0"/>
      <w:spacing w:before="120" w:after="50" w:afterLines="50" w:line="240" w:lineRule="auto"/>
      <w:ind w:left="425" w:hanging="425"/>
      <w:jc w:val="left"/>
    </w:pPr>
    <w:rPr>
      <w:rFonts w:ascii="宋体" w:hAnsi="Times New Roman" w:eastAsia="宋体" w:cs="宋体"/>
      <w:snapToGrid w:val="0"/>
      <w:kern w:val="0"/>
      <w:sz w:val="21"/>
      <w:szCs w:val="20"/>
    </w:rPr>
  </w:style>
  <w:style w:type="paragraph" w:customStyle="1" w:styleId="191">
    <w:name w:val="封面标准文稿编辑信息"/>
    <w:uiPriority w:val="0"/>
    <w:pPr>
      <w:spacing w:before="180" w:line="180" w:lineRule="exact"/>
      <w:jc w:val="center"/>
    </w:pPr>
    <w:rPr>
      <w:rFonts w:ascii="宋体"/>
      <w:sz w:val="21"/>
      <w:lang w:val="en-US" w:eastAsia="zh-CN" w:bidi="ar-SA"/>
    </w:rPr>
  </w:style>
  <w:style w:type="paragraph" w:customStyle="1" w:styleId="192">
    <w:name w:val="默认段落字体 Para Char Char Char Char Char Char Char Char Char1 Char Char Char Char"/>
    <w:basedOn w:val="1"/>
    <w:uiPriority w:val="0"/>
    <w:rPr>
      <w:rFonts w:ascii="Tahoma" w:hAnsi="Tahoma"/>
      <w:sz w:val="24"/>
      <w:szCs w:val="20"/>
    </w:rPr>
  </w:style>
  <w:style w:type="paragraph" w:customStyle="1" w:styleId="193">
    <w:name w:val="样式 标题 3Chapter X.X.X"/>
    <w:basedOn w:val="194"/>
    <w:uiPriority w:val="0"/>
    <w:pPr>
      <w:spacing w:after="120"/>
    </w:pPr>
  </w:style>
  <w:style w:type="paragraph" w:customStyle="1" w:styleId="194">
    <w:name w:val="标题 3Chapter X.X.X. + 段后: 0.5 行 + 段后: 0.5 行 + 段后: 0.5 行1"/>
    <w:basedOn w:val="195"/>
    <w:uiPriority w:val="0"/>
  </w:style>
  <w:style w:type="paragraph" w:customStyle="1" w:styleId="195">
    <w:name w:val="样式 样式 标题 3Chapter X.X.X. + 段后: 0.5 行 + 段后: 0.5 行"/>
    <w:basedOn w:val="196"/>
    <w:uiPriority w:val="0"/>
  </w:style>
  <w:style w:type="paragraph" w:customStyle="1" w:styleId="196">
    <w:name w:val="样式 标题 3Chapter X.X.X. + 段后: 0.5 行"/>
    <w:basedOn w:val="4"/>
    <w:uiPriority w:val="0"/>
    <w:pPr>
      <w:keepLines w:val="0"/>
      <w:autoSpaceDE/>
      <w:autoSpaceDN/>
      <w:adjustRightInd/>
      <w:spacing w:before="120" w:after="50" w:afterLines="50"/>
    </w:pPr>
    <w:rPr>
      <w:rFonts w:cs="宋体"/>
      <w:bCs/>
      <w:snapToGrid w:val="0"/>
      <w:u w:val="none"/>
    </w:rPr>
  </w:style>
  <w:style w:type="paragraph" w:customStyle="1" w:styleId="197">
    <w:name w:val="样式6"/>
    <w:basedOn w:val="1"/>
    <w:uiPriority w:val="0"/>
    <w:pPr>
      <w:adjustRightInd w:val="0"/>
      <w:spacing w:before="120" w:beforeLines="50" w:after="120" w:afterLines="50"/>
      <w:ind w:firstLine="669"/>
      <w:textAlignment w:val="baseline"/>
    </w:pPr>
    <w:rPr>
      <w:rFonts w:ascii="宋体" w:hAnsi="宋体"/>
      <w:kern w:val="0"/>
      <w:sz w:val="28"/>
      <w:szCs w:val="20"/>
    </w:rPr>
  </w:style>
  <w:style w:type="paragraph" w:customStyle="1" w:styleId="198">
    <w:name w:val="Proposals body"/>
    <w:basedOn w:val="1"/>
    <w:next w:val="1"/>
    <w:uiPriority w:val="99"/>
    <w:pPr>
      <w:widowControl/>
      <w:spacing w:line="360" w:lineRule="auto"/>
      <w:jc w:val="left"/>
    </w:pPr>
    <w:rPr>
      <w:rFonts w:ascii="宋体"/>
      <w:snapToGrid w:val="0"/>
      <w:color w:val="000000"/>
      <w:kern w:val="0"/>
      <w:sz w:val="24"/>
      <w:szCs w:val="20"/>
    </w:rPr>
  </w:style>
  <w:style w:type="paragraph" w:customStyle="1" w:styleId="199">
    <w:name w:val="Figure Description"/>
    <w:next w:val="1"/>
    <w:uiPriority w:val="0"/>
    <w:pPr>
      <w:snapToGrid w:val="0"/>
      <w:spacing w:before="80" w:after="320"/>
      <w:ind w:left="1701"/>
      <w:jc w:val="center"/>
    </w:pPr>
    <w:rPr>
      <w:rFonts w:ascii="Arial" w:hAnsi="Arial" w:eastAsia="黑体"/>
      <w:sz w:val="18"/>
      <w:lang w:val="en-US" w:eastAsia="en-US" w:bidi="ar-SA"/>
    </w:rPr>
  </w:style>
  <w:style w:type="paragraph" w:customStyle="1" w:styleId="200">
    <w:name w:val="*正文"/>
    <w:basedOn w:val="1"/>
    <w:qFormat/>
    <w:uiPriority w:val="99"/>
    <w:pPr>
      <w:spacing w:line="360" w:lineRule="auto"/>
      <w:ind w:firstLine="200" w:firstLineChars="200"/>
    </w:pPr>
    <w:rPr>
      <w:rFonts w:ascii="宋体" w:hAnsi="宋体" w:cs="宋体"/>
      <w:sz w:val="24"/>
    </w:rPr>
  </w:style>
  <w:style w:type="paragraph" w:customStyle="1" w:styleId="201">
    <w:name w:val=" Char Char Char Char Char Char Char Char Char Char Char Char Char Char Char Char"/>
    <w:basedOn w:val="1"/>
    <w:uiPriority w:val="0"/>
    <w:pPr>
      <w:tabs>
        <w:tab w:val="left" w:pos="360"/>
      </w:tabs>
    </w:pPr>
    <w:rPr>
      <w:sz w:val="24"/>
    </w:rPr>
  </w:style>
  <w:style w:type="paragraph" w:customStyle="1" w:styleId="202">
    <w:name w:val="样式 样式 标题 4 + 段后: 0.5 行1"/>
    <w:basedOn w:val="142"/>
    <w:next w:val="27"/>
    <w:uiPriority w:val="0"/>
    <w:pPr>
      <w:spacing w:after="120"/>
    </w:pPr>
  </w:style>
  <w:style w:type="paragraph" w:customStyle="1" w:styleId="203">
    <w:name w:val="样式 样式 正文文本缩进 + 仿宋_GB2312 小四 首行缩进:  0 厘米 行距: 1.5 倍行距 + (中文) 仿宋_GB..."/>
    <w:basedOn w:val="204"/>
    <w:uiPriority w:val="0"/>
    <w:pPr>
      <w:ind w:firstLine="480" w:firstLineChars="200"/>
    </w:pPr>
  </w:style>
  <w:style w:type="paragraph" w:customStyle="1" w:styleId="204">
    <w:name w:val="样式 正文文本缩进 + 仿宋_GB2312 小四 首行缩进:  0 厘米 行距: 1.5 倍行距"/>
    <w:basedOn w:val="20"/>
    <w:uiPriority w:val="0"/>
    <w:pPr>
      <w:spacing w:line="360" w:lineRule="auto"/>
      <w:ind w:firstLine="0"/>
    </w:pPr>
    <w:rPr>
      <w:rFonts w:ascii="仿宋_GB2312" w:hAnsi="Times New Roman" w:eastAsia="新宋体"/>
      <w:spacing w:val="0"/>
      <w:sz w:val="24"/>
    </w:rPr>
  </w:style>
  <w:style w:type="paragraph" w:customStyle="1" w:styleId="205">
    <w:name w:val="页面边线"/>
    <w:basedOn w:val="1"/>
    <w:uiPriority w:val="0"/>
    <w:pPr>
      <w:adjustRightInd w:val="0"/>
      <w:spacing w:line="360" w:lineRule="atLeast"/>
      <w:textAlignment w:val="baseline"/>
    </w:pPr>
    <w:rPr>
      <w:rFonts w:ascii="Century" w:hAnsi="Century"/>
      <w:kern w:val="0"/>
      <w:szCs w:val="20"/>
      <w:lang w:eastAsia="ja-JP"/>
    </w:rPr>
  </w:style>
  <w:style w:type="paragraph" w:customStyle="1" w:styleId="206">
    <w:name w:val="列表段落2"/>
    <w:basedOn w:val="1"/>
    <w:qFormat/>
    <w:uiPriority w:val="99"/>
    <w:pPr>
      <w:ind w:firstLine="420" w:firstLineChars="200"/>
    </w:pPr>
    <w:rPr>
      <w:rFonts w:ascii="Calibri" w:hAnsi="Calibri"/>
      <w:szCs w:val="22"/>
    </w:rPr>
  </w:style>
  <w:style w:type="paragraph" w:customStyle="1" w:styleId="207">
    <w:name w:val="huide00"/>
    <w:basedOn w:val="1"/>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08">
    <w:name w:val="正文段"/>
    <w:basedOn w:val="1"/>
    <w:qFormat/>
    <w:uiPriority w:val="0"/>
    <w:pPr>
      <w:widowControl/>
      <w:snapToGrid w:val="0"/>
      <w:spacing w:after="50" w:afterLines="50"/>
      <w:ind w:firstLine="200" w:firstLineChars="200"/>
    </w:pPr>
    <w:rPr>
      <w:kern w:val="0"/>
      <w:sz w:val="24"/>
      <w:szCs w:val="20"/>
    </w:rPr>
  </w:style>
  <w:style w:type="paragraph" w:customStyle="1" w:styleId="209">
    <w:name w:val="样式2"/>
    <w:basedOn w:val="3"/>
    <w:uiPriority w:val="0"/>
    <w:pPr>
      <w:tabs>
        <w:tab w:val="left" w:pos="600"/>
      </w:tabs>
      <w:ind w:left="600" w:hanging="600"/>
    </w:pPr>
    <w:rPr>
      <w:rFonts w:eastAsia="宋体"/>
    </w:rPr>
  </w:style>
  <w:style w:type="paragraph" w:customStyle="1" w:styleId="210">
    <w:name w:val="样式 样式 正文文本缩进 + 仿宋_GB2312 小四 首行缩进:  0 厘米 行距: 1.5 倍行距 + (中文) 仿宋_GB... Char Char"/>
    <w:basedOn w:val="204"/>
    <w:uiPriority w:val="0"/>
    <w:pPr>
      <w:ind w:firstLine="480" w:firstLineChars="200"/>
    </w:pPr>
  </w:style>
  <w:style w:type="paragraph" w:customStyle="1" w:styleId="211">
    <w:name w:val="Plain Text1"/>
    <w:basedOn w:val="1"/>
    <w:uiPriority w:val="0"/>
    <w:pPr>
      <w:autoSpaceDE w:val="0"/>
      <w:autoSpaceDN w:val="0"/>
      <w:adjustRightInd w:val="0"/>
      <w:spacing w:line="360" w:lineRule="auto"/>
    </w:pPr>
    <w:rPr>
      <w:rFonts w:hint="eastAsia" w:ascii="宋体" w:hAnsi="宋体"/>
      <w:sz w:val="24"/>
      <w:szCs w:val="20"/>
    </w:rPr>
  </w:style>
  <w:style w:type="paragraph" w:customStyle="1" w:styleId="212">
    <w:name w:val="文本框内文字"/>
    <w:basedOn w:val="1"/>
    <w:uiPriority w:val="0"/>
    <w:pPr>
      <w:spacing w:line="0" w:lineRule="atLeast"/>
    </w:pPr>
    <w:rPr>
      <w:rFonts w:eastAsia="仿宋_GB2312"/>
      <w:sz w:val="22"/>
    </w:rPr>
  </w:style>
  <w:style w:type="paragraph" w:customStyle="1" w:styleId="213">
    <w:name w:val="Item List in Table"/>
    <w:basedOn w:val="1"/>
    <w:uiPriority w:val="0"/>
    <w:pPr>
      <w:widowControl/>
      <w:tabs>
        <w:tab w:val="left" w:pos="284"/>
      </w:tabs>
      <w:topLinePunct/>
      <w:snapToGrid w:val="0"/>
      <w:spacing w:before="80" w:after="80" w:line="240" w:lineRule="atLeast"/>
      <w:ind w:left="284" w:hanging="284"/>
    </w:pPr>
    <w:rPr>
      <w:rFonts w:ascii="Calibri" w:hAnsi="Calibri" w:cs="Calibri"/>
      <w:szCs w:val="21"/>
    </w:rPr>
  </w:style>
  <w:style w:type="paragraph" w:customStyle="1" w:styleId="214">
    <w:name w:val="S4-L15-C"/>
    <w:basedOn w:val="1"/>
    <w:uiPriority w:val="0"/>
    <w:pPr>
      <w:spacing w:after="120" w:line="360" w:lineRule="auto"/>
      <w:jc w:val="center"/>
    </w:pPr>
    <w:rPr>
      <w:szCs w:val="21"/>
    </w:rPr>
  </w:style>
  <w:style w:type="paragraph" w:customStyle="1" w:styleId="215">
    <w:name w:val="Table - Text"/>
    <w:basedOn w:val="1"/>
    <w:uiPriority w:val="0"/>
    <w:pPr>
      <w:widowControl/>
      <w:spacing w:before="60" w:after="60" w:afterLines="50"/>
      <w:jc w:val="left"/>
    </w:pPr>
    <w:rPr>
      <w:kern w:val="0"/>
      <w:szCs w:val="20"/>
      <w:lang w:eastAsia="en-US"/>
    </w:rPr>
  </w:style>
  <w:style w:type="paragraph" w:styleId="216">
    <w:name w:val="No Spacing"/>
    <w:qFormat/>
    <w:uiPriority w:val="1"/>
    <w:pPr>
      <w:widowControl w:val="0"/>
      <w:jc w:val="both"/>
    </w:pPr>
    <w:rPr>
      <w:kern w:val="2"/>
      <w:sz w:val="21"/>
      <w:szCs w:val="22"/>
      <w:lang w:val="en-US" w:eastAsia="zh-CN" w:bidi="ar-SA"/>
    </w:rPr>
  </w:style>
  <w:style w:type="paragraph" w:customStyle="1" w:styleId="217">
    <w:name w:val=" Char Char Char Char Char Char Char Char Char Char Char Char Char Char Char Char Char Char Char"/>
    <w:basedOn w:val="1"/>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218">
    <w:name w:val="正文 New New New New"/>
    <w:uiPriority w:val="99"/>
    <w:pPr>
      <w:widowControl w:val="0"/>
      <w:jc w:val="both"/>
    </w:pPr>
    <w:rPr>
      <w:rFonts w:cs="Calibri"/>
      <w:sz w:val="21"/>
      <w:szCs w:val="21"/>
      <w:lang w:val="en-US" w:eastAsia="zh-CN" w:bidi="ar-SA"/>
    </w:rPr>
  </w:style>
  <w:style w:type="paragraph" w:customStyle="1" w:styleId="219">
    <w:name w:val="Paragraph3"/>
    <w:basedOn w:val="1"/>
    <w:uiPriority w:val="0"/>
    <w:pPr>
      <w:spacing w:before="80" w:after="50" w:afterLines="50"/>
      <w:ind w:left="1530"/>
    </w:pPr>
    <w:rPr>
      <w:rFonts w:ascii="宋体"/>
      <w:snapToGrid w:val="0"/>
      <w:kern w:val="0"/>
      <w:szCs w:val="20"/>
    </w:rPr>
  </w:style>
  <w:style w:type="paragraph" w:customStyle="1" w:styleId="220">
    <w:name w:val="p0"/>
    <w:basedOn w:val="1"/>
    <w:uiPriority w:val="0"/>
    <w:pPr>
      <w:widowControl/>
      <w:spacing w:after="50"/>
    </w:pPr>
    <w:rPr>
      <w:kern w:val="0"/>
      <w:szCs w:val="21"/>
    </w:rPr>
  </w:style>
  <w:style w:type="paragraph" w:customStyle="1" w:styleId="221">
    <w:name w:val="样式 标题 1 + 段后: 0.5 行"/>
    <w:basedOn w:val="2"/>
    <w:uiPriority w:val="0"/>
    <w:pPr>
      <w:keepLines w:val="0"/>
      <w:spacing w:before="120" w:after="120" w:afterLines="50" w:line="240" w:lineRule="auto"/>
      <w:jc w:val="left"/>
    </w:pPr>
    <w:rPr>
      <w:rFonts w:ascii="宋体" w:cs="宋体"/>
      <w:snapToGrid w:val="0"/>
      <w:kern w:val="0"/>
      <w:sz w:val="28"/>
      <w:szCs w:val="20"/>
    </w:rPr>
  </w:style>
  <w:style w:type="paragraph" w:customStyle="1" w:styleId="222">
    <w:name w:val="Char Char3 Char Char Char Char"/>
    <w:basedOn w:val="1"/>
    <w:uiPriority w:val="0"/>
    <w:pPr>
      <w:widowControl/>
      <w:spacing w:after="160" w:line="360" w:lineRule="auto"/>
      <w:jc w:val="left"/>
    </w:pPr>
    <w:rPr>
      <w:rFonts w:ascii="Verdana" w:hAnsi="Verdana"/>
      <w:kern w:val="0"/>
      <w:sz w:val="24"/>
      <w:szCs w:val="20"/>
      <w:lang w:eastAsia="en-US"/>
    </w:rPr>
  </w:style>
  <w:style w:type="paragraph" w:customStyle="1" w:styleId="223">
    <w:name w:val=" Char"/>
    <w:basedOn w:val="1"/>
    <w:uiPriority w:val="0"/>
  </w:style>
  <w:style w:type="paragraph" w:customStyle="1" w:styleId="224">
    <w:name w:val="样式 三号 加粗 段后: 0.5 行"/>
    <w:basedOn w:val="1"/>
    <w:uiPriority w:val="0"/>
    <w:pPr>
      <w:spacing w:after="50" w:afterLines="50"/>
      <w:jc w:val="left"/>
    </w:pPr>
    <w:rPr>
      <w:rFonts w:ascii="宋体" w:cs="宋体"/>
      <w:b/>
      <w:bCs/>
      <w:snapToGrid w:val="0"/>
      <w:kern w:val="0"/>
      <w:sz w:val="32"/>
      <w:szCs w:val="20"/>
    </w:rPr>
  </w:style>
  <w:style w:type="paragraph" w:customStyle="1" w:styleId="225">
    <w:name w:val="Body"/>
    <w:basedOn w:val="1"/>
    <w:uiPriority w:val="0"/>
    <w:pPr>
      <w:widowControl/>
      <w:spacing w:before="120" w:after="50" w:afterLines="50"/>
    </w:pPr>
    <w:rPr>
      <w:rFonts w:ascii="宋体"/>
      <w:snapToGrid w:val="0"/>
      <w:kern w:val="0"/>
      <w:szCs w:val="20"/>
    </w:rPr>
  </w:style>
  <w:style w:type="paragraph" w:customStyle="1" w:styleId="226">
    <w:name w:val="Item List"/>
    <w:uiPriority w:val="0"/>
    <w:pPr>
      <w:tabs>
        <w:tab w:val="left" w:pos="2126"/>
      </w:tabs>
      <w:spacing w:line="300" w:lineRule="auto"/>
      <w:ind w:left="2126" w:hanging="425"/>
      <w:jc w:val="both"/>
    </w:pPr>
    <w:rPr>
      <w:rFonts w:ascii="Arial" w:hAnsi="Arial"/>
      <w:sz w:val="21"/>
      <w:lang w:val="en-US" w:eastAsia="en-US" w:bidi="ar-SA"/>
    </w:rPr>
  </w:style>
  <w:style w:type="paragraph" w:customStyle="1" w:styleId="227">
    <w:name w:val="样式 样式 标题 4 + 段后: 0.5 行 + 段后: 0.5 行"/>
    <w:basedOn w:val="142"/>
    <w:uiPriority w:val="99"/>
  </w:style>
  <w:style w:type="paragraph" w:customStyle="1" w:styleId="228">
    <w:name w:val="Paragraph2"/>
    <w:basedOn w:val="1"/>
    <w:uiPriority w:val="0"/>
    <w:pPr>
      <w:spacing w:before="80" w:after="50" w:afterLines="50"/>
      <w:ind w:left="720"/>
    </w:pPr>
    <w:rPr>
      <w:rFonts w:ascii="宋体"/>
      <w:snapToGrid w:val="0"/>
      <w:color w:val="000000"/>
      <w:kern w:val="0"/>
      <w:szCs w:val="20"/>
      <w:lang w:val="en-AU"/>
    </w:rPr>
  </w:style>
  <w:style w:type="paragraph" w:customStyle="1" w:styleId="229">
    <w:name w:val="S4-I-L15-U"/>
    <w:basedOn w:val="1"/>
    <w:uiPriority w:val="0"/>
    <w:pPr>
      <w:spacing w:line="360" w:lineRule="auto"/>
    </w:pPr>
    <w:rPr>
      <w:b/>
      <w:i/>
      <w:sz w:val="24"/>
      <w:u w:val="single"/>
    </w:rPr>
  </w:style>
  <w:style w:type="paragraph" w:customStyle="1" w:styleId="230">
    <w:name w:val="样式 标题1"/>
    <w:basedOn w:val="221"/>
    <w:next w:val="135"/>
    <w:uiPriority w:val="0"/>
    <w:pPr>
      <w:tabs>
        <w:tab w:val="left" w:pos="1140"/>
      </w:tabs>
      <w:spacing w:after="50"/>
      <w:ind w:left="1140" w:hanging="720"/>
    </w:pPr>
    <w:rPr>
      <w:bCs w:val="0"/>
      <w:sz w:val="32"/>
    </w:rPr>
  </w:style>
  <w:style w:type="paragraph" w:customStyle="1" w:styleId="231">
    <w:name w:val="样式 标题 3Chapter X.X.X. + 段后: 0.5 行1"/>
    <w:basedOn w:val="4"/>
    <w:next w:val="1"/>
    <w:uiPriority w:val="0"/>
    <w:pPr>
      <w:keepLines w:val="0"/>
      <w:autoSpaceDE/>
      <w:autoSpaceDN/>
      <w:adjustRightInd/>
      <w:spacing w:before="120" w:afterLines="50"/>
    </w:pPr>
    <w:rPr>
      <w:rFonts w:cs="宋体"/>
      <w:bCs/>
      <w:snapToGrid w:val="0"/>
      <w:u w:val="none"/>
    </w:rPr>
  </w:style>
  <w:style w:type="paragraph" w:customStyle="1" w:styleId="232">
    <w:name w:val="正文_13"/>
    <w:qFormat/>
    <w:uiPriority w:val="0"/>
    <w:pPr>
      <w:widowControl w:val="0"/>
      <w:jc w:val="both"/>
    </w:pPr>
    <w:rPr>
      <w:kern w:val="2"/>
      <w:sz w:val="21"/>
      <w:szCs w:val="24"/>
      <w:lang w:val="en-US" w:eastAsia="zh-CN" w:bidi="ar-SA"/>
    </w:rPr>
  </w:style>
  <w:style w:type="paragraph" w:customStyle="1" w:styleId="233">
    <w:name w:val="图"/>
    <w:basedOn w:val="1"/>
    <w:uiPriority w:val="0"/>
    <w:pPr>
      <w:keepNext/>
      <w:adjustRightInd w:val="0"/>
      <w:snapToGrid w:val="0"/>
      <w:spacing w:before="60" w:after="60" w:line="300" w:lineRule="auto"/>
      <w:jc w:val="center"/>
    </w:pPr>
    <w:rPr>
      <w:spacing w:val="20"/>
      <w:kern w:val="0"/>
      <w:sz w:val="24"/>
      <w:szCs w:val="20"/>
    </w:rPr>
  </w:style>
  <w:style w:type="paragraph" w:customStyle="1" w:styleId="234">
    <w:name w:val=" Char Char8"/>
    <w:basedOn w:val="1"/>
    <w:uiPriority w:val="0"/>
    <w:pPr>
      <w:tabs>
        <w:tab w:val="left" w:pos="360"/>
      </w:tabs>
    </w:pPr>
  </w:style>
  <w:style w:type="paragraph" w:customStyle="1" w:styleId="235">
    <w:name w:val="P3"/>
    <w:basedOn w:val="1"/>
    <w:uiPriority w:val="0"/>
    <w:pPr>
      <w:widowControl/>
      <w:spacing w:before="240" w:line="240" w:lineRule="atLeast"/>
      <w:ind w:left="1152"/>
      <w:jc w:val="left"/>
    </w:pPr>
    <w:rPr>
      <w:b/>
      <w:kern w:val="0"/>
      <w:szCs w:val="21"/>
      <w:lang w:val="en-AU" w:eastAsia="en-US"/>
    </w:rPr>
  </w:style>
  <w:style w:type="paragraph" w:customStyle="1" w:styleId="236">
    <w:name w:val="l15"/>
    <w:basedOn w:val="1"/>
    <w:uiPriority w:val="99"/>
    <w:pPr>
      <w:widowControl/>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237">
    <w:name w:val="普通(Web)1"/>
    <w:basedOn w:val="1"/>
    <w:next w:val="37"/>
    <w:uiPriority w:val="99"/>
    <w:pPr>
      <w:widowControl/>
      <w:spacing w:before="100" w:beforeAutospacing="1" w:after="100" w:afterAutospacing="1"/>
      <w:jc w:val="left"/>
    </w:pPr>
    <w:rPr>
      <w:rFonts w:ascii="宋体" w:hAnsi="宋体" w:cs="宋体"/>
      <w:color w:val="000000"/>
      <w:kern w:val="0"/>
      <w:sz w:val="24"/>
    </w:rPr>
  </w:style>
  <w:style w:type="paragraph" w:customStyle="1" w:styleId="238">
    <w:name w:val="_Style 2"/>
    <w:basedOn w:val="1"/>
    <w:uiPriority w:val="99"/>
    <w:pPr>
      <w:ind w:firstLine="420" w:firstLineChars="200"/>
    </w:pPr>
    <w:rPr>
      <w:rFonts w:ascii="Calibri" w:hAnsi="Calibri" w:cs="Calibri"/>
      <w:szCs w:val="21"/>
    </w:rPr>
  </w:style>
  <w:style w:type="paragraph" w:customStyle="1" w:styleId="239">
    <w:name w:val="样式 标题 1 + 五号"/>
    <w:basedOn w:val="2"/>
    <w:uiPriority w:val="0"/>
    <w:pPr>
      <w:spacing w:before="0" w:after="0" w:line="240" w:lineRule="auto"/>
      <w:jc w:val="center"/>
    </w:pPr>
    <w:rPr>
      <w:sz w:val="32"/>
      <w:szCs w:val="32"/>
    </w:rPr>
  </w:style>
  <w:style w:type="paragraph" w:customStyle="1" w:styleId="240">
    <w:name w:val="目录3-LuoJun"/>
    <w:basedOn w:val="4"/>
    <w:next w:val="200"/>
    <w:qFormat/>
    <w:uiPriority w:val="99"/>
    <w:pPr>
      <w:keepNext w:val="0"/>
      <w:keepLines w:val="0"/>
      <w:widowControl/>
      <w:numPr>
        <w:ilvl w:val="2"/>
        <w:numId w:val="2"/>
      </w:numPr>
      <w:tabs>
        <w:tab w:val="left" w:pos="780"/>
        <w:tab w:val="left" w:pos="1200"/>
        <w:tab w:val="left" w:pos="1440"/>
      </w:tabs>
      <w:autoSpaceDE/>
      <w:autoSpaceDN/>
      <w:adjustRightInd/>
      <w:spacing w:before="0" w:after="0" w:line="360" w:lineRule="auto"/>
      <w:ind w:left="709"/>
    </w:pPr>
    <w:rPr>
      <w:rFonts w:hAnsi="宋体" w:cs="宋体"/>
      <w:bCs/>
      <w:sz w:val="30"/>
      <w:szCs w:val="30"/>
      <w:u w:val="none"/>
    </w:rPr>
  </w:style>
  <w:style w:type="paragraph" w:customStyle="1" w:styleId="241">
    <w:name w:val="No Spacing"/>
    <w:qFormat/>
    <w:uiPriority w:val="0"/>
    <w:pPr>
      <w:adjustRightInd w:val="0"/>
      <w:snapToGrid w:val="0"/>
    </w:pPr>
    <w:rPr>
      <w:rFonts w:ascii="Tahoma" w:hAnsi="Tahoma" w:eastAsia="微软雅黑"/>
      <w:sz w:val="22"/>
      <w:szCs w:val="22"/>
      <w:lang w:val="en-US" w:eastAsia="zh-CN" w:bidi="ar-SA"/>
    </w:rPr>
  </w:style>
  <w:style w:type="paragraph" w:customStyle="1" w:styleId="242">
    <w:name w:val="Blockquote"/>
    <w:basedOn w:val="1"/>
    <w:uiPriority w:val="0"/>
    <w:pPr>
      <w:widowControl/>
      <w:spacing w:before="100" w:after="100" w:afterLines="50"/>
      <w:ind w:left="360" w:right="360"/>
      <w:jc w:val="left"/>
    </w:pPr>
    <w:rPr>
      <w:rFonts w:ascii="宋体"/>
      <w:snapToGrid w:val="0"/>
      <w:kern w:val="0"/>
      <w:sz w:val="24"/>
      <w:szCs w:val="20"/>
      <w:lang w:val="en-CA"/>
    </w:rPr>
  </w:style>
  <w:style w:type="paragraph" w:customStyle="1" w:styleId="243">
    <w:name w:val="Char Char Char"/>
    <w:basedOn w:val="1"/>
    <w:uiPriority w:val="0"/>
    <w:rPr>
      <w:rFonts w:ascii="Tahoma" w:hAnsi="Tahoma"/>
      <w:sz w:val="24"/>
      <w:szCs w:val="20"/>
    </w:rPr>
  </w:style>
  <w:style w:type="paragraph" w:customStyle="1" w:styleId="244">
    <w:name w:val="表格标题(居中)"/>
    <w:basedOn w:val="1"/>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245">
    <w:name w:val="标准标题2"/>
    <w:basedOn w:val="3"/>
    <w:uiPriority w:val="0"/>
    <w:pPr>
      <w:spacing w:line="360" w:lineRule="auto"/>
    </w:pPr>
    <w:rPr>
      <w:rFonts w:eastAsia="仿宋_GB2312"/>
      <w:bCs w:val="0"/>
      <w:sz w:val="28"/>
    </w:rPr>
  </w:style>
  <w:style w:type="paragraph" w:customStyle="1" w:styleId="246">
    <w:name w:val=" Char Char Char Char1 Char Char"/>
    <w:basedOn w:val="1"/>
    <w:uiPriority w:val="0"/>
    <w:pPr>
      <w:widowControl/>
      <w:spacing w:after="160" w:line="240" w:lineRule="exact"/>
      <w:jc w:val="left"/>
    </w:pPr>
    <w:rPr>
      <w:rFonts w:ascii="Verdana" w:hAnsi="Verdana"/>
      <w:kern w:val="0"/>
      <w:sz w:val="20"/>
      <w:szCs w:val="20"/>
      <w:lang w:eastAsia="en-US"/>
    </w:rPr>
  </w:style>
  <w:style w:type="paragraph" w:customStyle="1" w:styleId="247">
    <w:name w:val="首行缩进"/>
    <w:basedOn w:val="1"/>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248">
    <w:name w:val="Table Description"/>
    <w:next w:val="1"/>
    <w:uiPriority w:val="0"/>
    <w:pPr>
      <w:keepNext/>
      <w:snapToGrid w:val="0"/>
      <w:spacing w:before="160" w:after="80"/>
      <w:ind w:left="1701"/>
      <w:jc w:val="center"/>
    </w:pPr>
    <w:rPr>
      <w:rFonts w:ascii="Arial" w:hAnsi="Arial" w:eastAsia="黑体"/>
      <w:sz w:val="18"/>
      <w:lang w:val="en-US" w:eastAsia="en-US" w:bidi="ar-SA"/>
    </w:rPr>
  </w:style>
  <w:style w:type="paragraph" w:customStyle="1" w:styleId="249">
    <w:name w:val="Bullet2"/>
    <w:basedOn w:val="1"/>
    <w:uiPriority w:val="0"/>
    <w:pPr>
      <w:numPr>
        <w:ilvl w:val="0"/>
        <w:numId w:val="0"/>
      </w:numPr>
      <w:spacing w:after="50" w:afterLines="50"/>
      <w:ind w:left="1440" w:hanging="360"/>
      <w:jc w:val="left"/>
    </w:pPr>
    <w:rPr>
      <w:rFonts w:ascii="宋体"/>
      <w:snapToGrid w:val="0"/>
      <w:color w:val="000080"/>
      <w:kern w:val="0"/>
      <w:szCs w:val="20"/>
    </w:rPr>
  </w:style>
  <w:style w:type="paragraph" w:customStyle="1" w:styleId="250">
    <w:name w:val="样式 模板描述"/>
    <w:basedOn w:val="1"/>
    <w:next w:val="143"/>
    <w:uiPriority w:val="0"/>
    <w:pPr>
      <w:spacing w:after="120" w:afterLines="50"/>
      <w:jc w:val="left"/>
    </w:pPr>
    <w:rPr>
      <w:rFonts w:ascii="宋体" w:cs="宋体"/>
      <w:i/>
      <w:iCs/>
      <w:snapToGrid w:val="0"/>
      <w:color w:val="0000FF"/>
      <w:kern w:val="0"/>
      <w:szCs w:val="21"/>
    </w:rPr>
  </w:style>
  <w:style w:type="paragraph" w:customStyle="1" w:styleId="251">
    <w:name w:val="列出段落11"/>
    <w:basedOn w:val="1"/>
    <w:uiPriority w:val="99"/>
    <w:pPr>
      <w:ind w:firstLine="420" w:firstLineChars="200"/>
    </w:pPr>
    <w:rPr>
      <w:rFonts w:ascii="Calibri" w:hAnsi="Calibri" w:cs="Calibri"/>
      <w:szCs w:val="21"/>
    </w:rPr>
  </w:style>
  <w:style w:type="paragraph" w:customStyle="1" w:styleId="252">
    <w:name w:val="Char"/>
    <w:basedOn w:val="1"/>
    <w:uiPriority w:val="0"/>
    <w:rPr>
      <w:szCs w:val="20"/>
    </w:rPr>
  </w:style>
  <w:style w:type="paragraph" w:customStyle="1" w:styleId="253">
    <w:name w:val="样式7"/>
    <w:basedOn w:val="1"/>
    <w:uiPriority w:val="0"/>
    <w:pPr>
      <w:adjustRightInd w:val="0"/>
      <w:spacing w:before="120" w:beforeLines="50" w:after="120" w:afterLines="50" w:line="360" w:lineRule="auto"/>
      <w:ind w:firstLine="669"/>
      <w:textAlignment w:val="baseline"/>
    </w:pPr>
    <w:rPr>
      <w:rFonts w:ascii="宋体" w:hAnsi="宋体"/>
      <w:kern w:val="0"/>
      <w:sz w:val="28"/>
      <w:szCs w:val="20"/>
    </w:rPr>
  </w:style>
  <w:style w:type="paragraph" w:customStyle="1" w:styleId="254">
    <w:name w:val="样式 样式 样式 标题 3Chapter X.X.X. + 段后: 0.5 行 + 段后: 0.5 行 + 段后: 0.5 行"/>
    <w:basedOn w:val="195"/>
    <w:uiPriority w:val="0"/>
    <w:pPr>
      <w:spacing w:after="120"/>
    </w:pPr>
  </w:style>
  <w:style w:type="paragraph" w:customStyle="1" w:styleId="255">
    <w:name w:val="标题1"/>
    <w:basedOn w:val="24"/>
    <w:uiPriority w:val="0"/>
    <w:pPr>
      <w:spacing w:before="0" w:beforeLines="0" w:after="0" w:afterLines="0" w:line="360" w:lineRule="auto"/>
    </w:pPr>
    <w:rPr>
      <w:b/>
      <w:sz w:val="30"/>
      <w:szCs w:val="20"/>
    </w:rPr>
  </w:style>
  <w:style w:type="paragraph" w:customStyle="1" w:styleId="256">
    <w:name w:val="Tabletext"/>
    <w:basedOn w:val="1"/>
    <w:uiPriority w:val="0"/>
    <w:pPr>
      <w:keepLines/>
      <w:spacing w:after="120" w:afterLines="50"/>
      <w:jc w:val="left"/>
    </w:pPr>
    <w:rPr>
      <w:rFonts w:ascii="宋体"/>
      <w:snapToGrid w:val="0"/>
      <w:kern w:val="0"/>
      <w:szCs w:val="20"/>
    </w:rPr>
  </w:style>
  <w:style w:type="paragraph" w:customStyle="1" w:styleId="257">
    <w:name w:val="最新标题1"/>
    <w:basedOn w:val="230"/>
    <w:next w:val="135"/>
    <w:uiPriority w:val="0"/>
    <w:pPr>
      <w:spacing w:after="120"/>
    </w:pPr>
    <w:rPr>
      <w:bCs/>
    </w:rPr>
  </w:style>
  <w:style w:type="paragraph" w:customStyle="1" w:styleId="258">
    <w:name w:val="段(正文）"/>
    <w:uiPriority w:val="0"/>
    <w:pPr>
      <w:autoSpaceDE w:val="0"/>
      <w:autoSpaceDN w:val="0"/>
      <w:ind w:firstLine="420"/>
      <w:jc w:val="both"/>
    </w:pPr>
    <w:rPr>
      <w:rFonts w:ascii="宋体"/>
      <w:sz w:val="21"/>
      <w:lang w:val="en-US" w:eastAsia="zh-CN" w:bidi="ar-SA"/>
    </w:rPr>
  </w:style>
  <w:style w:type="paragraph" w:customStyle="1" w:styleId="259">
    <w:name w:val="Default"/>
    <w:qFormat/>
    <w:uiPriority w:val="99"/>
    <w:pPr>
      <w:widowControl w:val="0"/>
      <w:autoSpaceDE w:val="0"/>
      <w:autoSpaceDN w:val="0"/>
      <w:adjustRightInd w:val="0"/>
    </w:pPr>
    <w:rPr>
      <w:rFonts w:ascii="......." w:hAnsi="......." w:eastAsia="......." w:cs="......."/>
      <w:color w:val="000000"/>
      <w:sz w:val="24"/>
      <w:szCs w:val="24"/>
      <w:lang w:val="en-US" w:eastAsia="zh-CN" w:bidi="ar-SA"/>
    </w:rPr>
  </w:style>
  <w:style w:type="paragraph" w:customStyle="1" w:styleId="260">
    <w:name w:val="表格正文"/>
    <w:basedOn w:val="1"/>
    <w:uiPriority w:val="0"/>
    <w:pPr>
      <w:adjustRightInd w:val="0"/>
      <w:snapToGrid w:val="0"/>
      <w:spacing w:before="60" w:after="60"/>
      <w:jc w:val="center"/>
      <w:textAlignment w:val="baseline"/>
    </w:pPr>
    <w:rPr>
      <w:kern w:val="0"/>
      <w:sz w:val="24"/>
      <w:szCs w:val="20"/>
    </w:rPr>
  </w:style>
  <w:style w:type="paragraph" w:customStyle="1" w:styleId="261">
    <w:name w:val="表格标题"/>
    <w:basedOn w:val="262"/>
    <w:uiPriority w:val="0"/>
    <w:pPr>
      <w:jc w:val="center"/>
    </w:pPr>
    <w:rPr>
      <w:b/>
      <w:bCs/>
      <w:i/>
      <w:iCs/>
    </w:rPr>
  </w:style>
  <w:style w:type="paragraph" w:customStyle="1" w:styleId="262">
    <w:name w:val="表格内容"/>
    <w:basedOn w:val="19"/>
    <w:uiPriority w:val="0"/>
    <w:pPr>
      <w:suppressLineNumbers/>
      <w:suppressAutoHyphens/>
    </w:pPr>
    <w:rPr>
      <w:kern w:val="1"/>
      <w:sz w:val="21"/>
      <w:lang w:eastAsia="ar-SA"/>
    </w:rPr>
  </w:style>
  <w:style w:type="paragraph" w:customStyle="1" w:styleId="263">
    <w:name w:val="样式 标题 2 + 五号"/>
    <w:basedOn w:val="3"/>
    <w:uiPriority w:val="0"/>
    <w:pPr>
      <w:spacing w:before="0" w:after="0" w:line="240" w:lineRule="auto"/>
    </w:pPr>
    <w:rPr>
      <w:rFonts w:ascii="宋体" w:hAnsi="宋体" w:eastAsia="宋体"/>
      <w:sz w:val="21"/>
    </w:rPr>
  </w:style>
  <w:style w:type="paragraph" w:customStyle="1" w:styleId="264">
    <w:name w:val="标准标题3"/>
    <w:basedOn w:val="4"/>
    <w:uiPriority w:val="0"/>
    <w:pPr>
      <w:tabs>
        <w:tab w:val="left" w:pos="1050"/>
      </w:tabs>
      <w:autoSpaceDE/>
      <w:autoSpaceDN/>
      <w:adjustRightInd/>
      <w:spacing w:before="260" w:after="260"/>
      <w:ind w:leftChars="-258"/>
      <w:jc w:val="both"/>
    </w:pPr>
    <w:rPr>
      <w:rFonts w:ascii="Times New Roman" w:eastAsia="仿宋_GB2312"/>
      <w:bCs/>
      <w:kern w:val="2"/>
      <w:sz w:val="28"/>
      <w:szCs w:val="32"/>
      <w:u w:val="none"/>
    </w:rPr>
  </w:style>
  <w:style w:type="paragraph" w:customStyle="1" w:styleId="265">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266">
    <w:name w:val="Paragraph4"/>
    <w:basedOn w:val="1"/>
    <w:uiPriority w:val="0"/>
    <w:pPr>
      <w:spacing w:before="80" w:after="50" w:afterLines="50"/>
      <w:ind w:left="2250"/>
    </w:pPr>
    <w:rPr>
      <w:rFonts w:ascii="宋体"/>
      <w:snapToGrid w:val="0"/>
      <w:kern w:val="0"/>
      <w:szCs w:val="20"/>
    </w:rPr>
  </w:style>
  <w:style w:type="paragraph" w:customStyle="1" w:styleId="267">
    <w:name w:val="标准有序列表（L1）"/>
    <w:basedOn w:val="5"/>
    <w:uiPriority w:val="0"/>
    <w:pPr>
      <w:tabs>
        <w:tab w:val="left" w:pos="0"/>
      </w:tabs>
      <w:spacing w:line="360" w:lineRule="auto"/>
      <w:ind w:firstLine="0"/>
    </w:pPr>
    <w:rPr>
      <w:rFonts w:ascii="黑体" w:eastAsia="黑体"/>
      <w:color w:val="000000"/>
      <w:sz w:val="24"/>
    </w:rPr>
  </w:style>
  <w:style w:type="paragraph" w:customStyle="1" w:styleId="268">
    <w:name w:val="P2"/>
    <w:basedOn w:val="1"/>
    <w:uiPriority w:val="0"/>
    <w:pPr>
      <w:widowControl/>
      <w:spacing w:before="240" w:line="240" w:lineRule="atLeast"/>
      <w:ind w:left="578"/>
      <w:jc w:val="left"/>
    </w:pPr>
    <w:rPr>
      <w:b/>
      <w:kern w:val="0"/>
      <w:szCs w:val="21"/>
      <w:lang w:val="en-AU" w:eastAsia="en-US"/>
    </w:rPr>
  </w:style>
  <w:style w:type="paragraph" w:customStyle="1" w:styleId="269">
    <w:name w:val="首行缩进2字符"/>
    <w:qFormat/>
    <w:uiPriority w:val="0"/>
    <w:pPr>
      <w:widowControl w:val="0"/>
      <w:spacing w:line="360" w:lineRule="auto"/>
      <w:ind w:firstLine="480"/>
    </w:pPr>
    <w:rPr>
      <w:rFonts w:eastAsia="Calibri" w:cs="Calibri"/>
      <w:color w:val="000000"/>
      <w:kern w:val="2"/>
      <w:sz w:val="24"/>
      <w:szCs w:val="24"/>
      <w:lang w:val="en-US" w:eastAsia="zh-CN" w:bidi="ar-SA"/>
    </w:rPr>
  </w:style>
  <w:style w:type="paragraph" w:customStyle="1" w:styleId="270">
    <w:name w:val="P1"/>
    <w:basedOn w:val="1"/>
    <w:uiPriority w:val="0"/>
    <w:pPr>
      <w:widowControl/>
      <w:spacing w:before="240" w:line="240" w:lineRule="atLeast"/>
      <w:jc w:val="left"/>
    </w:pPr>
    <w:rPr>
      <w:b/>
      <w:kern w:val="0"/>
      <w:szCs w:val="21"/>
      <w:lang w:val="en-AU" w:eastAsia="en-US"/>
    </w:rPr>
  </w:style>
  <w:style w:type="paragraph" w:customStyle="1" w:styleId="271">
    <w:name w:val="text"/>
    <w:basedOn w:val="1"/>
    <w:uiPriority w:val="0"/>
    <w:pPr>
      <w:adjustRightInd w:val="0"/>
      <w:spacing w:before="120" w:line="360" w:lineRule="auto"/>
      <w:ind w:firstLine="425"/>
      <w:jc w:val="left"/>
      <w:textAlignment w:val="baseline"/>
    </w:pPr>
    <w:rPr>
      <w:rFonts w:ascii="宋体" w:hAnsi="Arial" w:cs="Arial"/>
      <w:bCs/>
      <w:kern w:val="0"/>
      <w:sz w:val="26"/>
      <w:szCs w:val="32"/>
      <w:lang/>
    </w:rPr>
  </w:style>
  <w:style w:type="paragraph" w:customStyle="1" w:styleId="272">
    <w:name w:val="样式　标题4"/>
    <w:basedOn w:val="190"/>
    <w:next w:val="1"/>
    <w:uiPriority w:val="0"/>
  </w:style>
  <w:style w:type="paragraph" w:customStyle="1" w:styleId="273">
    <w:name w:val="_Style 3"/>
    <w:uiPriority w:val="99"/>
    <w:rPr>
      <w:rFonts w:cs="Calibri"/>
      <w:sz w:val="22"/>
      <w:szCs w:val="22"/>
      <w:lang w:val="en-US" w:eastAsia="zh-CN" w:bidi="ar-SA"/>
    </w:rPr>
  </w:style>
  <w:style w:type="paragraph" w:customStyle="1" w:styleId="274">
    <w:name w:val="paragraph1"/>
    <w:basedOn w:val="1"/>
    <w:uiPriority w:val="0"/>
    <w:pPr>
      <w:spacing w:after="93" w:afterLines="30" w:line="360" w:lineRule="auto"/>
      <w:ind w:firstLine="420" w:firstLineChars="200"/>
    </w:pPr>
    <w:rPr>
      <w:rFonts w:eastAsia="楷体_GB2312"/>
      <w:sz w:val="24"/>
      <w:szCs w:val="20"/>
    </w:rPr>
  </w:style>
  <w:style w:type="paragraph" w:customStyle="1" w:styleId="275">
    <w:name w:val="Char Char Char Char Char"/>
    <w:basedOn w:val="1"/>
    <w:uiPriority w:val="0"/>
    <w:pPr>
      <w:widowControl/>
      <w:adjustRightInd w:val="0"/>
      <w:ind w:firstLine="200" w:firstLineChars="200"/>
      <w:jc w:val="left"/>
      <w:textAlignment w:val="baseline"/>
    </w:pPr>
  </w:style>
  <w:style w:type="paragraph" w:customStyle="1" w:styleId="276">
    <w:name w:val=" Char1 Char Char Char Char Char Char"/>
    <w:basedOn w:val="1"/>
    <w:uiPriority w:val="0"/>
    <w:rPr>
      <w:rFonts w:ascii="Tahoma" w:hAnsi="Tahoma"/>
      <w:sz w:val="24"/>
      <w:szCs w:val="20"/>
    </w:rPr>
  </w:style>
  <w:style w:type="paragraph" w:customStyle="1" w:styleId="277">
    <w:name w:val="二级项目符号"/>
    <w:basedOn w:val="1"/>
    <w:uiPriority w:val="0"/>
    <w:pPr>
      <w:widowControl/>
      <w:tabs>
        <w:tab w:val="left" w:pos="964"/>
      </w:tabs>
      <w:spacing w:line="360" w:lineRule="auto"/>
      <w:ind w:left="964" w:hanging="482"/>
    </w:pPr>
    <w:rPr>
      <w:kern w:val="0"/>
      <w:sz w:val="24"/>
      <w:szCs w:val="20"/>
    </w:rPr>
  </w:style>
  <w:style w:type="paragraph" w:customStyle="1" w:styleId="278">
    <w:name w:val="标准标题1"/>
    <w:basedOn w:val="2"/>
    <w:uiPriority w:val="0"/>
    <w:pPr>
      <w:pageBreakBefore/>
      <w:tabs>
        <w:tab w:val="left" w:pos="1080"/>
      </w:tabs>
      <w:ind w:left="425" w:hanging="425"/>
    </w:pPr>
    <w:rPr>
      <w:rFonts w:eastAsia="仿宋_GB2312"/>
      <w:sz w:val="32"/>
    </w:rPr>
  </w:style>
  <w:style w:type="paragraph" w:customStyle="1" w:styleId="279">
    <w:name w:val="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80">
    <w:name w:val=" Char3 Char Char Char"/>
    <w:basedOn w:val="1"/>
    <w:uiPriority w:val="0"/>
    <w:pPr>
      <w:numPr>
        <w:ilvl w:val="0"/>
        <w:numId w:val="3"/>
      </w:numPr>
    </w:pPr>
    <w:rPr>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footer6.xml" Type="http://schemas.openxmlformats.org/officeDocument/2006/relationships/footer"/><Relationship Id="rId14" Target="footer7.xml" Type="http://schemas.openxmlformats.org/officeDocument/2006/relationships/footer"/><Relationship Id="rId15" Target="footer8.xml" Type="http://schemas.openxmlformats.org/officeDocument/2006/relationships/footer"/><Relationship Id="rId16" Target="header6.xml" Type="http://schemas.openxmlformats.org/officeDocument/2006/relationships/header"/><Relationship Id="rId17" Target="header7.xml" Type="http://schemas.openxmlformats.org/officeDocument/2006/relationships/header"/><Relationship Id="rId18" Target="footer9.xml" Type="http://schemas.openxmlformats.org/officeDocument/2006/relationships/footer"/><Relationship Id="rId19" Target="footer10.xml" Type="http://schemas.openxmlformats.org/officeDocument/2006/relationships/footer"/><Relationship Id="rId2" Target="settings.xml" Type="http://schemas.openxmlformats.org/officeDocument/2006/relationships/settings"/><Relationship Id="rId20" Target="footer11.xml" Type="http://schemas.openxmlformats.org/officeDocument/2006/relationships/footer"/><Relationship Id="rId21" Target="header8.xml" Type="http://schemas.openxmlformats.org/officeDocument/2006/relationships/header"/><Relationship Id="rId22" Target="footer12.xml" Type="http://schemas.openxmlformats.org/officeDocument/2006/relationships/footer"/><Relationship Id="rId23" Target="header9.xml" Type="http://schemas.openxmlformats.org/officeDocument/2006/relationships/header"/><Relationship Id="rId24" Target="header10.xml" Type="http://schemas.openxmlformats.org/officeDocument/2006/relationships/header"/><Relationship Id="rId25" Target="footer13.xml" Type="http://schemas.openxmlformats.org/officeDocument/2006/relationships/footer"/><Relationship Id="rId26" Target="footer14.xml" Type="http://schemas.openxmlformats.org/officeDocument/2006/relationships/footer"/><Relationship Id="rId27" Target="footer15.xml" Type="http://schemas.openxmlformats.org/officeDocument/2006/relationships/footer"/><Relationship Id="rId28" Target="theme/theme1.xml" Type="http://schemas.openxmlformats.org/officeDocument/2006/relationships/theme"/><Relationship Id="rId29" Target="media/image1.png" Type="http://schemas.openxmlformats.org/officeDocument/2006/relationships/image"/><Relationship Id="rId3" Target="header1.xml" Type="http://schemas.openxmlformats.org/officeDocument/2006/relationships/header"/><Relationship Id="rId30" Target="media/image2.jpeg" Type="http://schemas.openxmlformats.org/officeDocument/2006/relationships/image"/><Relationship Id="rId31" Target="numbering.xml" Type="http://schemas.openxmlformats.org/officeDocument/2006/relationships/numbering"/><Relationship Id="rId32" Target="fontTable.xml" Type="http://schemas.openxmlformats.org/officeDocument/2006/relationships/fontTable"/><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header3.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75</Pages>
  <Words>8118</Words>
  <Characters>46279</Characters>
  <Lines>385</Lines>
  <Paragraphs>108</Paragraphs>
  <TotalTime>0</TotalTime>
  <ScaleCrop>false</ScaleCrop>
  <LinksUpToDate>false</LinksUpToDate>
  <CharactersWithSpaces>54289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2020-12-21T02:27:00Z</dcterms:created>
  <dc:creator>厉先光</dc:creator>
  <cp:lastModifiedBy>＞眺望未来-</cp:lastModifiedBy>
  <cp:lastPrinted>2020-12-22T00:41:30Z</cp:lastPrinted>
  <dcterms:modified xsi:type="dcterms:W3CDTF">2024-01-31T05:12:44Z</dcterms:modified>
  <cp:revision>4</cp:revision>
  <dc:title>浙江省政府采购招标文件范本（试行）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31728903F87C4029B6ADA7902CD147CA_13</vt:lpwstr>
  </property>
</Properties>
</file>