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rPr>
      </w:pPr>
      <w:r>
        <w:rPr>
          <w:rFonts w:hint="eastAsia" w:ascii="宋体" w:hAnsi="宋体"/>
          <w:b/>
          <w:color w:val="000000"/>
          <w:sz w:val="44"/>
          <w:szCs w:val="44"/>
        </w:rPr>
        <w:t>金华市公共资源交易中心东阳分中心关于</w:t>
      </w:r>
    </w:p>
    <w:p>
      <w:pPr>
        <w:jc w:val="center"/>
        <w:rPr>
          <w:rFonts w:ascii="宋体" w:hAnsi="宋体"/>
          <w:b/>
          <w:color w:val="000000"/>
          <w:sz w:val="44"/>
          <w:szCs w:val="44"/>
        </w:rPr>
      </w:pPr>
      <w:r>
        <w:rPr>
          <w:rFonts w:hint="eastAsia" w:ascii="宋体" w:hAnsi="宋体"/>
          <w:b/>
          <w:color w:val="000000"/>
          <w:sz w:val="44"/>
          <w:szCs w:val="44"/>
        </w:rPr>
        <w:t>东阳市环境卫生管理处填埋场除臭服务、灭蝇药剂</w:t>
      </w:r>
      <w:r>
        <w:rPr>
          <w:rFonts w:hint="eastAsia" w:ascii="宋体" w:hAnsi="宋体"/>
          <w:b/>
          <w:color w:val="000000"/>
          <w:sz w:val="44"/>
          <w:szCs w:val="44"/>
          <w:lang w:eastAsia="zh-CN"/>
        </w:rPr>
        <w:t>、道路清洗除臭剂及</w:t>
      </w:r>
      <w:r>
        <w:rPr>
          <w:rFonts w:hint="eastAsia" w:ascii="宋体" w:hAnsi="宋体"/>
          <w:b/>
          <w:color w:val="000000"/>
          <w:sz w:val="44"/>
          <w:szCs w:val="44"/>
        </w:rPr>
        <w:t>雾炮器采购项目</w:t>
      </w:r>
    </w:p>
    <w:p>
      <w:pPr>
        <w:spacing w:beforeLines="50"/>
        <w:jc w:val="center"/>
        <w:rPr>
          <w:rFonts w:ascii="宋体" w:hAnsi="宋体"/>
          <w:b/>
          <w:bCs/>
          <w:color w:val="000000"/>
          <w:sz w:val="36"/>
          <w:szCs w:val="36"/>
        </w:rPr>
      </w:pPr>
    </w:p>
    <w:p>
      <w:pPr>
        <w:spacing w:beforeLines="50"/>
        <w:jc w:val="center"/>
        <w:rPr>
          <w:rFonts w:ascii="宋体" w:hAnsi="宋体"/>
          <w:b/>
          <w:color w:val="000000"/>
          <w:sz w:val="48"/>
          <w:szCs w:val="48"/>
        </w:rPr>
      </w:pPr>
    </w:p>
    <w:p>
      <w:pPr>
        <w:spacing w:beforeLines="50"/>
        <w:jc w:val="center"/>
        <w:rPr>
          <w:rFonts w:ascii="宋体" w:hAnsi="宋体"/>
          <w:b/>
          <w:color w:val="000000"/>
          <w:sz w:val="48"/>
          <w:szCs w:val="48"/>
        </w:rPr>
      </w:pPr>
    </w:p>
    <w:p>
      <w:pPr>
        <w:spacing w:beforeLines="50"/>
        <w:jc w:val="center"/>
        <w:rPr>
          <w:rFonts w:ascii="宋体" w:hAnsi="宋体"/>
          <w:b/>
          <w:color w:val="000000"/>
          <w:sz w:val="48"/>
          <w:szCs w:val="48"/>
        </w:rPr>
      </w:pPr>
    </w:p>
    <w:p>
      <w:pPr>
        <w:spacing w:beforeLines="50"/>
        <w:jc w:val="center"/>
        <w:rPr>
          <w:rFonts w:ascii="宋体" w:hAnsi="宋体"/>
          <w:b/>
          <w:color w:val="000000"/>
          <w:sz w:val="52"/>
          <w:szCs w:val="52"/>
        </w:rPr>
      </w:pPr>
      <w:r>
        <w:rPr>
          <w:rFonts w:hint="eastAsia" w:ascii="宋体" w:hAnsi="宋体"/>
          <w:b/>
          <w:color w:val="000000"/>
          <w:sz w:val="52"/>
          <w:szCs w:val="52"/>
        </w:rPr>
        <w:t>公开招标采购文件</w:t>
      </w:r>
    </w:p>
    <w:p>
      <w:pPr>
        <w:tabs>
          <w:tab w:val="left" w:pos="5743"/>
        </w:tabs>
        <w:snapToGrid w:val="0"/>
        <w:spacing w:beforeLines="50" w:line="360" w:lineRule="auto"/>
        <w:rPr>
          <w:rFonts w:ascii="宋体" w:hAnsi="宋体"/>
          <w:color w:val="000000"/>
          <w:sz w:val="30"/>
          <w:szCs w:val="72"/>
        </w:rPr>
      </w:pPr>
      <w:r>
        <w:rPr>
          <w:rFonts w:ascii="宋体" w:hAnsi="宋体"/>
          <w:color w:val="000000"/>
          <w:sz w:val="30"/>
          <w:szCs w:val="72"/>
        </w:rPr>
        <w:tab/>
      </w:r>
    </w:p>
    <w:p>
      <w:pPr>
        <w:snapToGrid w:val="0"/>
        <w:spacing w:beforeLines="50" w:line="360" w:lineRule="auto"/>
        <w:rPr>
          <w:rFonts w:ascii="宋体" w:hAnsi="宋体"/>
          <w:color w:val="000000"/>
          <w:sz w:val="30"/>
          <w:szCs w:val="72"/>
        </w:rPr>
      </w:pPr>
    </w:p>
    <w:p>
      <w:pPr>
        <w:snapToGrid w:val="0"/>
        <w:spacing w:beforeLines="50" w:line="360" w:lineRule="auto"/>
        <w:rPr>
          <w:rFonts w:ascii="宋体" w:hAnsi="宋体"/>
          <w:color w:val="000000"/>
          <w:sz w:val="30"/>
          <w:szCs w:val="72"/>
        </w:rPr>
      </w:pPr>
    </w:p>
    <w:p>
      <w:pPr>
        <w:snapToGrid w:val="0"/>
        <w:spacing w:beforeLines="50" w:line="360" w:lineRule="auto"/>
        <w:rPr>
          <w:rFonts w:ascii="宋体" w:hAnsi="宋体"/>
          <w:color w:val="000000"/>
          <w:sz w:val="30"/>
          <w:szCs w:val="72"/>
        </w:rPr>
      </w:pPr>
    </w:p>
    <w:p>
      <w:pPr>
        <w:snapToGrid w:val="0"/>
        <w:spacing w:beforeLines="50" w:line="360" w:lineRule="auto"/>
        <w:rPr>
          <w:rFonts w:ascii="宋体" w:hAnsi="宋体"/>
          <w:color w:val="000000"/>
          <w:sz w:val="30"/>
          <w:szCs w:val="72"/>
        </w:rPr>
      </w:pPr>
    </w:p>
    <w:p>
      <w:pPr>
        <w:pStyle w:val="8"/>
        <w:tabs>
          <w:tab w:val="left" w:pos="3600"/>
        </w:tabs>
        <w:snapToGrid w:val="0"/>
        <w:spacing w:before="120" w:after="120" w:line="360" w:lineRule="auto"/>
        <w:rPr>
          <w:rFonts w:hAnsi="宋体"/>
          <w:b/>
          <w:bCs/>
          <w:color w:val="000000"/>
          <w:sz w:val="28"/>
          <w:szCs w:val="28"/>
        </w:rPr>
      </w:pPr>
      <w:r>
        <w:rPr>
          <w:rFonts w:hint="eastAsia" w:hAnsi="宋体"/>
          <w:b/>
          <w:bCs/>
          <w:color w:val="000000"/>
          <w:sz w:val="28"/>
          <w:szCs w:val="28"/>
        </w:rPr>
        <w:t>项目编号：DYCG2019-A031</w:t>
      </w:r>
    </w:p>
    <w:p>
      <w:pPr>
        <w:pStyle w:val="8"/>
        <w:tabs>
          <w:tab w:val="left" w:pos="3600"/>
        </w:tabs>
        <w:snapToGrid w:val="0"/>
        <w:spacing w:before="120" w:after="120" w:line="360" w:lineRule="auto"/>
        <w:ind w:left="1405" w:hanging="1405" w:hangingChars="500"/>
        <w:jc w:val="left"/>
        <w:rPr>
          <w:rFonts w:hint="eastAsia" w:hAnsi="宋体" w:eastAsia="宋体"/>
          <w:b/>
          <w:bCs/>
          <w:color w:val="000000"/>
          <w:sz w:val="28"/>
          <w:szCs w:val="28"/>
          <w:lang w:eastAsia="zh-CN"/>
        </w:rPr>
      </w:pPr>
      <w:r>
        <w:rPr>
          <w:rFonts w:hint="eastAsia" w:hAnsi="宋体"/>
          <w:b/>
          <w:bCs/>
          <w:color w:val="000000"/>
          <w:sz w:val="28"/>
          <w:szCs w:val="28"/>
        </w:rPr>
        <w:t>项目名称：</w:t>
      </w:r>
      <w:r>
        <w:rPr>
          <w:rFonts w:hint="eastAsia" w:hAnsi="宋体"/>
          <w:b/>
          <w:bCs/>
          <w:color w:val="000000"/>
          <w:sz w:val="28"/>
          <w:szCs w:val="28"/>
          <w:lang w:eastAsia="zh-CN"/>
        </w:rPr>
        <w:t>东阳市环境卫生管理处填埋场除臭服务、灭蝇药剂、道路清洗除臭剂及雾炮器采购项目</w:t>
      </w:r>
    </w:p>
    <w:p>
      <w:pPr>
        <w:pStyle w:val="8"/>
        <w:tabs>
          <w:tab w:val="left" w:pos="3600"/>
        </w:tabs>
        <w:snapToGrid w:val="0"/>
        <w:spacing w:before="120" w:after="120" w:line="360" w:lineRule="auto"/>
        <w:rPr>
          <w:rFonts w:hAnsi="宋体"/>
          <w:b/>
          <w:bCs/>
          <w:color w:val="000000"/>
          <w:sz w:val="28"/>
          <w:szCs w:val="28"/>
        </w:rPr>
      </w:pPr>
      <w:r>
        <w:rPr>
          <w:rFonts w:hint="eastAsia" w:hAnsi="宋体"/>
          <w:b/>
          <w:bCs/>
          <w:color w:val="000000"/>
          <w:sz w:val="28"/>
          <w:szCs w:val="28"/>
        </w:rPr>
        <w:t>采购单位：东阳市环境卫生管理处</w:t>
      </w:r>
    </w:p>
    <w:p>
      <w:pPr>
        <w:pStyle w:val="8"/>
        <w:tabs>
          <w:tab w:val="left" w:pos="3600"/>
        </w:tabs>
        <w:snapToGrid w:val="0"/>
        <w:spacing w:before="120" w:after="120" w:line="360" w:lineRule="auto"/>
        <w:rPr>
          <w:rFonts w:hAnsi="宋体"/>
          <w:b/>
          <w:bCs/>
          <w:color w:val="000000"/>
          <w:sz w:val="28"/>
          <w:szCs w:val="28"/>
        </w:rPr>
      </w:pPr>
      <w:r>
        <w:rPr>
          <w:rFonts w:hint="eastAsia" w:hAnsi="宋体"/>
          <w:b/>
          <w:bCs/>
          <w:color w:val="000000"/>
          <w:sz w:val="28"/>
          <w:szCs w:val="28"/>
        </w:rPr>
        <w:t>招标单位：金华市公共资源交易中心东阳分中心</w:t>
      </w:r>
    </w:p>
    <w:p>
      <w:pPr>
        <w:pStyle w:val="8"/>
        <w:tabs>
          <w:tab w:val="left" w:pos="3600"/>
        </w:tabs>
        <w:snapToGrid w:val="0"/>
        <w:spacing w:before="120" w:after="120" w:line="360" w:lineRule="auto"/>
        <w:rPr>
          <w:rFonts w:hAnsi="宋体"/>
          <w:b/>
          <w:bCs/>
          <w:color w:val="000000"/>
          <w:sz w:val="28"/>
          <w:szCs w:val="28"/>
        </w:rPr>
      </w:pPr>
    </w:p>
    <w:p>
      <w:pPr>
        <w:snapToGrid w:val="0"/>
        <w:spacing w:beforeLines="50" w:line="360" w:lineRule="auto"/>
        <w:ind w:left="384" w:leftChars="183" w:firstLine="6154" w:firstLineChars="2304"/>
        <w:rPr>
          <w:rFonts w:ascii="宋体" w:hAnsi="宋体"/>
          <w:color w:val="000000"/>
          <w:sz w:val="28"/>
          <w:szCs w:val="28"/>
        </w:rPr>
      </w:pPr>
      <w:r>
        <w:rPr>
          <w:rFonts w:hint="eastAsia" w:ascii="宋体" w:hAnsi="宋体"/>
          <w:b/>
          <w:bCs/>
          <w:color w:val="000000"/>
          <w:w w:val="95"/>
          <w:sz w:val="28"/>
          <w:szCs w:val="28"/>
        </w:rPr>
        <w:t>2019</w:t>
      </w:r>
      <w:r>
        <w:rPr>
          <w:rFonts w:ascii="宋体" w:hAnsi="宋体"/>
          <w:b/>
          <w:bCs/>
          <w:color w:val="000000"/>
          <w:w w:val="95"/>
          <w:sz w:val="28"/>
          <w:szCs w:val="28"/>
        </w:rPr>
        <w:t>年</w:t>
      </w:r>
      <w:r>
        <w:rPr>
          <w:rFonts w:hint="eastAsia" w:ascii="宋体" w:hAnsi="宋体"/>
          <w:b/>
          <w:bCs/>
          <w:color w:val="000000"/>
          <w:w w:val="95"/>
          <w:sz w:val="28"/>
          <w:szCs w:val="28"/>
          <w:lang w:val="en-US" w:eastAsia="zh-CN"/>
        </w:rPr>
        <w:t>5</w:t>
      </w:r>
      <w:r>
        <w:rPr>
          <w:rFonts w:hint="eastAsia" w:ascii="宋体" w:hAnsi="宋体"/>
          <w:b/>
          <w:bCs/>
          <w:color w:val="000000"/>
          <w:w w:val="95"/>
          <w:sz w:val="28"/>
          <w:szCs w:val="28"/>
        </w:rPr>
        <w:t>月</w:t>
      </w:r>
      <w:r>
        <w:rPr>
          <w:rFonts w:hint="eastAsia" w:ascii="宋体" w:hAnsi="宋体"/>
          <w:b/>
          <w:bCs/>
          <w:color w:val="000000"/>
          <w:w w:val="95"/>
          <w:sz w:val="28"/>
          <w:szCs w:val="28"/>
          <w:lang w:val="en-US" w:eastAsia="zh-CN"/>
        </w:rPr>
        <w:t>27</w:t>
      </w:r>
      <w:r>
        <w:rPr>
          <w:rFonts w:hint="eastAsia" w:ascii="宋体" w:hAnsi="宋体"/>
          <w:b/>
          <w:bCs/>
          <w:color w:val="000000"/>
          <w:w w:val="95"/>
          <w:sz w:val="28"/>
          <w:szCs w:val="28"/>
        </w:rPr>
        <w:t>日</w:t>
      </w:r>
      <w:r>
        <w:rPr>
          <w:rFonts w:hAnsi="宋体"/>
          <w:color w:val="000000"/>
        </w:rPr>
        <w:br w:type="page"/>
      </w:r>
    </w:p>
    <w:p>
      <w:pPr>
        <w:pStyle w:val="8"/>
        <w:spacing w:before="120" w:after="12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numPr>
          <w:ilvl w:val="0"/>
          <w:numId w:val="2"/>
        </w:numPr>
        <w:spacing w:beforeLines="50" w:line="480" w:lineRule="exact"/>
        <w:rPr>
          <w:rFonts w:ascii="宋体" w:hAnsi="宋体"/>
          <w:color w:val="000000"/>
          <w:sz w:val="30"/>
          <w:szCs w:val="20"/>
        </w:rPr>
      </w:pPr>
      <w:r>
        <w:rPr>
          <w:rFonts w:hint="eastAsia" w:ascii="宋体" w:hAnsi="宋体"/>
          <w:color w:val="000000"/>
          <w:sz w:val="30"/>
        </w:rPr>
        <w:t>公开招标采购公告</w:t>
      </w:r>
    </w:p>
    <w:p>
      <w:pPr>
        <w:numPr>
          <w:ilvl w:val="0"/>
          <w:numId w:val="2"/>
        </w:numPr>
        <w:spacing w:beforeLines="50" w:line="480" w:lineRule="exact"/>
        <w:rPr>
          <w:rFonts w:ascii="宋体" w:hAnsi="宋体"/>
          <w:color w:val="000000"/>
          <w:sz w:val="30"/>
          <w:szCs w:val="20"/>
        </w:rPr>
      </w:pPr>
      <w:r>
        <w:rPr>
          <w:rFonts w:hint="eastAsia" w:ascii="宋体" w:hAnsi="宋体"/>
          <w:color w:val="000000"/>
          <w:sz w:val="30"/>
        </w:rPr>
        <w:t>招标需求</w:t>
      </w:r>
    </w:p>
    <w:p>
      <w:pPr>
        <w:numPr>
          <w:ilvl w:val="0"/>
          <w:numId w:val="2"/>
        </w:numPr>
        <w:spacing w:beforeLines="50" w:line="480" w:lineRule="exact"/>
        <w:rPr>
          <w:rFonts w:ascii="宋体" w:hAnsi="宋体"/>
          <w:color w:val="000000"/>
          <w:sz w:val="30"/>
          <w:szCs w:val="20"/>
        </w:rPr>
      </w:pPr>
      <w:r>
        <w:rPr>
          <w:rFonts w:hint="eastAsia" w:ascii="宋体" w:hAnsi="宋体"/>
          <w:color w:val="000000"/>
          <w:sz w:val="30"/>
        </w:rPr>
        <w:t>投标人须知</w:t>
      </w:r>
    </w:p>
    <w:p>
      <w:pPr>
        <w:numPr>
          <w:ilvl w:val="0"/>
          <w:numId w:val="2"/>
        </w:numPr>
        <w:spacing w:beforeLines="50" w:line="480" w:lineRule="exact"/>
        <w:rPr>
          <w:rFonts w:ascii="宋体" w:hAnsi="宋体"/>
          <w:color w:val="000000"/>
          <w:sz w:val="30"/>
          <w:szCs w:val="20"/>
        </w:rPr>
      </w:pPr>
      <w:r>
        <w:rPr>
          <w:rFonts w:hint="eastAsia" w:ascii="宋体" w:hAnsi="宋体"/>
          <w:color w:val="000000"/>
          <w:sz w:val="30"/>
        </w:rPr>
        <w:t>评标办法及评分标准</w:t>
      </w:r>
    </w:p>
    <w:p>
      <w:pPr>
        <w:numPr>
          <w:ilvl w:val="0"/>
          <w:numId w:val="2"/>
        </w:numPr>
        <w:spacing w:beforeLines="50" w:line="480" w:lineRule="exact"/>
        <w:rPr>
          <w:rFonts w:ascii="宋体" w:hAnsi="宋体"/>
          <w:color w:val="000000"/>
          <w:sz w:val="30"/>
          <w:szCs w:val="20"/>
        </w:rPr>
      </w:pPr>
      <w:r>
        <w:rPr>
          <w:rFonts w:hint="eastAsia" w:ascii="宋体" w:hAnsi="宋体"/>
          <w:color w:val="000000"/>
          <w:sz w:val="30"/>
        </w:rPr>
        <w:t>合同主要条款</w:t>
      </w:r>
    </w:p>
    <w:p>
      <w:pPr>
        <w:numPr>
          <w:ilvl w:val="0"/>
          <w:numId w:val="2"/>
        </w:numPr>
        <w:spacing w:beforeLines="50" w:line="480" w:lineRule="exact"/>
        <w:rPr>
          <w:rFonts w:ascii="宋体" w:hAnsi="宋体"/>
          <w:color w:val="000000"/>
          <w:sz w:val="30"/>
          <w:szCs w:val="20"/>
        </w:rPr>
      </w:pPr>
      <w:r>
        <w:rPr>
          <w:rFonts w:hint="eastAsia" w:ascii="宋体" w:hAnsi="宋体"/>
          <w:color w:val="000000"/>
          <w:sz w:val="30"/>
        </w:rPr>
        <w:t>投标文件格式</w:t>
      </w:r>
    </w:p>
    <w:p>
      <w:pPr>
        <w:pStyle w:val="8"/>
        <w:snapToGrid w:val="0"/>
        <w:spacing w:before="120" w:after="120" w:line="240" w:lineRule="auto"/>
        <w:jc w:val="center"/>
        <w:outlineLvl w:val="0"/>
        <w:rPr>
          <w:rFonts w:ascii="黑体" w:hAnsi="宋体" w:eastAsia="黑体"/>
          <w:color w:val="000000"/>
          <w:sz w:val="30"/>
          <w:szCs w:val="30"/>
        </w:rPr>
      </w:pPr>
      <w:r>
        <w:rPr>
          <w:rFonts w:hAnsi="宋体"/>
          <w:color w:val="000000"/>
        </w:rPr>
        <w:br w:type="page"/>
      </w:r>
      <w:r>
        <w:rPr>
          <w:rFonts w:hint="eastAsia" w:ascii="黑体" w:hAnsi="宋体" w:eastAsia="黑体"/>
          <w:color w:val="000000"/>
          <w:sz w:val="30"/>
          <w:szCs w:val="30"/>
        </w:rPr>
        <w:t>第一章  公开招标采购公告</w:t>
      </w:r>
    </w:p>
    <w:p>
      <w:pPr>
        <w:pStyle w:val="20"/>
        <w:widowControl w:val="0"/>
        <w:spacing w:afterLines="0"/>
        <w:ind w:firstLine="480"/>
        <w:rPr>
          <w:rFonts w:ascii="宋体" w:hAnsi="宋体"/>
          <w:color w:val="000000"/>
          <w:szCs w:val="24"/>
        </w:rPr>
      </w:pPr>
    </w:p>
    <w:p>
      <w:pPr>
        <w:pStyle w:val="20"/>
        <w:widowControl w:val="0"/>
        <w:spacing w:afterLines="0" w:line="312" w:lineRule="auto"/>
        <w:ind w:firstLine="480"/>
        <w:rPr>
          <w:rFonts w:ascii="宋体" w:hAnsi="宋体"/>
          <w:color w:val="000000"/>
          <w:szCs w:val="24"/>
        </w:rPr>
      </w:pPr>
      <w:r>
        <w:rPr>
          <w:rFonts w:hint="eastAsia" w:ascii="宋体" w:hAnsi="宋体"/>
          <w:color w:val="000000"/>
          <w:szCs w:val="24"/>
        </w:rPr>
        <w:t>根据</w:t>
      </w:r>
      <w:r>
        <w:rPr>
          <w:rFonts w:hint="eastAsia" w:ascii="宋体" w:hAnsi="宋体"/>
          <w:color w:val="000000"/>
          <w:szCs w:val="24"/>
          <w:u w:val="single"/>
        </w:rPr>
        <w:t>《中华人民共和国政府采购法》、《政府采购货物和服务招标投标管理办法》</w:t>
      </w:r>
      <w:r>
        <w:rPr>
          <w:rFonts w:hint="eastAsia" w:ascii="宋体" w:hAnsi="宋体"/>
          <w:color w:val="000000"/>
          <w:szCs w:val="24"/>
        </w:rPr>
        <w:t>等规定</w:t>
      </w:r>
      <w:r>
        <w:rPr>
          <w:rFonts w:hint="eastAsia" w:ascii="宋体" w:hAnsi="宋体"/>
          <w:color w:val="000000"/>
          <w:szCs w:val="24"/>
          <w:shd w:val="clear" w:color="auto" w:fill="FFFFFF" w:themeFill="background1"/>
        </w:rPr>
        <w:t>，经</w:t>
      </w:r>
      <w:r>
        <w:rPr>
          <w:rFonts w:hint="eastAsia" w:ascii="宋体" w:hAnsi="宋体"/>
          <w:b/>
          <w:bCs/>
          <w:color w:val="000000"/>
          <w:szCs w:val="24"/>
          <w:u w:val="single"/>
          <w:shd w:val="clear" w:color="auto" w:fill="FFFFFF" w:themeFill="background1"/>
        </w:rPr>
        <w:t>东阳市财政局临[2019]1230号、[2019]1231号</w:t>
      </w:r>
      <w:r>
        <w:rPr>
          <w:rFonts w:hint="eastAsia" w:ascii="宋体" w:hAnsi="宋体"/>
          <w:color w:val="000000"/>
          <w:szCs w:val="24"/>
          <w:shd w:val="clear" w:color="auto" w:fill="FFFFFF" w:themeFill="background1"/>
        </w:rPr>
        <w:t>批准，现就</w:t>
      </w:r>
      <w:r>
        <w:rPr>
          <w:rFonts w:hint="eastAsia" w:hAnsi="宋体"/>
          <w:b/>
          <w:bCs/>
          <w:color w:val="000000"/>
          <w:sz w:val="28"/>
          <w:szCs w:val="28"/>
          <w:lang w:eastAsia="zh-CN"/>
        </w:rPr>
        <w:t>东阳市环境卫生管理处填埋场除臭服务、灭蝇药剂、道路清洗除臭剂及雾炮器采购项目</w:t>
      </w:r>
      <w:r>
        <w:rPr>
          <w:rFonts w:ascii="宋体" w:hAnsi="宋体"/>
          <w:color w:val="000000"/>
          <w:szCs w:val="24"/>
          <w:shd w:val="clear" w:color="auto" w:fill="FFFFFF" w:themeFill="background1"/>
        </w:rPr>
        <w:t>进行公开</w:t>
      </w:r>
      <w:r>
        <w:rPr>
          <w:rFonts w:ascii="宋体" w:hAnsi="宋体"/>
          <w:color w:val="000000"/>
          <w:szCs w:val="24"/>
        </w:rPr>
        <w:t>招标采购，</w:t>
      </w:r>
      <w:r>
        <w:rPr>
          <w:rFonts w:hint="eastAsia" w:ascii="宋体" w:hAnsi="宋体"/>
          <w:color w:val="000000"/>
          <w:szCs w:val="24"/>
        </w:rPr>
        <w:t>欢迎有</w:t>
      </w:r>
      <w:r>
        <w:rPr>
          <w:rFonts w:hint="eastAsia" w:ascii="宋体" w:hAnsi="宋体"/>
          <w:color w:val="000000"/>
        </w:rPr>
        <w:t>供货及服务能力的生产制造厂商或其合格代理商前来投标</w:t>
      </w:r>
      <w:r>
        <w:rPr>
          <w:rFonts w:hint="eastAsia" w:ascii="宋体" w:hAnsi="宋体"/>
          <w:color w:val="000000"/>
          <w:szCs w:val="24"/>
        </w:rPr>
        <w:t>：</w:t>
      </w:r>
    </w:p>
    <w:p>
      <w:pPr>
        <w:snapToGrid w:val="0"/>
        <w:spacing w:line="312" w:lineRule="auto"/>
        <w:ind w:firstLine="480" w:firstLineChars="200"/>
        <w:rPr>
          <w:rFonts w:ascii="宋体" w:hAnsi="宋体" w:cs="Arial"/>
          <w:color w:val="000000"/>
          <w:sz w:val="24"/>
        </w:rPr>
      </w:pPr>
      <w:r>
        <w:rPr>
          <w:rFonts w:hint="eastAsia" w:ascii="宋体" w:hAnsi="宋体" w:cs="Arial"/>
          <w:color w:val="000000"/>
          <w:sz w:val="24"/>
        </w:rPr>
        <w:t>一、</w:t>
      </w:r>
      <w:r>
        <w:rPr>
          <w:rFonts w:hint="eastAsia" w:ascii="宋体" w:hAnsi="宋体" w:cs="Arial"/>
          <w:b/>
          <w:bCs/>
          <w:color w:val="000000"/>
          <w:sz w:val="24"/>
        </w:rPr>
        <w:t>项目编号：</w:t>
      </w:r>
      <w:r>
        <w:rPr>
          <w:rFonts w:hint="eastAsia" w:ascii="宋体" w:hAnsi="宋体" w:cs="Arial"/>
          <w:color w:val="000000"/>
          <w:sz w:val="24"/>
        </w:rPr>
        <w:t>DYCG2019-A031</w:t>
      </w:r>
    </w:p>
    <w:p>
      <w:pPr>
        <w:snapToGrid w:val="0"/>
        <w:spacing w:line="312" w:lineRule="auto"/>
        <w:ind w:firstLine="480" w:firstLineChars="200"/>
        <w:rPr>
          <w:rFonts w:ascii="宋体" w:hAnsi="宋体" w:cs="Arial"/>
          <w:color w:val="000000"/>
          <w:sz w:val="24"/>
          <w:szCs w:val="20"/>
        </w:rPr>
      </w:pPr>
      <w:r>
        <w:rPr>
          <w:rFonts w:hint="eastAsia" w:ascii="宋体" w:hAnsi="宋体" w:cs="Arial"/>
          <w:color w:val="000000"/>
          <w:sz w:val="24"/>
        </w:rPr>
        <w:t>二、</w:t>
      </w:r>
      <w:r>
        <w:rPr>
          <w:rFonts w:hint="eastAsia" w:ascii="宋体" w:hAnsi="宋体" w:cs="Arial"/>
          <w:b/>
          <w:color w:val="000000"/>
          <w:sz w:val="24"/>
        </w:rPr>
        <w:t>采购组织类型：</w:t>
      </w:r>
      <w:r>
        <w:rPr>
          <w:rFonts w:hint="eastAsia" w:ascii="宋体" w:hAnsi="宋体" w:cs="Arial"/>
          <w:color w:val="000000"/>
          <w:sz w:val="24"/>
        </w:rPr>
        <w:t>政府集中采购</w:t>
      </w:r>
    </w:p>
    <w:p>
      <w:pPr>
        <w:snapToGrid w:val="0"/>
        <w:spacing w:line="312" w:lineRule="auto"/>
        <w:ind w:firstLine="482" w:firstLineChars="200"/>
        <w:rPr>
          <w:rFonts w:ascii="宋体" w:hAnsi="宋体" w:cs="Arial"/>
          <w:color w:val="000000"/>
          <w:sz w:val="24"/>
          <w:szCs w:val="20"/>
        </w:rPr>
      </w:pPr>
      <w:r>
        <w:rPr>
          <w:rFonts w:hint="eastAsia" w:ascii="宋体" w:hAnsi="宋体" w:cs="Arial"/>
          <w:b/>
          <w:color w:val="000000"/>
          <w:sz w:val="24"/>
        </w:rPr>
        <w:t>三、采购方式：</w:t>
      </w:r>
      <w:r>
        <w:rPr>
          <w:rFonts w:hint="eastAsia" w:ascii="宋体" w:hAnsi="宋体" w:cs="Arial"/>
          <w:color w:val="000000"/>
          <w:sz w:val="24"/>
        </w:rPr>
        <w:t>公开招标</w:t>
      </w:r>
    </w:p>
    <w:p>
      <w:pPr>
        <w:snapToGrid w:val="0"/>
        <w:spacing w:line="312" w:lineRule="auto"/>
        <w:ind w:firstLine="482" w:firstLineChars="200"/>
        <w:rPr>
          <w:rFonts w:ascii="宋体" w:hAnsi="宋体" w:cs="Arial"/>
          <w:b/>
          <w:bCs/>
          <w:color w:val="000000"/>
          <w:sz w:val="24"/>
          <w:szCs w:val="20"/>
        </w:rPr>
      </w:pPr>
      <w:r>
        <w:rPr>
          <w:rFonts w:hint="eastAsia" w:ascii="宋体" w:hAnsi="宋体" w:cs="Arial"/>
          <w:b/>
          <w:color w:val="000000"/>
          <w:sz w:val="24"/>
        </w:rPr>
        <w:t>四、</w:t>
      </w:r>
      <w:r>
        <w:rPr>
          <w:rFonts w:hint="eastAsia" w:ascii="宋体" w:hAnsi="宋体" w:cs="Arial"/>
          <w:b/>
          <w:bCs/>
          <w:color w:val="000000"/>
          <w:sz w:val="24"/>
        </w:rPr>
        <w:t>采购内容及数量</w:t>
      </w:r>
    </w:p>
    <w:tbl>
      <w:tblPr>
        <w:tblStyle w:val="1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881"/>
        <w:gridCol w:w="2235"/>
        <w:gridCol w:w="1749"/>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rPr>
        <w:tc>
          <w:tcPr>
            <w:tcW w:w="645" w:type="dxa"/>
            <w:noWrap/>
            <w:vAlign w:val="center"/>
          </w:tcPr>
          <w:p>
            <w:pPr>
              <w:pStyle w:val="8"/>
              <w:spacing w:before="120" w:after="120" w:line="312" w:lineRule="auto"/>
              <w:jc w:val="center"/>
              <w:rPr>
                <w:b/>
                <w:color w:val="000000"/>
                <w:sz w:val="21"/>
                <w:szCs w:val="21"/>
              </w:rPr>
            </w:pPr>
            <w:r>
              <w:rPr>
                <w:rFonts w:hint="eastAsia"/>
                <w:b/>
                <w:color w:val="000000"/>
                <w:sz w:val="21"/>
                <w:szCs w:val="21"/>
              </w:rPr>
              <w:t>标项</w:t>
            </w:r>
          </w:p>
        </w:tc>
        <w:tc>
          <w:tcPr>
            <w:tcW w:w="2881" w:type="dxa"/>
            <w:noWrap/>
            <w:vAlign w:val="center"/>
          </w:tcPr>
          <w:p>
            <w:pPr>
              <w:pStyle w:val="8"/>
              <w:spacing w:before="120" w:after="120" w:line="312" w:lineRule="auto"/>
              <w:jc w:val="center"/>
              <w:rPr>
                <w:b/>
                <w:color w:val="000000"/>
                <w:sz w:val="21"/>
                <w:szCs w:val="21"/>
              </w:rPr>
            </w:pPr>
            <w:r>
              <w:rPr>
                <w:rFonts w:hint="eastAsia"/>
                <w:b/>
                <w:color w:val="000000"/>
                <w:sz w:val="21"/>
                <w:szCs w:val="21"/>
              </w:rPr>
              <w:t>货物名称</w:t>
            </w:r>
          </w:p>
        </w:tc>
        <w:tc>
          <w:tcPr>
            <w:tcW w:w="2235" w:type="dxa"/>
            <w:noWrap/>
            <w:vAlign w:val="center"/>
          </w:tcPr>
          <w:p>
            <w:pPr>
              <w:pStyle w:val="8"/>
              <w:spacing w:before="120" w:after="120" w:line="312" w:lineRule="auto"/>
              <w:jc w:val="center"/>
              <w:rPr>
                <w:b/>
                <w:color w:val="000000"/>
                <w:sz w:val="21"/>
                <w:szCs w:val="21"/>
              </w:rPr>
            </w:pPr>
            <w:r>
              <w:rPr>
                <w:rFonts w:hint="eastAsia"/>
                <w:b/>
                <w:color w:val="000000"/>
                <w:sz w:val="21"/>
                <w:szCs w:val="21"/>
              </w:rPr>
              <w:t>型号技术规格</w:t>
            </w:r>
          </w:p>
        </w:tc>
        <w:tc>
          <w:tcPr>
            <w:tcW w:w="1749" w:type="dxa"/>
            <w:noWrap/>
            <w:vAlign w:val="center"/>
          </w:tcPr>
          <w:p>
            <w:pPr>
              <w:pStyle w:val="8"/>
              <w:spacing w:before="120" w:after="120" w:line="312" w:lineRule="auto"/>
              <w:jc w:val="center"/>
              <w:rPr>
                <w:b/>
                <w:color w:val="000000"/>
                <w:sz w:val="21"/>
                <w:szCs w:val="21"/>
              </w:rPr>
            </w:pPr>
            <w:r>
              <w:rPr>
                <w:rFonts w:hint="eastAsia"/>
                <w:b/>
                <w:color w:val="000000"/>
                <w:sz w:val="21"/>
                <w:szCs w:val="21"/>
              </w:rPr>
              <w:t>数量</w:t>
            </w:r>
          </w:p>
        </w:tc>
        <w:tc>
          <w:tcPr>
            <w:tcW w:w="1595" w:type="dxa"/>
            <w:noWrap/>
            <w:vAlign w:val="center"/>
          </w:tcPr>
          <w:p>
            <w:pPr>
              <w:pStyle w:val="8"/>
              <w:spacing w:before="120" w:after="120" w:line="312" w:lineRule="auto"/>
              <w:jc w:val="center"/>
              <w:rPr>
                <w:b/>
                <w:color w:val="000000"/>
                <w:sz w:val="21"/>
                <w:szCs w:val="21"/>
              </w:rPr>
            </w:pPr>
            <w:r>
              <w:rPr>
                <w:rFonts w:hint="eastAsia"/>
                <w:b/>
                <w:color w:val="000000"/>
                <w:sz w:val="21"/>
                <w:szCs w:val="21"/>
              </w:rPr>
              <w:t>预算价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trPr>
        <w:tc>
          <w:tcPr>
            <w:tcW w:w="645" w:type="dxa"/>
            <w:noWrap/>
            <w:vAlign w:val="center"/>
          </w:tcPr>
          <w:p>
            <w:pPr>
              <w:pStyle w:val="8"/>
              <w:spacing w:before="120" w:after="120" w:line="312" w:lineRule="auto"/>
              <w:jc w:val="center"/>
              <w:rPr>
                <w:bCs/>
                <w:color w:val="000000"/>
                <w:sz w:val="21"/>
                <w:szCs w:val="21"/>
              </w:rPr>
            </w:pPr>
            <w:r>
              <w:rPr>
                <w:rFonts w:hint="eastAsia"/>
                <w:bCs/>
                <w:color w:val="000000"/>
                <w:sz w:val="21"/>
                <w:szCs w:val="21"/>
              </w:rPr>
              <w:t>1</w:t>
            </w:r>
          </w:p>
        </w:tc>
        <w:tc>
          <w:tcPr>
            <w:tcW w:w="2881"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EM菌生物除臭剂、</w:t>
            </w:r>
          </w:p>
          <w:p>
            <w:pPr>
              <w:pStyle w:val="8"/>
              <w:spacing w:before="120" w:after="120" w:line="312" w:lineRule="auto"/>
              <w:jc w:val="center"/>
              <w:rPr>
                <w:b/>
                <w:sz w:val="28"/>
                <w:szCs w:val="28"/>
              </w:rPr>
            </w:pPr>
            <w:r>
              <w:rPr>
                <w:rFonts w:hint="eastAsia" w:ascii="Times New Roman" w:hAnsi="Times New Roman"/>
                <w:bCs/>
                <w:color w:val="000000"/>
                <w:sz w:val="21"/>
                <w:szCs w:val="21"/>
              </w:rPr>
              <w:t>植物除臭剂、</w:t>
            </w:r>
          </w:p>
        </w:tc>
        <w:tc>
          <w:tcPr>
            <w:tcW w:w="2235"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详见第二章“招标需求”</w:t>
            </w:r>
          </w:p>
        </w:tc>
        <w:tc>
          <w:tcPr>
            <w:tcW w:w="1749"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EM菌生物除臭剂32吨</w:t>
            </w:r>
          </w:p>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植物除臭剂352吨。</w:t>
            </w:r>
          </w:p>
        </w:tc>
        <w:tc>
          <w:tcPr>
            <w:tcW w:w="1595"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7</w:t>
            </w:r>
            <w:r>
              <w:rPr>
                <w:rFonts w:hint="eastAsia" w:ascii="Times New Roman" w:hAnsi="Times New Roman"/>
                <w:bCs/>
                <w:color w:val="000000"/>
                <w:sz w:val="21"/>
                <w:szCs w:val="21"/>
                <w:lang w:val="en-US" w:eastAsia="zh-CN"/>
              </w:rPr>
              <w:t>66</w:t>
            </w:r>
            <w:r>
              <w:rPr>
                <w:rFonts w:hint="eastAsia" w:ascii="Times New Roman" w:hAnsi="Times New Roman"/>
                <w:bCs/>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5" w:type="dxa"/>
            <w:noWrap/>
            <w:vAlign w:val="center"/>
          </w:tcPr>
          <w:p>
            <w:pPr>
              <w:pStyle w:val="8"/>
              <w:spacing w:before="120" w:after="120" w:line="312" w:lineRule="auto"/>
              <w:jc w:val="center"/>
              <w:rPr>
                <w:bCs/>
                <w:color w:val="000000"/>
                <w:sz w:val="21"/>
                <w:szCs w:val="21"/>
              </w:rPr>
            </w:pPr>
            <w:r>
              <w:rPr>
                <w:rFonts w:hint="eastAsia"/>
                <w:bCs/>
                <w:color w:val="000000"/>
                <w:sz w:val="21"/>
                <w:szCs w:val="21"/>
              </w:rPr>
              <w:t>2</w:t>
            </w:r>
          </w:p>
        </w:tc>
        <w:tc>
          <w:tcPr>
            <w:tcW w:w="2881" w:type="dxa"/>
            <w:noWrap/>
            <w:vAlign w:val="center"/>
          </w:tcPr>
          <w:p>
            <w:pPr>
              <w:pStyle w:val="8"/>
              <w:spacing w:before="120" w:after="120" w:line="312" w:lineRule="auto"/>
              <w:jc w:val="center"/>
              <w:rPr>
                <w:rFonts w:hint="eastAsia" w:ascii="Times New Roman" w:hAnsi="Times New Roman" w:eastAsia="宋体"/>
                <w:bCs/>
                <w:color w:val="000000"/>
                <w:sz w:val="21"/>
                <w:szCs w:val="21"/>
                <w:lang w:eastAsia="zh-CN"/>
              </w:rPr>
            </w:pPr>
            <w:r>
              <w:rPr>
                <w:rFonts w:hint="eastAsia" w:ascii="Times New Roman" w:hAnsi="Times New Roman"/>
                <w:bCs/>
                <w:color w:val="000000"/>
                <w:sz w:val="21"/>
                <w:szCs w:val="21"/>
                <w:lang w:eastAsia="zh-CN"/>
              </w:rPr>
              <w:t>灭蝇药剂</w:t>
            </w:r>
          </w:p>
        </w:tc>
        <w:tc>
          <w:tcPr>
            <w:tcW w:w="2235"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详见第二章“招标需求”</w:t>
            </w:r>
          </w:p>
        </w:tc>
        <w:tc>
          <w:tcPr>
            <w:tcW w:w="1749" w:type="dxa"/>
            <w:noWrap/>
            <w:vAlign w:val="center"/>
          </w:tcPr>
          <w:p>
            <w:pPr>
              <w:pStyle w:val="8"/>
              <w:spacing w:before="120" w:after="120" w:line="312" w:lineRule="auto"/>
              <w:jc w:val="center"/>
              <w:rPr>
                <w:rFonts w:ascii="Times New Roman" w:hAnsi="Times New Roman"/>
                <w:bCs/>
                <w:color w:val="000000"/>
                <w:sz w:val="21"/>
                <w:szCs w:val="21"/>
                <w:shd w:val="clear" w:color="auto" w:fill="FFFFFF" w:themeFill="background1"/>
              </w:rPr>
            </w:pPr>
            <w:r>
              <w:rPr>
                <w:rFonts w:hint="eastAsia" w:ascii="Times New Roman" w:hAnsi="Times New Roman"/>
                <w:bCs/>
                <w:color w:val="000000"/>
                <w:sz w:val="21"/>
                <w:szCs w:val="21"/>
                <w:shd w:val="clear" w:color="auto" w:fill="FFFFFF" w:themeFill="background1"/>
              </w:rPr>
              <w:t>300公斤</w:t>
            </w:r>
          </w:p>
        </w:tc>
        <w:tc>
          <w:tcPr>
            <w:tcW w:w="1595" w:type="dxa"/>
            <w:noWrap/>
            <w:vAlign w:val="center"/>
          </w:tcPr>
          <w:p>
            <w:pPr>
              <w:pStyle w:val="8"/>
              <w:spacing w:before="120" w:after="120" w:line="312" w:lineRule="auto"/>
              <w:jc w:val="center"/>
              <w:rPr>
                <w:rFonts w:ascii="Times New Roman" w:hAnsi="Times New Roman"/>
                <w:bCs/>
                <w:color w:val="000000"/>
                <w:sz w:val="21"/>
                <w:szCs w:val="21"/>
                <w:shd w:val="clear" w:color="auto" w:fill="FFFFFF" w:themeFill="background1"/>
              </w:rPr>
            </w:pPr>
            <w:r>
              <w:rPr>
                <w:rFonts w:hint="eastAsia" w:ascii="Times New Roman" w:hAnsi="Times New Roman"/>
                <w:bCs/>
                <w:color w:val="000000"/>
                <w:sz w:val="21"/>
                <w:szCs w:val="21"/>
                <w:shd w:val="clear" w:color="auto" w:fill="FFFFFF" w:themeFill="background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5" w:type="dxa"/>
            <w:noWrap/>
            <w:vAlign w:val="center"/>
          </w:tcPr>
          <w:p>
            <w:pPr>
              <w:pStyle w:val="8"/>
              <w:spacing w:before="120" w:after="120" w:line="312" w:lineRule="auto"/>
              <w:jc w:val="center"/>
              <w:rPr>
                <w:rFonts w:hint="eastAsia" w:eastAsia="宋体"/>
                <w:bCs/>
                <w:color w:val="000000"/>
                <w:sz w:val="21"/>
                <w:szCs w:val="21"/>
                <w:lang w:val="en-US" w:eastAsia="zh-CN"/>
              </w:rPr>
            </w:pPr>
            <w:r>
              <w:rPr>
                <w:rFonts w:hint="eastAsia"/>
                <w:bCs/>
                <w:color w:val="000000"/>
                <w:sz w:val="21"/>
                <w:szCs w:val="21"/>
                <w:lang w:val="en-US" w:eastAsia="zh-CN"/>
              </w:rPr>
              <w:t>3</w:t>
            </w:r>
          </w:p>
        </w:tc>
        <w:tc>
          <w:tcPr>
            <w:tcW w:w="2881" w:type="dxa"/>
            <w:noWrap/>
            <w:vAlign w:val="center"/>
          </w:tcPr>
          <w:p>
            <w:pPr>
              <w:pStyle w:val="8"/>
              <w:spacing w:before="120" w:after="120" w:line="312" w:lineRule="auto"/>
              <w:jc w:val="center"/>
              <w:rPr>
                <w:rFonts w:hint="eastAsia" w:ascii="Times New Roman" w:hAnsi="Times New Roman" w:eastAsia="宋体"/>
                <w:bCs/>
                <w:color w:val="000000"/>
                <w:sz w:val="21"/>
                <w:szCs w:val="21"/>
                <w:lang w:eastAsia="zh-CN"/>
              </w:rPr>
            </w:pPr>
            <w:r>
              <w:rPr>
                <w:rFonts w:hint="eastAsia" w:ascii="Times New Roman" w:hAnsi="Times New Roman"/>
                <w:bCs/>
                <w:color w:val="000000"/>
                <w:sz w:val="21"/>
                <w:szCs w:val="21"/>
                <w:lang w:eastAsia="zh-CN"/>
              </w:rPr>
              <w:t>道路清洗除臭剂</w:t>
            </w:r>
          </w:p>
        </w:tc>
        <w:tc>
          <w:tcPr>
            <w:tcW w:w="2235" w:type="dxa"/>
            <w:noWrap/>
            <w:vAlign w:val="center"/>
          </w:tcPr>
          <w:p>
            <w:pPr>
              <w:pStyle w:val="8"/>
              <w:spacing w:before="120" w:after="120" w:line="312" w:lineRule="auto"/>
              <w:jc w:val="center"/>
              <w:rPr>
                <w:rFonts w:hint="eastAsia" w:ascii="Times New Roman" w:hAnsi="Times New Roman"/>
                <w:bCs/>
                <w:color w:val="000000"/>
                <w:sz w:val="21"/>
                <w:szCs w:val="21"/>
              </w:rPr>
            </w:pPr>
            <w:r>
              <w:rPr>
                <w:rFonts w:hint="eastAsia" w:ascii="Times New Roman" w:hAnsi="Times New Roman"/>
                <w:bCs/>
                <w:color w:val="000000"/>
                <w:sz w:val="21"/>
                <w:szCs w:val="21"/>
              </w:rPr>
              <w:t>详见第二章“招标需求”</w:t>
            </w:r>
          </w:p>
        </w:tc>
        <w:tc>
          <w:tcPr>
            <w:tcW w:w="1749" w:type="dxa"/>
            <w:noWrap/>
            <w:vAlign w:val="center"/>
          </w:tcPr>
          <w:p>
            <w:pPr>
              <w:pStyle w:val="8"/>
              <w:spacing w:before="120" w:after="120" w:line="312" w:lineRule="auto"/>
              <w:jc w:val="center"/>
              <w:rPr>
                <w:rFonts w:hint="eastAsia" w:ascii="Times New Roman" w:hAnsi="Times New Roman"/>
                <w:bCs/>
                <w:color w:val="000000"/>
                <w:sz w:val="21"/>
                <w:szCs w:val="21"/>
                <w:shd w:val="clear" w:color="auto" w:fill="FFFFFF" w:themeFill="background1"/>
              </w:rPr>
            </w:pPr>
            <w:r>
              <w:rPr>
                <w:rFonts w:hint="eastAsia" w:ascii="Times New Roman" w:hAnsi="Times New Roman"/>
                <w:bCs/>
                <w:color w:val="000000"/>
                <w:sz w:val="21"/>
                <w:szCs w:val="21"/>
              </w:rPr>
              <w:t>道路清洗</w:t>
            </w:r>
            <w:r>
              <w:rPr>
                <w:rFonts w:hint="eastAsia" w:ascii="Times New Roman" w:hAnsi="Times New Roman"/>
                <w:bCs/>
                <w:color w:val="000000"/>
                <w:sz w:val="21"/>
                <w:szCs w:val="21"/>
                <w:lang w:eastAsia="zh-CN"/>
              </w:rPr>
              <w:t>除臭</w:t>
            </w:r>
            <w:r>
              <w:rPr>
                <w:rFonts w:hint="eastAsia" w:ascii="Times New Roman" w:hAnsi="Times New Roman"/>
                <w:bCs/>
                <w:color w:val="000000"/>
                <w:sz w:val="21"/>
                <w:szCs w:val="21"/>
              </w:rPr>
              <w:t>剂12吨</w:t>
            </w:r>
          </w:p>
        </w:tc>
        <w:tc>
          <w:tcPr>
            <w:tcW w:w="1595" w:type="dxa"/>
            <w:noWrap/>
            <w:vAlign w:val="center"/>
          </w:tcPr>
          <w:p>
            <w:pPr>
              <w:pStyle w:val="8"/>
              <w:spacing w:before="120" w:after="120" w:line="312" w:lineRule="auto"/>
              <w:jc w:val="center"/>
              <w:rPr>
                <w:rFonts w:hint="default" w:ascii="Times New Roman" w:hAnsi="Times New Roman" w:eastAsia="宋体"/>
                <w:bCs/>
                <w:color w:val="000000"/>
                <w:sz w:val="21"/>
                <w:szCs w:val="21"/>
                <w:shd w:val="clear" w:color="auto" w:fill="FFFFFF" w:themeFill="background1"/>
                <w:lang w:val="en-US" w:eastAsia="zh-CN"/>
              </w:rPr>
            </w:pPr>
            <w:r>
              <w:rPr>
                <w:rFonts w:hint="eastAsia" w:ascii="Times New Roman" w:hAnsi="Times New Roman"/>
                <w:bCs/>
                <w:color w:val="000000"/>
                <w:sz w:val="21"/>
                <w:szCs w:val="21"/>
                <w:shd w:val="clear" w:color="auto" w:fill="FFFFFF" w:themeFill="background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5" w:type="dxa"/>
            <w:noWrap/>
            <w:vAlign w:val="center"/>
          </w:tcPr>
          <w:p>
            <w:pPr>
              <w:pStyle w:val="8"/>
              <w:spacing w:before="120" w:after="120" w:line="312" w:lineRule="auto"/>
              <w:jc w:val="center"/>
              <w:rPr>
                <w:rFonts w:hint="eastAsia" w:eastAsia="宋体"/>
                <w:bCs/>
                <w:color w:val="000000"/>
                <w:sz w:val="21"/>
                <w:szCs w:val="21"/>
                <w:lang w:val="en-US" w:eastAsia="zh-CN"/>
              </w:rPr>
            </w:pPr>
            <w:r>
              <w:rPr>
                <w:rFonts w:hint="eastAsia"/>
                <w:bCs/>
                <w:color w:val="000000"/>
                <w:sz w:val="21"/>
                <w:szCs w:val="21"/>
                <w:lang w:val="en-US" w:eastAsia="zh-CN"/>
              </w:rPr>
              <w:t>4</w:t>
            </w:r>
          </w:p>
        </w:tc>
        <w:tc>
          <w:tcPr>
            <w:tcW w:w="2881" w:type="dxa"/>
            <w:noWrap/>
            <w:vAlign w:val="center"/>
          </w:tcPr>
          <w:p>
            <w:pPr>
              <w:pStyle w:val="8"/>
              <w:spacing w:before="120" w:after="120" w:line="312" w:lineRule="auto"/>
              <w:jc w:val="center"/>
              <w:rPr>
                <w:rFonts w:hint="eastAsia" w:ascii="Times New Roman" w:hAnsi="Times New Roman"/>
                <w:bCs/>
                <w:color w:val="000000"/>
                <w:sz w:val="21"/>
                <w:szCs w:val="21"/>
                <w:lang w:eastAsia="zh-CN"/>
              </w:rPr>
            </w:pPr>
            <w:r>
              <w:rPr>
                <w:rFonts w:hint="eastAsia" w:ascii="Times New Roman" w:hAnsi="Times New Roman"/>
                <w:bCs/>
                <w:color w:val="000000"/>
                <w:sz w:val="21"/>
                <w:szCs w:val="21"/>
              </w:rPr>
              <w:t>高射程雾炮器</w:t>
            </w:r>
          </w:p>
        </w:tc>
        <w:tc>
          <w:tcPr>
            <w:tcW w:w="2235" w:type="dxa"/>
            <w:noWrap/>
            <w:vAlign w:val="center"/>
          </w:tcPr>
          <w:p>
            <w:pPr>
              <w:pStyle w:val="8"/>
              <w:spacing w:before="120" w:after="120" w:line="312" w:lineRule="auto"/>
              <w:jc w:val="center"/>
              <w:rPr>
                <w:rFonts w:hint="eastAsia" w:ascii="Times New Roman" w:hAnsi="Times New Roman"/>
                <w:bCs/>
                <w:color w:val="000000"/>
                <w:sz w:val="21"/>
                <w:szCs w:val="21"/>
              </w:rPr>
            </w:pPr>
            <w:r>
              <w:rPr>
                <w:rFonts w:hint="eastAsia" w:ascii="Times New Roman" w:hAnsi="Times New Roman"/>
                <w:bCs/>
                <w:color w:val="000000"/>
                <w:sz w:val="21"/>
                <w:szCs w:val="21"/>
              </w:rPr>
              <w:t>详见第二章“招标需求”</w:t>
            </w:r>
          </w:p>
        </w:tc>
        <w:tc>
          <w:tcPr>
            <w:tcW w:w="1749" w:type="dxa"/>
            <w:noWrap/>
            <w:vAlign w:val="center"/>
          </w:tcPr>
          <w:p>
            <w:pPr>
              <w:pStyle w:val="8"/>
              <w:spacing w:before="120" w:after="120" w:line="312" w:lineRule="auto"/>
              <w:jc w:val="center"/>
              <w:rPr>
                <w:rFonts w:hint="eastAsia" w:ascii="Times New Roman" w:hAnsi="Times New Roman"/>
                <w:bCs/>
                <w:color w:val="000000"/>
                <w:sz w:val="21"/>
                <w:szCs w:val="21"/>
              </w:rPr>
            </w:pPr>
            <w:r>
              <w:rPr>
                <w:rFonts w:hint="eastAsia" w:ascii="Times New Roman" w:hAnsi="Times New Roman"/>
                <w:bCs/>
                <w:color w:val="000000"/>
                <w:sz w:val="21"/>
                <w:szCs w:val="21"/>
                <w:shd w:val="clear" w:color="auto" w:fill="FFFFFF" w:themeFill="background1"/>
              </w:rPr>
              <w:t>6台</w:t>
            </w:r>
          </w:p>
        </w:tc>
        <w:tc>
          <w:tcPr>
            <w:tcW w:w="1595" w:type="dxa"/>
            <w:noWrap/>
            <w:vAlign w:val="center"/>
          </w:tcPr>
          <w:p>
            <w:pPr>
              <w:pStyle w:val="8"/>
              <w:spacing w:before="120" w:after="120" w:line="312" w:lineRule="auto"/>
              <w:jc w:val="center"/>
              <w:rPr>
                <w:rFonts w:hint="eastAsia" w:ascii="Times New Roman" w:hAnsi="Times New Roman"/>
                <w:bCs/>
                <w:color w:val="000000"/>
                <w:sz w:val="21"/>
                <w:szCs w:val="21"/>
                <w:shd w:val="clear" w:color="auto" w:fill="FFFFFF" w:themeFill="background1"/>
                <w:lang w:val="en-US" w:eastAsia="zh-CN"/>
              </w:rPr>
            </w:pPr>
            <w:r>
              <w:rPr>
                <w:rFonts w:hint="eastAsia" w:ascii="Times New Roman" w:hAnsi="Times New Roman"/>
                <w:bCs/>
                <w:color w:val="000000"/>
                <w:sz w:val="21"/>
                <w:szCs w:val="21"/>
                <w:shd w:val="clear" w:color="auto" w:fill="FFFFFF" w:themeFill="background1"/>
              </w:rPr>
              <w:t>45</w:t>
            </w:r>
          </w:p>
        </w:tc>
      </w:tr>
    </w:tbl>
    <w:p>
      <w:pPr>
        <w:snapToGrid w:val="0"/>
        <w:spacing w:line="312" w:lineRule="auto"/>
        <w:ind w:firstLine="472" w:firstLineChars="196"/>
        <w:rPr>
          <w:rFonts w:ascii="宋体" w:hAnsi="宋体" w:cs="Arial"/>
          <w:b/>
          <w:bCs/>
          <w:color w:val="000000"/>
          <w:sz w:val="24"/>
          <w:szCs w:val="20"/>
        </w:rPr>
      </w:pPr>
      <w:r>
        <w:rPr>
          <w:rFonts w:hint="eastAsia" w:ascii="宋体" w:hAnsi="宋体" w:cs="Arial"/>
          <w:b/>
          <w:color w:val="000000"/>
          <w:sz w:val="24"/>
        </w:rPr>
        <w:t>五、</w:t>
      </w:r>
      <w:r>
        <w:rPr>
          <w:rFonts w:hint="eastAsia" w:ascii="宋体" w:hAnsi="宋体" w:cs="Arial"/>
          <w:b/>
          <w:bCs/>
          <w:color w:val="000000"/>
          <w:sz w:val="24"/>
        </w:rPr>
        <w:t>合格投标人的资格要求</w:t>
      </w:r>
    </w:p>
    <w:p>
      <w:pPr>
        <w:snapToGrid w:val="0"/>
        <w:spacing w:line="312" w:lineRule="auto"/>
        <w:ind w:firstLine="480" w:firstLineChars="200"/>
        <w:rPr>
          <w:rFonts w:ascii="宋体" w:hAnsi="宋体" w:cs="Arial"/>
          <w:color w:val="000000"/>
          <w:sz w:val="24"/>
        </w:rPr>
      </w:pPr>
      <w:r>
        <w:rPr>
          <w:rFonts w:ascii="宋体" w:hAnsi="宋体" w:cs="Arial"/>
          <w:color w:val="000000"/>
          <w:sz w:val="24"/>
        </w:rPr>
        <w:t>符合</w:t>
      </w:r>
      <w:r>
        <w:rPr>
          <w:rFonts w:hint="eastAsia" w:ascii="宋体" w:hAnsi="宋体" w:cs="Arial"/>
          <w:color w:val="000000"/>
          <w:sz w:val="24"/>
        </w:rPr>
        <w:t>《中华人民共和国</w:t>
      </w:r>
      <w:r>
        <w:rPr>
          <w:rFonts w:ascii="宋体" w:hAnsi="宋体" w:cs="Arial"/>
          <w:color w:val="000000"/>
          <w:sz w:val="24"/>
        </w:rPr>
        <w:t>政府采购法</w:t>
      </w:r>
      <w:r>
        <w:rPr>
          <w:rFonts w:hint="eastAsia" w:ascii="宋体" w:hAnsi="宋体" w:cs="Arial"/>
          <w:color w:val="000000"/>
          <w:sz w:val="24"/>
        </w:rPr>
        <w:t>》</w:t>
      </w:r>
      <w:r>
        <w:rPr>
          <w:rFonts w:ascii="宋体" w:hAnsi="宋体" w:cs="Arial"/>
          <w:color w:val="000000"/>
          <w:sz w:val="24"/>
        </w:rPr>
        <w:t>第二十二条规定的投标人资格条件</w:t>
      </w:r>
      <w:r>
        <w:rPr>
          <w:rFonts w:hint="eastAsia" w:ascii="宋体" w:hAnsi="宋体" w:cs="Arial"/>
          <w:color w:val="000000"/>
          <w:sz w:val="24"/>
        </w:rPr>
        <w:t>和本公告设定的特定条件。</w:t>
      </w:r>
    </w:p>
    <w:p>
      <w:pPr>
        <w:snapToGrid w:val="0"/>
        <w:spacing w:line="312" w:lineRule="auto"/>
        <w:ind w:firstLine="482" w:firstLineChars="200"/>
        <w:rPr>
          <w:rFonts w:ascii="宋体" w:hAnsi="宋体" w:cs="Arial"/>
          <w:b/>
          <w:bCs/>
          <w:color w:val="000000"/>
          <w:sz w:val="24"/>
        </w:rPr>
      </w:pPr>
      <w:r>
        <w:rPr>
          <w:rFonts w:hint="eastAsia" w:ascii="宋体" w:hAnsi="宋体" w:cs="Arial"/>
          <w:b/>
          <w:bCs/>
          <w:color w:val="000000"/>
          <w:sz w:val="24"/>
        </w:rPr>
        <w:t>（1）《中华人民共和国政府采购法》第二十二条规定的投标人资格条件：</w:t>
      </w:r>
    </w:p>
    <w:p>
      <w:pPr>
        <w:shd w:val="clear" w:color="auto" w:fill="FFFFFF" w:themeFill="background1"/>
        <w:snapToGrid w:val="0"/>
        <w:spacing w:line="312" w:lineRule="auto"/>
        <w:ind w:left="479" w:leftChars="228"/>
        <w:rPr>
          <w:rFonts w:ascii="宋体" w:hAnsi="宋体" w:cs="Arial"/>
          <w:color w:val="000000"/>
          <w:sz w:val="24"/>
        </w:rPr>
      </w:pPr>
      <w:r>
        <w:rPr>
          <w:rFonts w:hint="eastAsia" w:ascii="宋体" w:hAnsi="宋体" w:cs="Arial"/>
          <w:color w:val="000000"/>
          <w:sz w:val="24"/>
        </w:rPr>
        <w:t xml:space="preserve">A、具有独立承担民事责任的能力； </w:t>
      </w:r>
      <w:r>
        <w:rPr>
          <w:rFonts w:hint="eastAsia" w:ascii="宋体" w:hAnsi="宋体" w:cs="Arial"/>
          <w:color w:val="000000"/>
          <w:sz w:val="24"/>
        </w:rPr>
        <w:br w:type="textWrapping"/>
      </w:r>
      <w:r>
        <w:rPr>
          <w:rFonts w:hint="eastAsia" w:ascii="宋体" w:hAnsi="宋体" w:cs="Arial"/>
          <w:color w:val="000000"/>
          <w:sz w:val="24"/>
        </w:rPr>
        <w:t xml:space="preserve">B、具有良好的商业信誉和健全的财务会计制度； </w:t>
      </w:r>
      <w:r>
        <w:rPr>
          <w:rFonts w:hint="eastAsia" w:ascii="宋体" w:hAnsi="宋体" w:cs="Arial"/>
          <w:color w:val="000000"/>
          <w:sz w:val="24"/>
        </w:rPr>
        <w:br w:type="textWrapping"/>
      </w:r>
      <w:r>
        <w:rPr>
          <w:rFonts w:hint="eastAsia" w:ascii="宋体" w:hAnsi="宋体" w:cs="Arial"/>
          <w:color w:val="000000"/>
          <w:sz w:val="24"/>
        </w:rPr>
        <w:t xml:space="preserve">C、具有履行合同所必需的设备和专业技术能力； </w:t>
      </w:r>
      <w:r>
        <w:rPr>
          <w:rFonts w:hint="eastAsia" w:ascii="宋体" w:hAnsi="宋体" w:cs="Arial"/>
          <w:color w:val="000000"/>
          <w:sz w:val="24"/>
        </w:rPr>
        <w:br w:type="textWrapping"/>
      </w:r>
      <w:r>
        <w:rPr>
          <w:rFonts w:hint="eastAsia" w:ascii="宋体" w:hAnsi="宋体" w:cs="Arial"/>
          <w:color w:val="000000"/>
          <w:sz w:val="24"/>
        </w:rPr>
        <w:t xml:space="preserve">D、有依法缴纳税收和社会保障资金的良好记录； </w:t>
      </w:r>
      <w:r>
        <w:rPr>
          <w:rFonts w:hint="eastAsia" w:ascii="宋体" w:hAnsi="宋体" w:cs="Arial"/>
          <w:color w:val="000000"/>
          <w:sz w:val="24"/>
        </w:rPr>
        <w:br w:type="textWrapping"/>
      </w:r>
      <w:r>
        <w:rPr>
          <w:rFonts w:hint="eastAsia" w:ascii="宋体" w:hAnsi="宋体" w:cs="Arial"/>
          <w:color w:val="000000"/>
          <w:sz w:val="24"/>
        </w:rPr>
        <w:t xml:space="preserve">E、参加政府采购活动前三年内，在经营活动中没有重大违法记录； </w:t>
      </w:r>
      <w:r>
        <w:rPr>
          <w:rFonts w:hint="eastAsia" w:ascii="宋体" w:hAnsi="宋体" w:cs="Arial"/>
          <w:color w:val="000000"/>
          <w:sz w:val="24"/>
        </w:rPr>
        <w:br w:type="textWrapping"/>
      </w:r>
      <w:r>
        <w:rPr>
          <w:rFonts w:hint="eastAsia" w:ascii="宋体" w:hAnsi="宋体" w:cs="Arial"/>
          <w:color w:val="000000"/>
          <w:sz w:val="24"/>
        </w:rPr>
        <w:t xml:space="preserve">F、法律、行政法规规定的其他条件。 </w:t>
      </w:r>
    </w:p>
    <w:p>
      <w:pPr>
        <w:snapToGrid w:val="0"/>
        <w:spacing w:line="312" w:lineRule="auto"/>
        <w:ind w:firstLine="482" w:firstLineChars="200"/>
        <w:rPr>
          <w:rFonts w:ascii="宋体" w:hAnsi="宋体" w:cs="Arial"/>
          <w:color w:val="000000"/>
          <w:sz w:val="24"/>
        </w:rPr>
      </w:pPr>
      <w:r>
        <w:rPr>
          <w:rFonts w:hint="eastAsia" w:ascii="宋体" w:hAnsi="宋体"/>
          <w:b/>
          <w:color w:val="000000"/>
          <w:kern w:val="0"/>
          <w:sz w:val="24"/>
        </w:rPr>
        <w:t>（2）▲投标人的特定条件：</w:t>
      </w:r>
    </w:p>
    <w:p>
      <w:pPr>
        <w:shd w:val="clear" w:color="auto" w:fill="FFFFFF" w:themeFill="background1"/>
        <w:snapToGrid w:val="0"/>
        <w:spacing w:line="312" w:lineRule="auto"/>
        <w:ind w:left="479" w:leftChars="228"/>
        <w:rPr>
          <w:rFonts w:ascii="宋体" w:hAnsi="宋体" w:cs="Arial"/>
          <w:color w:val="000000"/>
          <w:sz w:val="24"/>
        </w:rPr>
      </w:pPr>
      <w:r>
        <w:rPr>
          <w:rFonts w:hint="eastAsia" w:ascii="宋体" w:hAnsi="宋体" w:cs="Arial"/>
          <w:color w:val="000000"/>
          <w:sz w:val="24"/>
        </w:rPr>
        <w:t>A、投标人需具有独立法人资格，具有工商注册经营许可。</w:t>
      </w:r>
    </w:p>
    <w:p>
      <w:pPr>
        <w:shd w:val="clear" w:color="auto" w:fill="FFFFFF" w:themeFill="background1"/>
        <w:snapToGrid w:val="0"/>
        <w:spacing w:line="312" w:lineRule="auto"/>
        <w:ind w:left="479" w:leftChars="228"/>
        <w:rPr>
          <w:rFonts w:ascii="宋体" w:hAnsi="宋体"/>
          <w:b/>
          <w:bCs/>
          <w:sz w:val="24"/>
          <w:highlight w:val="yellow"/>
        </w:rPr>
      </w:pPr>
      <w:r>
        <w:rPr>
          <w:rFonts w:hint="eastAsia" w:ascii="宋体" w:hAnsi="宋体" w:cs="Arial"/>
          <w:color w:val="000000"/>
          <w:sz w:val="24"/>
        </w:rPr>
        <w:t>B、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hd w:val="clear" w:color="auto" w:fill="FFFFFF" w:themeFill="background1"/>
        <w:snapToGrid w:val="0"/>
        <w:spacing w:line="312" w:lineRule="auto"/>
        <w:ind w:left="479" w:leftChars="228"/>
        <w:rPr>
          <w:rFonts w:ascii="宋体" w:hAnsi="宋体" w:cs="Arial"/>
          <w:color w:val="000000"/>
          <w:sz w:val="24"/>
        </w:rPr>
      </w:pPr>
      <w:r>
        <w:rPr>
          <w:rFonts w:hint="eastAsia" w:ascii="宋体" w:hAnsi="宋体" w:cs="Arial"/>
          <w:color w:val="000000"/>
          <w:sz w:val="24"/>
        </w:rPr>
        <w:t>C、投标时须带规定的样品参加投标。</w:t>
      </w:r>
    </w:p>
    <w:p>
      <w:pPr>
        <w:snapToGrid w:val="0"/>
        <w:spacing w:line="312" w:lineRule="auto"/>
        <w:ind w:firstLine="480" w:firstLineChars="200"/>
        <w:rPr>
          <w:rFonts w:ascii="宋体" w:hAnsi="宋体"/>
          <w:color w:val="000000"/>
          <w:kern w:val="0"/>
          <w:sz w:val="24"/>
        </w:rPr>
      </w:pPr>
      <w:r>
        <w:rPr>
          <w:rFonts w:hint="eastAsia" w:ascii="宋体" w:hAnsi="宋体"/>
          <w:color w:val="000000"/>
          <w:kern w:val="0"/>
          <w:sz w:val="24"/>
        </w:rPr>
        <w:t>D、本项目不接受联合体投标。</w:t>
      </w:r>
    </w:p>
    <w:p>
      <w:pPr>
        <w:snapToGrid w:val="0"/>
        <w:spacing w:line="312" w:lineRule="auto"/>
        <w:ind w:firstLine="482" w:firstLineChars="200"/>
        <w:outlineLvl w:val="0"/>
        <w:rPr>
          <w:rFonts w:ascii="宋体" w:hAnsi="宋体" w:cs="Arial"/>
          <w:b/>
          <w:bCs/>
          <w:sz w:val="24"/>
        </w:rPr>
      </w:pPr>
      <w:r>
        <w:rPr>
          <w:rFonts w:hint="eastAsia" w:ascii="宋体" w:hAnsi="宋体" w:cs="Arial"/>
          <w:b/>
          <w:bCs/>
          <w:color w:val="000000"/>
          <w:sz w:val="24"/>
        </w:rPr>
        <w:t>六、</w:t>
      </w:r>
      <w:r>
        <w:rPr>
          <w:rFonts w:hint="eastAsia" w:ascii="宋体" w:hAnsi="宋体" w:cs="Arial"/>
          <w:b/>
          <w:bCs/>
          <w:sz w:val="24"/>
        </w:rPr>
        <w:t>投标报名及招标文件的获取</w:t>
      </w:r>
      <w:r>
        <w:rPr>
          <w:rFonts w:hint="eastAsia" w:ascii="宋体" w:hAnsi="宋体" w:cs="Arial"/>
          <w:sz w:val="24"/>
        </w:rPr>
        <w:t>：</w:t>
      </w:r>
    </w:p>
    <w:p>
      <w:pPr>
        <w:snapToGrid w:val="0"/>
        <w:spacing w:line="312" w:lineRule="auto"/>
        <w:ind w:firstLine="482" w:firstLineChars="200"/>
        <w:rPr>
          <w:rFonts w:ascii="宋体" w:hAnsi="宋体" w:cs="Arial"/>
          <w:b/>
          <w:bCs/>
          <w:sz w:val="24"/>
        </w:rPr>
      </w:pPr>
      <w:r>
        <w:rPr>
          <w:rFonts w:hint="eastAsia" w:ascii="宋体" w:hAnsi="宋体" w:cs="Arial"/>
          <w:b/>
          <w:bCs/>
          <w:sz w:val="24"/>
        </w:rPr>
        <w:t>（1）网上报名：</w:t>
      </w:r>
    </w:p>
    <w:p>
      <w:pPr>
        <w:snapToGrid w:val="0"/>
        <w:spacing w:line="312" w:lineRule="auto"/>
        <w:ind w:firstLine="482" w:firstLineChars="200"/>
        <w:rPr>
          <w:rFonts w:ascii="宋体" w:hAnsi="宋体"/>
          <w:b/>
          <w:kern w:val="0"/>
          <w:sz w:val="24"/>
        </w:rPr>
      </w:pPr>
      <w:r>
        <w:rPr>
          <w:rFonts w:hint="eastAsia" w:ascii="宋体" w:hAnsi="宋体"/>
          <w:b/>
          <w:kern w:val="0"/>
          <w:sz w:val="24"/>
        </w:rPr>
        <w:t>A、由投标单位通过浙江省政府采购网(www.zjzfcg.gov.cn/)上的报名系统进行报名（首次参加投标的单位应先登录浙江省政府采购网(www.zjzfcg.gov.cn/)进行账户注册，注册完毕待审核成功后方可登录报名，注册咨询电话：400-881-7190；注册流程见网址</w:t>
      </w:r>
    </w:p>
    <w:p>
      <w:pPr>
        <w:snapToGrid w:val="0"/>
        <w:spacing w:line="312" w:lineRule="auto"/>
        <w:ind w:firstLine="482" w:firstLineChars="200"/>
        <w:rPr>
          <w:rFonts w:ascii="宋体" w:hAnsi="宋体"/>
          <w:b/>
          <w:kern w:val="0"/>
          <w:sz w:val="24"/>
        </w:rPr>
      </w:pPr>
      <w:r>
        <w:rPr>
          <w:rFonts w:hint="eastAsia" w:ascii="宋体" w:hAnsi="宋体"/>
          <w:b/>
          <w:kern w:val="0"/>
          <w:sz w:val="24"/>
        </w:rPr>
        <w:t>http://www.zjzfcg.gov.cn/register/2017-07-24/6728.html?_=2017-11-13%2011:10:28）；</w:t>
      </w:r>
    </w:p>
    <w:p>
      <w:pPr>
        <w:snapToGrid w:val="0"/>
        <w:spacing w:line="312" w:lineRule="auto"/>
        <w:ind w:firstLine="542" w:firstLineChars="225"/>
        <w:rPr>
          <w:rFonts w:ascii="宋体" w:hAnsi="宋体"/>
          <w:b/>
          <w:kern w:val="0"/>
          <w:sz w:val="24"/>
        </w:rPr>
      </w:pPr>
      <w:r>
        <w:rPr>
          <w:rFonts w:hint="eastAsia" w:ascii="宋体" w:hAnsi="宋体"/>
          <w:b/>
          <w:kern w:val="0"/>
          <w:sz w:val="24"/>
        </w:rPr>
        <w:t>B、网上报名截止日期：2019年</w:t>
      </w:r>
      <w:r>
        <w:rPr>
          <w:rFonts w:hint="eastAsia" w:ascii="宋体" w:hAnsi="宋体"/>
          <w:b/>
          <w:kern w:val="0"/>
          <w:sz w:val="24"/>
          <w:lang w:val="en-US" w:eastAsia="zh-CN"/>
        </w:rPr>
        <w:t>6</w:t>
      </w:r>
      <w:r>
        <w:rPr>
          <w:rFonts w:hint="eastAsia" w:ascii="宋体" w:hAnsi="宋体"/>
          <w:b/>
          <w:kern w:val="0"/>
          <w:sz w:val="24"/>
        </w:rPr>
        <w:t>月</w:t>
      </w:r>
      <w:r>
        <w:rPr>
          <w:rFonts w:hint="eastAsia" w:ascii="宋体" w:hAnsi="宋体"/>
          <w:b/>
          <w:kern w:val="0"/>
          <w:sz w:val="24"/>
          <w:lang w:val="en-US" w:eastAsia="zh-CN"/>
        </w:rPr>
        <w:t>4</w:t>
      </w:r>
      <w:r>
        <w:rPr>
          <w:rFonts w:hint="eastAsia" w:ascii="宋体" w:hAnsi="宋体"/>
          <w:b/>
          <w:kern w:val="0"/>
          <w:sz w:val="24"/>
        </w:rPr>
        <w:t>日17：00时止；若截止时间后仍欲报名请按以下（3）执行。</w:t>
      </w:r>
    </w:p>
    <w:p>
      <w:pPr>
        <w:snapToGrid w:val="0"/>
        <w:spacing w:line="312" w:lineRule="auto"/>
        <w:ind w:firstLine="482" w:firstLineChars="200"/>
        <w:rPr>
          <w:rFonts w:ascii="宋体" w:hAnsi="宋体" w:cs="Arial"/>
          <w:b/>
          <w:bCs/>
          <w:sz w:val="24"/>
        </w:rPr>
      </w:pPr>
      <w:r>
        <w:rPr>
          <w:rFonts w:hint="eastAsia" w:ascii="宋体" w:hAnsi="宋体" w:cs="Arial"/>
          <w:b/>
          <w:bCs/>
          <w:sz w:val="24"/>
        </w:rPr>
        <w:t>（2）现场报名：（由于系统故障无法网上报名时，可采用现场报名）</w:t>
      </w:r>
    </w:p>
    <w:p>
      <w:pPr>
        <w:snapToGrid w:val="0"/>
        <w:spacing w:line="312" w:lineRule="auto"/>
        <w:ind w:firstLine="482" w:firstLineChars="200"/>
        <w:outlineLvl w:val="0"/>
        <w:rPr>
          <w:rFonts w:ascii="宋体" w:hAnsi="宋体" w:cs="Arial"/>
          <w:b/>
          <w:bCs/>
          <w:sz w:val="24"/>
        </w:rPr>
      </w:pPr>
      <w:r>
        <w:rPr>
          <w:rFonts w:hint="eastAsia" w:ascii="宋体" w:hAnsi="宋体" w:cs="Arial"/>
          <w:b/>
          <w:bCs/>
          <w:sz w:val="24"/>
        </w:rPr>
        <w:t>A、时间：同网上报名；</w:t>
      </w:r>
    </w:p>
    <w:p>
      <w:pPr>
        <w:snapToGrid w:val="0"/>
        <w:spacing w:line="312" w:lineRule="auto"/>
        <w:ind w:firstLine="482" w:firstLineChars="200"/>
        <w:rPr>
          <w:rFonts w:ascii="宋体" w:hAnsi="宋体" w:cs="Arial"/>
          <w:b/>
          <w:bCs/>
          <w:sz w:val="24"/>
        </w:rPr>
      </w:pPr>
      <w:r>
        <w:rPr>
          <w:rFonts w:hint="eastAsia" w:ascii="宋体" w:hAnsi="宋体" w:cs="Arial"/>
          <w:b/>
          <w:bCs/>
          <w:sz w:val="24"/>
        </w:rPr>
        <w:t>B、地点：浙江省东阳市艺海北路388号（行政服务中心）B幢西区14楼。</w:t>
      </w:r>
    </w:p>
    <w:p>
      <w:pPr>
        <w:snapToGrid w:val="0"/>
        <w:spacing w:line="312" w:lineRule="auto"/>
        <w:ind w:firstLine="482" w:firstLineChars="200"/>
        <w:outlineLvl w:val="0"/>
        <w:rPr>
          <w:rFonts w:ascii="宋体" w:hAnsi="宋体" w:cs="Arial"/>
          <w:b/>
          <w:bCs/>
          <w:sz w:val="24"/>
        </w:rPr>
      </w:pPr>
      <w:r>
        <w:rPr>
          <w:rFonts w:hint="eastAsia" w:ascii="宋体" w:hAnsi="宋体" w:cs="Arial"/>
          <w:b/>
          <w:bCs/>
          <w:sz w:val="24"/>
        </w:rPr>
        <w:t>C、报名时请携带资格审查资料。</w:t>
      </w:r>
    </w:p>
    <w:p>
      <w:pPr>
        <w:snapToGrid w:val="0"/>
        <w:spacing w:line="312" w:lineRule="auto"/>
        <w:ind w:firstLine="482" w:firstLineChars="200"/>
        <w:rPr>
          <w:rFonts w:ascii="宋体" w:hAnsi="宋体" w:cs="Arial"/>
          <w:b/>
          <w:bCs/>
          <w:sz w:val="24"/>
        </w:rPr>
      </w:pPr>
      <w:r>
        <w:rPr>
          <w:rFonts w:hint="eastAsia" w:ascii="宋体" w:hAnsi="宋体" w:cs="Arial"/>
          <w:b/>
          <w:bCs/>
          <w:sz w:val="24"/>
        </w:rPr>
        <w:t>（3）在报名截止时间之后至2019年</w:t>
      </w:r>
      <w:r>
        <w:rPr>
          <w:rFonts w:hint="eastAsia" w:ascii="宋体" w:hAnsi="宋体" w:cs="Arial"/>
          <w:b/>
          <w:bCs/>
          <w:sz w:val="24"/>
          <w:lang w:val="en-US" w:eastAsia="zh-CN"/>
        </w:rPr>
        <w:t>6</w:t>
      </w:r>
      <w:r>
        <w:rPr>
          <w:rFonts w:hint="eastAsia" w:ascii="宋体" w:hAnsi="宋体" w:cs="Arial"/>
          <w:b/>
          <w:bCs/>
          <w:sz w:val="24"/>
        </w:rPr>
        <w:t>月</w:t>
      </w:r>
      <w:r>
        <w:rPr>
          <w:rFonts w:hint="eastAsia" w:ascii="宋体" w:hAnsi="宋体" w:cs="Arial"/>
          <w:b/>
          <w:bCs/>
          <w:sz w:val="24"/>
          <w:lang w:val="en-US" w:eastAsia="zh-CN"/>
        </w:rPr>
        <w:t>17</w:t>
      </w:r>
      <w:r>
        <w:rPr>
          <w:rFonts w:hint="eastAsia" w:ascii="宋体" w:hAnsi="宋体" w:cs="Arial"/>
          <w:b/>
          <w:bCs/>
          <w:sz w:val="24"/>
        </w:rPr>
        <w:t>日11：00止，仍允许供应商在</w:t>
      </w:r>
      <w:r>
        <w:rPr>
          <w:rFonts w:hint="eastAsia" w:ascii="宋体" w:hAnsi="宋体"/>
          <w:b/>
          <w:bCs/>
          <w:kern w:val="0"/>
          <w:sz w:val="24"/>
        </w:rPr>
        <w:t>浙江省政府采购网(www.zjzfcg.gov.cn/)报名系统</w:t>
      </w:r>
      <w:r>
        <w:rPr>
          <w:rFonts w:hint="eastAsia" w:ascii="宋体" w:hAnsi="宋体" w:cs="Arial"/>
          <w:b/>
          <w:bCs/>
          <w:sz w:val="24"/>
        </w:rPr>
        <w:t>中继续报名并获取招标文件，但在“投标人澄清时间”截止之后获取采购文件的潜在投标人如对采购文件有异议的，金华市公共资源交易中心东阳分中心可不予受理、答复。</w:t>
      </w:r>
    </w:p>
    <w:p>
      <w:pPr>
        <w:snapToGrid w:val="0"/>
        <w:spacing w:line="312" w:lineRule="auto"/>
        <w:ind w:firstLine="482" w:firstLineChars="200"/>
        <w:rPr>
          <w:rFonts w:ascii="宋体" w:hAnsi="宋体"/>
          <w:kern w:val="0"/>
          <w:sz w:val="24"/>
        </w:rPr>
      </w:pPr>
      <w:r>
        <w:rPr>
          <w:rFonts w:hint="eastAsia" w:ascii="宋体" w:hAnsi="宋体"/>
          <w:b/>
          <w:kern w:val="0"/>
          <w:sz w:val="24"/>
        </w:rPr>
        <w:t>（4）招标文件的获取方式：</w:t>
      </w:r>
      <w:r>
        <w:rPr>
          <w:rFonts w:hint="eastAsia" w:ascii="宋体" w:hAnsi="宋体"/>
          <w:kern w:val="0"/>
          <w:sz w:val="24"/>
        </w:rPr>
        <w:t>招标人不再向投标人提供纸质招标文件，请投标人自行在下列网址下载电子版的招标文件，招标文件不收工本费。</w:t>
      </w:r>
    </w:p>
    <w:p>
      <w:pPr>
        <w:pStyle w:val="20"/>
        <w:widowControl w:val="0"/>
        <w:spacing w:after="120" w:line="312" w:lineRule="auto"/>
        <w:ind w:firstLine="480"/>
        <w:rPr>
          <w:rFonts w:ascii="宋体" w:hAnsi="宋体"/>
          <w:szCs w:val="24"/>
        </w:rPr>
      </w:pPr>
      <w:r>
        <w:rPr>
          <w:rFonts w:hint="eastAsia"/>
        </w:rPr>
        <w:t>浙江省政府采购网(</w:t>
      </w:r>
      <w:r>
        <w:fldChar w:fldCharType="begin"/>
      </w:r>
      <w:r>
        <w:instrText xml:space="preserve"> HYPERLINK "http://www.zjzfcg.gov.cn" </w:instrText>
      </w:r>
      <w:r>
        <w:fldChar w:fldCharType="separate"/>
      </w:r>
      <w:r>
        <w:rPr>
          <w:rFonts w:hint="eastAsia"/>
        </w:rPr>
        <w:t>www.zjzfcg.gov.cn</w:t>
      </w:r>
      <w:r>
        <w:rPr>
          <w:rFonts w:hint="eastAsia"/>
        </w:rPr>
        <w:fldChar w:fldCharType="end"/>
      </w:r>
      <w:r>
        <w:rPr>
          <w:rFonts w:hint="eastAsia"/>
        </w:rPr>
        <w:t>)；东阳市公共资源交易网(</w:t>
      </w:r>
      <w:r>
        <w:fldChar w:fldCharType="begin"/>
      </w:r>
      <w:r>
        <w:instrText xml:space="preserve"> HYPERLINK "http://www.dyztb.com" </w:instrText>
      </w:r>
      <w:r>
        <w:fldChar w:fldCharType="separate"/>
      </w:r>
      <w:r>
        <w:rPr>
          <w:rFonts w:hint="eastAsia"/>
          <w:szCs w:val="24"/>
        </w:rPr>
        <w:t>ggzyjy.dongyang.gov.cn</w:t>
      </w:r>
      <w:r>
        <w:rPr>
          <w:rFonts w:hint="eastAsia"/>
          <w:szCs w:val="24"/>
        </w:rPr>
        <w:fldChar w:fldCharType="end"/>
      </w:r>
      <w:r>
        <w:rPr>
          <w:rFonts w:hint="eastAsia"/>
        </w:rPr>
        <w:t>)</w:t>
      </w:r>
    </w:p>
    <w:p>
      <w:pPr>
        <w:snapToGrid w:val="0"/>
        <w:spacing w:line="312" w:lineRule="auto"/>
        <w:ind w:firstLine="542" w:firstLineChars="225"/>
        <w:rPr>
          <w:rFonts w:ascii="宋体" w:hAnsi="宋体" w:cs="Arial"/>
          <w:b/>
          <w:sz w:val="24"/>
        </w:rPr>
      </w:pPr>
      <w:r>
        <w:rPr>
          <w:rFonts w:hint="eastAsia" w:ascii="宋体" w:hAnsi="宋体" w:cs="Arial"/>
          <w:b/>
          <w:sz w:val="24"/>
        </w:rPr>
        <w:t>七、资格审查资料（网上报名者，资格审查资料中的</w:t>
      </w:r>
      <w:r>
        <w:rPr>
          <w:rFonts w:hint="eastAsia" w:ascii="宋体" w:hAnsi="宋体" w:cs="Arial"/>
          <w:b/>
          <w:color w:val="FF0000"/>
          <w:sz w:val="24"/>
        </w:rPr>
        <w:t>证件原件</w:t>
      </w:r>
      <w:r>
        <w:rPr>
          <w:rFonts w:hint="eastAsia" w:ascii="宋体" w:hAnsi="宋体" w:cs="Arial"/>
          <w:b/>
          <w:sz w:val="24"/>
        </w:rPr>
        <w:t>投标截止时间前在开标现场查验，无需装入资信及商务文件包装袋内，复印件装入资信及商务包装袋内）：</w:t>
      </w:r>
    </w:p>
    <w:p>
      <w:pPr>
        <w:snapToGrid w:val="0"/>
        <w:spacing w:line="312" w:lineRule="auto"/>
        <w:ind w:firstLine="470" w:firstLineChars="196"/>
        <w:jc w:val="left"/>
        <w:rPr>
          <w:rFonts w:ascii="宋体" w:hAnsi="宋体"/>
          <w:color w:val="000000"/>
          <w:sz w:val="24"/>
        </w:rPr>
      </w:pPr>
      <w:r>
        <w:rPr>
          <w:rFonts w:hint="eastAsia" w:ascii="宋体" w:hAnsi="宋体"/>
          <w:color w:val="000000"/>
          <w:sz w:val="24"/>
        </w:rPr>
        <w:t>（1）企业法人营业执照原件及复印件；</w:t>
      </w:r>
    </w:p>
    <w:p>
      <w:pPr>
        <w:snapToGrid w:val="0"/>
        <w:spacing w:line="312" w:lineRule="auto"/>
        <w:ind w:firstLine="470" w:firstLineChars="196"/>
        <w:jc w:val="left"/>
        <w:rPr>
          <w:rFonts w:ascii="宋体" w:hAnsi="宋体"/>
          <w:b/>
          <w:color w:val="000000"/>
          <w:sz w:val="24"/>
        </w:rPr>
      </w:pPr>
      <w:r>
        <w:rPr>
          <w:rFonts w:hint="eastAsia" w:ascii="宋体" w:hAnsi="宋体"/>
          <w:color w:val="000000"/>
          <w:sz w:val="24"/>
        </w:rPr>
        <w:t>（2）法定代表人授权委托书及经办人身份证原件及复印件；</w:t>
      </w:r>
    </w:p>
    <w:p>
      <w:pPr>
        <w:snapToGrid w:val="0"/>
        <w:spacing w:line="312" w:lineRule="auto"/>
        <w:ind w:firstLine="482" w:firstLineChars="200"/>
        <w:rPr>
          <w:rFonts w:ascii="宋体" w:hAnsi="宋体"/>
          <w:b/>
          <w:bCs/>
          <w:color w:val="000000"/>
          <w:sz w:val="24"/>
        </w:rPr>
      </w:pPr>
      <w:r>
        <w:rPr>
          <w:rFonts w:hint="eastAsia" w:ascii="宋体" w:hAnsi="宋体"/>
          <w:b/>
          <w:bCs/>
          <w:color w:val="000000"/>
          <w:sz w:val="24"/>
        </w:rPr>
        <w:t>（3）以上复印件均需加盖单位公章，并装订成册。</w:t>
      </w:r>
    </w:p>
    <w:p>
      <w:pPr>
        <w:snapToGrid w:val="0"/>
        <w:spacing w:line="312" w:lineRule="auto"/>
        <w:ind w:firstLine="482" w:firstLineChars="200"/>
        <w:jc w:val="left"/>
        <w:rPr>
          <w:rFonts w:ascii="宋体" w:hAnsi="宋体" w:cs="Arial"/>
          <w:color w:val="000000"/>
          <w:sz w:val="24"/>
          <w:szCs w:val="20"/>
          <w:highlight w:val="none"/>
        </w:rPr>
      </w:pPr>
      <w:r>
        <w:rPr>
          <w:rFonts w:hint="eastAsia" w:ascii="宋体" w:hAnsi="宋体" w:cs="Arial"/>
          <w:b/>
          <w:bCs/>
          <w:color w:val="000000"/>
          <w:sz w:val="24"/>
        </w:rPr>
        <w:t>八、投标截止</w:t>
      </w:r>
      <w:r>
        <w:rPr>
          <w:rFonts w:hint="eastAsia" w:ascii="宋体" w:hAnsi="宋体" w:cs="Arial"/>
          <w:b/>
          <w:bCs/>
          <w:color w:val="000000"/>
          <w:sz w:val="24"/>
          <w:highlight w:val="none"/>
        </w:rPr>
        <w:t>时间和地点</w:t>
      </w:r>
      <w:r>
        <w:rPr>
          <w:rFonts w:hint="eastAsia" w:ascii="宋体" w:hAnsi="宋体" w:cs="Arial"/>
          <w:color w:val="000000"/>
          <w:sz w:val="24"/>
          <w:highlight w:val="none"/>
        </w:rPr>
        <w:t>：</w:t>
      </w:r>
    </w:p>
    <w:p>
      <w:pPr>
        <w:snapToGrid w:val="0"/>
        <w:spacing w:line="312" w:lineRule="auto"/>
        <w:ind w:firstLine="480" w:firstLineChars="200"/>
        <w:jc w:val="left"/>
        <w:rPr>
          <w:rFonts w:ascii="宋体" w:hAnsi="宋体"/>
          <w:color w:val="000000"/>
          <w:sz w:val="24"/>
          <w:highlight w:val="none"/>
        </w:rPr>
      </w:pPr>
      <w:r>
        <w:rPr>
          <w:rFonts w:hint="eastAsia" w:ascii="宋体" w:hAnsi="宋体"/>
          <w:color w:val="000000"/>
          <w:sz w:val="24"/>
          <w:highlight w:val="none"/>
        </w:rPr>
        <w:t>投标人应于2019年</w:t>
      </w:r>
      <w:r>
        <w:rPr>
          <w:rFonts w:hint="eastAsia" w:ascii="宋体" w:hAnsi="宋体"/>
          <w:color w:val="000000"/>
          <w:sz w:val="24"/>
          <w:highlight w:val="none"/>
          <w:lang w:val="en-US" w:eastAsia="zh-CN"/>
        </w:rPr>
        <w:t>6</w:t>
      </w:r>
      <w:r>
        <w:rPr>
          <w:rFonts w:hint="eastAsia" w:ascii="宋体" w:hAnsi="宋体"/>
          <w:color w:val="000000"/>
          <w:sz w:val="24"/>
          <w:highlight w:val="none"/>
        </w:rPr>
        <w:t>月</w:t>
      </w:r>
      <w:r>
        <w:rPr>
          <w:rFonts w:hint="eastAsia" w:ascii="宋体" w:hAnsi="宋体"/>
          <w:color w:val="000000"/>
          <w:sz w:val="24"/>
          <w:highlight w:val="none"/>
          <w:lang w:val="en-US" w:eastAsia="zh-CN"/>
        </w:rPr>
        <w:t>18</w:t>
      </w:r>
      <w:r>
        <w:rPr>
          <w:rFonts w:hint="eastAsia" w:ascii="宋体" w:hAnsi="宋体"/>
          <w:color w:val="000000"/>
          <w:sz w:val="24"/>
          <w:highlight w:val="none"/>
        </w:rPr>
        <w:t>日09：30时前将投标文件密封送交到东阳市艺海北路388号（行政服务中心）B幢西区10楼开标室4，逾期送达或未密封将拒绝接收。</w:t>
      </w:r>
    </w:p>
    <w:p>
      <w:pPr>
        <w:snapToGrid w:val="0"/>
        <w:spacing w:line="312" w:lineRule="auto"/>
        <w:ind w:firstLine="482" w:firstLineChars="200"/>
        <w:jc w:val="left"/>
        <w:rPr>
          <w:rFonts w:ascii="宋体" w:hAnsi="宋体"/>
          <w:color w:val="000000"/>
          <w:sz w:val="24"/>
          <w:highlight w:val="none"/>
        </w:rPr>
      </w:pPr>
      <w:r>
        <w:rPr>
          <w:rFonts w:hint="eastAsia" w:ascii="宋体" w:hAnsi="宋体"/>
          <w:b/>
          <w:bCs/>
          <w:color w:val="000000"/>
          <w:sz w:val="24"/>
          <w:highlight w:val="none"/>
        </w:rPr>
        <w:t>九</w:t>
      </w:r>
      <w:r>
        <w:rPr>
          <w:rFonts w:hint="eastAsia" w:ascii="宋体" w:hAnsi="宋体"/>
          <w:color w:val="000000"/>
          <w:sz w:val="24"/>
          <w:highlight w:val="none"/>
        </w:rPr>
        <w:t>、开标时间及地点：</w:t>
      </w:r>
    </w:p>
    <w:p>
      <w:pPr>
        <w:snapToGrid w:val="0"/>
        <w:spacing w:line="312" w:lineRule="auto"/>
        <w:ind w:firstLine="480" w:firstLineChars="200"/>
        <w:jc w:val="left"/>
        <w:rPr>
          <w:rFonts w:ascii="宋体" w:hAnsi="宋体" w:cs="Arial"/>
          <w:sz w:val="24"/>
        </w:rPr>
      </w:pPr>
      <w:r>
        <w:rPr>
          <w:rFonts w:hint="eastAsia" w:ascii="宋体" w:hAnsi="宋体"/>
          <w:color w:val="000000"/>
          <w:sz w:val="24"/>
          <w:highlight w:val="none"/>
        </w:rPr>
        <w:t>本次招标将于2019年</w:t>
      </w:r>
      <w:r>
        <w:rPr>
          <w:rFonts w:hint="eastAsia" w:ascii="宋体" w:hAnsi="宋体"/>
          <w:color w:val="000000"/>
          <w:sz w:val="24"/>
          <w:highlight w:val="none"/>
          <w:lang w:val="en-US" w:eastAsia="zh-CN"/>
        </w:rPr>
        <w:t>6</w:t>
      </w:r>
      <w:r>
        <w:rPr>
          <w:rFonts w:hint="eastAsia" w:ascii="宋体" w:hAnsi="宋体"/>
          <w:color w:val="000000"/>
          <w:sz w:val="24"/>
          <w:highlight w:val="none"/>
        </w:rPr>
        <w:t>月</w:t>
      </w:r>
      <w:r>
        <w:rPr>
          <w:rFonts w:hint="eastAsia" w:ascii="宋体" w:hAnsi="宋体"/>
          <w:color w:val="000000"/>
          <w:sz w:val="24"/>
          <w:highlight w:val="none"/>
          <w:lang w:val="en-US" w:eastAsia="zh-CN"/>
        </w:rPr>
        <w:t>18</w:t>
      </w:r>
      <w:r>
        <w:rPr>
          <w:rFonts w:hint="eastAsia" w:ascii="宋体" w:hAnsi="宋体"/>
          <w:color w:val="000000"/>
          <w:sz w:val="24"/>
          <w:highlight w:val="none"/>
        </w:rPr>
        <w:t>日09：30时 在 东阳市艺海北路388号（行政服务中心）B幢西区10楼开标室4开标，投</w:t>
      </w:r>
      <w:r>
        <w:rPr>
          <w:rFonts w:hint="eastAsia" w:ascii="宋体" w:hAnsi="宋体"/>
          <w:color w:val="000000"/>
          <w:sz w:val="24"/>
        </w:rPr>
        <w:t>标人可以派委托</w:t>
      </w:r>
      <w:r>
        <w:rPr>
          <w:rFonts w:hint="eastAsia" w:ascii="宋体" w:hAnsi="宋体" w:cs="Arial"/>
          <w:sz w:val="24"/>
        </w:rPr>
        <w:t>代理人出席开标会议【委托代理人应当是投标人的在职正式职工（以社保网站拉具的含授权代表的投标单位社保清单为准，无社保网站拉具的投标单位社保清单的，可以提供投标人注册所在地社保部门出具的投标人本单位缴纳社保花名册），并携带身份证等有效证件出席】。</w:t>
      </w:r>
    </w:p>
    <w:p>
      <w:pPr>
        <w:snapToGrid w:val="0"/>
        <w:spacing w:line="312" w:lineRule="auto"/>
        <w:ind w:firstLine="482" w:firstLineChars="200"/>
        <w:rPr>
          <w:rFonts w:ascii="宋体" w:hAnsi="Courier New"/>
          <w:b/>
          <w:color w:val="000000"/>
          <w:sz w:val="24"/>
        </w:rPr>
      </w:pPr>
      <w:r>
        <w:rPr>
          <w:rFonts w:hint="eastAsia" w:ascii="宋体" w:hAnsi="Courier New"/>
          <w:b/>
          <w:color w:val="000000"/>
          <w:sz w:val="24"/>
        </w:rPr>
        <w:t>十、开标会议携带资料要求：</w:t>
      </w:r>
    </w:p>
    <w:p>
      <w:pPr>
        <w:snapToGrid w:val="0"/>
        <w:spacing w:line="312" w:lineRule="auto"/>
        <w:ind w:firstLine="480" w:firstLineChars="200"/>
        <w:rPr>
          <w:rFonts w:ascii="宋体" w:hAnsi="宋体" w:cs="Arial"/>
          <w:sz w:val="24"/>
        </w:rPr>
      </w:pPr>
      <w:r>
        <w:rPr>
          <w:rFonts w:hint="eastAsia" w:ascii="宋体" w:hAnsi="宋体" w:cs="Arial"/>
          <w:sz w:val="24"/>
        </w:rPr>
        <w:t>投标人派代表参加开标会议时，法定代表人应携带法定代表人证明和身份证；授权代表应携带</w:t>
      </w:r>
      <w:r>
        <w:rPr>
          <w:rFonts w:hint="eastAsia" w:ascii="宋体" w:hAnsi="宋体" w:cs="Arial"/>
          <w:b/>
          <w:sz w:val="24"/>
        </w:rPr>
        <w:t>法定代表人授权委托书、身份证、投标单位缴纳的社保花名册</w:t>
      </w:r>
      <w:r>
        <w:rPr>
          <w:rFonts w:hint="eastAsia" w:ascii="宋体" w:hAnsi="宋体" w:cs="Arial"/>
          <w:sz w:val="24"/>
        </w:rPr>
        <w:t>等有效证明出席开标会议（注：授权代表应为投标人的在职正式职工，应提供社保网站拉具的含授权代表的投标单位社保清单，无社保网站拉具的投标单位社保清单的，可以提供投标人注册所在地社保部门出具的投标人本单位缴纳社保花名册）。</w:t>
      </w:r>
    </w:p>
    <w:p>
      <w:pPr>
        <w:snapToGrid w:val="0"/>
        <w:spacing w:line="312" w:lineRule="auto"/>
        <w:ind w:firstLine="482" w:firstLineChars="200"/>
        <w:rPr>
          <w:rFonts w:ascii="宋体" w:hAnsi="宋体" w:cs="Arial"/>
          <w:sz w:val="24"/>
        </w:rPr>
      </w:pPr>
      <w:r>
        <w:rPr>
          <w:rFonts w:hint="eastAsia" w:ascii="宋体" w:hAnsi="宋体" w:cs="Arial"/>
          <w:b/>
          <w:bCs/>
          <w:sz w:val="24"/>
        </w:rPr>
        <w:t>投标人未派代表参加开标会议的（含未携带以上规定资料参加开标会议的），视同认可开标结果，不得对开标过程及开标结果提出质疑。</w:t>
      </w:r>
    </w:p>
    <w:p>
      <w:pPr>
        <w:snapToGrid w:val="0"/>
        <w:spacing w:line="312" w:lineRule="auto"/>
        <w:ind w:left="479" w:leftChars="228"/>
        <w:outlineLvl w:val="0"/>
        <w:rPr>
          <w:rFonts w:ascii="宋体" w:hAnsi="宋体" w:cs="Arial"/>
          <w:b/>
          <w:color w:val="000000"/>
          <w:sz w:val="24"/>
        </w:rPr>
      </w:pPr>
      <w:r>
        <w:rPr>
          <w:rStyle w:val="21"/>
          <w:rFonts w:hint="eastAsia" w:cs="宋体"/>
          <w:sz w:val="24"/>
          <w:szCs w:val="24"/>
        </w:rPr>
        <w:t>十一、公告期限:</w:t>
      </w:r>
      <w:r>
        <w:rPr>
          <w:rFonts w:hint="eastAsia" w:ascii="宋体" w:hAnsi="宋体" w:cs="Arial"/>
          <w:b/>
          <w:bCs/>
          <w:sz w:val="24"/>
        </w:rPr>
        <w:t>本项目公告期限为5个工作日（以公告发布次日开始计算）</w:t>
      </w:r>
      <w:bookmarkStart w:id="0" w:name="_Toc22943"/>
      <w:r>
        <w:rPr>
          <w:rFonts w:hint="eastAsia" w:ascii="宋体" w:hAnsi="宋体" w:cs="Arial"/>
          <w:b/>
          <w:bCs/>
          <w:sz w:val="24"/>
        </w:rPr>
        <w:t>。十二、</w:t>
      </w:r>
      <w:r>
        <w:rPr>
          <w:rStyle w:val="21"/>
          <w:rFonts w:hint="eastAsia" w:cs="宋体"/>
          <w:sz w:val="24"/>
          <w:szCs w:val="24"/>
        </w:rPr>
        <w:t>业务咨询：</w:t>
      </w:r>
      <w:bookmarkEnd w:id="0"/>
    </w:p>
    <w:p>
      <w:pPr>
        <w:tabs>
          <w:tab w:val="right" w:pos="8849"/>
        </w:tabs>
        <w:spacing w:line="312" w:lineRule="auto"/>
        <w:rPr>
          <w:rFonts w:ascii="宋体" w:hAnsi="宋体"/>
          <w:sz w:val="24"/>
        </w:rPr>
      </w:pPr>
      <w:r>
        <w:rPr>
          <w:rFonts w:hint="eastAsia" w:ascii="宋体" w:hAnsi="宋体"/>
          <w:sz w:val="24"/>
        </w:rPr>
        <w:t>1.金华市公共资源交易中心东阳分中心联系人：何旺东、陈柏青、马沈良</w:t>
      </w:r>
    </w:p>
    <w:p>
      <w:pPr>
        <w:tabs>
          <w:tab w:val="right" w:pos="8849"/>
        </w:tabs>
        <w:spacing w:line="312" w:lineRule="auto"/>
        <w:ind w:left="540" w:leftChars="257" w:firstLine="120" w:firstLineChars="50"/>
        <w:rPr>
          <w:rFonts w:ascii="宋体" w:hAnsi="宋体"/>
          <w:sz w:val="24"/>
        </w:rPr>
      </w:pPr>
      <w:r>
        <w:rPr>
          <w:rFonts w:hint="eastAsia" w:ascii="宋体" w:hAnsi="宋体"/>
          <w:sz w:val="24"/>
        </w:rPr>
        <w:t>联系电话：0579-86691535     传真：0579-86691729、86691727</w:t>
      </w:r>
    </w:p>
    <w:p>
      <w:pPr>
        <w:tabs>
          <w:tab w:val="right" w:pos="8849"/>
        </w:tabs>
        <w:spacing w:line="312" w:lineRule="auto"/>
        <w:ind w:left="540" w:leftChars="257" w:firstLine="120" w:firstLineChars="50"/>
        <w:rPr>
          <w:rFonts w:ascii="宋体" w:hAnsi="宋体"/>
          <w:sz w:val="24"/>
        </w:rPr>
      </w:pPr>
      <w:r>
        <w:rPr>
          <w:rFonts w:hint="eastAsia" w:ascii="宋体" w:hAnsi="宋体"/>
          <w:sz w:val="24"/>
        </w:rPr>
        <w:t>联系地址：东阳市艺海北路388号（行政服务中心）B幢西区14楼。</w:t>
      </w:r>
    </w:p>
    <w:p>
      <w:pPr>
        <w:tabs>
          <w:tab w:val="right" w:pos="8849"/>
        </w:tabs>
        <w:spacing w:line="312" w:lineRule="auto"/>
        <w:rPr>
          <w:rFonts w:ascii="宋体" w:hAnsi="宋体"/>
          <w:sz w:val="24"/>
        </w:rPr>
      </w:pPr>
      <w:r>
        <w:rPr>
          <w:rFonts w:hint="eastAsia" w:ascii="宋体" w:hAnsi="宋体"/>
          <w:sz w:val="24"/>
        </w:rPr>
        <w:t>2.采购单位：东阳市环境卫生管理处    联系人： 金永华</w:t>
      </w:r>
    </w:p>
    <w:p>
      <w:pPr>
        <w:tabs>
          <w:tab w:val="right" w:pos="8849"/>
        </w:tabs>
        <w:spacing w:line="312" w:lineRule="auto"/>
        <w:ind w:firstLine="720" w:firstLineChars="300"/>
        <w:rPr>
          <w:rFonts w:ascii="宋体" w:hAnsi="宋体"/>
          <w:sz w:val="24"/>
        </w:rPr>
      </w:pPr>
      <w:r>
        <w:rPr>
          <w:rFonts w:hint="eastAsia" w:ascii="宋体" w:hAnsi="宋体"/>
          <w:sz w:val="24"/>
        </w:rPr>
        <w:t>联系电话：13967499294</w:t>
      </w:r>
    </w:p>
    <w:p>
      <w:pPr>
        <w:tabs>
          <w:tab w:val="right" w:pos="8849"/>
        </w:tabs>
        <w:spacing w:line="312" w:lineRule="auto"/>
        <w:rPr>
          <w:rFonts w:ascii="宋体" w:hAnsi="宋体"/>
          <w:sz w:val="24"/>
        </w:rPr>
      </w:pPr>
      <w:r>
        <w:rPr>
          <w:rFonts w:hint="eastAsia" w:ascii="宋体" w:hAnsi="宋体"/>
          <w:sz w:val="24"/>
        </w:rPr>
        <w:t>3.政府采购行政监管及投诉受理部门：东阳市财政局采购办   联系人：张莉</w:t>
      </w:r>
    </w:p>
    <w:p>
      <w:pPr>
        <w:tabs>
          <w:tab w:val="right" w:pos="8849"/>
        </w:tabs>
        <w:spacing w:line="312" w:lineRule="auto"/>
        <w:ind w:left="540" w:leftChars="257" w:firstLine="120" w:firstLineChars="50"/>
        <w:rPr>
          <w:rFonts w:ascii="宋体" w:hAnsi="宋体" w:cs="Arial"/>
          <w:sz w:val="24"/>
        </w:rPr>
      </w:pPr>
      <w:r>
        <w:rPr>
          <w:rFonts w:hint="eastAsia" w:ascii="宋体" w:hAnsi="宋体"/>
          <w:sz w:val="24"/>
        </w:rPr>
        <w:t xml:space="preserve">联系电话：0579-86662682       </w:t>
      </w:r>
      <w:r>
        <w:rPr>
          <w:rFonts w:hint="eastAsia" w:ascii="宋体" w:hAnsi="宋体" w:cs="Arial"/>
          <w:sz w:val="24"/>
        </w:rPr>
        <w:t>联系地址：东阳市人民北路8号</w:t>
      </w:r>
    </w:p>
    <w:p>
      <w:pPr>
        <w:snapToGrid w:val="0"/>
        <w:spacing w:line="312" w:lineRule="auto"/>
        <w:ind w:firstLine="600" w:firstLineChars="250"/>
        <w:rPr>
          <w:rFonts w:ascii="宋体" w:hAnsi="宋体"/>
          <w:sz w:val="24"/>
        </w:rPr>
      </w:pPr>
      <w:r>
        <w:rPr>
          <w:rFonts w:hint="eastAsia" w:ascii="宋体" w:hAnsi="宋体" w:cs="Arial"/>
          <w:sz w:val="24"/>
        </w:rPr>
        <w:t xml:space="preserve">东阳市公共资源交易管理委员会办公室       </w:t>
      </w:r>
      <w:r>
        <w:rPr>
          <w:rFonts w:hint="eastAsia" w:ascii="宋体" w:hAnsi="宋体"/>
          <w:sz w:val="24"/>
        </w:rPr>
        <w:t>联系人：张昌其</w:t>
      </w:r>
    </w:p>
    <w:p>
      <w:pPr>
        <w:snapToGrid w:val="0"/>
        <w:spacing w:line="312" w:lineRule="auto"/>
        <w:ind w:firstLine="600" w:firstLineChars="250"/>
        <w:rPr>
          <w:rFonts w:ascii="宋体" w:hAnsi="宋体"/>
          <w:sz w:val="24"/>
        </w:rPr>
      </w:pPr>
      <w:r>
        <w:rPr>
          <w:rFonts w:hint="eastAsia" w:ascii="宋体" w:hAnsi="宋体" w:cs="Arial"/>
          <w:sz w:val="24"/>
        </w:rPr>
        <w:t>联系电话：</w:t>
      </w:r>
      <w:r>
        <w:rPr>
          <w:rFonts w:ascii="宋体" w:hAnsi="宋体" w:cs="Arial"/>
          <w:sz w:val="24"/>
          <w:u w:val="single"/>
        </w:rPr>
        <w:t>05</w:t>
      </w:r>
      <w:r>
        <w:rPr>
          <w:rFonts w:hint="eastAsia" w:ascii="宋体" w:hAnsi="宋体" w:cs="Arial"/>
          <w:sz w:val="24"/>
          <w:u w:val="single"/>
        </w:rPr>
        <w:t>79-86691835</w:t>
      </w:r>
      <w:r>
        <w:rPr>
          <w:rFonts w:hint="eastAsia" w:ascii="宋体" w:hAnsi="宋体" w:cs="Arial"/>
          <w:sz w:val="24"/>
        </w:rPr>
        <w:t xml:space="preserve">        联系地址：</w:t>
      </w:r>
      <w:r>
        <w:rPr>
          <w:rFonts w:hint="eastAsia" w:ascii="宋体" w:hAnsi="宋体"/>
          <w:sz w:val="24"/>
        </w:rPr>
        <w:t>东阳市艺海北路388号（行政服务中心）C幢10楼</w:t>
      </w:r>
    </w:p>
    <w:p>
      <w:pPr>
        <w:snapToGrid w:val="0"/>
        <w:spacing w:line="312" w:lineRule="auto"/>
        <w:ind w:left="238" w:firstLine="3373" w:firstLineChars="1400"/>
        <w:rPr>
          <w:rFonts w:ascii="宋体" w:hAnsi="宋体"/>
          <w:b/>
          <w:bCs/>
          <w:color w:val="000000"/>
          <w:sz w:val="24"/>
          <w:szCs w:val="20"/>
        </w:rPr>
      </w:pPr>
      <w:r>
        <w:rPr>
          <w:rFonts w:hint="eastAsia" w:ascii="宋体" w:hAnsi="宋体" w:cs="Arial"/>
          <w:b/>
          <w:bCs/>
          <w:color w:val="000000"/>
          <w:sz w:val="24"/>
        </w:rPr>
        <w:t xml:space="preserve"> 金华市公共资源交易中心东阳分中心</w:t>
      </w:r>
    </w:p>
    <w:p>
      <w:pPr>
        <w:snapToGrid w:val="0"/>
        <w:spacing w:line="312" w:lineRule="auto"/>
        <w:ind w:left="238"/>
        <w:jc w:val="center"/>
        <w:rPr>
          <w:rFonts w:ascii="宋体" w:hAnsi="宋体" w:cs="Arial"/>
          <w:b/>
          <w:bCs/>
          <w:color w:val="000000"/>
          <w:sz w:val="24"/>
        </w:rPr>
      </w:pPr>
      <w:r>
        <w:rPr>
          <w:rFonts w:hint="eastAsia" w:ascii="宋体" w:hAnsi="宋体" w:cs="Arial"/>
          <w:b/>
          <w:bCs/>
          <w:color w:val="000000"/>
          <w:sz w:val="24"/>
        </w:rPr>
        <w:t xml:space="preserve">               　                  2019年</w:t>
      </w:r>
      <w:r>
        <w:rPr>
          <w:rFonts w:hint="eastAsia" w:ascii="宋体" w:hAnsi="宋体" w:cs="Arial"/>
          <w:b/>
          <w:bCs/>
          <w:color w:val="000000"/>
          <w:sz w:val="24"/>
          <w:lang w:val="en-US" w:eastAsia="zh-CN"/>
        </w:rPr>
        <w:t>5</w:t>
      </w:r>
      <w:r>
        <w:rPr>
          <w:rFonts w:hint="eastAsia" w:ascii="宋体" w:hAnsi="宋体" w:cs="Arial"/>
          <w:b/>
          <w:bCs/>
          <w:color w:val="000000"/>
          <w:sz w:val="24"/>
        </w:rPr>
        <w:t>月</w:t>
      </w:r>
      <w:r>
        <w:rPr>
          <w:rFonts w:hint="eastAsia" w:ascii="宋体" w:hAnsi="宋体" w:cs="Arial"/>
          <w:b/>
          <w:bCs/>
          <w:color w:val="000000"/>
          <w:sz w:val="24"/>
          <w:lang w:val="en-US" w:eastAsia="zh-CN"/>
        </w:rPr>
        <w:t>27</w:t>
      </w:r>
      <w:r>
        <w:rPr>
          <w:rFonts w:hint="eastAsia" w:ascii="宋体" w:hAnsi="宋体" w:cs="Arial"/>
          <w:b/>
          <w:bCs/>
          <w:color w:val="000000"/>
          <w:sz w:val="24"/>
        </w:rPr>
        <w:t>日</w:t>
      </w:r>
    </w:p>
    <w:p>
      <w:pPr>
        <w:snapToGrid w:val="0"/>
        <w:spacing w:line="312" w:lineRule="auto"/>
        <w:rPr>
          <w:rFonts w:ascii="宋体" w:hAnsi="宋体" w:cs="Arial"/>
          <w:b/>
          <w:bCs/>
          <w:color w:val="000000"/>
          <w:sz w:val="24"/>
        </w:rPr>
      </w:pPr>
    </w:p>
    <w:p>
      <w:pPr>
        <w:snapToGrid w:val="0"/>
        <w:spacing w:line="312" w:lineRule="auto"/>
        <w:rPr>
          <w:rFonts w:ascii="宋体" w:hAnsi="宋体" w:cs="Arial"/>
          <w:b/>
          <w:bCs/>
          <w:color w:val="000000"/>
          <w:sz w:val="24"/>
        </w:rPr>
      </w:pPr>
    </w:p>
    <w:p>
      <w:pPr>
        <w:pStyle w:val="8"/>
        <w:numPr>
          <w:ilvl w:val="0"/>
          <w:numId w:val="3"/>
        </w:numPr>
        <w:snapToGrid w:val="0"/>
        <w:spacing w:before="120" w:afterLines="0" w:line="240" w:lineRule="auto"/>
        <w:jc w:val="center"/>
        <w:outlineLvl w:val="0"/>
        <w:rPr>
          <w:rFonts w:ascii="黑体" w:hAnsi="宋体" w:eastAsia="黑体"/>
          <w:b/>
          <w:color w:val="000000"/>
          <w:sz w:val="30"/>
          <w:szCs w:val="30"/>
        </w:rPr>
      </w:pPr>
      <w:r>
        <w:rPr>
          <w:rFonts w:hint="eastAsia" w:ascii="黑体" w:hAnsi="宋体" w:eastAsia="黑体"/>
          <w:b/>
          <w:color w:val="000000"/>
          <w:sz w:val="30"/>
          <w:szCs w:val="30"/>
        </w:rPr>
        <w:t xml:space="preserve"> 招标需求</w:t>
      </w:r>
    </w:p>
    <w:p>
      <w:pPr>
        <w:snapToGrid w:val="0"/>
        <w:spacing w:line="360" w:lineRule="auto"/>
        <w:rPr>
          <w:rStyle w:val="27"/>
          <w:rFonts w:cs="宋体"/>
        </w:rPr>
      </w:pPr>
      <w:r>
        <w:rPr>
          <w:rStyle w:val="27"/>
          <w:rFonts w:hint="eastAsia" w:cs="宋体"/>
        </w:rPr>
        <w:t>一、采购内容及数量</w:t>
      </w:r>
    </w:p>
    <w:tbl>
      <w:tblPr>
        <w:tblStyle w:val="1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881"/>
        <w:gridCol w:w="2235"/>
        <w:gridCol w:w="1749"/>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rPr>
        <w:tc>
          <w:tcPr>
            <w:tcW w:w="645" w:type="dxa"/>
            <w:noWrap/>
            <w:vAlign w:val="center"/>
          </w:tcPr>
          <w:p>
            <w:pPr>
              <w:pStyle w:val="8"/>
              <w:spacing w:before="120" w:after="120" w:line="312" w:lineRule="auto"/>
              <w:jc w:val="center"/>
              <w:rPr>
                <w:b/>
                <w:color w:val="000000"/>
                <w:sz w:val="21"/>
                <w:szCs w:val="21"/>
              </w:rPr>
            </w:pPr>
            <w:r>
              <w:rPr>
                <w:rFonts w:hint="eastAsia"/>
                <w:b/>
                <w:color w:val="000000"/>
                <w:sz w:val="21"/>
                <w:szCs w:val="21"/>
              </w:rPr>
              <w:t>标项</w:t>
            </w:r>
          </w:p>
        </w:tc>
        <w:tc>
          <w:tcPr>
            <w:tcW w:w="2881" w:type="dxa"/>
            <w:noWrap/>
            <w:vAlign w:val="center"/>
          </w:tcPr>
          <w:p>
            <w:pPr>
              <w:pStyle w:val="8"/>
              <w:spacing w:before="120" w:after="120" w:line="312" w:lineRule="auto"/>
              <w:jc w:val="center"/>
              <w:rPr>
                <w:b/>
                <w:color w:val="000000"/>
                <w:sz w:val="21"/>
                <w:szCs w:val="21"/>
              </w:rPr>
            </w:pPr>
            <w:r>
              <w:rPr>
                <w:rFonts w:hint="eastAsia"/>
                <w:b/>
                <w:color w:val="000000"/>
                <w:sz w:val="21"/>
                <w:szCs w:val="21"/>
              </w:rPr>
              <w:t>货物名称</w:t>
            </w:r>
          </w:p>
        </w:tc>
        <w:tc>
          <w:tcPr>
            <w:tcW w:w="2235" w:type="dxa"/>
            <w:noWrap/>
            <w:vAlign w:val="center"/>
          </w:tcPr>
          <w:p>
            <w:pPr>
              <w:pStyle w:val="8"/>
              <w:spacing w:before="120" w:after="120" w:line="312" w:lineRule="auto"/>
              <w:jc w:val="center"/>
              <w:rPr>
                <w:b/>
                <w:color w:val="000000"/>
                <w:sz w:val="21"/>
                <w:szCs w:val="21"/>
              </w:rPr>
            </w:pPr>
            <w:r>
              <w:rPr>
                <w:rFonts w:hint="eastAsia"/>
                <w:b/>
                <w:color w:val="000000"/>
                <w:sz w:val="21"/>
                <w:szCs w:val="21"/>
              </w:rPr>
              <w:t>型号技术规格</w:t>
            </w:r>
          </w:p>
        </w:tc>
        <w:tc>
          <w:tcPr>
            <w:tcW w:w="1749" w:type="dxa"/>
            <w:noWrap/>
            <w:vAlign w:val="center"/>
          </w:tcPr>
          <w:p>
            <w:pPr>
              <w:pStyle w:val="8"/>
              <w:spacing w:before="120" w:after="120" w:line="312" w:lineRule="auto"/>
              <w:jc w:val="center"/>
              <w:rPr>
                <w:b/>
                <w:color w:val="000000"/>
                <w:sz w:val="21"/>
                <w:szCs w:val="21"/>
              </w:rPr>
            </w:pPr>
            <w:r>
              <w:rPr>
                <w:rFonts w:hint="eastAsia"/>
                <w:b/>
                <w:color w:val="000000"/>
                <w:sz w:val="21"/>
                <w:szCs w:val="21"/>
              </w:rPr>
              <w:t>数量</w:t>
            </w:r>
          </w:p>
        </w:tc>
        <w:tc>
          <w:tcPr>
            <w:tcW w:w="1595" w:type="dxa"/>
            <w:noWrap/>
            <w:vAlign w:val="center"/>
          </w:tcPr>
          <w:p>
            <w:pPr>
              <w:pStyle w:val="8"/>
              <w:spacing w:before="120" w:after="120" w:line="312" w:lineRule="auto"/>
              <w:jc w:val="center"/>
              <w:rPr>
                <w:b/>
                <w:color w:val="000000"/>
                <w:sz w:val="21"/>
                <w:szCs w:val="21"/>
              </w:rPr>
            </w:pPr>
            <w:r>
              <w:rPr>
                <w:rFonts w:hint="eastAsia"/>
                <w:b/>
                <w:color w:val="000000"/>
                <w:sz w:val="21"/>
                <w:szCs w:val="21"/>
              </w:rPr>
              <w:t>预算价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trPr>
        <w:tc>
          <w:tcPr>
            <w:tcW w:w="645" w:type="dxa"/>
            <w:noWrap/>
            <w:vAlign w:val="center"/>
          </w:tcPr>
          <w:p>
            <w:pPr>
              <w:pStyle w:val="8"/>
              <w:spacing w:before="120" w:after="120" w:line="312" w:lineRule="auto"/>
              <w:jc w:val="center"/>
              <w:rPr>
                <w:bCs/>
                <w:color w:val="000000"/>
                <w:sz w:val="21"/>
                <w:szCs w:val="21"/>
              </w:rPr>
            </w:pPr>
            <w:r>
              <w:rPr>
                <w:rFonts w:hint="eastAsia"/>
                <w:bCs/>
                <w:color w:val="000000"/>
                <w:sz w:val="21"/>
                <w:szCs w:val="21"/>
              </w:rPr>
              <w:t>1</w:t>
            </w:r>
          </w:p>
        </w:tc>
        <w:tc>
          <w:tcPr>
            <w:tcW w:w="2881"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EM菌生物除臭剂、</w:t>
            </w:r>
          </w:p>
          <w:p>
            <w:pPr>
              <w:pStyle w:val="8"/>
              <w:spacing w:before="120" w:after="120" w:line="312" w:lineRule="auto"/>
              <w:jc w:val="center"/>
              <w:rPr>
                <w:b/>
                <w:sz w:val="28"/>
                <w:szCs w:val="28"/>
              </w:rPr>
            </w:pPr>
            <w:r>
              <w:rPr>
                <w:rFonts w:hint="eastAsia" w:ascii="Times New Roman" w:hAnsi="Times New Roman"/>
                <w:bCs/>
                <w:color w:val="000000"/>
                <w:sz w:val="21"/>
                <w:szCs w:val="21"/>
              </w:rPr>
              <w:t>植物除臭剂、</w:t>
            </w:r>
          </w:p>
        </w:tc>
        <w:tc>
          <w:tcPr>
            <w:tcW w:w="2235"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详见第二章“招标需求”</w:t>
            </w:r>
          </w:p>
        </w:tc>
        <w:tc>
          <w:tcPr>
            <w:tcW w:w="1749"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EM菌生物除臭剂32吨</w:t>
            </w:r>
          </w:p>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植物除臭剂352吨。</w:t>
            </w:r>
          </w:p>
        </w:tc>
        <w:tc>
          <w:tcPr>
            <w:tcW w:w="1595"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7</w:t>
            </w:r>
            <w:r>
              <w:rPr>
                <w:rFonts w:hint="eastAsia" w:ascii="Times New Roman" w:hAnsi="Times New Roman"/>
                <w:bCs/>
                <w:color w:val="000000"/>
                <w:sz w:val="21"/>
                <w:szCs w:val="21"/>
                <w:lang w:val="en-US" w:eastAsia="zh-CN"/>
              </w:rPr>
              <w:t>66</w:t>
            </w:r>
            <w:r>
              <w:rPr>
                <w:rFonts w:hint="eastAsia" w:ascii="Times New Roman" w:hAnsi="Times New Roman"/>
                <w:bCs/>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5" w:type="dxa"/>
            <w:noWrap/>
            <w:vAlign w:val="center"/>
          </w:tcPr>
          <w:p>
            <w:pPr>
              <w:pStyle w:val="8"/>
              <w:spacing w:before="120" w:after="120" w:line="312" w:lineRule="auto"/>
              <w:jc w:val="center"/>
              <w:rPr>
                <w:bCs/>
                <w:color w:val="000000"/>
                <w:sz w:val="21"/>
                <w:szCs w:val="21"/>
              </w:rPr>
            </w:pPr>
            <w:r>
              <w:rPr>
                <w:rFonts w:hint="eastAsia"/>
                <w:bCs/>
                <w:color w:val="000000"/>
                <w:sz w:val="21"/>
                <w:szCs w:val="21"/>
              </w:rPr>
              <w:t>2</w:t>
            </w:r>
          </w:p>
        </w:tc>
        <w:tc>
          <w:tcPr>
            <w:tcW w:w="2881" w:type="dxa"/>
            <w:noWrap/>
            <w:vAlign w:val="center"/>
          </w:tcPr>
          <w:p>
            <w:pPr>
              <w:pStyle w:val="8"/>
              <w:spacing w:before="120" w:after="120" w:line="312" w:lineRule="auto"/>
              <w:jc w:val="center"/>
              <w:rPr>
                <w:rFonts w:hint="eastAsia" w:ascii="Times New Roman" w:hAnsi="Times New Roman" w:eastAsia="宋体"/>
                <w:bCs/>
                <w:color w:val="000000"/>
                <w:sz w:val="21"/>
                <w:szCs w:val="21"/>
                <w:lang w:eastAsia="zh-CN"/>
              </w:rPr>
            </w:pPr>
            <w:r>
              <w:rPr>
                <w:rFonts w:hint="eastAsia" w:ascii="Times New Roman" w:hAnsi="Times New Roman"/>
                <w:bCs/>
                <w:color w:val="000000"/>
                <w:sz w:val="21"/>
                <w:szCs w:val="21"/>
                <w:lang w:eastAsia="zh-CN"/>
              </w:rPr>
              <w:t>灭蝇药剂</w:t>
            </w:r>
          </w:p>
        </w:tc>
        <w:tc>
          <w:tcPr>
            <w:tcW w:w="2235" w:type="dxa"/>
            <w:noWrap/>
            <w:vAlign w:val="center"/>
          </w:tcPr>
          <w:p>
            <w:pPr>
              <w:pStyle w:val="8"/>
              <w:spacing w:before="120" w:after="120" w:line="312" w:lineRule="auto"/>
              <w:jc w:val="center"/>
              <w:rPr>
                <w:rFonts w:ascii="Times New Roman" w:hAnsi="Times New Roman"/>
                <w:bCs/>
                <w:color w:val="000000"/>
                <w:sz w:val="21"/>
                <w:szCs w:val="21"/>
              </w:rPr>
            </w:pPr>
            <w:r>
              <w:rPr>
                <w:rFonts w:hint="eastAsia" w:ascii="Times New Roman" w:hAnsi="Times New Roman"/>
                <w:bCs/>
                <w:color w:val="000000"/>
                <w:sz w:val="21"/>
                <w:szCs w:val="21"/>
              </w:rPr>
              <w:t>详见第二章“招标需求”</w:t>
            </w:r>
          </w:p>
        </w:tc>
        <w:tc>
          <w:tcPr>
            <w:tcW w:w="1749" w:type="dxa"/>
            <w:noWrap/>
            <w:vAlign w:val="center"/>
          </w:tcPr>
          <w:p>
            <w:pPr>
              <w:pStyle w:val="8"/>
              <w:spacing w:before="120" w:after="120" w:line="312" w:lineRule="auto"/>
              <w:jc w:val="center"/>
              <w:rPr>
                <w:rFonts w:ascii="Times New Roman" w:hAnsi="Times New Roman"/>
                <w:bCs/>
                <w:color w:val="000000"/>
                <w:sz w:val="21"/>
                <w:szCs w:val="21"/>
                <w:shd w:val="clear" w:color="auto" w:fill="FFFFFF" w:themeFill="background1"/>
              </w:rPr>
            </w:pPr>
            <w:r>
              <w:rPr>
                <w:rFonts w:hint="eastAsia" w:ascii="Times New Roman" w:hAnsi="Times New Roman"/>
                <w:bCs/>
                <w:color w:val="000000"/>
                <w:sz w:val="21"/>
                <w:szCs w:val="21"/>
                <w:shd w:val="clear" w:color="auto" w:fill="FFFFFF" w:themeFill="background1"/>
              </w:rPr>
              <w:t>300公斤</w:t>
            </w:r>
          </w:p>
        </w:tc>
        <w:tc>
          <w:tcPr>
            <w:tcW w:w="1595" w:type="dxa"/>
            <w:noWrap/>
            <w:vAlign w:val="center"/>
          </w:tcPr>
          <w:p>
            <w:pPr>
              <w:pStyle w:val="8"/>
              <w:spacing w:before="120" w:after="120" w:line="312" w:lineRule="auto"/>
              <w:jc w:val="center"/>
              <w:rPr>
                <w:rFonts w:ascii="Times New Roman" w:hAnsi="Times New Roman"/>
                <w:bCs/>
                <w:color w:val="000000"/>
                <w:sz w:val="21"/>
                <w:szCs w:val="21"/>
                <w:shd w:val="clear" w:color="auto" w:fill="FFFFFF" w:themeFill="background1"/>
              </w:rPr>
            </w:pPr>
            <w:r>
              <w:rPr>
                <w:rFonts w:hint="eastAsia" w:ascii="Times New Roman" w:hAnsi="Times New Roman"/>
                <w:bCs/>
                <w:color w:val="000000"/>
                <w:sz w:val="21"/>
                <w:szCs w:val="21"/>
                <w:shd w:val="clear" w:color="auto" w:fill="FFFFFF" w:themeFill="background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5" w:type="dxa"/>
            <w:noWrap/>
            <w:vAlign w:val="center"/>
          </w:tcPr>
          <w:p>
            <w:pPr>
              <w:pStyle w:val="8"/>
              <w:spacing w:before="120" w:after="120" w:line="312" w:lineRule="auto"/>
              <w:jc w:val="center"/>
              <w:rPr>
                <w:rFonts w:hint="eastAsia" w:eastAsia="宋体"/>
                <w:bCs/>
                <w:color w:val="000000"/>
                <w:sz w:val="21"/>
                <w:szCs w:val="21"/>
                <w:lang w:val="en-US" w:eastAsia="zh-CN"/>
              </w:rPr>
            </w:pPr>
            <w:r>
              <w:rPr>
                <w:rFonts w:hint="eastAsia"/>
                <w:bCs/>
                <w:color w:val="000000"/>
                <w:sz w:val="21"/>
                <w:szCs w:val="21"/>
                <w:lang w:val="en-US" w:eastAsia="zh-CN"/>
              </w:rPr>
              <w:t>3</w:t>
            </w:r>
          </w:p>
        </w:tc>
        <w:tc>
          <w:tcPr>
            <w:tcW w:w="2881" w:type="dxa"/>
            <w:noWrap/>
            <w:vAlign w:val="center"/>
          </w:tcPr>
          <w:p>
            <w:pPr>
              <w:pStyle w:val="8"/>
              <w:spacing w:before="120" w:after="120" w:line="312" w:lineRule="auto"/>
              <w:jc w:val="center"/>
              <w:rPr>
                <w:rFonts w:hint="eastAsia" w:ascii="Times New Roman" w:hAnsi="Times New Roman" w:eastAsia="宋体"/>
                <w:bCs/>
                <w:color w:val="000000"/>
                <w:sz w:val="21"/>
                <w:szCs w:val="21"/>
                <w:lang w:eastAsia="zh-CN"/>
              </w:rPr>
            </w:pPr>
            <w:r>
              <w:rPr>
                <w:rFonts w:hint="eastAsia" w:ascii="Times New Roman" w:hAnsi="Times New Roman"/>
                <w:bCs/>
                <w:color w:val="000000"/>
                <w:sz w:val="21"/>
                <w:szCs w:val="21"/>
                <w:lang w:eastAsia="zh-CN"/>
              </w:rPr>
              <w:t>道路清洗除臭剂</w:t>
            </w:r>
          </w:p>
        </w:tc>
        <w:tc>
          <w:tcPr>
            <w:tcW w:w="2235" w:type="dxa"/>
            <w:noWrap/>
            <w:vAlign w:val="center"/>
          </w:tcPr>
          <w:p>
            <w:pPr>
              <w:pStyle w:val="8"/>
              <w:spacing w:before="120" w:after="120" w:line="312" w:lineRule="auto"/>
              <w:jc w:val="center"/>
              <w:rPr>
                <w:rFonts w:hint="eastAsia" w:ascii="Times New Roman" w:hAnsi="Times New Roman"/>
                <w:bCs/>
                <w:color w:val="000000"/>
                <w:sz w:val="21"/>
                <w:szCs w:val="21"/>
              </w:rPr>
            </w:pPr>
            <w:r>
              <w:rPr>
                <w:rFonts w:hint="eastAsia" w:ascii="Times New Roman" w:hAnsi="Times New Roman"/>
                <w:bCs/>
                <w:color w:val="000000"/>
                <w:sz w:val="21"/>
                <w:szCs w:val="21"/>
              </w:rPr>
              <w:t>详见第二章“招标需求”</w:t>
            </w:r>
          </w:p>
        </w:tc>
        <w:tc>
          <w:tcPr>
            <w:tcW w:w="1749" w:type="dxa"/>
            <w:noWrap/>
            <w:vAlign w:val="center"/>
          </w:tcPr>
          <w:p>
            <w:pPr>
              <w:pStyle w:val="8"/>
              <w:spacing w:before="120" w:after="120" w:line="312" w:lineRule="auto"/>
              <w:jc w:val="center"/>
              <w:rPr>
                <w:rFonts w:hint="eastAsia" w:ascii="Times New Roman" w:hAnsi="Times New Roman"/>
                <w:bCs/>
                <w:color w:val="000000"/>
                <w:sz w:val="21"/>
                <w:szCs w:val="21"/>
                <w:shd w:val="clear" w:color="auto" w:fill="FFFFFF" w:themeFill="background1"/>
              </w:rPr>
            </w:pPr>
            <w:r>
              <w:rPr>
                <w:rFonts w:hint="eastAsia" w:ascii="Times New Roman" w:hAnsi="Times New Roman"/>
                <w:bCs/>
                <w:color w:val="000000"/>
                <w:sz w:val="21"/>
                <w:szCs w:val="21"/>
              </w:rPr>
              <w:t>道路清洗</w:t>
            </w:r>
            <w:r>
              <w:rPr>
                <w:rFonts w:hint="eastAsia" w:ascii="Times New Roman" w:hAnsi="Times New Roman"/>
                <w:bCs/>
                <w:color w:val="000000"/>
                <w:sz w:val="21"/>
                <w:szCs w:val="21"/>
                <w:lang w:eastAsia="zh-CN"/>
              </w:rPr>
              <w:t>除臭</w:t>
            </w:r>
            <w:r>
              <w:rPr>
                <w:rFonts w:hint="eastAsia" w:ascii="Times New Roman" w:hAnsi="Times New Roman"/>
                <w:bCs/>
                <w:color w:val="000000"/>
                <w:sz w:val="21"/>
                <w:szCs w:val="21"/>
              </w:rPr>
              <w:t>剂12吨</w:t>
            </w:r>
          </w:p>
        </w:tc>
        <w:tc>
          <w:tcPr>
            <w:tcW w:w="1595" w:type="dxa"/>
            <w:noWrap/>
            <w:vAlign w:val="center"/>
          </w:tcPr>
          <w:p>
            <w:pPr>
              <w:pStyle w:val="8"/>
              <w:spacing w:before="120" w:after="120" w:line="312" w:lineRule="auto"/>
              <w:jc w:val="center"/>
              <w:rPr>
                <w:rFonts w:hint="default" w:ascii="Times New Roman" w:hAnsi="Times New Roman" w:eastAsia="宋体"/>
                <w:bCs/>
                <w:color w:val="000000"/>
                <w:sz w:val="21"/>
                <w:szCs w:val="21"/>
                <w:shd w:val="clear" w:color="auto" w:fill="FFFFFF" w:themeFill="background1"/>
                <w:lang w:val="en-US" w:eastAsia="zh-CN"/>
              </w:rPr>
            </w:pPr>
            <w:r>
              <w:rPr>
                <w:rFonts w:hint="eastAsia" w:ascii="Times New Roman" w:hAnsi="Times New Roman"/>
                <w:bCs/>
                <w:color w:val="000000"/>
                <w:sz w:val="21"/>
                <w:szCs w:val="21"/>
                <w:shd w:val="clear" w:color="auto" w:fill="FFFFFF" w:themeFill="background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5" w:type="dxa"/>
            <w:noWrap/>
            <w:vAlign w:val="center"/>
          </w:tcPr>
          <w:p>
            <w:pPr>
              <w:pStyle w:val="8"/>
              <w:spacing w:before="120" w:after="120" w:line="312" w:lineRule="auto"/>
              <w:jc w:val="center"/>
              <w:rPr>
                <w:rFonts w:hint="eastAsia" w:eastAsia="宋体"/>
                <w:bCs/>
                <w:color w:val="000000"/>
                <w:sz w:val="21"/>
                <w:szCs w:val="21"/>
                <w:lang w:val="en-US" w:eastAsia="zh-CN"/>
              </w:rPr>
            </w:pPr>
            <w:r>
              <w:rPr>
                <w:rFonts w:hint="eastAsia"/>
                <w:bCs/>
                <w:color w:val="000000"/>
                <w:sz w:val="21"/>
                <w:szCs w:val="21"/>
                <w:lang w:val="en-US" w:eastAsia="zh-CN"/>
              </w:rPr>
              <w:t>4</w:t>
            </w:r>
          </w:p>
        </w:tc>
        <w:tc>
          <w:tcPr>
            <w:tcW w:w="2881" w:type="dxa"/>
            <w:noWrap/>
            <w:vAlign w:val="center"/>
          </w:tcPr>
          <w:p>
            <w:pPr>
              <w:pStyle w:val="8"/>
              <w:spacing w:before="120" w:after="120" w:line="312" w:lineRule="auto"/>
              <w:jc w:val="center"/>
              <w:rPr>
                <w:rFonts w:hint="eastAsia" w:ascii="Times New Roman" w:hAnsi="Times New Roman"/>
                <w:bCs/>
                <w:color w:val="000000"/>
                <w:sz w:val="21"/>
                <w:szCs w:val="21"/>
                <w:lang w:eastAsia="zh-CN"/>
              </w:rPr>
            </w:pPr>
            <w:r>
              <w:rPr>
                <w:rFonts w:hint="eastAsia" w:ascii="Times New Roman" w:hAnsi="Times New Roman"/>
                <w:bCs/>
                <w:color w:val="000000"/>
                <w:sz w:val="21"/>
                <w:szCs w:val="21"/>
              </w:rPr>
              <w:t>高射程雾炮器</w:t>
            </w:r>
          </w:p>
        </w:tc>
        <w:tc>
          <w:tcPr>
            <w:tcW w:w="2235" w:type="dxa"/>
            <w:noWrap/>
            <w:vAlign w:val="center"/>
          </w:tcPr>
          <w:p>
            <w:pPr>
              <w:pStyle w:val="8"/>
              <w:spacing w:before="120" w:after="120" w:line="312" w:lineRule="auto"/>
              <w:jc w:val="center"/>
              <w:rPr>
                <w:rFonts w:hint="eastAsia" w:ascii="Times New Roman" w:hAnsi="Times New Roman"/>
                <w:bCs/>
                <w:color w:val="000000"/>
                <w:sz w:val="21"/>
                <w:szCs w:val="21"/>
              </w:rPr>
            </w:pPr>
            <w:r>
              <w:rPr>
                <w:rFonts w:hint="eastAsia" w:ascii="Times New Roman" w:hAnsi="Times New Roman"/>
                <w:bCs/>
                <w:color w:val="000000"/>
                <w:sz w:val="21"/>
                <w:szCs w:val="21"/>
              </w:rPr>
              <w:t>详见第二章“招标需求”</w:t>
            </w:r>
          </w:p>
        </w:tc>
        <w:tc>
          <w:tcPr>
            <w:tcW w:w="1749" w:type="dxa"/>
            <w:noWrap/>
            <w:vAlign w:val="center"/>
          </w:tcPr>
          <w:p>
            <w:pPr>
              <w:pStyle w:val="8"/>
              <w:spacing w:before="120" w:after="120" w:line="312" w:lineRule="auto"/>
              <w:jc w:val="center"/>
              <w:rPr>
                <w:rFonts w:hint="eastAsia" w:ascii="Times New Roman" w:hAnsi="Times New Roman"/>
                <w:bCs/>
                <w:color w:val="000000"/>
                <w:sz w:val="21"/>
                <w:szCs w:val="21"/>
              </w:rPr>
            </w:pPr>
            <w:r>
              <w:rPr>
                <w:rFonts w:hint="eastAsia" w:ascii="Times New Roman" w:hAnsi="Times New Roman"/>
                <w:bCs/>
                <w:color w:val="000000"/>
                <w:sz w:val="21"/>
                <w:szCs w:val="21"/>
                <w:shd w:val="clear" w:color="auto" w:fill="FFFFFF" w:themeFill="background1"/>
              </w:rPr>
              <w:t>6台</w:t>
            </w:r>
          </w:p>
        </w:tc>
        <w:tc>
          <w:tcPr>
            <w:tcW w:w="1595" w:type="dxa"/>
            <w:noWrap/>
            <w:vAlign w:val="center"/>
          </w:tcPr>
          <w:p>
            <w:pPr>
              <w:pStyle w:val="8"/>
              <w:spacing w:before="120" w:after="120" w:line="312" w:lineRule="auto"/>
              <w:jc w:val="center"/>
              <w:rPr>
                <w:rFonts w:hint="eastAsia" w:ascii="Times New Roman" w:hAnsi="Times New Roman"/>
                <w:bCs/>
                <w:color w:val="000000"/>
                <w:sz w:val="21"/>
                <w:szCs w:val="21"/>
                <w:shd w:val="clear" w:color="auto" w:fill="FFFFFF" w:themeFill="background1"/>
                <w:lang w:val="en-US" w:eastAsia="zh-CN"/>
              </w:rPr>
            </w:pPr>
            <w:r>
              <w:rPr>
                <w:rFonts w:hint="eastAsia" w:ascii="Times New Roman" w:hAnsi="Times New Roman"/>
                <w:bCs/>
                <w:color w:val="000000"/>
                <w:sz w:val="21"/>
                <w:szCs w:val="21"/>
                <w:shd w:val="clear" w:color="auto" w:fill="FFFFFF" w:themeFill="background1"/>
              </w:rPr>
              <w:t>45</w:t>
            </w:r>
          </w:p>
        </w:tc>
      </w:tr>
    </w:tbl>
    <w:p>
      <w:pPr>
        <w:snapToGrid w:val="0"/>
        <w:spacing w:line="360" w:lineRule="auto"/>
        <w:rPr>
          <w:b/>
          <w:sz w:val="24"/>
        </w:rPr>
      </w:pPr>
    </w:p>
    <w:p>
      <w:pPr>
        <w:numPr>
          <w:ilvl w:val="0"/>
          <w:numId w:val="4"/>
        </w:numPr>
        <w:rPr>
          <w:b/>
          <w:sz w:val="28"/>
          <w:szCs w:val="28"/>
        </w:rPr>
      </w:pPr>
      <w:r>
        <w:rPr>
          <w:rFonts w:hint="eastAsia"/>
          <w:b/>
          <w:sz w:val="28"/>
          <w:szCs w:val="28"/>
        </w:rPr>
        <w:t>技术参数</w:t>
      </w:r>
    </w:p>
    <w:p>
      <w:pPr>
        <w:ind w:left="140"/>
        <w:rPr>
          <w:b/>
          <w:sz w:val="28"/>
          <w:szCs w:val="28"/>
        </w:rPr>
      </w:pPr>
    </w:p>
    <w:p>
      <w:pPr>
        <w:rPr>
          <w:b/>
          <w:sz w:val="28"/>
          <w:szCs w:val="28"/>
          <w:highlight w:val="none"/>
        </w:rPr>
      </w:pPr>
      <w:r>
        <w:rPr>
          <w:rFonts w:hint="eastAsia"/>
          <w:b/>
          <w:sz w:val="28"/>
          <w:szCs w:val="28"/>
        </w:rPr>
        <w:t>标一：除臭服务</w:t>
      </w:r>
    </w:p>
    <w:p>
      <w:pPr>
        <w:ind w:firstLine="280" w:firstLineChars="100"/>
        <w:rPr>
          <w:rFonts w:hint="eastAsia" w:eastAsia="宋体"/>
          <w:b/>
          <w:sz w:val="28"/>
          <w:szCs w:val="28"/>
          <w:highlight w:val="none"/>
          <w:lang w:eastAsia="zh-CN"/>
        </w:rPr>
      </w:pPr>
      <w:r>
        <w:rPr>
          <w:rFonts w:hint="eastAsia"/>
          <w:sz w:val="28"/>
          <w:szCs w:val="28"/>
          <w:highlight w:val="none"/>
        </w:rPr>
        <w:t>▲</w:t>
      </w:r>
      <w:r>
        <w:rPr>
          <w:rFonts w:hint="eastAsia"/>
          <w:b/>
          <w:sz w:val="28"/>
          <w:szCs w:val="28"/>
          <w:highlight w:val="none"/>
        </w:rPr>
        <w:t>1、本次除臭服务主要内容包括：EM菌生物除臭剂32吨，植物除臭剂352吨。投标人报价时需列明</w:t>
      </w:r>
      <w:r>
        <w:rPr>
          <w:rFonts w:hint="eastAsia"/>
          <w:b/>
          <w:sz w:val="28"/>
          <w:szCs w:val="28"/>
          <w:highlight w:val="none"/>
          <w:lang w:eastAsia="zh-CN"/>
        </w:rPr>
        <w:t>两</w:t>
      </w:r>
      <w:r>
        <w:rPr>
          <w:rFonts w:hint="eastAsia"/>
          <w:b/>
          <w:sz w:val="28"/>
          <w:szCs w:val="28"/>
          <w:highlight w:val="none"/>
        </w:rPr>
        <w:t>种药剂单价（每种药剂单价不得高于2万元每吨），在合同期限内，</w:t>
      </w:r>
      <w:r>
        <w:rPr>
          <w:rFonts w:hint="eastAsia"/>
          <w:b/>
          <w:sz w:val="28"/>
          <w:szCs w:val="28"/>
          <w:highlight w:val="none"/>
          <w:lang w:eastAsia="zh-CN"/>
        </w:rPr>
        <w:t>用药方案需经采购人确认并同意方可实施，</w:t>
      </w:r>
      <w:r>
        <w:rPr>
          <w:rFonts w:hint="eastAsia"/>
          <w:b/>
          <w:sz w:val="28"/>
          <w:szCs w:val="28"/>
          <w:highlight w:val="none"/>
        </w:rPr>
        <w:t>如果药剂实际使用量超过合同采购量，药剂缺额量由供应商免费提供至合同结束，缺额期间日用量不得少于合同采购量的</w:t>
      </w:r>
      <w:r>
        <w:rPr>
          <w:rFonts w:hint="eastAsia"/>
          <w:b/>
          <w:sz w:val="28"/>
          <w:szCs w:val="28"/>
          <w:highlight w:val="none"/>
          <w:lang w:eastAsia="zh-CN"/>
        </w:rPr>
        <w:t>日</w:t>
      </w:r>
      <w:r>
        <w:rPr>
          <w:rFonts w:hint="eastAsia"/>
          <w:b/>
          <w:sz w:val="28"/>
          <w:szCs w:val="28"/>
          <w:highlight w:val="none"/>
        </w:rPr>
        <w:t>平均用量</w:t>
      </w:r>
      <w:r>
        <w:rPr>
          <w:rFonts w:hint="eastAsia"/>
          <w:b/>
          <w:sz w:val="28"/>
          <w:szCs w:val="28"/>
          <w:highlight w:val="none"/>
          <w:lang w:eastAsia="zh-CN"/>
        </w:rPr>
        <w:t>；如果药剂实际使用量未超过合同采购量，则按实际用药量结算。</w:t>
      </w:r>
    </w:p>
    <w:p>
      <w:pPr>
        <w:ind w:firstLine="281" w:firstLineChars="100"/>
        <w:rPr>
          <w:b/>
          <w:sz w:val="28"/>
          <w:szCs w:val="28"/>
          <w:highlight w:val="none"/>
        </w:rPr>
      </w:pPr>
      <w:r>
        <w:rPr>
          <w:rFonts w:hint="eastAsia"/>
          <w:b/>
          <w:sz w:val="28"/>
          <w:szCs w:val="28"/>
          <w:highlight w:val="none"/>
        </w:rPr>
        <w:t>2、</w:t>
      </w:r>
      <w:r>
        <w:rPr>
          <w:b/>
          <w:sz w:val="28"/>
          <w:szCs w:val="28"/>
          <w:highlight w:val="none"/>
        </w:rPr>
        <w:t>EM</w:t>
      </w:r>
      <w:r>
        <w:rPr>
          <w:rFonts w:hint="eastAsia"/>
          <w:b/>
          <w:sz w:val="28"/>
          <w:szCs w:val="28"/>
          <w:highlight w:val="none"/>
        </w:rPr>
        <w:t>微生物除臭剂技术指标</w:t>
      </w:r>
    </w:p>
    <w:p>
      <w:pPr>
        <w:ind w:firstLine="280" w:firstLineChars="100"/>
        <w:rPr>
          <w:sz w:val="28"/>
          <w:szCs w:val="28"/>
        </w:rPr>
      </w:pPr>
      <w:r>
        <w:rPr>
          <w:rFonts w:hint="eastAsia"/>
          <w:sz w:val="28"/>
          <w:szCs w:val="28"/>
        </w:rPr>
        <w:t>（</w:t>
      </w:r>
      <w:r>
        <w:rPr>
          <w:rFonts w:hint="eastAsia"/>
          <w:sz w:val="28"/>
          <w:szCs w:val="28"/>
          <w:lang w:val="en-US" w:eastAsia="zh-CN"/>
        </w:rPr>
        <w:t>1</w:t>
      </w:r>
      <w:r>
        <w:rPr>
          <w:rFonts w:hint="eastAsia"/>
          <w:sz w:val="28"/>
          <w:szCs w:val="28"/>
        </w:rPr>
        <w:t>）细菌总数在2*</w:t>
      </w:r>
      <w:r>
        <w:rPr>
          <w:sz w:val="28"/>
          <w:szCs w:val="28"/>
        </w:rPr>
        <w:t>10</w:t>
      </w:r>
      <w:r>
        <w:rPr>
          <w:sz w:val="28"/>
          <w:szCs w:val="28"/>
          <w:vertAlign w:val="superscript"/>
        </w:rPr>
        <w:t>9</w:t>
      </w:r>
      <w:r>
        <w:rPr>
          <w:rFonts w:hint="eastAsia"/>
          <w:sz w:val="28"/>
          <w:szCs w:val="28"/>
        </w:rPr>
        <w:t>个/毫升（含）以上，达不到此标准作无效标处理。</w:t>
      </w:r>
    </w:p>
    <w:p>
      <w:pPr>
        <w:ind w:firstLine="280" w:firstLineChars="100"/>
        <w:rPr>
          <w:sz w:val="28"/>
          <w:szCs w:val="28"/>
        </w:rPr>
      </w:pPr>
      <w:bookmarkStart w:id="1" w:name="_Toc484529014"/>
      <w:r>
        <w:rPr>
          <w:rFonts w:hint="eastAsia"/>
          <w:sz w:val="28"/>
          <w:szCs w:val="28"/>
        </w:rPr>
        <w:t>（</w:t>
      </w:r>
      <w:r>
        <w:rPr>
          <w:rFonts w:hint="eastAsia"/>
          <w:sz w:val="28"/>
          <w:szCs w:val="28"/>
          <w:lang w:val="en-US" w:eastAsia="zh-CN"/>
        </w:rPr>
        <w:t>2</w:t>
      </w:r>
      <w:r>
        <w:rPr>
          <w:rFonts w:hint="eastAsia"/>
          <w:sz w:val="28"/>
          <w:szCs w:val="28"/>
        </w:rPr>
        <w:t>）除臭药剂原液对人体无毒无害，对环境安全，提供国家或省市疾控卫生等权威部门出具的无毒检测报告，其中包括吸入毒性检测报告、急性口毒性检测报告、皮肤刺激性检测报告。</w:t>
      </w:r>
      <w:bookmarkEnd w:id="1"/>
    </w:p>
    <w:p>
      <w:pPr>
        <w:rPr>
          <w:sz w:val="28"/>
          <w:szCs w:val="28"/>
        </w:rPr>
      </w:pPr>
      <w:bookmarkStart w:id="2" w:name="_Toc484529015"/>
      <w:r>
        <w:rPr>
          <w:rFonts w:hint="eastAsia"/>
          <w:sz w:val="28"/>
          <w:szCs w:val="28"/>
        </w:rPr>
        <w:t>　（</w:t>
      </w:r>
      <w:r>
        <w:rPr>
          <w:rFonts w:hint="eastAsia"/>
          <w:sz w:val="28"/>
          <w:szCs w:val="28"/>
          <w:lang w:val="en-US" w:eastAsia="zh-CN"/>
        </w:rPr>
        <w:t>3</w:t>
      </w:r>
      <w:r>
        <w:rPr>
          <w:rFonts w:hint="eastAsia"/>
          <w:sz w:val="28"/>
          <w:szCs w:val="28"/>
        </w:rPr>
        <w:t>）除臭药剂对金属碳钢的腐蚀率不高于0.5mm/a，须提供国家或省市第三方权威检测机构出具的检测报告。</w:t>
      </w:r>
      <w:bookmarkEnd w:id="2"/>
    </w:p>
    <w:p>
      <w:pPr>
        <w:ind w:firstLine="280" w:firstLineChars="100"/>
        <w:rPr>
          <w:sz w:val="28"/>
          <w:szCs w:val="28"/>
        </w:rPr>
      </w:pPr>
      <w:r>
        <w:rPr>
          <w:rFonts w:hint="eastAsia"/>
          <w:sz w:val="28"/>
          <w:szCs w:val="28"/>
        </w:rPr>
        <w:t>（</w:t>
      </w:r>
      <w:r>
        <w:rPr>
          <w:rFonts w:hint="eastAsia"/>
          <w:sz w:val="28"/>
          <w:szCs w:val="28"/>
          <w:lang w:val="en-US" w:eastAsia="zh-CN"/>
        </w:rPr>
        <w:t>4</w:t>
      </w:r>
      <w:r>
        <w:rPr>
          <w:rFonts w:hint="eastAsia"/>
          <w:sz w:val="28"/>
          <w:szCs w:val="28"/>
        </w:rPr>
        <w:t>）药剂必须是浓缩产品，稀释比例不少于1:100。</w:t>
      </w:r>
    </w:p>
    <w:p>
      <w:pPr>
        <w:ind w:firstLine="281" w:firstLineChars="100"/>
        <w:rPr>
          <w:b/>
          <w:sz w:val="28"/>
          <w:szCs w:val="28"/>
        </w:rPr>
      </w:pPr>
      <w:r>
        <w:rPr>
          <w:rFonts w:hint="eastAsia"/>
          <w:b/>
          <w:sz w:val="28"/>
          <w:szCs w:val="28"/>
        </w:rPr>
        <w:t>3、植物除臭剂技术指标</w:t>
      </w:r>
    </w:p>
    <w:p>
      <w:pPr>
        <w:ind w:firstLine="280" w:firstLineChars="100"/>
        <w:rPr>
          <w:sz w:val="28"/>
          <w:szCs w:val="28"/>
        </w:rPr>
      </w:pPr>
      <w:bookmarkStart w:id="3" w:name="_Toc484529017"/>
      <w:r>
        <w:rPr>
          <w:rFonts w:hint="eastAsia"/>
          <w:sz w:val="28"/>
          <w:szCs w:val="28"/>
        </w:rPr>
        <w:t>除臭剂由纯天然植物提取复配而成，产品略带令人愉悦、淡雅的天然香味，不得是臭味掩盖剂。</w:t>
      </w:r>
      <w:bookmarkEnd w:id="3"/>
    </w:p>
    <w:p>
      <w:pPr>
        <w:ind w:firstLine="560" w:firstLineChars="200"/>
        <w:rPr>
          <w:sz w:val="28"/>
          <w:szCs w:val="28"/>
        </w:rPr>
      </w:pPr>
      <w:bookmarkStart w:id="4" w:name="_Toc484529018"/>
      <w:r>
        <w:rPr>
          <w:rFonts w:hint="eastAsia"/>
          <w:sz w:val="28"/>
          <w:szCs w:val="28"/>
        </w:rPr>
        <w:t>（1）除臭剂必须是浓缩产品，稀释比例不少于1：100</w:t>
      </w:r>
      <w:bookmarkEnd w:id="4"/>
      <w:r>
        <w:rPr>
          <w:rFonts w:hint="eastAsia"/>
          <w:sz w:val="28"/>
          <w:szCs w:val="28"/>
        </w:rPr>
        <w:t>。</w:t>
      </w:r>
    </w:p>
    <w:p>
      <w:pPr>
        <w:ind w:firstLine="560" w:firstLineChars="200"/>
        <w:rPr>
          <w:sz w:val="28"/>
          <w:szCs w:val="28"/>
        </w:rPr>
      </w:pPr>
      <w:bookmarkStart w:id="5" w:name="_Toc484529019"/>
      <w:r>
        <w:rPr>
          <w:rFonts w:hint="eastAsia"/>
          <w:sz w:val="28"/>
          <w:szCs w:val="28"/>
        </w:rPr>
        <w:t>（2）除臭剂为水溶性物质（不含不溶解成分，对金属、管道等设备无腐蚀性）、不可燃烧，无毒、无害、无刺激，适用于各种工作及开放场所使用。提供国家或省市疾控卫生等权威部门出具的毒性检测报告，其中包括吸入毒性检测报告、急性口毒性检测报告、皮肤刺激性检测报告。</w:t>
      </w:r>
      <w:bookmarkEnd w:id="5"/>
    </w:p>
    <w:p>
      <w:pPr>
        <w:ind w:firstLine="280" w:firstLineChars="100"/>
        <w:rPr>
          <w:sz w:val="28"/>
          <w:szCs w:val="28"/>
        </w:rPr>
      </w:pPr>
      <w:r>
        <w:rPr>
          <w:rFonts w:hint="eastAsia"/>
          <w:sz w:val="28"/>
          <w:szCs w:val="28"/>
        </w:rPr>
        <w:t xml:space="preserve">  （</w:t>
      </w:r>
      <w:r>
        <w:rPr>
          <w:rFonts w:hint="eastAsia"/>
          <w:sz w:val="28"/>
          <w:szCs w:val="28"/>
          <w:lang w:val="en-US" w:eastAsia="zh-CN"/>
        </w:rPr>
        <w:t>3</w:t>
      </w:r>
      <w:r>
        <w:rPr>
          <w:rFonts w:hint="eastAsia"/>
          <w:sz w:val="28"/>
          <w:szCs w:val="28"/>
        </w:rPr>
        <w:t>）供应商投标时必须能保证提供植物除臭剂的长期稳定供应，并且提供植物除臭剂MSDS资料。</w:t>
      </w:r>
    </w:p>
    <w:p>
      <w:pPr>
        <w:ind w:firstLine="280" w:firstLineChars="100"/>
        <w:rPr>
          <w:sz w:val="28"/>
          <w:szCs w:val="28"/>
        </w:rPr>
      </w:pPr>
    </w:p>
    <w:p>
      <w:pPr>
        <w:rPr>
          <w:rFonts w:hint="eastAsia" w:eastAsia="宋体"/>
          <w:b/>
          <w:sz w:val="28"/>
          <w:szCs w:val="28"/>
          <w:lang w:eastAsia="zh-CN"/>
        </w:rPr>
      </w:pPr>
      <w:r>
        <w:rPr>
          <w:rFonts w:hint="eastAsia"/>
          <w:b/>
          <w:sz w:val="28"/>
          <w:szCs w:val="28"/>
        </w:rPr>
        <w:t>标二：</w:t>
      </w:r>
      <w:r>
        <w:rPr>
          <w:rFonts w:hint="eastAsia"/>
          <w:b/>
          <w:sz w:val="28"/>
          <w:szCs w:val="28"/>
          <w:lang w:eastAsia="zh-CN"/>
        </w:rPr>
        <w:t>灭蝇药剂</w:t>
      </w:r>
    </w:p>
    <w:p>
      <w:pPr>
        <w:rPr>
          <w:b/>
          <w:sz w:val="28"/>
          <w:szCs w:val="28"/>
        </w:rPr>
      </w:pPr>
      <w:r>
        <w:rPr>
          <w:rFonts w:hint="eastAsia"/>
          <w:b/>
          <w:sz w:val="28"/>
          <w:szCs w:val="28"/>
        </w:rPr>
        <w:t>1、本次灭蝇药剂主要内容：灭蝇药剂300公斤（每公斤单价不得高于400元）。在合同期限内，如果药剂实际使用量超过合同采购量，药剂缺额量由供应商免费提供至合同结束，缺额期间日用量不得少于合同采购量的年平均用量。</w:t>
      </w:r>
    </w:p>
    <w:p>
      <w:pPr>
        <w:ind w:firstLine="280" w:firstLineChars="100"/>
        <w:rPr>
          <w:sz w:val="28"/>
          <w:szCs w:val="28"/>
        </w:rPr>
      </w:pPr>
      <w:r>
        <w:rPr>
          <w:rFonts w:hint="eastAsia"/>
          <w:sz w:val="28"/>
          <w:szCs w:val="28"/>
        </w:rPr>
        <w:t>▲（1）提供国家或省市疾控卫生等权威部门出具的灭蝇效果报告，</w:t>
      </w:r>
      <w:r>
        <w:rPr>
          <w:rFonts w:hint="eastAsia"/>
          <w:sz w:val="28"/>
          <w:szCs w:val="28"/>
          <w:lang w:eastAsia="zh-CN"/>
        </w:rPr>
        <w:t>灭蝇药剂</w:t>
      </w:r>
      <w:r>
        <w:rPr>
          <w:rFonts w:hint="eastAsia"/>
          <w:sz w:val="28"/>
          <w:szCs w:val="28"/>
        </w:rPr>
        <w:t>稀释400倍后喷洒，其中灭蝇效果大于95%。</w:t>
      </w:r>
    </w:p>
    <w:p>
      <w:pPr>
        <w:rPr>
          <w:rFonts w:hint="eastAsia"/>
          <w:sz w:val="28"/>
          <w:szCs w:val="28"/>
        </w:rPr>
      </w:pPr>
      <w:r>
        <w:rPr>
          <w:rFonts w:hint="eastAsia"/>
          <w:sz w:val="28"/>
          <w:szCs w:val="28"/>
        </w:rPr>
        <w:t>（2）灭蝇药剂对环境安全，提供</w:t>
      </w:r>
      <w:r>
        <w:rPr>
          <w:rFonts w:hint="eastAsia"/>
          <w:sz w:val="28"/>
          <w:szCs w:val="28"/>
          <w:lang w:eastAsia="zh-CN"/>
        </w:rPr>
        <w:t>取得</w:t>
      </w:r>
      <w:r>
        <w:rPr>
          <w:rFonts w:hint="eastAsia"/>
          <w:sz w:val="28"/>
          <w:szCs w:val="28"/>
        </w:rPr>
        <w:t>农药登记证的无毒、微毒、低毒灭蝇</w:t>
      </w:r>
      <w:r>
        <w:rPr>
          <w:rFonts w:hint="eastAsia"/>
          <w:sz w:val="28"/>
          <w:szCs w:val="28"/>
          <w:lang w:eastAsia="zh-CN"/>
        </w:rPr>
        <w:t>药</w:t>
      </w:r>
      <w:r>
        <w:rPr>
          <w:rFonts w:hint="eastAsia"/>
          <w:sz w:val="28"/>
          <w:szCs w:val="28"/>
        </w:rPr>
        <w:t>剂产品。</w:t>
      </w:r>
    </w:p>
    <w:p>
      <w:pPr>
        <w:ind w:firstLine="560" w:firstLineChars="200"/>
        <w:rPr>
          <w:sz w:val="28"/>
          <w:szCs w:val="28"/>
          <w:highlight w:val="yellow"/>
        </w:rPr>
      </w:pPr>
    </w:p>
    <w:p>
      <w:pPr>
        <w:rPr>
          <w:rFonts w:hint="eastAsia"/>
          <w:b/>
          <w:sz w:val="28"/>
          <w:szCs w:val="28"/>
          <w:lang w:eastAsia="zh-CN"/>
        </w:rPr>
      </w:pPr>
      <w:r>
        <w:rPr>
          <w:rFonts w:hint="eastAsia"/>
          <w:b/>
          <w:sz w:val="28"/>
          <w:szCs w:val="28"/>
        </w:rPr>
        <w:t>标</w:t>
      </w:r>
      <w:r>
        <w:rPr>
          <w:rFonts w:hint="eastAsia"/>
          <w:b/>
          <w:sz w:val="28"/>
          <w:szCs w:val="28"/>
          <w:lang w:eastAsia="zh-CN"/>
        </w:rPr>
        <w:t>三</w:t>
      </w:r>
      <w:r>
        <w:rPr>
          <w:rFonts w:hint="eastAsia"/>
          <w:b/>
          <w:sz w:val="28"/>
          <w:szCs w:val="28"/>
        </w:rPr>
        <w:t>：</w:t>
      </w:r>
      <w:r>
        <w:rPr>
          <w:rFonts w:hint="eastAsia"/>
          <w:b/>
          <w:sz w:val="28"/>
          <w:szCs w:val="28"/>
          <w:lang w:eastAsia="zh-CN"/>
        </w:rPr>
        <w:t>道路清洗除臭剂</w:t>
      </w:r>
    </w:p>
    <w:p>
      <w:pPr>
        <w:ind w:firstLine="280" w:firstLineChars="100"/>
        <w:rPr>
          <w:rFonts w:hint="eastAsia" w:eastAsia="宋体"/>
          <w:b/>
          <w:sz w:val="28"/>
          <w:szCs w:val="28"/>
          <w:highlight w:val="none"/>
          <w:lang w:eastAsia="zh-CN"/>
        </w:rPr>
      </w:pPr>
      <w:r>
        <w:rPr>
          <w:rFonts w:hint="eastAsia"/>
          <w:sz w:val="28"/>
          <w:szCs w:val="28"/>
          <w:highlight w:val="none"/>
        </w:rPr>
        <w:t>▲</w:t>
      </w:r>
      <w:r>
        <w:rPr>
          <w:rFonts w:hint="eastAsia"/>
          <w:b/>
          <w:sz w:val="28"/>
          <w:szCs w:val="28"/>
          <w:highlight w:val="none"/>
        </w:rPr>
        <w:t>1、</w:t>
      </w:r>
      <w:r>
        <w:rPr>
          <w:rFonts w:hint="eastAsia"/>
          <w:b/>
          <w:sz w:val="28"/>
          <w:szCs w:val="28"/>
          <w:highlight w:val="none"/>
          <w:lang w:eastAsia="zh-CN"/>
        </w:rPr>
        <w:t>道路清洗除臭剂</w:t>
      </w:r>
      <w:r>
        <w:rPr>
          <w:rFonts w:hint="eastAsia"/>
          <w:b/>
          <w:sz w:val="28"/>
          <w:szCs w:val="28"/>
          <w:highlight w:val="none"/>
          <w:lang w:val="en-US" w:eastAsia="zh-CN"/>
        </w:rPr>
        <w:t>12吨</w:t>
      </w:r>
      <w:r>
        <w:rPr>
          <w:rFonts w:hint="eastAsia"/>
          <w:b/>
          <w:sz w:val="28"/>
          <w:szCs w:val="28"/>
          <w:highlight w:val="none"/>
        </w:rPr>
        <w:t>。投标人报价时需列明</w:t>
      </w:r>
      <w:r>
        <w:rPr>
          <w:rFonts w:hint="eastAsia"/>
          <w:b/>
          <w:sz w:val="28"/>
          <w:szCs w:val="28"/>
          <w:highlight w:val="none"/>
          <w:lang w:eastAsia="zh-CN"/>
        </w:rPr>
        <w:t>该</w:t>
      </w:r>
      <w:r>
        <w:rPr>
          <w:rFonts w:hint="eastAsia"/>
          <w:b/>
          <w:sz w:val="28"/>
          <w:szCs w:val="28"/>
          <w:highlight w:val="none"/>
        </w:rPr>
        <w:t>药剂单价（药剂单价不得高于2万元每吨），在合同期限内，</w:t>
      </w:r>
      <w:r>
        <w:rPr>
          <w:rFonts w:hint="eastAsia"/>
          <w:b/>
          <w:sz w:val="28"/>
          <w:szCs w:val="28"/>
          <w:highlight w:val="none"/>
          <w:lang w:eastAsia="zh-CN"/>
        </w:rPr>
        <w:t>用药方案需经采购人确认并同意方可实施，</w:t>
      </w:r>
      <w:r>
        <w:rPr>
          <w:rFonts w:hint="eastAsia"/>
          <w:b/>
          <w:sz w:val="28"/>
          <w:szCs w:val="28"/>
          <w:highlight w:val="none"/>
        </w:rPr>
        <w:t>如果药剂实际使用量超过合同采购量，药剂缺额量由供应商免费提供至合同结束，缺额期间日用量不得少于合同采购量的</w:t>
      </w:r>
      <w:r>
        <w:rPr>
          <w:rFonts w:hint="eastAsia"/>
          <w:b/>
          <w:sz w:val="28"/>
          <w:szCs w:val="28"/>
          <w:highlight w:val="none"/>
          <w:lang w:eastAsia="zh-CN"/>
        </w:rPr>
        <w:t>日</w:t>
      </w:r>
      <w:r>
        <w:rPr>
          <w:rFonts w:hint="eastAsia"/>
          <w:b/>
          <w:sz w:val="28"/>
          <w:szCs w:val="28"/>
          <w:highlight w:val="none"/>
        </w:rPr>
        <w:t>平均用量</w:t>
      </w:r>
      <w:r>
        <w:rPr>
          <w:rFonts w:hint="eastAsia"/>
          <w:b/>
          <w:sz w:val="28"/>
          <w:szCs w:val="28"/>
          <w:highlight w:val="none"/>
          <w:lang w:eastAsia="zh-CN"/>
        </w:rPr>
        <w:t>；如果药剂实际使用量未超过合同采购量，则按实际用药量结算。</w:t>
      </w:r>
    </w:p>
    <w:p>
      <w:pPr>
        <w:ind w:firstLine="562" w:firstLineChars="200"/>
        <w:rPr>
          <w:b/>
          <w:sz w:val="28"/>
          <w:szCs w:val="28"/>
        </w:rPr>
      </w:pPr>
      <w:r>
        <w:rPr>
          <w:rFonts w:hint="eastAsia"/>
          <w:b/>
          <w:sz w:val="28"/>
          <w:szCs w:val="28"/>
          <w:lang w:val="en-US" w:eastAsia="zh-CN"/>
        </w:rPr>
        <w:t>2</w:t>
      </w:r>
      <w:r>
        <w:rPr>
          <w:rFonts w:hint="eastAsia"/>
          <w:b/>
          <w:sz w:val="28"/>
          <w:szCs w:val="28"/>
        </w:rPr>
        <w:t>、道路清洗除臭剂技术指标</w:t>
      </w:r>
    </w:p>
    <w:p>
      <w:pPr>
        <w:ind w:firstLine="420" w:firstLineChars="150"/>
        <w:rPr>
          <w:sz w:val="28"/>
          <w:szCs w:val="28"/>
        </w:rPr>
      </w:pPr>
      <w:r>
        <w:rPr>
          <w:rFonts w:hint="eastAsia"/>
          <w:sz w:val="28"/>
          <w:szCs w:val="28"/>
        </w:rPr>
        <w:t xml:space="preserve"> (1)道路清洗除臭剂必须是浓缩产品，稀释比例不少于1：50。</w:t>
      </w:r>
    </w:p>
    <w:p>
      <w:pPr>
        <w:ind w:firstLine="560" w:firstLineChars="200"/>
        <w:rPr>
          <w:sz w:val="28"/>
          <w:szCs w:val="28"/>
        </w:rPr>
      </w:pPr>
      <w:r>
        <w:rPr>
          <w:rFonts w:hint="eastAsia"/>
          <w:sz w:val="28"/>
          <w:szCs w:val="28"/>
        </w:rPr>
        <w:t xml:space="preserve">(2)除臭液为水溶性物质，不可燃烧，无毒、无害、无刺激，提供国家或省市疾控卫生等权威部门出具的毒性检测报告，其中包括吸入毒性检测报告、急性口毒性检测报告、皮肤刺激性检测报告。 </w:t>
      </w:r>
    </w:p>
    <w:p>
      <w:pPr>
        <w:ind w:firstLine="280" w:firstLineChars="100"/>
        <w:rPr>
          <w:sz w:val="28"/>
          <w:szCs w:val="28"/>
        </w:rPr>
      </w:pPr>
      <w:r>
        <w:rPr>
          <w:rFonts w:hint="eastAsia"/>
          <w:sz w:val="28"/>
          <w:szCs w:val="28"/>
        </w:rPr>
        <w:t>▲(3)道路清洗除臭剂能有效消除臭气，不得采用掩盖臭气的方式，道路清洗除臭剂对NH3、臭气浓度的去除率必须达到90%以上。</w:t>
      </w:r>
    </w:p>
    <w:p>
      <w:pPr>
        <w:ind w:firstLine="560" w:firstLineChars="200"/>
        <w:rPr>
          <w:sz w:val="28"/>
          <w:szCs w:val="28"/>
        </w:rPr>
      </w:pPr>
      <w:r>
        <w:rPr>
          <w:rFonts w:hint="eastAsia"/>
          <w:sz w:val="28"/>
          <w:szCs w:val="28"/>
        </w:rPr>
        <w:t>(4)提供清洗能力（去除油污）检测报告。</w:t>
      </w:r>
    </w:p>
    <w:p>
      <w:pPr>
        <w:rPr>
          <w:rFonts w:hint="eastAsia"/>
          <w:b/>
          <w:sz w:val="28"/>
          <w:szCs w:val="28"/>
          <w:lang w:eastAsia="zh-CN"/>
        </w:rPr>
      </w:pPr>
    </w:p>
    <w:p>
      <w:pPr>
        <w:rPr>
          <w:sz w:val="28"/>
          <w:szCs w:val="28"/>
        </w:rPr>
      </w:pPr>
    </w:p>
    <w:p>
      <w:pPr>
        <w:rPr>
          <w:rFonts w:hint="eastAsia" w:eastAsia="宋体"/>
          <w:b/>
          <w:sz w:val="28"/>
          <w:szCs w:val="28"/>
          <w:highlight w:val="none"/>
          <w:lang w:eastAsia="zh-CN"/>
        </w:rPr>
      </w:pPr>
      <w:r>
        <w:rPr>
          <w:rFonts w:hint="eastAsia"/>
          <w:sz w:val="28"/>
          <w:szCs w:val="28"/>
          <w:highlight w:val="none"/>
        </w:rPr>
        <w:t>▲</w:t>
      </w:r>
      <w:r>
        <w:rPr>
          <w:rFonts w:hint="eastAsia"/>
          <w:b/>
          <w:sz w:val="28"/>
          <w:szCs w:val="28"/>
          <w:highlight w:val="none"/>
        </w:rPr>
        <w:t>1、本次招标标一</w:t>
      </w:r>
      <w:r>
        <w:rPr>
          <w:rFonts w:hint="eastAsia"/>
          <w:b/>
          <w:sz w:val="28"/>
          <w:szCs w:val="28"/>
          <w:highlight w:val="none"/>
          <w:lang w:eastAsia="zh-CN"/>
        </w:rPr>
        <w:t>及标三</w:t>
      </w:r>
      <w:r>
        <w:rPr>
          <w:rFonts w:hint="eastAsia"/>
          <w:b/>
          <w:sz w:val="28"/>
          <w:szCs w:val="28"/>
          <w:highlight w:val="none"/>
        </w:rPr>
        <w:t>：所需人力、设备等均由中标人自行承担（招标人现有相关设备可提供中标人使用</w:t>
      </w:r>
      <w:r>
        <w:rPr>
          <w:rFonts w:hint="eastAsia"/>
          <w:b/>
          <w:sz w:val="28"/>
          <w:szCs w:val="28"/>
          <w:highlight w:val="none"/>
          <w:lang w:eastAsia="zh-CN"/>
        </w:rPr>
        <w:t>，可供中标人使用的设备为：</w:t>
      </w:r>
      <w:r>
        <w:rPr>
          <w:rFonts w:hint="eastAsia"/>
          <w:b/>
          <w:sz w:val="28"/>
          <w:szCs w:val="28"/>
          <w:highlight w:val="none"/>
          <w:lang w:val="en-US" w:eastAsia="zh-CN"/>
        </w:rPr>
        <w:t>高射程雾炮器7台；3.5T移动喷洒车1辆</w:t>
      </w:r>
      <w:r>
        <w:rPr>
          <w:rFonts w:hint="eastAsia"/>
          <w:b/>
          <w:sz w:val="28"/>
          <w:szCs w:val="28"/>
          <w:highlight w:val="none"/>
        </w:rPr>
        <w:t>，</w:t>
      </w:r>
      <w:r>
        <w:rPr>
          <w:rFonts w:hint="eastAsia"/>
          <w:b/>
          <w:sz w:val="28"/>
          <w:szCs w:val="28"/>
          <w:highlight w:val="none"/>
          <w:lang w:eastAsia="zh-CN"/>
        </w:rPr>
        <w:t>且中标人需承担设备使用期间产生的油料费和设备维护费用。设备</w:t>
      </w:r>
      <w:r>
        <w:rPr>
          <w:rFonts w:hint="eastAsia"/>
          <w:b/>
          <w:sz w:val="28"/>
          <w:szCs w:val="28"/>
          <w:highlight w:val="none"/>
        </w:rPr>
        <w:t>不足部分由中标人自行负责），中标人承诺合同期内每日至少有三名工作人员在现场进行作业</w:t>
      </w:r>
      <w:r>
        <w:rPr>
          <w:rFonts w:hint="eastAsia"/>
          <w:b/>
          <w:sz w:val="28"/>
          <w:szCs w:val="28"/>
          <w:highlight w:val="none"/>
          <w:lang w:eastAsia="zh-CN"/>
        </w:rPr>
        <w:t>（现场工作人员中，必须有一人持有</w:t>
      </w:r>
      <w:r>
        <w:rPr>
          <w:rFonts w:hint="eastAsia"/>
          <w:b/>
          <w:sz w:val="28"/>
          <w:szCs w:val="28"/>
          <w:highlight w:val="none"/>
          <w:lang w:val="en-US" w:eastAsia="zh-CN"/>
        </w:rPr>
        <w:t>B类或B类以上驾驶证</w:t>
      </w:r>
      <w:r>
        <w:rPr>
          <w:rFonts w:hint="eastAsia"/>
          <w:b/>
          <w:sz w:val="28"/>
          <w:szCs w:val="28"/>
          <w:highlight w:val="none"/>
          <w:lang w:eastAsia="zh-CN"/>
        </w:rPr>
        <w:t>）。</w:t>
      </w:r>
    </w:p>
    <w:p>
      <w:pPr>
        <w:rPr>
          <w:color w:val="000000" w:themeColor="text1"/>
          <w:sz w:val="28"/>
          <w:szCs w:val="28"/>
          <w:highlight w:val="none"/>
          <w:shd w:val="clear" w:color="auto" w:fill="auto"/>
        </w:rPr>
      </w:pPr>
      <w:r>
        <w:rPr>
          <w:rFonts w:hint="eastAsia"/>
          <w:sz w:val="28"/>
          <w:szCs w:val="28"/>
        </w:rPr>
        <w:t>2、投标时须提供四种药剂各500ml以上样品，并提供相应报告，样品密封，以供招标人委托第三方检测机构进行检查。（注：投标样品需投标人</w:t>
      </w:r>
      <w:r>
        <w:rPr>
          <w:rFonts w:hint="eastAsia"/>
          <w:color w:val="000000" w:themeColor="text1"/>
          <w:sz w:val="28"/>
          <w:szCs w:val="28"/>
        </w:rPr>
        <w:t>完</w:t>
      </w:r>
      <w:r>
        <w:rPr>
          <w:rFonts w:hint="eastAsia"/>
          <w:color w:val="000000" w:themeColor="text1"/>
          <w:sz w:val="28"/>
          <w:szCs w:val="28"/>
          <w:shd w:val="clear" w:color="auto" w:fill="auto"/>
        </w:rPr>
        <w:t>好</w:t>
      </w:r>
      <w:r>
        <w:rPr>
          <w:rFonts w:hint="eastAsia"/>
          <w:color w:val="000000" w:themeColor="text1"/>
          <w:sz w:val="28"/>
          <w:szCs w:val="28"/>
          <w:highlight w:val="none"/>
          <w:shd w:val="clear" w:color="auto" w:fill="auto"/>
        </w:rPr>
        <w:t>保存，以保证样品质量）</w:t>
      </w:r>
    </w:p>
    <w:p>
      <w:pPr>
        <w:rPr>
          <w:color w:val="000000" w:themeColor="text1"/>
          <w:sz w:val="28"/>
          <w:szCs w:val="28"/>
          <w:highlight w:val="none"/>
          <w:shd w:val="clear" w:color="auto" w:fill="auto"/>
        </w:rPr>
      </w:pPr>
      <w:r>
        <w:rPr>
          <w:rFonts w:hint="eastAsia"/>
          <w:color w:val="000000" w:themeColor="text1"/>
          <w:sz w:val="28"/>
          <w:szCs w:val="28"/>
          <w:highlight w:val="none"/>
          <w:shd w:val="clear" w:color="auto" w:fill="auto"/>
        </w:rPr>
        <w:t>3、投标人须结合招标方填埋工艺对服务方案进行论述。</w:t>
      </w:r>
    </w:p>
    <w:p>
      <w:pPr>
        <w:rPr>
          <w:rFonts w:hint="eastAsia"/>
          <w:color w:val="000000" w:themeColor="text1"/>
          <w:sz w:val="28"/>
          <w:szCs w:val="28"/>
          <w:highlight w:val="none"/>
          <w:shd w:val="clear" w:color="auto" w:fill="auto"/>
        </w:rPr>
      </w:pPr>
      <w:r>
        <w:rPr>
          <w:rFonts w:hint="eastAsia"/>
          <w:color w:val="000000" w:themeColor="text1"/>
          <w:sz w:val="28"/>
          <w:szCs w:val="28"/>
          <w:highlight w:val="none"/>
          <w:shd w:val="clear" w:color="auto" w:fill="auto"/>
        </w:rPr>
        <w:t>▲</w:t>
      </w:r>
      <w:r>
        <w:rPr>
          <w:color w:val="000000" w:themeColor="text1"/>
          <w:sz w:val="28"/>
          <w:szCs w:val="28"/>
          <w:highlight w:val="none"/>
          <w:shd w:val="clear" w:color="auto" w:fill="auto"/>
        </w:rPr>
        <w:t>4</w:t>
      </w:r>
      <w:r>
        <w:rPr>
          <w:rFonts w:hint="eastAsia"/>
          <w:color w:val="000000" w:themeColor="text1"/>
          <w:sz w:val="28"/>
          <w:szCs w:val="28"/>
          <w:highlight w:val="none"/>
          <w:shd w:val="clear" w:color="auto" w:fill="auto"/>
        </w:rPr>
        <w:t>、根据招标人需求</w:t>
      </w:r>
      <w:r>
        <w:rPr>
          <w:rFonts w:hint="eastAsia"/>
          <w:color w:val="000000" w:themeColor="text1"/>
          <w:sz w:val="28"/>
          <w:szCs w:val="28"/>
          <w:highlight w:val="none"/>
          <w:shd w:val="clear" w:color="auto" w:fill="auto"/>
          <w:lang w:eastAsia="zh-CN"/>
        </w:rPr>
        <w:t>，</w:t>
      </w:r>
      <w:r>
        <w:rPr>
          <w:rFonts w:hint="eastAsia"/>
          <w:color w:val="000000" w:themeColor="text1"/>
          <w:sz w:val="28"/>
          <w:szCs w:val="28"/>
          <w:highlight w:val="none"/>
          <w:shd w:val="clear" w:color="auto" w:fill="auto"/>
        </w:rPr>
        <w:t>在合同期内将随机抽取四种药剂各</w:t>
      </w:r>
      <w:r>
        <w:rPr>
          <w:color w:val="000000" w:themeColor="text1"/>
          <w:sz w:val="28"/>
          <w:szCs w:val="28"/>
          <w:highlight w:val="none"/>
          <w:shd w:val="clear" w:color="auto" w:fill="auto"/>
        </w:rPr>
        <w:t>2</w:t>
      </w:r>
      <w:r>
        <w:rPr>
          <w:rFonts w:hint="eastAsia"/>
          <w:color w:val="000000" w:themeColor="text1"/>
          <w:sz w:val="28"/>
          <w:szCs w:val="28"/>
          <w:highlight w:val="none"/>
          <w:shd w:val="clear" w:color="auto" w:fill="auto"/>
        </w:rPr>
        <w:t>次送至有资质的第三方检测机构进行检测</w:t>
      </w:r>
      <w:r>
        <w:rPr>
          <w:rFonts w:hint="eastAsia"/>
          <w:color w:val="000000" w:themeColor="text1"/>
          <w:sz w:val="28"/>
          <w:szCs w:val="28"/>
          <w:highlight w:val="none"/>
          <w:shd w:val="clear" w:color="auto" w:fill="auto"/>
          <w:lang w:eastAsia="zh-CN"/>
        </w:rPr>
        <w:t>（每次抽取的四种药剂分两份：一份为送检药剂，一份为备检药剂）</w:t>
      </w:r>
      <w:r>
        <w:rPr>
          <w:rFonts w:hint="eastAsia"/>
          <w:color w:val="000000" w:themeColor="text1"/>
          <w:sz w:val="28"/>
          <w:szCs w:val="28"/>
          <w:highlight w:val="none"/>
          <w:shd w:val="clear" w:color="auto" w:fill="auto"/>
        </w:rPr>
        <w:t>，所有检测相关费用均由中标人负责。根据检测结果具体考核方法如下：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825"/>
        <w:gridCol w:w="1721"/>
        <w:gridCol w:w="1628"/>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rPr>
              <w:t>检测结果</w:t>
            </w:r>
          </w:p>
        </w:tc>
        <w:tc>
          <w:tcPr>
            <w:tcW w:w="1825" w:type="dxa"/>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rPr>
              <w:t>违约处理</w:t>
            </w:r>
          </w:p>
        </w:tc>
        <w:tc>
          <w:tcPr>
            <w:tcW w:w="4975" w:type="dxa"/>
            <w:gridSpan w:val="3"/>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rPr>
              <w:t>后续处理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Merge w:val="restart"/>
            <w:noWrap w:val="0"/>
            <w:vAlign w:val="center"/>
          </w:tcPr>
          <w:p>
            <w:pPr>
              <w:jc w:val="center"/>
              <w:rPr>
                <w:rFonts w:hint="eastAsia" w:eastAsia="宋体"/>
                <w:color w:val="000000" w:themeColor="text1"/>
                <w:highlight w:val="none"/>
                <w:shd w:val="clear" w:color="auto" w:fill="auto"/>
                <w:lang w:eastAsia="zh-CN"/>
              </w:rPr>
            </w:pPr>
            <w:r>
              <w:rPr>
                <w:rFonts w:hint="eastAsia"/>
                <w:color w:val="000000" w:themeColor="text1"/>
                <w:highlight w:val="none"/>
                <w:shd w:val="clear" w:color="auto" w:fill="auto"/>
              </w:rPr>
              <w:t>第一次不达标</w:t>
            </w:r>
            <w:r>
              <w:rPr>
                <w:rFonts w:hint="eastAsia"/>
                <w:color w:val="000000" w:themeColor="text1"/>
                <w:highlight w:val="none"/>
                <w:shd w:val="clear" w:color="auto" w:fill="auto"/>
                <w:lang w:eastAsia="zh-CN"/>
              </w:rPr>
              <w:t>（可申请备检药剂进行复检，检测仍不合格则视为药剂不达标）</w:t>
            </w:r>
          </w:p>
        </w:tc>
        <w:tc>
          <w:tcPr>
            <w:tcW w:w="1825" w:type="dxa"/>
            <w:vMerge w:val="restart"/>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rPr>
              <w:t>招标</w:t>
            </w:r>
            <w:r>
              <w:rPr>
                <w:rFonts w:hint="eastAsia"/>
                <w:color w:val="000000" w:themeColor="text1"/>
                <w:highlight w:val="none"/>
                <w:shd w:val="clear" w:color="auto" w:fill="auto"/>
                <w:lang w:eastAsia="zh-CN"/>
              </w:rPr>
              <w:t>人</w:t>
            </w:r>
            <w:r>
              <w:rPr>
                <w:rFonts w:hint="eastAsia"/>
                <w:color w:val="000000" w:themeColor="text1"/>
                <w:highlight w:val="none"/>
                <w:shd w:val="clear" w:color="auto" w:fill="auto"/>
              </w:rPr>
              <w:t>可没收</w:t>
            </w:r>
            <w:r>
              <w:rPr>
                <w:rFonts w:hint="eastAsia"/>
                <w:color w:val="000000" w:themeColor="text1"/>
                <w:highlight w:val="none"/>
                <w:shd w:val="clear" w:color="auto" w:fill="auto"/>
                <w:lang w:val="en-US" w:eastAsia="zh-CN"/>
              </w:rPr>
              <w:t>50%的履约保证金做为违约处罚</w:t>
            </w:r>
            <w:r>
              <w:rPr>
                <w:rFonts w:hint="eastAsia"/>
                <w:color w:val="000000" w:themeColor="text1"/>
                <w:highlight w:val="none"/>
                <w:shd w:val="clear" w:color="auto" w:fill="auto"/>
              </w:rPr>
              <w:t>，同时中标</w:t>
            </w:r>
            <w:r>
              <w:rPr>
                <w:rFonts w:hint="eastAsia"/>
                <w:color w:val="000000" w:themeColor="text1"/>
                <w:highlight w:val="none"/>
                <w:shd w:val="clear" w:color="auto" w:fill="auto"/>
                <w:lang w:eastAsia="zh-CN"/>
              </w:rPr>
              <w:t>人</w:t>
            </w:r>
            <w:r>
              <w:rPr>
                <w:rFonts w:hint="eastAsia"/>
                <w:color w:val="000000" w:themeColor="text1"/>
                <w:highlight w:val="none"/>
                <w:shd w:val="clear" w:color="auto" w:fill="auto"/>
              </w:rPr>
              <w:t>不得向招标</w:t>
            </w:r>
            <w:r>
              <w:rPr>
                <w:rFonts w:hint="eastAsia"/>
                <w:color w:val="000000" w:themeColor="text1"/>
                <w:highlight w:val="none"/>
                <w:shd w:val="clear" w:color="auto" w:fill="auto"/>
                <w:lang w:eastAsia="zh-CN"/>
              </w:rPr>
              <w:t>单位</w:t>
            </w:r>
            <w:r>
              <w:rPr>
                <w:rFonts w:hint="eastAsia"/>
                <w:color w:val="000000" w:themeColor="text1"/>
                <w:highlight w:val="none"/>
                <w:shd w:val="clear" w:color="auto" w:fill="auto"/>
              </w:rPr>
              <w:t>收取此次检测周期内所使用货物的货款</w:t>
            </w:r>
          </w:p>
        </w:tc>
        <w:tc>
          <w:tcPr>
            <w:tcW w:w="1721" w:type="dxa"/>
            <w:vMerge w:val="restart"/>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rPr>
              <w:t>继续抽取送检</w:t>
            </w:r>
          </w:p>
        </w:tc>
        <w:tc>
          <w:tcPr>
            <w:tcW w:w="1628" w:type="dxa"/>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lang w:eastAsia="zh-CN"/>
              </w:rPr>
              <w:t>第二次</w:t>
            </w:r>
            <w:r>
              <w:rPr>
                <w:rFonts w:hint="eastAsia"/>
                <w:color w:val="000000" w:themeColor="text1"/>
                <w:highlight w:val="none"/>
                <w:shd w:val="clear" w:color="auto" w:fill="auto"/>
              </w:rPr>
              <w:t>达标</w:t>
            </w:r>
          </w:p>
        </w:tc>
        <w:tc>
          <w:tcPr>
            <w:tcW w:w="1626" w:type="dxa"/>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rPr>
              <w:t>招标</w:t>
            </w:r>
            <w:r>
              <w:rPr>
                <w:rFonts w:hint="eastAsia"/>
                <w:color w:val="000000" w:themeColor="text1"/>
                <w:highlight w:val="none"/>
                <w:shd w:val="clear" w:color="auto" w:fill="auto"/>
                <w:lang w:eastAsia="zh-CN"/>
              </w:rPr>
              <w:t>人</w:t>
            </w:r>
            <w:r>
              <w:rPr>
                <w:rFonts w:hint="eastAsia"/>
                <w:color w:val="000000" w:themeColor="text1"/>
                <w:highlight w:val="none"/>
                <w:shd w:val="clear" w:color="auto" w:fill="auto"/>
              </w:rPr>
              <w:t>向中标</w:t>
            </w:r>
            <w:r>
              <w:rPr>
                <w:rFonts w:hint="eastAsia"/>
                <w:color w:val="000000" w:themeColor="text1"/>
                <w:highlight w:val="none"/>
                <w:shd w:val="clear" w:color="auto" w:fill="auto"/>
                <w:lang w:eastAsia="zh-CN"/>
              </w:rPr>
              <w:t>人</w:t>
            </w:r>
            <w:r>
              <w:rPr>
                <w:rFonts w:hint="eastAsia"/>
                <w:color w:val="000000" w:themeColor="text1"/>
                <w:highlight w:val="none"/>
                <w:shd w:val="clear" w:color="auto" w:fill="auto"/>
              </w:rPr>
              <w:t>正常支付</w:t>
            </w:r>
            <w:r>
              <w:rPr>
                <w:rFonts w:hint="eastAsia"/>
                <w:color w:val="000000" w:themeColor="text1"/>
                <w:highlight w:val="none"/>
                <w:shd w:val="clear" w:color="auto" w:fill="auto"/>
                <w:lang w:eastAsia="zh-CN"/>
              </w:rPr>
              <w:t>此次</w:t>
            </w:r>
            <w:r>
              <w:rPr>
                <w:rFonts w:hint="eastAsia"/>
                <w:color w:val="000000" w:themeColor="text1"/>
                <w:highlight w:val="none"/>
                <w:shd w:val="clear" w:color="auto" w:fill="auto"/>
              </w:rPr>
              <w:t>检测周期内所使用货物的货款，检测相关费用均由中标</w:t>
            </w:r>
            <w:r>
              <w:rPr>
                <w:rFonts w:hint="eastAsia"/>
                <w:color w:val="000000" w:themeColor="text1"/>
                <w:highlight w:val="none"/>
                <w:shd w:val="clear" w:color="auto" w:fill="auto"/>
                <w:lang w:eastAsia="zh-CN"/>
              </w:rPr>
              <w:t>单位</w:t>
            </w:r>
            <w:r>
              <w:rPr>
                <w:rFonts w:hint="eastAsia"/>
                <w:color w:val="000000" w:themeColor="text1"/>
                <w:highlight w:val="none"/>
                <w:shd w:val="clear" w:color="auto" w:fill="auto"/>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Merge w:val="continue"/>
            <w:noWrap w:val="0"/>
            <w:vAlign w:val="center"/>
          </w:tcPr>
          <w:p>
            <w:pPr>
              <w:jc w:val="center"/>
              <w:rPr>
                <w:color w:val="000000" w:themeColor="text1"/>
                <w:highlight w:val="none"/>
                <w:shd w:val="clear" w:color="auto" w:fill="auto"/>
              </w:rPr>
            </w:pPr>
          </w:p>
        </w:tc>
        <w:tc>
          <w:tcPr>
            <w:tcW w:w="1825" w:type="dxa"/>
            <w:vMerge w:val="continue"/>
            <w:noWrap w:val="0"/>
            <w:vAlign w:val="center"/>
          </w:tcPr>
          <w:p>
            <w:pPr>
              <w:jc w:val="center"/>
              <w:rPr>
                <w:color w:val="000000" w:themeColor="text1"/>
                <w:highlight w:val="none"/>
                <w:shd w:val="clear" w:color="auto" w:fill="auto"/>
              </w:rPr>
            </w:pPr>
          </w:p>
        </w:tc>
        <w:tc>
          <w:tcPr>
            <w:tcW w:w="1721" w:type="dxa"/>
            <w:vMerge w:val="continue"/>
            <w:noWrap w:val="0"/>
            <w:vAlign w:val="center"/>
          </w:tcPr>
          <w:p>
            <w:pPr>
              <w:jc w:val="center"/>
              <w:rPr>
                <w:color w:val="000000" w:themeColor="text1"/>
                <w:highlight w:val="none"/>
                <w:shd w:val="clear" w:color="auto" w:fill="auto"/>
              </w:rPr>
            </w:pPr>
          </w:p>
        </w:tc>
        <w:tc>
          <w:tcPr>
            <w:tcW w:w="1628" w:type="dxa"/>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lang w:eastAsia="zh-CN"/>
              </w:rPr>
              <w:t>第二次</w:t>
            </w:r>
            <w:r>
              <w:rPr>
                <w:rFonts w:hint="eastAsia"/>
                <w:color w:val="000000" w:themeColor="text1"/>
                <w:highlight w:val="none"/>
                <w:shd w:val="clear" w:color="auto" w:fill="auto"/>
              </w:rPr>
              <w:t>不达标</w:t>
            </w:r>
            <w:r>
              <w:rPr>
                <w:rFonts w:hint="eastAsia"/>
                <w:color w:val="000000" w:themeColor="text1"/>
                <w:highlight w:val="none"/>
                <w:shd w:val="clear" w:color="auto" w:fill="auto"/>
                <w:lang w:eastAsia="zh-CN"/>
              </w:rPr>
              <w:t>（可申请备检药剂进行复检，检测仍不合格则视为药剂不达标）</w:t>
            </w:r>
          </w:p>
        </w:tc>
        <w:tc>
          <w:tcPr>
            <w:tcW w:w="1626" w:type="dxa"/>
            <w:noWrap w:val="0"/>
            <w:vAlign w:val="center"/>
          </w:tcPr>
          <w:p>
            <w:pPr>
              <w:jc w:val="center"/>
              <w:rPr>
                <w:rFonts w:hint="eastAsia"/>
                <w:color w:val="000000" w:themeColor="text1"/>
                <w:highlight w:val="none"/>
                <w:shd w:val="clear" w:color="auto" w:fill="auto"/>
              </w:rPr>
            </w:pPr>
            <w:r>
              <w:rPr>
                <w:rFonts w:hint="eastAsia"/>
                <w:color w:val="000000" w:themeColor="text1"/>
                <w:highlight w:val="none"/>
                <w:shd w:val="clear" w:color="auto" w:fill="auto"/>
              </w:rPr>
              <w:t>合同终止，招标</w:t>
            </w:r>
            <w:r>
              <w:rPr>
                <w:rFonts w:hint="eastAsia"/>
                <w:color w:val="000000" w:themeColor="text1"/>
                <w:highlight w:val="none"/>
                <w:shd w:val="clear" w:color="auto" w:fill="auto"/>
                <w:lang w:eastAsia="zh-CN"/>
              </w:rPr>
              <w:t>人</w:t>
            </w:r>
            <w:r>
              <w:rPr>
                <w:rFonts w:hint="eastAsia"/>
                <w:color w:val="000000" w:themeColor="text1"/>
                <w:highlight w:val="none"/>
                <w:shd w:val="clear" w:color="auto" w:fill="auto"/>
              </w:rPr>
              <w:t>可没收</w:t>
            </w:r>
            <w:r>
              <w:rPr>
                <w:rFonts w:hint="eastAsia"/>
                <w:color w:val="000000" w:themeColor="text1"/>
                <w:highlight w:val="none"/>
                <w:shd w:val="clear" w:color="auto" w:fill="auto"/>
                <w:lang w:val="en-US" w:eastAsia="zh-CN"/>
              </w:rPr>
              <w:t>50%的履约保证金做为违约处罚</w:t>
            </w:r>
            <w:r>
              <w:rPr>
                <w:rFonts w:hint="eastAsia"/>
                <w:color w:val="000000" w:themeColor="text1"/>
                <w:highlight w:val="none"/>
                <w:shd w:val="clear" w:color="auto" w:fill="auto"/>
              </w:rPr>
              <w:t>，同时中标</w:t>
            </w:r>
            <w:r>
              <w:rPr>
                <w:rFonts w:hint="eastAsia"/>
                <w:color w:val="000000" w:themeColor="text1"/>
                <w:highlight w:val="none"/>
                <w:shd w:val="clear" w:color="auto" w:fill="auto"/>
                <w:lang w:eastAsia="zh-CN"/>
              </w:rPr>
              <w:t>人</w:t>
            </w:r>
            <w:r>
              <w:rPr>
                <w:rFonts w:hint="eastAsia"/>
                <w:color w:val="000000" w:themeColor="text1"/>
                <w:highlight w:val="none"/>
                <w:shd w:val="clear" w:color="auto" w:fill="auto"/>
              </w:rPr>
              <w:t>不得向招标</w:t>
            </w:r>
            <w:r>
              <w:rPr>
                <w:rFonts w:hint="eastAsia"/>
                <w:color w:val="000000" w:themeColor="text1"/>
                <w:highlight w:val="none"/>
                <w:shd w:val="clear" w:color="auto" w:fill="auto"/>
                <w:lang w:eastAsia="zh-CN"/>
              </w:rPr>
              <w:t>单位</w:t>
            </w:r>
            <w:r>
              <w:rPr>
                <w:rFonts w:hint="eastAsia"/>
                <w:color w:val="000000" w:themeColor="text1"/>
                <w:highlight w:val="none"/>
                <w:shd w:val="clear" w:color="auto" w:fill="auto"/>
              </w:rPr>
              <w:t>收取此次检测周期内所使用货物的货款</w:t>
            </w:r>
          </w:p>
        </w:tc>
      </w:tr>
    </w:tbl>
    <w:p>
      <w:pPr>
        <w:rPr>
          <w:color w:val="000000" w:themeColor="text1"/>
          <w:sz w:val="28"/>
          <w:szCs w:val="28"/>
        </w:rPr>
      </w:pPr>
    </w:p>
    <w:p>
      <w:pPr>
        <w:rPr>
          <w:b/>
          <w:sz w:val="28"/>
          <w:szCs w:val="28"/>
        </w:rPr>
      </w:pPr>
      <w:r>
        <w:rPr>
          <w:rFonts w:hint="eastAsia"/>
          <w:b/>
          <w:sz w:val="28"/>
          <w:szCs w:val="28"/>
        </w:rPr>
        <w:t>标</w:t>
      </w:r>
      <w:r>
        <w:rPr>
          <w:rFonts w:hint="eastAsia"/>
          <w:b/>
          <w:sz w:val="28"/>
          <w:szCs w:val="28"/>
          <w:lang w:eastAsia="zh-CN"/>
        </w:rPr>
        <w:t>四</w:t>
      </w:r>
      <w:r>
        <w:rPr>
          <w:rFonts w:hint="eastAsia"/>
          <w:b/>
          <w:sz w:val="28"/>
          <w:szCs w:val="28"/>
        </w:rPr>
        <w:t>：高射程雾炮器</w:t>
      </w:r>
    </w:p>
    <w:p>
      <w:pPr>
        <w:ind w:firstLine="280" w:firstLineChars="100"/>
        <w:rPr>
          <w:sz w:val="28"/>
          <w:szCs w:val="28"/>
        </w:rPr>
      </w:pPr>
      <w:r>
        <w:rPr>
          <w:rFonts w:hint="eastAsia"/>
          <w:sz w:val="28"/>
          <w:szCs w:val="28"/>
        </w:rPr>
        <w:t>▲(1)配套动力：双缸汽油发电机组；发动机功率≥12.0KW；市电和发电机组可切换使用。</w:t>
      </w:r>
    </w:p>
    <w:p>
      <w:pPr>
        <w:ind w:firstLine="280" w:firstLineChars="100"/>
        <w:rPr>
          <w:sz w:val="28"/>
          <w:szCs w:val="28"/>
        </w:rPr>
      </w:pPr>
      <w:r>
        <w:rPr>
          <w:rFonts w:hint="eastAsia"/>
          <w:sz w:val="28"/>
          <w:szCs w:val="28"/>
        </w:rPr>
        <w:t>▲(2)垂直射程≥25m、水平射程≥40m（静风条件下）；</w:t>
      </w:r>
    </w:p>
    <w:p>
      <w:pPr>
        <w:ind w:firstLine="280" w:firstLineChars="100"/>
        <w:rPr>
          <w:sz w:val="28"/>
          <w:szCs w:val="28"/>
        </w:rPr>
      </w:pPr>
      <w:r>
        <w:rPr>
          <w:rFonts w:hint="eastAsia"/>
          <w:sz w:val="28"/>
          <w:szCs w:val="28"/>
        </w:rPr>
        <w:t>▲(3)轴流式，风筒直径≥500mm，功率≥4KW；垂直面转角-15～85°，喷筒可自动上下摆动；水平面转角0-270°,可手动调节；</w:t>
      </w:r>
    </w:p>
    <w:p>
      <w:pPr>
        <w:ind w:firstLine="560" w:firstLineChars="200"/>
        <w:rPr>
          <w:sz w:val="28"/>
          <w:szCs w:val="28"/>
        </w:rPr>
      </w:pPr>
      <w:r>
        <w:rPr>
          <w:rFonts w:hint="eastAsia"/>
          <w:sz w:val="28"/>
          <w:szCs w:val="28"/>
        </w:rPr>
        <w:t>(4)三缸柱塞式，功率≥1KW；</w:t>
      </w:r>
    </w:p>
    <w:p>
      <w:pPr>
        <w:ind w:firstLine="560" w:firstLineChars="200"/>
        <w:rPr>
          <w:sz w:val="28"/>
          <w:szCs w:val="28"/>
        </w:rPr>
      </w:pPr>
      <w:r>
        <w:rPr>
          <w:rFonts w:hint="eastAsia"/>
          <w:sz w:val="28"/>
          <w:szCs w:val="28"/>
        </w:rPr>
        <w:t>(5)可以常量、低量、超低量喷雾，最大喷雾量≥570L/h；</w:t>
      </w:r>
    </w:p>
    <w:p>
      <w:pPr>
        <w:ind w:firstLine="560" w:firstLineChars="200"/>
        <w:rPr>
          <w:sz w:val="28"/>
          <w:szCs w:val="28"/>
        </w:rPr>
      </w:pPr>
      <w:r>
        <w:rPr>
          <w:rFonts w:hint="eastAsia"/>
          <w:sz w:val="28"/>
          <w:szCs w:val="28"/>
        </w:rPr>
        <w:t>(6)雾谱范围： 50～150μm；</w:t>
      </w:r>
    </w:p>
    <w:p>
      <w:pPr>
        <w:ind w:firstLine="560" w:firstLineChars="200"/>
        <w:rPr>
          <w:sz w:val="28"/>
          <w:szCs w:val="28"/>
        </w:rPr>
      </w:pPr>
      <w:r>
        <w:rPr>
          <w:rFonts w:hint="eastAsia"/>
          <w:sz w:val="28"/>
          <w:szCs w:val="28"/>
        </w:rPr>
        <w:t>(7)可进行无线和手动遥控操作；</w:t>
      </w:r>
    </w:p>
    <w:p>
      <w:pPr>
        <w:ind w:firstLine="560" w:firstLineChars="200"/>
        <w:rPr>
          <w:sz w:val="28"/>
          <w:szCs w:val="28"/>
        </w:rPr>
      </w:pPr>
      <w:r>
        <w:rPr>
          <w:rFonts w:hint="eastAsia"/>
          <w:sz w:val="28"/>
          <w:szCs w:val="28"/>
        </w:rPr>
        <w:t>(8)车载式、整体外形尺寸需满足：长≤1750mm、宽≤1300mm、高≤2000mm。可配套各种皮卡等车辆。</w:t>
      </w:r>
    </w:p>
    <w:p>
      <w:pPr>
        <w:ind w:firstLine="560" w:firstLineChars="200"/>
        <w:rPr>
          <w:sz w:val="28"/>
          <w:szCs w:val="28"/>
        </w:rPr>
      </w:pPr>
      <w:r>
        <w:rPr>
          <w:rFonts w:hint="eastAsia"/>
          <w:sz w:val="28"/>
          <w:szCs w:val="28"/>
        </w:rPr>
        <w:t>(9)配备50米书要管及可调喷枪；</w:t>
      </w:r>
    </w:p>
    <w:p>
      <w:pPr>
        <w:ind w:firstLine="560" w:firstLineChars="200"/>
        <w:rPr>
          <w:sz w:val="28"/>
          <w:szCs w:val="28"/>
        </w:rPr>
      </w:pPr>
      <w:r>
        <w:rPr>
          <w:rFonts w:hint="eastAsia"/>
          <w:sz w:val="28"/>
          <w:szCs w:val="28"/>
        </w:rPr>
        <w:t>(10)产品必须通过国家强制性3C认证，投标时必须提供3C认证证书复印件并加盖生产厂家公章；</w:t>
      </w:r>
    </w:p>
    <w:p>
      <w:pPr>
        <w:ind w:firstLine="560" w:firstLineChars="200"/>
        <w:rPr>
          <w:sz w:val="28"/>
          <w:szCs w:val="28"/>
        </w:rPr>
      </w:pPr>
      <w:r>
        <w:rPr>
          <w:rFonts w:hint="eastAsia"/>
          <w:sz w:val="28"/>
          <w:szCs w:val="28"/>
        </w:rPr>
        <w:t>(11) 所投产品必须具有国家植保机械监督检验中心出具的产品检验报告，投标时必须提供检验报告复印件加盖生产企业公章；</w:t>
      </w:r>
    </w:p>
    <w:p>
      <w:pPr>
        <w:ind w:firstLine="560" w:firstLineChars="200"/>
        <w:rPr>
          <w:rFonts w:hint="eastAsia"/>
          <w:sz w:val="28"/>
          <w:szCs w:val="28"/>
        </w:rPr>
      </w:pPr>
      <w:r>
        <w:rPr>
          <w:rFonts w:hint="eastAsia"/>
          <w:sz w:val="28"/>
          <w:szCs w:val="28"/>
        </w:rPr>
        <w:t>(12)供应商如为经销商，必须提供生产厂家针对本项目的专项授权书原件。</w:t>
      </w:r>
    </w:p>
    <w:p>
      <w:pPr>
        <w:ind w:firstLine="560" w:firstLineChars="200"/>
        <w:rPr>
          <w:sz w:val="28"/>
          <w:szCs w:val="28"/>
        </w:rPr>
      </w:pPr>
    </w:p>
    <w:p>
      <w:pPr>
        <w:rPr>
          <w:rFonts w:ascii="仿宋" w:hAnsi="仿宋" w:eastAsia="仿宋" w:cs="仿宋"/>
          <w:b/>
          <w:bCs/>
          <w:sz w:val="24"/>
        </w:rPr>
      </w:pPr>
      <w:r>
        <w:rPr>
          <w:rFonts w:hint="eastAsia" w:ascii="仿宋" w:hAnsi="仿宋" w:eastAsia="仿宋" w:cs="仿宋"/>
          <w:b/>
          <w:bCs/>
          <w:sz w:val="24"/>
        </w:rPr>
        <w:t>备注：带</w:t>
      </w:r>
      <w:r>
        <w:rPr>
          <w:rFonts w:hint="eastAsia" w:ascii="仿宋" w:hAnsi="仿宋" w:eastAsia="仿宋" w:cs="仿宋"/>
          <w:sz w:val="24"/>
        </w:rPr>
        <w:t>▲</w:t>
      </w:r>
      <w:r>
        <w:rPr>
          <w:rFonts w:hint="eastAsia" w:ascii="仿宋" w:hAnsi="仿宋" w:eastAsia="仿宋" w:cs="仿宋"/>
          <w:b/>
          <w:bCs/>
          <w:sz w:val="24"/>
        </w:rPr>
        <w:t>号的为实质性要求，不允许出现负偏离。</w:t>
      </w:r>
    </w:p>
    <w:p>
      <w:pPr>
        <w:snapToGrid w:val="0"/>
        <w:spacing w:line="360" w:lineRule="auto"/>
        <w:rPr>
          <w:b/>
          <w:sz w:val="24"/>
        </w:rPr>
      </w:pPr>
    </w:p>
    <w:p>
      <w:pPr>
        <w:snapToGrid w:val="0"/>
        <w:spacing w:line="360" w:lineRule="auto"/>
        <w:rPr>
          <w:rStyle w:val="27"/>
          <w:rFonts w:cs="宋体"/>
        </w:rPr>
      </w:pPr>
      <w:r>
        <w:rPr>
          <w:rStyle w:val="27"/>
          <w:rFonts w:hint="eastAsia" w:cs="宋体"/>
        </w:rPr>
        <w:t>三、商务要求</w:t>
      </w:r>
    </w:p>
    <w:p>
      <w:pPr>
        <w:ind w:firstLine="280" w:firstLineChars="100"/>
        <w:rPr>
          <w:sz w:val="28"/>
          <w:szCs w:val="28"/>
        </w:rPr>
      </w:pPr>
      <w:r>
        <w:rPr>
          <w:rFonts w:hint="eastAsia"/>
          <w:sz w:val="28"/>
          <w:szCs w:val="28"/>
        </w:rPr>
        <w:t>1、项目投标报价要求</w:t>
      </w:r>
    </w:p>
    <w:p>
      <w:pPr>
        <w:ind w:firstLine="560" w:firstLineChars="200"/>
        <w:rPr>
          <w:sz w:val="28"/>
          <w:szCs w:val="28"/>
        </w:rPr>
      </w:pPr>
      <w:r>
        <w:rPr>
          <w:rFonts w:hint="eastAsia"/>
          <w:sz w:val="28"/>
          <w:szCs w:val="28"/>
        </w:rPr>
        <w:t>（1）投标人根据招标文件的要求，投标总价包括材料费、包装运输、保险、利润、技术措施费、规费、税金、验收、各种办证费用以及资料费、技术及售后服务费、保修期内所需的零件、工具、杂费、不可预见费均在内（不包括人为因素、自然灾害及不可抗力所造成的损坏所需维修费用），一次性包死，合同价不再作调整，除招标范围更改、设计变更。</w:t>
      </w:r>
    </w:p>
    <w:p>
      <w:pPr>
        <w:ind w:firstLine="560" w:firstLineChars="200"/>
        <w:rPr>
          <w:sz w:val="28"/>
          <w:szCs w:val="28"/>
        </w:rPr>
      </w:pPr>
      <w:r>
        <w:rPr>
          <w:rFonts w:hint="eastAsia"/>
          <w:sz w:val="28"/>
          <w:szCs w:val="28"/>
        </w:rPr>
        <w:t>如还有其它费用内容组成，投标人可在投标分项报价表中单独列出，如不列明详细报价，则视为已含入各分项报价里。</w:t>
      </w:r>
    </w:p>
    <w:p>
      <w:pPr>
        <w:ind w:firstLine="560" w:firstLineChars="200"/>
        <w:rPr>
          <w:sz w:val="28"/>
          <w:szCs w:val="28"/>
        </w:rPr>
      </w:pPr>
      <w:r>
        <w:rPr>
          <w:rFonts w:hint="eastAsia"/>
          <w:sz w:val="28"/>
          <w:szCs w:val="28"/>
        </w:rPr>
        <w:t>（2）按国家规定由中标人缴纳的各种税收已包含在投标总价内，由中标人向税务机关缴纳。</w:t>
      </w:r>
    </w:p>
    <w:p>
      <w:pPr>
        <w:ind w:firstLine="280" w:firstLineChars="100"/>
        <w:rPr>
          <w:sz w:val="28"/>
          <w:szCs w:val="28"/>
        </w:rPr>
      </w:pPr>
      <w:r>
        <w:rPr>
          <w:rFonts w:hint="eastAsia"/>
          <w:sz w:val="28"/>
          <w:szCs w:val="28"/>
        </w:rPr>
        <w:t>2、交货时间及地点</w:t>
      </w:r>
    </w:p>
    <w:p>
      <w:pPr>
        <w:ind w:firstLine="560" w:firstLineChars="200"/>
        <w:rPr>
          <w:sz w:val="28"/>
          <w:szCs w:val="28"/>
          <w:highlight w:val="none"/>
        </w:rPr>
      </w:pPr>
      <w:r>
        <w:rPr>
          <w:rFonts w:hint="eastAsia"/>
          <w:sz w:val="28"/>
          <w:szCs w:val="28"/>
        </w:rPr>
        <w:t>合同签订后按照招标人通知分批交货，时间在通知后72小时内交货。交货地点:</w:t>
      </w:r>
      <w:r>
        <w:rPr>
          <w:rFonts w:hint="eastAsia"/>
          <w:sz w:val="28"/>
          <w:szCs w:val="28"/>
          <w:highlight w:val="none"/>
        </w:rPr>
        <w:t xml:space="preserve"> 东阳市第二生活垃圾卫生填埋场。</w:t>
      </w:r>
    </w:p>
    <w:p>
      <w:pPr>
        <w:ind w:firstLine="280" w:firstLineChars="100"/>
        <w:rPr>
          <w:rFonts w:hint="eastAsia" w:eastAsia="宋体"/>
          <w:sz w:val="28"/>
          <w:szCs w:val="28"/>
          <w:highlight w:val="none"/>
          <w:lang w:eastAsia="zh-CN"/>
        </w:rPr>
      </w:pPr>
      <w:r>
        <w:rPr>
          <w:rFonts w:hint="eastAsia"/>
          <w:sz w:val="28"/>
          <w:szCs w:val="28"/>
          <w:highlight w:val="none"/>
        </w:rPr>
        <w:t>3、质保期</w:t>
      </w:r>
      <w:r>
        <w:rPr>
          <w:rFonts w:hint="eastAsia"/>
          <w:sz w:val="28"/>
          <w:szCs w:val="28"/>
          <w:highlight w:val="none"/>
          <w:lang w:eastAsia="zh-CN"/>
        </w:rPr>
        <w:t>与履约保证金</w:t>
      </w:r>
    </w:p>
    <w:p>
      <w:pPr>
        <w:ind w:firstLine="560" w:firstLineChars="200"/>
        <w:rPr>
          <w:rFonts w:hint="default"/>
          <w:b/>
          <w:bCs/>
          <w:sz w:val="28"/>
          <w:szCs w:val="28"/>
          <w:highlight w:val="none"/>
          <w:lang w:val="en-US" w:eastAsia="zh-CN"/>
        </w:rPr>
      </w:pPr>
      <w:r>
        <w:rPr>
          <w:rFonts w:hint="eastAsia"/>
          <w:sz w:val="28"/>
          <w:szCs w:val="28"/>
          <w:highlight w:val="none"/>
        </w:rPr>
        <w:t>产品质保期为到货之日起一年。质保期从安装调试完毕，最终验收合格之日开始计算。除非采购人另有要求，质保期内的服务均为免费上门服务。</w:t>
      </w:r>
      <w:r>
        <w:rPr>
          <w:rFonts w:hint="eastAsia"/>
          <w:b/>
          <w:bCs/>
          <w:sz w:val="28"/>
          <w:szCs w:val="28"/>
          <w:highlight w:val="none"/>
          <w:lang w:eastAsia="zh-CN"/>
        </w:rPr>
        <w:t>在签订合同后</w:t>
      </w:r>
      <w:r>
        <w:rPr>
          <w:rFonts w:hint="eastAsia"/>
          <w:b/>
          <w:bCs/>
          <w:sz w:val="28"/>
          <w:szCs w:val="28"/>
          <w:highlight w:val="none"/>
          <w:lang w:val="en-US" w:eastAsia="zh-CN"/>
        </w:rPr>
        <w:t>15日内，中标人需向招标人提交合同总额的5%做为履约保证金，</w:t>
      </w:r>
      <w:r>
        <w:rPr>
          <w:rFonts w:hint="eastAsia"/>
          <w:b/>
          <w:bCs/>
          <w:sz w:val="28"/>
          <w:szCs w:val="28"/>
          <w:highlight w:val="none"/>
        </w:rPr>
        <w:t>合同履行完毕后</w:t>
      </w:r>
      <w:r>
        <w:rPr>
          <w:rFonts w:hint="eastAsia"/>
          <w:b/>
          <w:bCs/>
          <w:sz w:val="28"/>
          <w:szCs w:val="28"/>
          <w:highlight w:val="none"/>
          <w:lang w:val="en-US" w:eastAsia="zh-CN"/>
        </w:rPr>
        <w:t>15</w:t>
      </w:r>
      <w:r>
        <w:rPr>
          <w:rFonts w:hint="eastAsia"/>
          <w:b/>
          <w:bCs/>
          <w:sz w:val="28"/>
          <w:szCs w:val="28"/>
          <w:highlight w:val="none"/>
        </w:rPr>
        <w:t>日内</w:t>
      </w:r>
      <w:r>
        <w:rPr>
          <w:rFonts w:hint="eastAsia"/>
          <w:b/>
          <w:bCs/>
          <w:sz w:val="28"/>
          <w:szCs w:val="28"/>
          <w:highlight w:val="none"/>
          <w:lang w:eastAsia="zh-CN"/>
        </w:rPr>
        <w:t>招标人</w:t>
      </w:r>
      <w:r>
        <w:rPr>
          <w:rFonts w:hint="eastAsia"/>
          <w:b/>
          <w:bCs/>
          <w:sz w:val="28"/>
          <w:szCs w:val="28"/>
          <w:highlight w:val="none"/>
        </w:rPr>
        <w:t>无息退还</w:t>
      </w:r>
      <w:r>
        <w:rPr>
          <w:rFonts w:hint="eastAsia"/>
          <w:b/>
          <w:bCs/>
          <w:sz w:val="28"/>
          <w:szCs w:val="28"/>
          <w:highlight w:val="none"/>
          <w:lang w:eastAsia="zh-CN"/>
        </w:rPr>
        <w:t>中标人</w:t>
      </w:r>
      <w:r>
        <w:rPr>
          <w:rFonts w:hint="eastAsia"/>
          <w:b/>
          <w:bCs/>
          <w:sz w:val="28"/>
          <w:szCs w:val="28"/>
          <w:highlight w:val="none"/>
        </w:rPr>
        <w:t>履约保证金。（不计息）</w:t>
      </w:r>
    </w:p>
    <w:p>
      <w:pPr>
        <w:ind w:firstLine="280" w:firstLineChars="100"/>
        <w:rPr>
          <w:sz w:val="28"/>
          <w:szCs w:val="28"/>
          <w:highlight w:val="none"/>
        </w:rPr>
      </w:pPr>
      <w:r>
        <w:rPr>
          <w:rFonts w:hint="eastAsia"/>
          <w:sz w:val="28"/>
          <w:szCs w:val="28"/>
          <w:highlight w:val="none"/>
        </w:rPr>
        <w:t>4、验收标准</w:t>
      </w:r>
    </w:p>
    <w:p>
      <w:pPr>
        <w:ind w:firstLine="560" w:firstLineChars="200"/>
        <w:rPr>
          <w:sz w:val="28"/>
          <w:szCs w:val="28"/>
        </w:rPr>
      </w:pPr>
      <w:r>
        <w:rPr>
          <w:rFonts w:hint="eastAsia"/>
          <w:sz w:val="28"/>
          <w:szCs w:val="28"/>
          <w:highlight w:val="none"/>
        </w:rPr>
        <w:t>根据中华人民共和国现行技术标准，按招标文件以及合同规定的验收</w:t>
      </w:r>
      <w:r>
        <w:rPr>
          <w:rFonts w:hint="eastAsia"/>
          <w:sz w:val="28"/>
          <w:szCs w:val="28"/>
        </w:rPr>
        <w:t>评定标准等规范，由用户直接组织验收。</w:t>
      </w:r>
    </w:p>
    <w:p>
      <w:pPr>
        <w:ind w:firstLine="280" w:firstLineChars="100"/>
        <w:rPr>
          <w:sz w:val="28"/>
          <w:szCs w:val="28"/>
        </w:rPr>
      </w:pPr>
      <w:r>
        <w:rPr>
          <w:rFonts w:hint="eastAsia"/>
          <w:sz w:val="28"/>
          <w:szCs w:val="28"/>
        </w:rPr>
        <w:t>5、付款方式</w:t>
      </w:r>
    </w:p>
    <w:p>
      <w:pPr>
        <w:ind w:firstLine="560" w:firstLineChars="200"/>
        <w:rPr>
          <w:rFonts w:hint="eastAsia"/>
          <w:sz w:val="28"/>
          <w:szCs w:val="28"/>
        </w:rPr>
      </w:pPr>
      <w:r>
        <w:rPr>
          <w:rFonts w:hint="eastAsia"/>
          <w:sz w:val="28"/>
          <w:szCs w:val="28"/>
        </w:rPr>
        <w:t>每月使用结束并验收合格后，15天内由采购方向供货商支付上月使用量的货款（以收到供货商开具的正式发票之日起为准）。</w:t>
      </w:r>
    </w:p>
    <w:p>
      <w:pPr>
        <w:ind w:firstLine="281" w:firstLineChars="100"/>
        <w:rPr>
          <w:rFonts w:hint="eastAsia"/>
          <w:b/>
          <w:bCs/>
          <w:sz w:val="28"/>
          <w:szCs w:val="28"/>
        </w:rPr>
      </w:pPr>
      <w:r>
        <w:rPr>
          <w:rFonts w:hint="eastAsia"/>
          <w:b/>
          <w:bCs/>
          <w:sz w:val="28"/>
          <w:szCs w:val="28"/>
          <w:lang w:val="en-US" w:eastAsia="zh-CN"/>
        </w:rPr>
        <w:t>6</w:t>
      </w:r>
      <w:r>
        <w:rPr>
          <w:rFonts w:hint="eastAsia"/>
          <w:b/>
          <w:bCs/>
          <w:sz w:val="28"/>
          <w:szCs w:val="28"/>
        </w:rPr>
        <w:t>、授权函</w:t>
      </w:r>
    </w:p>
    <w:p>
      <w:pPr>
        <w:ind w:firstLine="281" w:firstLineChars="100"/>
        <w:rPr>
          <w:rFonts w:hint="eastAsia"/>
          <w:sz w:val="28"/>
          <w:szCs w:val="28"/>
        </w:rPr>
      </w:pPr>
      <w:r>
        <w:rPr>
          <w:rFonts w:hint="eastAsia"/>
          <w:b/>
          <w:bCs/>
          <w:sz w:val="28"/>
          <w:szCs w:val="28"/>
        </w:rPr>
        <w:t>以上需要提供原厂商针对本项目的保修服务承诺函的，在中标公示期内提供授权函原件，复印件无效，如原厂商无故不予授权，在预中标成交供应商作出保证质量和售后服务的承诺后，可以不需要授权文件将合同授予该供应商，但需另外增加合同总额6%的质量保证金，在合同签订前向采购人缴纳，在质保期结束后7个工作日内退还。</w:t>
      </w:r>
    </w:p>
    <w:p>
      <w:pPr>
        <w:ind w:firstLine="560" w:firstLineChars="200"/>
        <w:rPr>
          <w:sz w:val="28"/>
          <w:szCs w:val="28"/>
        </w:rPr>
      </w:pPr>
    </w:p>
    <w:p>
      <w:pPr>
        <w:snapToGrid w:val="0"/>
        <w:spacing w:line="360" w:lineRule="auto"/>
        <w:rPr>
          <w:rFonts w:ascii="黑体" w:hAnsi="宋体" w:eastAsia="黑体"/>
          <w:b/>
          <w:color w:val="000000"/>
          <w:sz w:val="30"/>
          <w:szCs w:val="30"/>
        </w:rPr>
      </w:pPr>
    </w:p>
    <w:p>
      <w:pPr>
        <w:snapToGrid w:val="0"/>
        <w:spacing w:line="360" w:lineRule="auto"/>
        <w:rPr>
          <w:rFonts w:ascii="黑体" w:hAnsi="宋体" w:eastAsia="黑体"/>
          <w:b/>
          <w:color w:val="000000"/>
          <w:sz w:val="30"/>
          <w:szCs w:val="30"/>
        </w:rPr>
      </w:pPr>
    </w:p>
    <w:p>
      <w:pPr>
        <w:snapToGrid w:val="0"/>
        <w:spacing w:line="360" w:lineRule="auto"/>
        <w:rPr>
          <w:rFonts w:ascii="黑体" w:hAnsi="宋体" w:eastAsia="黑体"/>
          <w:b/>
          <w:color w:val="000000"/>
          <w:sz w:val="30"/>
          <w:szCs w:val="30"/>
        </w:rPr>
      </w:pPr>
    </w:p>
    <w:p>
      <w:pPr>
        <w:snapToGrid w:val="0"/>
        <w:spacing w:line="360" w:lineRule="auto"/>
        <w:rPr>
          <w:rFonts w:ascii="黑体" w:hAnsi="宋体" w:eastAsia="黑体"/>
          <w:b/>
          <w:color w:val="000000"/>
          <w:sz w:val="30"/>
          <w:szCs w:val="30"/>
        </w:rPr>
      </w:pPr>
    </w:p>
    <w:p>
      <w:pPr>
        <w:snapToGrid w:val="0"/>
        <w:spacing w:line="360" w:lineRule="auto"/>
        <w:rPr>
          <w:rFonts w:ascii="黑体" w:hAnsi="宋体" w:eastAsia="黑体"/>
          <w:b/>
          <w:color w:val="000000"/>
          <w:sz w:val="30"/>
          <w:szCs w:val="30"/>
        </w:rPr>
      </w:pPr>
    </w:p>
    <w:p>
      <w:pPr>
        <w:snapToGrid w:val="0"/>
        <w:spacing w:line="360" w:lineRule="auto"/>
        <w:rPr>
          <w:rFonts w:ascii="黑体" w:hAnsi="宋体" w:eastAsia="黑体"/>
          <w:b/>
          <w:color w:val="000000"/>
          <w:sz w:val="30"/>
          <w:szCs w:val="30"/>
        </w:rPr>
      </w:pPr>
    </w:p>
    <w:p>
      <w:pPr>
        <w:pStyle w:val="8"/>
        <w:spacing w:before="120" w:after="120" w:line="460" w:lineRule="exact"/>
        <w:ind w:firstLine="480" w:firstLineChars="200"/>
        <w:rPr>
          <w:rFonts w:hAnsi="宋体"/>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outlineLvl w:val="0"/>
        <w:rPr>
          <w:rFonts w:ascii="黑体" w:hAnsi="宋体" w:eastAsia="黑体"/>
          <w:b/>
          <w:color w:val="000000"/>
          <w:sz w:val="30"/>
          <w:szCs w:val="30"/>
        </w:rPr>
      </w:pPr>
    </w:p>
    <w:p>
      <w:pPr>
        <w:pStyle w:val="8"/>
        <w:snapToGrid w:val="0"/>
        <w:spacing w:before="120" w:after="120" w:line="240" w:lineRule="auto"/>
        <w:ind w:firstLine="3313" w:firstLineChars="1100"/>
        <w:outlineLvl w:val="0"/>
        <w:rPr>
          <w:rFonts w:hAnsi="宋体"/>
          <w:b/>
          <w:color w:val="000000"/>
          <w:szCs w:val="28"/>
        </w:rPr>
      </w:pPr>
      <w:r>
        <w:rPr>
          <w:rFonts w:hint="eastAsia" w:ascii="黑体" w:hAnsi="宋体" w:eastAsia="黑体"/>
          <w:b/>
          <w:color w:val="000000"/>
          <w:sz w:val="30"/>
          <w:szCs w:val="30"/>
        </w:rPr>
        <w:t>第三章  投标人须知</w:t>
      </w:r>
    </w:p>
    <w:p>
      <w:pPr>
        <w:snapToGrid w:val="0"/>
        <w:spacing w:beforeLines="50" w:afterLines="50"/>
        <w:ind w:left="238"/>
        <w:jc w:val="center"/>
        <w:outlineLvl w:val="1"/>
        <w:rPr>
          <w:rFonts w:ascii="宋体" w:hAnsi="宋体"/>
          <w:b/>
          <w:color w:val="000000"/>
          <w:sz w:val="24"/>
        </w:rPr>
      </w:pPr>
      <w:r>
        <w:rPr>
          <w:rFonts w:hint="eastAsia" w:ascii="宋体" w:hAnsi="宋体"/>
          <w:b/>
          <w:color w:val="000000"/>
          <w:sz w:val="24"/>
        </w:rPr>
        <w:t>前 附 表</w:t>
      </w:r>
    </w:p>
    <w:tbl>
      <w:tblPr>
        <w:tblStyle w:val="15"/>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ind w:left="-105" w:leftChars="-50" w:right="-105" w:rightChars="-50"/>
              <w:jc w:val="center"/>
              <w:rPr>
                <w:rFonts w:ascii="宋体" w:hAnsi="宋体"/>
                <w:color w:val="000000"/>
                <w:sz w:val="24"/>
                <w:szCs w:val="20"/>
              </w:rPr>
            </w:pPr>
            <w:r>
              <w:rPr>
                <w:rFonts w:hint="eastAsia" w:ascii="宋体" w:hAnsi="宋体"/>
                <w:color w:val="000000"/>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rPr>
            </w:pPr>
            <w:r>
              <w:rPr>
                <w:rFonts w:ascii="宋体" w:hAnsi="宋体"/>
                <w:color w:val="000000"/>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hint="eastAsia" w:ascii="宋体" w:hAnsi="宋体" w:eastAsia="宋体"/>
                <w:color w:val="000000"/>
                <w:sz w:val="24"/>
                <w:szCs w:val="20"/>
                <w:lang w:eastAsia="zh-CN"/>
              </w:rPr>
            </w:pPr>
            <w:r>
              <w:rPr>
                <w:rFonts w:hint="eastAsia" w:ascii="宋体" w:hAnsi="宋体"/>
                <w:color w:val="000000"/>
                <w:sz w:val="24"/>
                <w:szCs w:val="20"/>
              </w:rPr>
              <w:t>项目名称：</w:t>
            </w:r>
            <w:r>
              <w:rPr>
                <w:rFonts w:hint="eastAsia" w:ascii="宋体" w:hAnsi="宋体"/>
                <w:color w:val="000000"/>
                <w:sz w:val="24"/>
                <w:szCs w:val="20"/>
                <w:lang w:eastAsia="zh-CN"/>
              </w:rPr>
              <w:t>东阳市环境卫生管理处填埋场除臭服务、灭蝇药剂、道路清洗除臭剂及雾炮器采购项目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2</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color w:val="000000"/>
                <w:sz w:val="24"/>
                <w:szCs w:val="20"/>
              </w:rPr>
            </w:pPr>
            <w:r>
              <w:rPr>
                <w:rFonts w:hint="eastAsia" w:ascii="宋体" w:hAnsi="宋体"/>
                <w:color w:val="000000"/>
                <w:sz w:val="24"/>
                <w:szCs w:val="20"/>
              </w:rPr>
              <w:t>投标报价及费用：1、本项目投标应以人民币报价；2、不论投标结果如何，投标人均应自行承担所有与投标有关的全部费用；3、本项目免收代理服务费。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3</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color w:val="000000"/>
                <w:sz w:val="24"/>
                <w:szCs w:val="20"/>
              </w:rPr>
            </w:pPr>
            <w:r>
              <w:rPr>
                <w:rFonts w:hint="eastAsia" w:ascii="宋体" w:hAnsi="宋体"/>
                <w:color w:val="000000"/>
                <w:sz w:val="24"/>
                <w:szCs w:val="20"/>
              </w:rPr>
              <w:t>此项目为非专门面向中小企业采购项目。对小型和微型企业生产的产品，报价给予6%的价格扣除，用扣除后的价格参与评审。</w:t>
            </w:r>
          </w:p>
          <w:p>
            <w:pPr>
              <w:snapToGrid w:val="0"/>
              <w:jc w:val="left"/>
              <w:rPr>
                <w:rFonts w:ascii="宋体" w:hAnsi="宋体"/>
                <w:color w:val="000000"/>
                <w:sz w:val="24"/>
                <w:szCs w:val="20"/>
              </w:rPr>
            </w:pPr>
            <w:r>
              <w:rPr>
                <w:rFonts w:hint="eastAsia" w:ascii="宋体" w:hAnsi="宋体"/>
                <w:color w:val="000000"/>
                <w:sz w:val="24"/>
                <w:szCs w:val="20"/>
              </w:rPr>
              <w:t>监狱企业、残疾人福利性单位视同小型、微型企业，享受同样的价格扣除。</w:t>
            </w:r>
          </w:p>
          <w:p>
            <w:pPr>
              <w:snapToGrid w:val="0"/>
              <w:jc w:val="left"/>
              <w:rPr>
                <w:rFonts w:ascii="宋体" w:hAnsi="宋体"/>
                <w:color w:val="000000"/>
                <w:sz w:val="24"/>
                <w:szCs w:val="20"/>
              </w:rPr>
            </w:pPr>
            <w:r>
              <w:rPr>
                <w:rFonts w:hint="eastAsia" w:ascii="宋体" w:hAnsi="宋体"/>
                <w:color w:val="000000"/>
                <w:sz w:val="24"/>
                <w:szCs w:val="20"/>
              </w:rPr>
              <w:t>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highlight w:val="none"/>
              </w:rPr>
              <w:t>答疑与澄清：投标人如认为招</w:t>
            </w:r>
            <w:r>
              <w:rPr>
                <w:rFonts w:hint="eastAsia" w:ascii="宋体" w:hAnsi="宋体"/>
                <w:sz w:val="24"/>
                <w:highlight w:val="none"/>
              </w:rPr>
              <w:t>标文件表述不清晰、存在歧视性、排他性或者其他违法内容的，应当</w:t>
            </w:r>
            <w:r>
              <w:rPr>
                <w:rFonts w:hint="eastAsia" w:ascii="宋体" w:hAnsi="宋体"/>
                <w:sz w:val="24"/>
                <w:highlight w:val="none"/>
                <w:shd w:val="clear" w:color="auto" w:fill="FFFFFF" w:themeFill="background1"/>
              </w:rPr>
              <w:t>于</w:t>
            </w:r>
            <w:r>
              <w:rPr>
                <w:rFonts w:hint="eastAsia" w:ascii="宋体" w:hAnsi="宋体"/>
                <w:sz w:val="24"/>
                <w:highlight w:val="none"/>
                <w:u w:val="single"/>
                <w:shd w:val="clear" w:color="auto" w:fill="FFFFFF" w:themeFill="background1"/>
              </w:rPr>
              <w:t>2019</w:t>
            </w:r>
            <w:r>
              <w:rPr>
                <w:rFonts w:hint="eastAsia" w:ascii="宋体" w:hAnsi="宋体"/>
                <w:sz w:val="24"/>
                <w:highlight w:val="none"/>
                <w:shd w:val="clear" w:color="auto" w:fill="FFFFFF" w:themeFill="background1"/>
              </w:rPr>
              <w:t>年</w:t>
            </w:r>
            <w:r>
              <w:rPr>
                <w:rFonts w:hint="eastAsia" w:ascii="宋体" w:hAnsi="宋体"/>
                <w:sz w:val="24"/>
                <w:highlight w:val="none"/>
                <w:u w:val="single"/>
                <w:shd w:val="clear" w:color="auto" w:fill="FFFFFF" w:themeFill="background1"/>
                <w:lang w:val="en-US" w:eastAsia="zh-CN"/>
              </w:rPr>
              <w:t>6</w:t>
            </w:r>
            <w:r>
              <w:rPr>
                <w:rFonts w:hint="eastAsia" w:ascii="宋体" w:hAnsi="宋体"/>
                <w:sz w:val="24"/>
                <w:highlight w:val="none"/>
                <w:u w:val="single"/>
                <w:shd w:val="clear" w:color="auto" w:fill="FFFFFF" w:themeFill="background1"/>
              </w:rPr>
              <w:t>月</w:t>
            </w:r>
            <w:r>
              <w:rPr>
                <w:rFonts w:hint="eastAsia" w:ascii="宋体" w:hAnsi="宋体"/>
                <w:sz w:val="24"/>
                <w:highlight w:val="none"/>
                <w:u w:val="single"/>
                <w:shd w:val="clear" w:color="auto" w:fill="FFFFFF" w:themeFill="background1"/>
                <w:lang w:val="en-US" w:eastAsia="zh-CN"/>
              </w:rPr>
              <w:t>4</w:t>
            </w:r>
            <w:r>
              <w:rPr>
                <w:rFonts w:hint="eastAsia" w:ascii="宋体" w:hAnsi="宋体"/>
                <w:sz w:val="24"/>
                <w:highlight w:val="none"/>
                <w:shd w:val="clear" w:color="auto" w:fill="FFFFFF" w:themeFill="background1"/>
              </w:rPr>
              <w:t>日16:00前，</w:t>
            </w:r>
            <w:r>
              <w:rPr>
                <w:rFonts w:hint="eastAsia" w:ascii="宋体" w:hAnsi="宋体"/>
                <w:sz w:val="24"/>
                <w:highlight w:val="none"/>
              </w:rPr>
              <w:t>以书面形式要求招标采购单位作出书面解释、澄清或者向招标采购单位提出书面质疑（</w:t>
            </w:r>
            <w:r>
              <w:rPr>
                <w:rFonts w:hint="eastAsia" w:ascii="宋体" w:hAnsi="宋体"/>
                <w:b/>
                <w:sz w:val="24"/>
                <w:highlight w:val="none"/>
              </w:rPr>
              <w:t>超过此规定时间的质疑函将不予受理）</w:t>
            </w:r>
            <w:r>
              <w:rPr>
                <w:rFonts w:hint="eastAsia" w:ascii="宋体" w:hAnsi="宋体"/>
                <w:sz w:val="24"/>
                <w:highlight w:val="none"/>
              </w:rPr>
              <w:t>；招标采购单位将于</w:t>
            </w:r>
            <w:r>
              <w:rPr>
                <w:rFonts w:hint="eastAsia" w:ascii="宋体" w:hAnsi="宋体"/>
                <w:sz w:val="24"/>
                <w:highlight w:val="none"/>
                <w:u w:val="single"/>
                <w:shd w:val="clear" w:color="auto" w:fill="FFFFFF" w:themeFill="background1"/>
              </w:rPr>
              <w:t>2019</w:t>
            </w:r>
            <w:r>
              <w:rPr>
                <w:rFonts w:hint="eastAsia" w:ascii="宋体" w:hAnsi="宋体"/>
                <w:sz w:val="24"/>
                <w:highlight w:val="none"/>
                <w:shd w:val="clear" w:color="auto" w:fill="FFFFFF" w:themeFill="background1"/>
              </w:rPr>
              <w:t>年</w:t>
            </w:r>
            <w:r>
              <w:rPr>
                <w:rFonts w:hint="eastAsia" w:ascii="宋体" w:hAnsi="宋体"/>
                <w:sz w:val="24"/>
                <w:highlight w:val="none"/>
                <w:u w:val="single"/>
                <w:shd w:val="clear" w:color="auto" w:fill="FFFFFF" w:themeFill="background1"/>
                <w:lang w:val="en-US" w:eastAsia="zh-CN"/>
              </w:rPr>
              <w:t>6</w:t>
            </w:r>
            <w:r>
              <w:rPr>
                <w:rFonts w:hint="eastAsia" w:ascii="宋体" w:hAnsi="宋体"/>
                <w:sz w:val="24"/>
                <w:highlight w:val="none"/>
                <w:u w:val="single"/>
                <w:shd w:val="clear" w:color="auto" w:fill="FFFFFF" w:themeFill="background1"/>
              </w:rPr>
              <w:t>月</w:t>
            </w:r>
            <w:r>
              <w:rPr>
                <w:rFonts w:hint="eastAsia" w:ascii="宋体" w:hAnsi="宋体"/>
                <w:sz w:val="24"/>
                <w:highlight w:val="none"/>
                <w:u w:val="single"/>
                <w:shd w:val="clear" w:color="auto" w:fill="FFFFFF" w:themeFill="background1"/>
                <w:lang w:val="en-US" w:eastAsia="zh-CN"/>
              </w:rPr>
              <w:t>6</w:t>
            </w:r>
            <w:r>
              <w:rPr>
                <w:rFonts w:hint="eastAsia" w:ascii="宋体" w:hAnsi="宋体"/>
                <w:sz w:val="24"/>
                <w:highlight w:val="none"/>
                <w:shd w:val="clear" w:color="auto" w:fill="FFFFFF" w:themeFill="background1"/>
              </w:rPr>
              <w:t>日前将答疑内容以传真或网上发布公告的形式通知所有已报名的投标人；答疑内</w:t>
            </w:r>
            <w:r>
              <w:rPr>
                <w:rFonts w:hint="eastAsia" w:ascii="宋体" w:hAnsi="宋体"/>
                <w:color w:val="000000"/>
                <w:sz w:val="24"/>
                <w:highlight w:val="none"/>
                <w:shd w:val="clear" w:color="auto" w:fill="FFFFFF" w:themeFill="background1"/>
              </w:rPr>
              <w:t>容是招标</w:t>
            </w:r>
            <w:r>
              <w:rPr>
                <w:rFonts w:hint="eastAsia" w:ascii="宋体" w:hAnsi="宋体"/>
                <w:color w:val="000000"/>
                <w:sz w:val="24"/>
                <w:highlight w:val="none"/>
              </w:rPr>
              <w:t>文件的组成部分；因其他紧急情况影响本项目正常招标活动的，招标采购单位将于投标截止日期</w:t>
            </w:r>
            <w:r>
              <w:rPr>
                <w:rFonts w:ascii="宋体" w:hAnsi="宋体"/>
                <w:color w:val="000000"/>
                <w:sz w:val="24"/>
                <w:highlight w:val="none"/>
              </w:rPr>
              <w:t>5</w:t>
            </w:r>
            <w:r>
              <w:rPr>
                <w:rFonts w:hint="eastAsia" w:ascii="宋体" w:hAnsi="宋体"/>
                <w:color w:val="000000"/>
                <w:sz w:val="24"/>
                <w:highlight w:val="none"/>
              </w:rPr>
              <w:t>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color w:val="000000"/>
                <w:sz w:val="24"/>
                <w:szCs w:val="20"/>
              </w:rPr>
            </w:pPr>
            <w:r>
              <w:rPr>
                <w:rFonts w:hint="eastAsia" w:ascii="宋体" w:hAnsi="宋体"/>
                <w:color w:val="000000"/>
                <w:sz w:val="24"/>
              </w:rPr>
              <w:t>投标文件组成：</w:t>
            </w:r>
            <w:r>
              <w:rPr>
                <w:rFonts w:hint="eastAsia" w:ascii="宋体" w:hAnsi="宋体" w:cs="Arial"/>
                <w:color w:val="000000"/>
                <w:sz w:val="24"/>
              </w:rPr>
              <w:t>技术、商务、报价文件</w:t>
            </w:r>
            <w:r>
              <w:rPr>
                <w:rFonts w:hint="eastAsia" w:ascii="宋体" w:hAnsi="宋体"/>
                <w:sz w:val="24"/>
              </w:rPr>
              <w:t>正本各</w:t>
            </w:r>
            <w:r>
              <w:rPr>
                <w:rFonts w:hint="eastAsia" w:ascii="宋体" w:hAnsi="宋体" w:cs="Arial"/>
                <w:sz w:val="24"/>
                <w:u w:val="single"/>
              </w:rPr>
              <w:t>1</w:t>
            </w:r>
            <w:r>
              <w:rPr>
                <w:rFonts w:hint="eastAsia" w:ascii="宋体" w:hAnsi="宋体"/>
                <w:sz w:val="24"/>
              </w:rPr>
              <w:t>份；副本各</w:t>
            </w:r>
            <w:r>
              <w:rPr>
                <w:rFonts w:hint="eastAsia" w:ascii="宋体" w:hAnsi="宋体"/>
                <w:sz w:val="24"/>
                <w:u w:val="single"/>
              </w:rPr>
              <w:t>6</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6</w:t>
            </w:r>
          </w:p>
        </w:tc>
        <w:tc>
          <w:tcPr>
            <w:tcW w:w="85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napToGrid w:val="0"/>
              <w:rPr>
                <w:rFonts w:ascii="宋体" w:hAnsi="宋体"/>
                <w:color w:val="000000"/>
                <w:sz w:val="24"/>
                <w:highlight w:val="none"/>
              </w:rPr>
            </w:pPr>
            <w:r>
              <w:rPr>
                <w:rFonts w:hint="eastAsia" w:ascii="宋体" w:hAnsi="宋体"/>
                <w:color w:val="000000"/>
                <w:sz w:val="24"/>
                <w:highlight w:val="none"/>
              </w:rPr>
              <w:t>投标截止时间：2019年</w:t>
            </w:r>
            <w:r>
              <w:rPr>
                <w:rFonts w:hint="eastAsia" w:ascii="宋体" w:hAnsi="宋体"/>
                <w:color w:val="000000"/>
                <w:sz w:val="24"/>
                <w:highlight w:val="none"/>
                <w:lang w:val="en-US" w:eastAsia="zh-CN"/>
              </w:rPr>
              <w:t>6</w:t>
            </w:r>
            <w:r>
              <w:rPr>
                <w:rFonts w:hint="eastAsia" w:ascii="宋体" w:hAnsi="宋体"/>
                <w:color w:val="000000"/>
                <w:sz w:val="24"/>
                <w:highlight w:val="none"/>
              </w:rPr>
              <w:t>月</w:t>
            </w:r>
            <w:r>
              <w:rPr>
                <w:rFonts w:hint="eastAsia" w:ascii="宋体" w:hAnsi="宋体"/>
                <w:color w:val="000000"/>
                <w:sz w:val="24"/>
                <w:highlight w:val="none"/>
                <w:lang w:val="en-US" w:eastAsia="zh-CN"/>
              </w:rPr>
              <w:t>18</w:t>
            </w:r>
            <w:r>
              <w:rPr>
                <w:rFonts w:hint="eastAsia" w:ascii="宋体" w:hAnsi="宋体"/>
                <w:color w:val="000000"/>
                <w:sz w:val="24"/>
                <w:highlight w:val="none"/>
              </w:rPr>
              <w:t>日09：30时</w:t>
            </w:r>
          </w:p>
          <w:p>
            <w:pPr>
              <w:snapToGrid w:val="0"/>
              <w:rPr>
                <w:rFonts w:ascii="宋体" w:hAnsi="宋体"/>
                <w:color w:val="000000"/>
                <w:sz w:val="24"/>
                <w:highlight w:val="none"/>
              </w:rPr>
            </w:pPr>
            <w:r>
              <w:rPr>
                <w:rFonts w:hint="eastAsia" w:ascii="宋体" w:hAnsi="宋体"/>
                <w:color w:val="000000"/>
                <w:sz w:val="24"/>
                <w:highlight w:val="none"/>
              </w:rPr>
              <w:t>投标文件递交地点：东阳市艺海北路388号（行政服务中心）B幢西区10楼开标室4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7</w:t>
            </w:r>
          </w:p>
        </w:tc>
        <w:tc>
          <w:tcPr>
            <w:tcW w:w="85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napToGrid w:val="0"/>
              <w:rPr>
                <w:rFonts w:ascii="宋体" w:hAnsi="宋体"/>
                <w:color w:val="000000"/>
                <w:sz w:val="24"/>
                <w:highlight w:val="none"/>
              </w:rPr>
            </w:pPr>
            <w:r>
              <w:rPr>
                <w:rFonts w:hint="eastAsia" w:ascii="宋体" w:hAnsi="宋体"/>
                <w:color w:val="000000"/>
                <w:sz w:val="24"/>
                <w:highlight w:val="none"/>
              </w:rPr>
              <w:t>开标时间：2019年</w:t>
            </w:r>
            <w:r>
              <w:rPr>
                <w:rFonts w:hint="eastAsia" w:ascii="宋体" w:hAnsi="宋体"/>
                <w:color w:val="000000"/>
                <w:sz w:val="24"/>
                <w:highlight w:val="none"/>
                <w:lang w:val="en-US" w:eastAsia="zh-CN"/>
              </w:rPr>
              <w:t>6</w:t>
            </w:r>
            <w:r>
              <w:rPr>
                <w:rFonts w:hint="eastAsia" w:ascii="宋体" w:hAnsi="宋体"/>
                <w:color w:val="000000"/>
                <w:sz w:val="24"/>
                <w:highlight w:val="none"/>
              </w:rPr>
              <w:t>月</w:t>
            </w:r>
            <w:r>
              <w:rPr>
                <w:rFonts w:hint="eastAsia" w:ascii="宋体" w:hAnsi="宋体"/>
                <w:color w:val="000000"/>
                <w:sz w:val="24"/>
                <w:highlight w:val="none"/>
                <w:lang w:val="en-US" w:eastAsia="zh-CN"/>
              </w:rPr>
              <w:t>18</w:t>
            </w:r>
            <w:r>
              <w:rPr>
                <w:rFonts w:hint="eastAsia" w:ascii="宋体" w:hAnsi="宋体"/>
                <w:color w:val="000000"/>
                <w:sz w:val="24"/>
                <w:highlight w:val="none"/>
              </w:rPr>
              <w:t>日09：30时</w:t>
            </w:r>
          </w:p>
          <w:p>
            <w:pPr>
              <w:snapToGrid w:val="0"/>
              <w:rPr>
                <w:rFonts w:ascii="宋体" w:hAnsi="宋体"/>
                <w:color w:val="000000"/>
                <w:sz w:val="24"/>
                <w:highlight w:val="none"/>
              </w:rPr>
            </w:pPr>
            <w:r>
              <w:rPr>
                <w:rFonts w:hint="eastAsia" w:ascii="宋体" w:hAnsi="宋体"/>
                <w:color w:val="000000"/>
                <w:sz w:val="24"/>
                <w:highlight w:val="none"/>
              </w:rPr>
              <w:t>开标地点：东阳市艺海北路388号（行政服务中心）B幢西区10楼开标室4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8</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rPr>
            </w:pPr>
            <w:r>
              <w:rPr>
                <w:rFonts w:hint="eastAsia" w:ascii="宋体" w:hAnsi="宋体"/>
                <w:color w:val="000000"/>
                <w:sz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9</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rPr>
            </w:pPr>
            <w:r>
              <w:rPr>
                <w:rFonts w:hint="eastAsia" w:ascii="宋体" w:hAnsi="宋体"/>
                <w:color w:val="000000"/>
                <w:sz w:val="24"/>
              </w:rPr>
              <w:t>中标结果公告：评标结束后</w:t>
            </w:r>
            <w:r>
              <w:rPr>
                <w:rFonts w:ascii="宋体" w:hAnsi="宋体"/>
                <w:color w:val="000000"/>
                <w:sz w:val="24"/>
              </w:rPr>
              <w:t>2</w:t>
            </w:r>
            <w:r>
              <w:rPr>
                <w:rFonts w:hint="eastAsia" w:ascii="宋体" w:hAnsi="宋体"/>
                <w:color w:val="000000"/>
                <w:sz w:val="24"/>
              </w:rPr>
              <w:t>天内，中标结果公告于浙江省政府采购网</w:t>
            </w:r>
            <w:r>
              <w:rPr>
                <w:rFonts w:ascii="宋体" w:hAnsi="宋体"/>
                <w:color w:val="000000"/>
                <w:sz w:val="24"/>
              </w:rPr>
              <w:t>(</w:t>
            </w:r>
            <w:r>
              <w:fldChar w:fldCharType="begin"/>
            </w:r>
            <w:r>
              <w:instrText xml:space="preserve"> HYPERLINK "http://www.zjzfcg.gov.cn/" </w:instrText>
            </w:r>
            <w:r>
              <w:fldChar w:fldCharType="separate"/>
            </w:r>
            <w:r>
              <w:rPr>
                <w:rFonts w:ascii="宋体" w:hAnsi="宋体"/>
                <w:color w:val="000000"/>
                <w:sz w:val="24"/>
              </w:rPr>
              <w:t>www.zjzfcg.gov.cn</w:t>
            </w:r>
            <w:r>
              <w:rPr>
                <w:rFonts w:ascii="宋体" w:hAnsi="宋体"/>
                <w:color w:val="000000"/>
                <w:sz w:val="24"/>
              </w:rPr>
              <w:fldChar w:fldCharType="end"/>
            </w:r>
            <w:r>
              <w:rPr>
                <w:rFonts w:ascii="宋体" w:hAnsi="宋体"/>
                <w:color w:val="000000"/>
                <w:sz w:val="24"/>
              </w:rPr>
              <w:t>)</w:t>
            </w:r>
            <w:r>
              <w:rPr>
                <w:rFonts w:hint="eastAsia" w:ascii="宋体" w:hAnsi="宋体"/>
                <w:color w:val="000000"/>
                <w:sz w:val="24"/>
              </w:rPr>
              <w:t>、东阳市公共资源交易网</w:t>
            </w:r>
            <w:r>
              <w:rPr>
                <w:rFonts w:ascii="宋体" w:hAnsi="宋体"/>
                <w:color w:val="000000"/>
                <w:sz w:val="24"/>
              </w:rPr>
              <w:t>(</w:t>
            </w:r>
            <w:r>
              <w:fldChar w:fldCharType="begin"/>
            </w:r>
            <w:r>
              <w:instrText xml:space="preserve"> HYPERLINK "http://www.dyztb.com" </w:instrText>
            </w:r>
            <w:r>
              <w:fldChar w:fldCharType="separate"/>
            </w:r>
            <w:r>
              <w:rPr>
                <w:rFonts w:hint="eastAsia" w:ascii="宋体" w:hAnsi="宋体"/>
                <w:color w:val="000000"/>
                <w:sz w:val="24"/>
              </w:rPr>
              <w:t>ggzyjy.dongyang.gov.cn</w:t>
            </w:r>
            <w:r>
              <w:rPr>
                <w:rFonts w:hint="eastAsia" w:ascii="宋体" w:hAnsi="宋体"/>
                <w:color w:val="000000"/>
                <w:sz w:val="24"/>
              </w:rPr>
              <w:fldChar w:fldCharType="end"/>
            </w:r>
            <w:r>
              <w:rPr>
                <w:rFonts w:ascii="宋体" w:hAnsi="宋体"/>
                <w:color w:val="000000"/>
                <w:sz w:val="24"/>
              </w:rPr>
              <w:t>)</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10</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rPr>
            </w:pPr>
            <w:r>
              <w:rPr>
                <w:rFonts w:hint="eastAsia" w:ascii="宋体" w:hAnsi="宋体"/>
                <w:color w:val="000000"/>
                <w:spacing w:val="-6"/>
                <w:sz w:val="24"/>
              </w:rPr>
              <w:t>中标通知书：公告结束无异议后5个工作日内，招标人向中标单位发出中标通知书。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11</w:t>
            </w:r>
          </w:p>
        </w:tc>
        <w:tc>
          <w:tcPr>
            <w:tcW w:w="859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color w:val="000000"/>
                <w:sz w:val="24"/>
                <w:szCs w:val="20"/>
              </w:rPr>
            </w:pPr>
            <w:r>
              <w:rPr>
                <w:rFonts w:hint="eastAsia" w:ascii="宋体" w:hAnsi="宋体"/>
                <w:color w:val="000000"/>
                <w:sz w:val="24"/>
              </w:rPr>
              <w:t>签订合同：中标通知书发出后30日内签订。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rPr>
            </w:pPr>
            <w:r>
              <w:rPr>
                <w:rFonts w:hint="eastAsia" w:ascii="宋体" w:hAnsi="宋体"/>
                <w:color w:val="000000"/>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pPr>
              <w:pStyle w:val="9"/>
              <w:shd w:val="clear" w:color="auto" w:fill="FFFFFF" w:themeFill="background1"/>
              <w:spacing w:line="317" w:lineRule="auto"/>
              <w:ind w:firstLine="0" w:firstLineChars="0"/>
              <w:rPr>
                <w:rFonts w:ascii="宋体" w:cs="Times New Roman"/>
                <w:b w:val="0"/>
                <w:bCs w:val="0"/>
              </w:rPr>
            </w:pPr>
            <w:r>
              <w:rPr>
                <w:rFonts w:hint="eastAsia" w:ascii="宋体"/>
                <w:bCs w:val="0"/>
                <w:u w:val="single"/>
              </w:rPr>
              <w:t>付款方式：</w:t>
            </w:r>
            <w:r>
              <w:rPr>
                <w:rFonts w:hint="eastAsia"/>
                <w:sz w:val="28"/>
                <w:szCs w:val="28"/>
              </w:rPr>
              <w:t>每月使用结束并验收合格后，15天内由采购方向供货商支付上月使用量的货款（以收到供货商开具的正式发票之日起为准）。</w:t>
            </w:r>
          </w:p>
          <w:p>
            <w:pPr>
              <w:snapToGrid w:val="0"/>
              <w:rPr>
                <w:rFonts w:hAnsi="Courier New"/>
                <w:color w:val="000000"/>
                <w:highlight w:val="magent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rPr>
            </w:pPr>
            <w:r>
              <w:rPr>
                <w:rFonts w:hint="eastAsia" w:ascii="宋体" w:hAnsi="宋体"/>
                <w:color w:val="000000"/>
                <w:sz w:val="24"/>
                <w:szCs w:val="20"/>
              </w:rPr>
              <w:t>13</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highlight w:val="magenta"/>
              </w:rPr>
            </w:pPr>
            <w:r>
              <w:rPr>
                <w:rFonts w:hint="eastAsia" w:ascii="宋体" w:hAnsi="宋体"/>
                <w:color w:val="000000"/>
                <w:sz w:val="24"/>
              </w:rPr>
              <w:t>投标文件有效期：</w:t>
            </w:r>
            <w:r>
              <w:rPr>
                <w:rFonts w:hint="eastAsia" w:ascii="宋体" w:hAnsi="宋体" w:cs="Arial"/>
                <w:color w:val="000000"/>
                <w:sz w:val="24"/>
                <w:u w:val="single"/>
              </w:rPr>
              <w:t xml:space="preserve"> 60 </w:t>
            </w:r>
            <w:r>
              <w:rPr>
                <w:rFonts w:hint="eastAsia" w:ascii="宋体" w:hAnsi="宋体" w:cs="Arial"/>
                <w:color w:val="000000"/>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14</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color w:val="000000"/>
                <w:sz w:val="24"/>
              </w:rPr>
              <w:t>解释：本招标文件的解释权属于招标采购单位。</w:t>
            </w:r>
          </w:p>
        </w:tc>
      </w:tr>
    </w:tbl>
    <w:p>
      <w:pPr>
        <w:pStyle w:val="8"/>
        <w:tabs>
          <w:tab w:val="left" w:pos="7140"/>
        </w:tabs>
        <w:snapToGrid w:val="0"/>
        <w:spacing w:before="120" w:after="120" w:line="240" w:lineRule="auto"/>
        <w:rPr>
          <w:rFonts w:hAnsi="宋体"/>
          <w:b/>
          <w:color w:val="000000"/>
          <w:sz w:val="28"/>
          <w:szCs w:val="28"/>
        </w:rPr>
      </w:pPr>
      <w:r>
        <w:rPr>
          <w:rFonts w:hint="eastAsia" w:hAnsi="宋体"/>
          <w:b/>
          <w:color w:val="000000"/>
          <w:sz w:val="28"/>
          <w:szCs w:val="28"/>
        </w:rPr>
        <w:t>一、总则</w:t>
      </w:r>
    </w:p>
    <w:p>
      <w:pPr>
        <w:tabs>
          <w:tab w:val="left" w:pos="7140"/>
        </w:tabs>
        <w:snapToGrid w:val="0"/>
        <w:ind w:firstLine="472" w:firstLineChars="196"/>
        <w:jc w:val="left"/>
        <w:outlineLvl w:val="1"/>
        <w:rPr>
          <w:rFonts w:ascii="宋体" w:hAnsi="宋体"/>
          <w:b/>
          <w:color w:val="000000"/>
          <w:sz w:val="24"/>
          <w:szCs w:val="20"/>
        </w:rPr>
      </w:pPr>
      <w:r>
        <w:rPr>
          <w:rFonts w:hint="eastAsia" w:ascii="宋体" w:hAnsi="宋体"/>
          <w:b/>
          <w:color w:val="000000"/>
          <w:sz w:val="24"/>
        </w:rPr>
        <w:t>（一）</w:t>
      </w:r>
      <w:r>
        <w:rPr>
          <w:rFonts w:ascii="宋体" w:hAnsi="宋体"/>
          <w:b/>
          <w:color w:val="000000"/>
          <w:sz w:val="24"/>
        </w:rPr>
        <w:t xml:space="preserve"> 适用范围</w:t>
      </w:r>
    </w:p>
    <w:p>
      <w:pPr>
        <w:snapToGrid w:val="0"/>
        <w:ind w:firstLine="480" w:firstLineChars="200"/>
        <w:jc w:val="left"/>
        <w:rPr>
          <w:rFonts w:ascii="宋体" w:hAnsi="宋体"/>
          <w:color w:val="000000"/>
          <w:sz w:val="24"/>
        </w:rPr>
      </w:pPr>
      <w:r>
        <w:rPr>
          <w:rFonts w:hint="eastAsia" w:ascii="宋体" w:hAnsi="宋体"/>
          <w:color w:val="000000"/>
          <w:sz w:val="24"/>
        </w:rPr>
        <w:t>本招标文件适用于</w:t>
      </w:r>
      <w:r>
        <w:rPr>
          <w:rFonts w:hint="eastAsia" w:ascii="宋体" w:hAnsi="宋体"/>
          <w:b/>
          <w:bCs/>
          <w:color w:val="000000"/>
          <w:sz w:val="24"/>
          <w:lang w:eastAsia="zh-CN"/>
        </w:rPr>
        <w:t>东阳市环境卫生管理处填埋场除臭服务、灭蝇药剂、道路清洗除臭剂及雾炮器采购项目</w:t>
      </w:r>
      <w:r>
        <w:rPr>
          <w:rFonts w:hint="eastAsia" w:ascii="宋体" w:hAnsi="宋体"/>
          <w:color w:val="000000"/>
          <w:sz w:val="24"/>
        </w:rPr>
        <w:t>的招标、投标、评标、定标、验收、合同履约、付款等行为（法律、法规另有规定的，从其规定）。</w:t>
      </w:r>
    </w:p>
    <w:p>
      <w:pPr>
        <w:tabs>
          <w:tab w:val="left" w:pos="7140"/>
        </w:tabs>
        <w:snapToGrid w:val="0"/>
        <w:spacing w:beforeLines="50"/>
        <w:ind w:firstLine="352" w:firstLineChars="147"/>
        <w:jc w:val="left"/>
        <w:outlineLvl w:val="1"/>
        <w:rPr>
          <w:rFonts w:ascii="宋体" w:hAnsi="宋体"/>
          <w:color w:val="000000"/>
          <w:sz w:val="24"/>
        </w:rPr>
      </w:pPr>
      <w:r>
        <w:rPr>
          <w:rFonts w:hint="eastAsia" w:ascii="宋体" w:hAnsi="宋体"/>
          <w:color w:val="000000"/>
          <w:sz w:val="24"/>
        </w:rPr>
        <w:t>（二）定义</w:t>
      </w:r>
    </w:p>
    <w:p>
      <w:pPr>
        <w:tabs>
          <w:tab w:val="left" w:pos="7140"/>
        </w:tabs>
        <w:snapToGrid w:val="0"/>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招标采购单位系指组织本次招标的</w:t>
      </w:r>
      <w:r>
        <w:rPr>
          <w:rFonts w:hint="eastAsia" w:ascii="宋体" w:hAnsi="宋体"/>
          <w:b/>
          <w:bCs/>
          <w:color w:val="000000"/>
          <w:sz w:val="24"/>
        </w:rPr>
        <w:t>金华市公共资源交易中心东阳分中心</w:t>
      </w:r>
      <w:r>
        <w:rPr>
          <w:rFonts w:ascii="宋体" w:hAnsi="宋体"/>
          <w:color w:val="000000"/>
          <w:sz w:val="24"/>
        </w:rPr>
        <w:t>（“招标</w:t>
      </w:r>
      <w:r>
        <w:rPr>
          <w:rFonts w:hint="eastAsia" w:ascii="宋体" w:hAnsi="宋体"/>
          <w:color w:val="000000"/>
          <w:sz w:val="24"/>
        </w:rPr>
        <w:t>方</w:t>
      </w:r>
      <w:r>
        <w:rPr>
          <w:rFonts w:ascii="宋体" w:hAnsi="宋体"/>
          <w:color w:val="000000"/>
          <w:sz w:val="24"/>
        </w:rPr>
        <w:t>”）和</w:t>
      </w:r>
      <w:r>
        <w:rPr>
          <w:rFonts w:hint="eastAsia" w:ascii="宋体" w:hAnsi="宋体"/>
          <w:b/>
          <w:color w:val="000000"/>
          <w:sz w:val="24"/>
        </w:rPr>
        <w:t>东阳市环境卫生管理处</w:t>
      </w:r>
      <w:r>
        <w:rPr>
          <w:rFonts w:hint="eastAsia" w:ascii="宋体" w:hAnsi="宋体"/>
          <w:color w:val="000000"/>
          <w:sz w:val="24"/>
        </w:rPr>
        <w:t>（“采购人”）</w:t>
      </w:r>
      <w:r>
        <w:rPr>
          <w:rFonts w:ascii="宋体" w:hAnsi="宋体"/>
          <w:color w:val="000000"/>
          <w:sz w:val="24"/>
        </w:rPr>
        <w:t>。</w:t>
      </w:r>
    </w:p>
    <w:p>
      <w:pPr>
        <w:tabs>
          <w:tab w:val="left" w:pos="7140"/>
        </w:tabs>
        <w:snapToGrid w:val="0"/>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投标人”系指向招标方提交投标文件的单位。</w:t>
      </w:r>
    </w:p>
    <w:p>
      <w:pPr>
        <w:tabs>
          <w:tab w:val="left" w:pos="7140"/>
        </w:tabs>
        <w:snapToGrid w:val="0"/>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“产品”系指供方按招标文件规定，须向采购人提供的一切设备、保险、税金、备品备件、工具、手册及其它有关技术资料和材料。</w:t>
      </w:r>
    </w:p>
    <w:p>
      <w:pPr>
        <w:tabs>
          <w:tab w:val="left" w:pos="7140"/>
        </w:tabs>
        <w:snapToGrid w:val="0"/>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“服务”系指招标文件规定投标人须承担的安装、调试、技术协助、校准、培训、技术指导以及其他类似的义务。</w:t>
      </w:r>
    </w:p>
    <w:p>
      <w:pPr>
        <w:tabs>
          <w:tab w:val="left" w:pos="7140"/>
        </w:tabs>
        <w:snapToGrid w:val="0"/>
        <w:ind w:firstLine="480" w:firstLineChars="200"/>
        <w:jc w:val="left"/>
        <w:rPr>
          <w:rFonts w:ascii="宋体" w:hAnsi="宋体"/>
          <w:color w:val="000000"/>
          <w:sz w:val="24"/>
        </w:rPr>
      </w:pPr>
      <w:r>
        <w:rPr>
          <w:rFonts w:ascii="宋体" w:hAnsi="宋体"/>
          <w:color w:val="000000"/>
          <w:sz w:val="24"/>
        </w:rPr>
        <w:t>5</w:t>
      </w:r>
      <w:r>
        <w:rPr>
          <w:rFonts w:hint="eastAsia" w:ascii="宋体" w:hAnsi="宋体"/>
          <w:color w:val="000000"/>
          <w:sz w:val="24"/>
        </w:rPr>
        <w:t>.</w:t>
      </w:r>
      <w:r>
        <w:rPr>
          <w:rFonts w:ascii="宋体" w:hAnsi="宋体"/>
          <w:color w:val="000000"/>
          <w:sz w:val="24"/>
        </w:rPr>
        <w:t>“项目”系指投标人按招标文件规定向采购人提供的产品和服务。</w:t>
      </w:r>
    </w:p>
    <w:p>
      <w:pPr>
        <w:tabs>
          <w:tab w:val="left" w:pos="7140"/>
        </w:tabs>
        <w:snapToGrid w:val="0"/>
        <w:ind w:firstLine="480" w:firstLineChars="200"/>
        <w:jc w:val="left"/>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“书面形式”包括信函、传真、电报等。</w:t>
      </w:r>
    </w:p>
    <w:p>
      <w:pPr>
        <w:tabs>
          <w:tab w:val="left" w:pos="7140"/>
        </w:tabs>
        <w:snapToGrid w:val="0"/>
        <w:ind w:firstLine="482" w:firstLineChars="200"/>
        <w:jc w:val="left"/>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w:t>
      </w:r>
      <w:r>
        <w:rPr>
          <w:rFonts w:ascii="宋体" w:hAnsi="宋体"/>
          <w:b/>
          <w:bCs/>
          <w:color w:val="000000"/>
          <w:sz w:val="24"/>
        </w:rPr>
        <w:t>凡是标有“▲”符号或</w:t>
      </w:r>
      <w:r>
        <w:rPr>
          <w:rFonts w:hint="eastAsia" w:ascii="宋体" w:hAnsi="宋体"/>
          <w:b/>
          <w:bCs/>
          <w:color w:val="000000"/>
          <w:sz w:val="24"/>
        </w:rPr>
        <w:t>标</w:t>
      </w:r>
      <w:r>
        <w:rPr>
          <w:rFonts w:ascii="宋体" w:hAnsi="宋体"/>
          <w:b/>
          <w:bCs/>
          <w:color w:val="000000"/>
          <w:sz w:val="24"/>
        </w:rPr>
        <w:t>有“必须”字眼描述的条款以及项目的数量、工期（交货期）、付款方式、质保期、投标有效期属于实质性条款</w:t>
      </w:r>
      <w:r>
        <w:rPr>
          <w:rFonts w:hint="eastAsia" w:ascii="宋体" w:hAnsi="宋体"/>
          <w:b/>
          <w:bCs/>
          <w:color w:val="000000"/>
          <w:sz w:val="24"/>
        </w:rPr>
        <w:t>，不允许负偏离，否则作无效标处理</w:t>
      </w:r>
      <w:r>
        <w:rPr>
          <w:rFonts w:ascii="宋体" w:hAnsi="宋体"/>
          <w:b/>
          <w:bCs/>
          <w:color w:val="000000"/>
          <w:sz w:val="24"/>
        </w:rPr>
        <w:t>。</w:t>
      </w:r>
    </w:p>
    <w:p>
      <w:pPr>
        <w:tabs>
          <w:tab w:val="left" w:pos="7140"/>
        </w:tabs>
        <w:snapToGrid w:val="0"/>
        <w:spacing w:beforeLines="50"/>
        <w:ind w:firstLine="482" w:firstLineChars="200"/>
        <w:jc w:val="left"/>
        <w:outlineLvl w:val="1"/>
        <w:rPr>
          <w:rFonts w:ascii="宋体" w:hAnsi="宋体"/>
          <w:b/>
          <w:color w:val="000000"/>
          <w:sz w:val="24"/>
          <w:szCs w:val="20"/>
        </w:rPr>
      </w:pPr>
      <w:r>
        <w:rPr>
          <w:rFonts w:hint="eastAsia" w:ascii="宋体" w:hAnsi="宋体"/>
          <w:b/>
          <w:color w:val="000000"/>
          <w:sz w:val="24"/>
        </w:rPr>
        <w:t>（三）招标方式</w:t>
      </w:r>
    </w:p>
    <w:p>
      <w:pPr>
        <w:tabs>
          <w:tab w:val="left" w:pos="7140"/>
        </w:tabs>
        <w:snapToGrid w:val="0"/>
        <w:ind w:firstLine="480" w:firstLineChars="200"/>
        <w:jc w:val="left"/>
        <w:rPr>
          <w:rFonts w:ascii="宋体" w:hAnsi="宋体"/>
          <w:color w:val="000000"/>
          <w:sz w:val="24"/>
        </w:rPr>
      </w:pPr>
      <w:r>
        <w:rPr>
          <w:rFonts w:ascii="宋体" w:hAnsi="宋体"/>
          <w:color w:val="000000"/>
          <w:sz w:val="24"/>
        </w:rPr>
        <w:t>本次招标采用公开招标方式进行。</w:t>
      </w:r>
    </w:p>
    <w:p>
      <w:pPr>
        <w:tabs>
          <w:tab w:val="left" w:pos="7140"/>
        </w:tabs>
        <w:snapToGrid w:val="0"/>
        <w:spacing w:beforeLines="50"/>
        <w:ind w:firstLine="472" w:firstLineChars="196"/>
        <w:jc w:val="left"/>
        <w:outlineLvl w:val="1"/>
        <w:rPr>
          <w:rFonts w:ascii="宋体" w:hAnsi="宋体"/>
          <w:b/>
          <w:color w:val="000000"/>
          <w:sz w:val="24"/>
          <w:szCs w:val="20"/>
        </w:rPr>
      </w:pPr>
      <w:r>
        <w:rPr>
          <w:rFonts w:hint="eastAsia" w:ascii="宋体" w:hAnsi="宋体"/>
          <w:b/>
          <w:color w:val="000000"/>
          <w:sz w:val="24"/>
        </w:rPr>
        <w:t>（四）投标委托</w:t>
      </w:r>
    </w:p>
    <w:p>
      <w:pPr>
        <w:tabs>
          <w:tab w:val="left" w:pos="7140"/>
        </w:tabs>
        <w:snapToGrid w:val="0"/>
        <w:ind w:firstLine="480" w:firstLineChars="200"/>
        <w:rPr>
          <w:rFonts w:ascii="宋体" w:hAnsi="宋体" w:cs="Arial"/>
          <w:sz w:val="24"/>
        </w:rPr>
      </w:pPr>
      <w:r>
        <w:rPr>
          <w:rFonts w:hint="eastAsia" w:ascii="宋体" w:hAnsi="宋体" w:cs="Arial"/>
          <w:sz w:val="24"/>
        </w:rPr>
        <w:t>投标人派代表参加开标会议时，法定代表人应携带法定代表人证明和身份证；授权代表应携带法定代表人授权委托书、身份证、投标单位缴纳的社保花名册等有效证明出席开标会议（注：授权代表应为投标人的在职正式职工，应提供社保网站拉具的含授权代表的投标单位社保清单，无社保网站拉具的投标单位社保清单的，可以提供投标人注册所在地社保部门出具的投标人本单位缴纳社保花名册）。</w:t>
      </w:r>
    </w:p>
    <w:p>
      <w:pPr>
        <w:tabs>
          <w:tab w:val="left" w:pos="7140"/>
        </w:tabs>
        <w:snapToGrid w:val="0"/>
        <w:ind w:firstLine="482" w:firstLineChars="200"/>
        <w:rPr>
          <w:rFonts w:ascii="宋体" w:hAnsi="宋体" w:cs="Arial"/>
          <w:sz w:val="24"/>
        </w:rPr>
      </w:pPr>
      <w:r>
        <w:rPr>
          <w:rFonts w:hint="eastAsia" w:ascii="宋体" w:hAnsi="宋体" w:cs="Arial"/>
          <w:b/>
          <w:bCs/>
          <w:sz w:val="24"/>
        </w:rPr>
        <w:t>投标人未派代表参加开标会议的（含未携带以上规定资料参加开标会议的），视同认可开标结果，不得对开标过程及开标结果提出质疑。</w:t>
      </w:r>
    </w:p>
    <w:p>
      <w:pPr>
        <w:tabs>
          <w:tab w:val="left" w:pos="7140"/>
        </w:tabs>
        <w:snapToGrid w:val="0"/>
        <w:spacing w:beforeLines="50"/>
        <w:ind w:firstLine="472" w:firstLineChars="196"/>
        <w:jc w:val="left"/>
        <w:outlineLvl w:val="1"/>
        <w:rPr>
          <w:rFonts w:ascii="宋体" w:hAnsi="宋体"/>
          <w:b/>
          <w:color w:val="000000"/>
          <w:sz w:val="24"/>
          <w:szCs w:val="20"/>
        </w:rPr>
      </w:pPr>
      <w:r>
        <w:rPr>
          <w:rFonts w:hint="eastAsia" w:ascii="宋体" w:hAnsi="宋体"/>
          <w:b/>
          <w:color w:val="000000"/>
          <w:sz w:val="24"/>
        </w:rPr>
        <w:t>（五）投标费用</w:t>
      </w:r>
    </w:p>
    <w:p>
      <w:pPr>
        <w:tabs>
          <w:tab w:val="left" w:pos="7140"/>
        </w:tabs>
        <w:snapToGrid w:val="0"/>
        <w:ind w:firstLine="480" w:firstLineChars="200"/>
        <w:jc w:val="left"/>
        <w:rPr>
          <w:rFonts w:ascii="宋体" w:hAnsi="宋体"/>
          <w:color w:val="000000"/>
          <w:sz w:val="24"/>
          <w:szCs w:val="20"/>
        </w:rPr>
      </w:pPr>
      <w:r>
        <w:rPr>
          <w:rFonts w:hint="eastAsia" w:ascii="宋体" w:hAnsi="宋体"/>
          <w:color w:val="000000"/>
          <w:sz w:val="24"/>
        </w:rPr>
        <w:t>不论投标结果如何，投标人均应自行承担所有与投标有关的全部费用（招标文件有相反规定除外）。</w:t>
      </w:r>
    </w:p>
    <w:p>
      <w:pPr>
        <w:tabs>
          <w:tab w:val="left" w:pos="7140"/>
        </w:tabs>
        <w:snapToGrid w:val="0"/>
        <w:spacing w:beforeLines="50"/>
        <w:ind w:firstLine="472" w:firstLineChars="196"/>
        <w:jc w:val="left"/>
        <w:rPr>
          <w:rFonts w:ascii="宋体" w:hAnsi="宋体"/>
          <w:b/>
          <w:color w:val="000000"/>
          <w:sz w:val="24"/>
          <w:szCs w:val="20"/>
        </w:rPr>
      </w:pPr>
      <w:r>
        <w:rPr>
          <w:rFonts w:hint="eastAsia" w:ascii="宋体" w:hAnsi="宋体"/>
          <w:b/>
          <w:color w:val="000000"/>
          <w:sz w:val="24"/>
        </w:rPr>
        <w:t>（六）联合体投标</w:t>
      </w:r>
    </w:p>
    <w:p>
      <w:pPr>
        <w:tabs>
          <w:tab w:val="left" w:pos="7140"/>
        </w:tabs>
        <w:snapToGrid w:val="0"/>
        <w:ind w:firstLine="480" w:firstLineChars="200"/>
        <w:jc w:val="left"/>
        <w:rPr>
          <w:rFonts w:ascii="宋体" w:hAnsi="宋体" w:cs="Arial"/>
          <w:color w:val="000000"/>
          <w:sz w:val="24"/>
        </w:rPr>
      </w:pPr>
      <w:r>
        <w:rPr>
          <w:rFonts w:hint="eastAsia" w:ascii="宋体" w:hAnsi="宋体" w:cs="Arial"/>
          <w:color w:val="000000"/>
          <w:sz w:val="24"/>
        </w:rPr>
        <w:t>本项目不接受联合体投标。</w:t>
      </w:r>
    </w:p>
    <w:p>
      <w:pPr>
        <w:tabs>
          <w:tab w:val="left" w:pos="7140"/>
        </w:tabs>
        <w:snapToGrid w:val="0"/>
        <w:spacing w:beforeLines="50"/>
        <w:ind w:firstLine="472" w:firstLineChars="196"/>
        <w:rPr>
          <w:rFonts w:ascii="宋体" w:hAnsi="宋体" w:cs="宋体"/>
          <w:b/>
          <w:color w:val="000000"/>
          <w:kern w:val="0"/>
          <w:sz w:val="24"/>
          <w:szCs w:val="20"/>
        </w:rPr>
      </w:pPr>
      <w:r>
        <w:rPr>
          <w:rFonts w:hint="eastAsia" w:ascii="宋体" w:hAnsi="宋体"/>
          <w:b/>
          <w:color w:val="000000"/>
          <w:sz w:val="24"/>
        </w:rPr>
        <w:t>（七）</w:t>
      </w:r>
      <w:r>
        <w:rPr>
          <w:rFonts w:hint="eastAsia" w:ascii="宋体" w:hAnsi="宋体" w:cs="宋体"/>
          <w:b/>
          <w:color w:val="000000"/>
          <w:kern w:val="0"/>
          <w:sz w:val="24"/>
        </w:rPr>
        <w:t>转包与分包</w:t>
      </w:r>
    </w:p>
    <w:p>
      <w:pPr>
        <w:tabs>
          <w:tab w:val="left" w:pos="7140"/>
        </w:tabs>
        <w:snapToGrid w:val="0"/>
        <w:ind w:firstLine="480" w:firstLineChars="200"/>
        <w:rPr>
          <w:rFonts w:ascii="宋体" w:hAnsi="宋体" w:cs="宋体"/>
          <w:color w:val="000000"/>
          <w:kern w:val="0"/>
          <w:sz w:val="24"/>
          <w:szCs w:val="20"/>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本项目不允许转包。</w:t>
      </w:r>
    </w:p>
    <w:p>
      <w:pPr>
        <w:tabs>
          <w:tab w:val="left" w:pos="7140"/>
        </w:tabs>
        <w:snapToGrid w:val="0"/>
        <w:ind w:firstLine="480" w:firstLineChars="200"/>
        <w:rPr>
          <w:rFonts w:ascii="宋体" w:hAnsi="宋体"/>
          <w:color w:val="000000"/>
          <w:sz w:val="24"/>
          <w:szCs w:val="20"/>
        </w:rPr>
      </w:pP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本项目不可以分包</w:t>
      </w:r>
      <w:r>
        <w:rPr>
          <w:rFonts w:hint="eastAsia" w:ascii="宋体" w:hAnsi="宋体" w:cs="宋体"/>
          <w:color w:val="000000"/>
          <w:kern w:val="0"/>
          <w:sz w:val="24"/>
        </w:rPr>
        <w:t>。</w:t>
      </w:r>
    </w:p>
    <w:p>
      <w:pPr>
        <w:tabs>
          <w:tab w:val="left" w:pos="7140"/>
        </w:tabs>
        <w:snapToGrid w:val="0"/>
        <w:spacing w:beforeLines="50"/>
        <w:ind w:firstLine="472" w:firstLineChars="196"/>
        <w:jc w:val="left"/>
        <w:outlineLvl w:val="1"/>
        <w:rPr>
          <w:rFonts w:ascii="宋体" w:hAnsi="宋体"/>
          <w:b/>
          <w:color w:val="000000"/>
          <w:sz w:val="24"/>
        </w:rPr>
      </w:pPr>
      <w:r>
        <w:rPr>
          <w:rFonts w:hint="eastAsia" w:ascii="宋体" w:hAnsi="宋体"/>
          <w:b/>
          <w:color w:val="000000"/>
          <w:sz w:val="24"/>
        </w:rPr>
        <w:t>（八）特别说明：</w:t>
      </w:r>
    </w:p>
    <w:p>
      <w:pPr>
        <w:pStyle w:val="8"/>
        <w:tabs>
          <w:tab w:val="left" w:pos="7140"/>
        </w:tabs>
        <w:snapToGrid w:val="0"/>
        <w:spacing w:beforeLines="0" w:afterLines="0" w:line="240" w:lineRule="auto"/>
        <w:ind w:left="2" w:leftChars="1" w:firstLine="482" w:firstLineChars="200"/>
        <w:rPr>
          <w:rFonts w:hAnsi="宋体"/>
          <w:b/>
          <w:bCs/>
          <w:color w:val="000000"/>
        </w:rPr>
      </w:pPr>
      <w:r>
        <w:rPr>
          <w:rFonts w:hint="eastAsia" w:hAnsi="宋体"/>
          <w:b/>
          <w:bCs/>
          <w:color w:val="000000"/>
        </w:rPr>
        <w:t>▲1. 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pPr>
        <w:pStyle w:val="8"/>
        <w:snapToGrid w:val="0"/>
        <w:spacing w:beforeLines="0" w:afterLines="0" w:line="240" w:lineRule="auto"/>
        <w:ind w:left="2" w:leftChars="1" w:firstLine="482" w:firstLineChars="200"/>
        <w:rPr>
          <w:rFonts w:hAnsi="宋体"/>
          <w:b/>
          <w:bCs/>
          <w:color w:val="000000"/>
        </w:rPr>
      </w:pPr>
      <w:r>
        <w:rPr>
          <w:rFonts w:hint="eastAsia" w:hAnsi="宋体"/>
          <w:b/>
          <w:bCs/>
          <w:color w:val="000000"/>
        </w:rPr>
        <w:t>非单一产品采购项目，多家投标人提供相同品牌核心产品的预算金额占本项目所列核心产品预算总额的50%以上的，按前款规定处理。</w:t>
      </w:r>
    </w:p>
    <w:p>
      <w:pPr>
        <w:pStyle w:val="8"/>
        <w:snapToGrid w:val="0"/>
        <w:spacing w:beforeLines="0" w:afterLines="0" w:line="240" w:lineRule="auto"/>
        <w:ind w:left="2" w:leftChars="1" w:firstLine="480" w:firstLineChars="200"/>
        <w:rPr>
          <w:rFonts w:hAnsi="宋体"/>
          <w:color w:val="000000"/>
        </w:rPr>
      </w:pPr>
      <w:r>
        <w:rPr>
          <w:rFonts w:hint="eastAsia" w:hAnsi="宋体"/>
          <w:color w:val="000000"/>
        </w:rPr>
        <w:t>2.（1）</w:t>
      </w:r>
      <w:r>
        <w:rPr>
          <w:rFonts w:hAnsi="宋体"/>
          <w:color w:val="000000"/>
        </w:rPr>
        <w:t>投标人投标所使用的资格、信誉、荣誉、业绩与企业认证必须为本法人所拥有。</w:t>
      </w:r>
    </w:p>
    <w:p>
      <w:pPr>
        <w:pStyle w:val="8"/>
        <w:snapToGrid w:val="0"/>
        <w:spacing w:beforeLines="0" w:afterLines="0" w:line="240" w:lineRule="auto"/>
        <w:ind w:left="2" w:leftChars="1" w:firstLine="480" w:firstLineChars="200"/>
        <w:rPr>
          <w:rFonts w:hAnsi="宋体"/>
          <w:color w:val="000000"/>
        </w:rPr>
      </w:pPr>
      <w:r>
        <w:rPr>
          <w:rFonts w:hint="eastAsia" w:hAnsi="宋体"/>
          <w:color w:val="000000"/>
        </w:rPr>
        <w:t>▲3．</w:t>
      </w:r>
      <w:r>
        <w:rPr>
          <w:rFonts w:hAnsi="宋体"/>
          <w:color w:val="000000"/>
        </w:rPr>
        <w:t>投标人投标所使用的采购项目实施人员必须为本法人员工（或必须为本法人或控股公司正式员工）。</w:t>
      </w:r>
    </w:p>
    <w:p>
      <w:pPr>
        <w:pStyle w:val="8"/>
        <w:snapToGrid w:val="0"/>
        <w:spacing w:beforeLines="0" w:afterLines="0" w:line="240" w:lineRule="auto"/>
        <w:ind w:left="2" w:leftChars="1" w:firstLine="480" w:firstLineChars="200"/>
        <w:rPr>
          <w:rFonts w:hAnsi="宋体"/>
          <w:color w:val="000000"/>
        </w:rPr>
      </w:pPr>
      <w:r>
        <w:rPr>
          <w:rFonts w:hint="eastAsia" w:hAnsi="宋体"/>
          <w:color w:val="000000"/>
        </w:rPr>
        <w:t>▲4.</w:t>
      </w:r>
      <w:r>
        <w:rPr>
          <w:rFonts w:hAnsi="宋体"/>
          <w:color w:val="000000"/>
        </w:rPr>
        <w:t>投标人应仔细阅读招标文件的所有内容，按照招标文件的要求提交投标文件，并对所提供的全部资料的真实性承担法律责任。</w:t>
      </w:r>
    </w:p>
    <w:p>
      <w:pPr>
        <w:pStyle w:val="8"/>
        <w:snapToGrid w:val="0"/>
        <w:spacing w:beforeLines="0" w:afterLines="0" w:line="240" w:lineRule="auto"/>
        <w:ind w:left="2" w:leftChars="1" w:firstLine="480" w:firstLineChars="200"/>
        <w:rPr>
          <w:rFonts w:hAnsi="宋体"/>
          <w:b/>
          <w:color w:val="000000"/>
        </w:rPr>
      </w:pPr>
      <w:r>
        <w:rPr>
          <w:rFonts w:hint="eastAsia" w:hAnsi="宋体"/>
          <w:color w:val="000000"/>
          <w:szCs w:val="21"/>
        </w:rPr>
        <w:t>▲</w:t>
      </w:r>
      <w:r>
        <w:rPr>
          <w:rFonts w:hint="eastAsia" w:hAnsi="宋体"/>
          <w:color w:val="000000"/>
        </w:rPr>
        <w:t>5.</w:t>
      </w:r>
      <w:r>
        <w:rPr>
          <w:rFonts w:hAnsi="宋体"/>
          <w:color w:val="000000"/>
        </w:rPr>
        <w:t>投标人在投标活动中提供任何虚假材料</w:t>
      </w:r>
      <w:r>
        <w:rPr>
          <w:rFonts w:hint="eastAsia" w:hAnsi="宋体"/>
          <w:color w:val="000000"/>
        </w:rPr>
        <w:t>，</w:t>
      </w:r>
      <w:r>
        <w:rPr>
          <w:rFonts w:hAnsi="宋体"/>
          <w:color w:val="000000"/>
        </w:rPr>
        <w:t>其投标无效，并报监管部门查处；中标后发现的,中标人须依照《中华人民共和国消费者权益保护法》第49条之规定双倍赔偿采购人</w:t>
      </w:r>
      <w:r>
        <w:rPr>
          <w:rFonts w:hint="eastAsia" w:hAnsi="宋体"/>
          <w:color w:val="000000"/>
        </w:rPr>
        <w:t>，</w:t>
      </w:r>
      <w:r>
        <w:rPr>
          <w:rFonts w:hAnsi="宋体"/>
          <w:color w:val="000000"/>
        </w:rPr>
        <w:t>且民事赔偿并不免除违法投标人的行政与刑事责任。</w:t>
      </w:r>
    </w:p>
    <w:p>
      <w:pPr>
        <w:pStyle w:val="8"/>
        <w:snapToGrid w:val="0"/>
        <w:spacing w:beforeLines="0" w:afterLines="0" w:line="240" w:lineRule="auto"/>
        <w:ind w:firstLine="472" w:firstLineChars="196"/>
        <w:outlineLvl w:val="1"/>
        <w:rPr>
          <w:rFonts w:hAnsi="宋体"/>
          <w:b/>
          <w:bCs/>
          <w:color w:val="000000"/>
        </w:rPr>
      </w:pPr>
      <w:r>
        <w:rPr>
          <w:rFonts w:hAnsi="宋体"/>
          <w:b/>
          <w:bCs/>
          <w:color w:val="000000"/>
        </w:rPr>
        <w:t>（九）质疑和投诉</w:t>
      </w:r>
    </w:p>
    <w:p>
      <w:pPr>
        <w:pStyle w:val="8"/>
        <w:snapToGrid w:val="0"/>
        <w:spacing w:beforeLines="0" w:afterLines="0" w:line="240" w:lineRule="auto"/>
        <w:ind w:firstLine="480" w:firstLineChars="200"/>
        <w:rPr>
          <w:rFonts w:hAnsi="宋体"/>
          <w:bCs/>
          <w:color w:val="000000"/>
        </w:rPr>
      </w:pPr>
      <w:r>
        <w:rPr>
          <w:rFonts w:hAnsi="宋体"/>
          <w:bCs/>
          <w:color w:val="000000"/>
        </w:rPr>
        <w:t>1</w:t>
      </w:r>
      <w:r>
        <w:rPr>
          <w:rFonts w:hint="eastAsia" w:hAnsi="宋体"/>
          <w:bCs/>
          <w:color w:val="000000"/>
        </w:rPr>
        <w:t>.</w:t>
      </w:r>
      <w:r>
        <w:rPr>
          <w:rFonts w:hAnsi="宋体"/>
          <w:bCs/>
          <w:color w:val="000000"/>
        </w:rPr>
        <w:t>投标人认为招标文件、招标过程</w:t>
      </w:r>
      <w:r>
        <w:rPr>
          <w:rFonts w:hint="eastAsia" w:hAnsi="宋体"/>
          <w:bCs/>
          <w:color w:val="000000"/>
        </w:rPr>
        <w:t>或</w:t>
      </w:r>
      <w:r>
        <w:rPr>
          <w:rFonts w:hAnsi="宋体"/>
          <w:bCs/>
          <w:color w:val="000000"/>
        </w:rPr>
        <w:t>中标结果使自己的合法权益受到损害的，应当在知道或者应知其权益受到损害之日起七个工作日内，以书面形式向采购人、招标方提出质疑。</w:t>
      </w:r>
      <w:r>
        <w:rPr>
          <w:rFonts w:hAnsi="宋体"/>
          <w:color w:val="000000"/>
        </w:rPr>
        <w:t>投标人对招标采购单位的质疑答复不满意或者招标采购单位未在规定时间内作出答复的，可以在答复期满后十五个工作日内向同级采购监管部门投诉。</w:t>
      </w:r>
    </w:p>
    <w:p>
      <w:pPr>
        <w:pStyle w:val="8"/>
        <w:snapToGrid w:val="0"/>
        <w:spacing w:beforeLines="0" w:afterLines="0" w:line="240" w:lineRule="auto"/>
        <w:ind w:firstLine="480" w:firstLineChars="200"/>
        <w:rPr>
          <w:rFonts w:hAnsi="宋体"/>
          <w:bCs/>
          <w:color w:val="000000"/>
        </w:rPr>
      </w:pPr>
      <w:r>
        <w:rPr>
          <w:rFonts w:hAnsi="宋体"/>
          <w:bCs/>
          <w:color w:val="000000"/>
        </w:rPr>
        <w:t>2</w:t>
      </w:r>
      <w:r>
        <w:rPr>
          <w:rFonts w:hint="eastAsia" w:hAnsi="宋体"/>
          <w:bCs/>
          <w:color w:val="000000"/>
        </w:rPr>
        <w:t>.</w:t>
      </w:r>
      <w:r>
        <w:rPr>
          <w:rFonts w:hAnsi="宋体"/>
          <w:bCs/>
          <w:color w:val="000000"/>
        </w:rPr>
        <w:t>质疑、投诉应当采用书面形式，质疑书、投诉书均应明确阐述招标文件、招标过程</w:t>
      </w:r>
      <w:r>
        <w:rPr>
          <w:rFonts w:hint="eastAsia" w:hAnsi="宋体"/>
          <w:bCs/>
          <w:color w:val="000000"/>
        </w:rPr>
        <w:t>或</w:t>
      </w:r>
      <w:r>
        <w:rPr>
          <w:rFonts w:hAnsi="宋体"/>
          <w:bCs/>
          <w:color w:val="000000"/>
        </w:rPr>
        <w:t>中标结果中使自己合法权益受到损害的实质性内容，提供相关事实、依据和证据及其来源或线索，便于有关单位调查、答复和处理</w:t>
      </w:r>
      <w:r>
        <w:rPr>
          <w:rFonts w:hint="eastAsia" w:hAnsi="宋体"/>
          <w:bCs/>
          <w:color w:val="000000"/>
        </w:rPr>
        <w:t>。</w:t>
      </w:r>
    </w:p>
    <w:p>
      <w:pPr>
        <w:pStyle w:val="8"/>
        <w:snapToGrid w:val="0"/>
        <w:spacing w:beforeLines="0" w:afterLines="0" w:line="240" w:lineRule="auto"/>
        <w:ind w:firstLine="551" w:firstLineChars="196"/>
        <w:outlineLvl w:val="0"/>
        <w:rPr>
          <w:rFonts w:hAnsi="宋体"/>
          <w:b/>
          <w:color w:val="000000"/>
          <w:sz w:val="28"/>
          <w:szCs w:val="28"/>
        </w:rPr>
      </w:pPr>
      <w:r>
        <w:rPr>
          <w:rFonts w:hint="eastAsia" w:hAnsi="宋体"/>
          <w:b/>
          <w:color w:val="000000"/>
          <w:sz w:val="28"/>
          <w:szCs w:val="28"/>
        </w:rPr>
        <w:t>二、</w:t>
      </w:r>
      <w:r>
        <w:rPr>
          <w:rFonts w:hAnsi="宋体"/>
          <w:b/>
          <w:color w:val="000000"/>
          <w:sz w:val="28"/>
          <w:szCs w:val="28"/>
        </w:rPr>
        <w:t>招标文件</w:t>
      </w:r>
    </w:p>
    <w:p>
      <w:pPr>
        <w:snapToGrid w:val="0"/>
        <w:ind w:firstLine="472" w:firstLineChars="196"/>
        <w:jc w:val="left"/>
        <w:rPr>
          <w:rFonts w:ascii="宋体" w:hAnsi="宋体"/>
          <w:b/>
          <w:color w:val="000000"/>
          <w:sz w:val="24"/>
          <w:szCs w:val="20"/>
        </w:rPr>
      </w:pPr>
      <w:r>
        <w:rPr>
          <w:rFonts w:hint="eastAsia" w:ascii="宋体" w:hAnsi="宋体"/>
          <w:b/>
          <w:color w:val="000000"/>
          <w:sz w:val="24"/>
        </w:rPr>
        <w:t>（一）招标文件的构成。本招标文件由以下部分组成：</w:t>
      </w:r>
    </w:p>
    <w:p>
      <w:pPr>
        <w:snapToGrid w:val="0"/>
        <w:ind w:firstLine="480" w:firstLineChars="200"/>
        <w:jc w:val="left"/>
        <w:rPr>
          <w:rFonts w:ascii="宋体" w:hAnsi="宋体"/>
          <w:color w:val="000000"/>
          <w:sz w:val="24"/>
          <w:szCs w:val="20"/>
        </w:rPr>
      </w:pPr>
      <w:r>
        <w:rPr>
          <w:rFonts w:ascii="宋体" w:hAnsi="宋体"/>
          <w:color w:val="000000"/>
          <w:sz w:val="24"/>
        </w:rPr>
        <w:t>1</w:t>
      </w:r>
      <w:r>
        <w:rPr>
          <w:rFonts w:hint="eastAsia" w:ascii="宋体" w:hAnsi="宋体"/>
          <w:color w:val="000000"/>
          <w:sz w:val="24"/>
        </w:rPr>
        <w:t>.</w:t>
      </w:r>
      <w:r>
        <w:rPr>
          <w:rFonts w:ascii="宋体" w:hAnsi="宋体"/>
          <w:color w:val="000000"/>
          <w:sz w:val="24"/>
        </w:rPr>
        <w:t>招标公告</w:t>
      </w:r>
    </w:p>
    <w:p>
      <w:pPr>
        <w:snapToGrid w:val="0"/>
        <w:ind w:firstLine="480" w:firstLineChars="200"/>
        <w:jc w:val="left"/>
        <w:rPr>
          <w:rFonts w:ascii="宋体" w:hAnsi="宋体"/>
          <w:color w:val="000000"/>
          <w:sz w:val="24"/>
          <w:szCs w:val="20"/>
        </w:rPr>
      </w:pPr>
      <w:r>
        <w:rPr>
          <w:rFonts w:ascii="宋体" w:hAnsi="宋体"/>
          <w:color w:val="000000"/>
          <w:sz w:val="24"/>
        </w:rPr>
        <w:t>2</w:t>
      </w:r>
      <w:r>
        <w:rPr>
          <w:rFonts w:hint="eastAsia" w:ascii="宋体" w:hAnsi="宋体"/>
          <w:color w:val="000000"/>
          <w:sz w:val="24"/>
        </w:rPr>
        <w:t>.</w:t>
      </w:r>
      <w:r>
        <w:rPr>
          <w:rFonts w:ascii="宋体" w:hAnsi="宋体"/>
          <w:color w:val="000000"/>
          <w:sz w:val="24"/>
        </w:rPr>
        <w:t>招标需求</w:t>
      </w:r>
    </w:p>
    <w:p>
      <w:pPr>
        <w:snapToGrid w:val="0"/>
        <w:ind w:firstLine="480" w:firstLineChars="200"/>
        <w:jc w:val="left"/>
        <w:rPr>
          <w:rFonts w:ascii="宋体" w:hAnsi="宋体"/>
          <w:color w:val="000000"/>
          <w:sz w:val="24"/>
          <w:szCs w:val="20"/>
        </w:rPr>
      </w:pPr>
      <w:r>
        <w:rPr>
          <w:rFonts w:ascii="宋体" w:hAnsi="宋体"/>
          <w:color w:val="000000"/>
          <w:sz w:val="24"/>
        </w:rPr>
        <w:t>3</w:t>
      </w:r>
      <w:r>
        <w:rPr>
          <w:rFonts w:hint="eastAsia" w:ascii="宋体" w:hAnsi="宋体"/>
          <w:color w:val="000000"/>
          <w:sz w:val="24"/>
        </w:rPr>
        <w:t>.</w:t>
      </w:r>
      <w:r>
        <w:rPr>
          <w:rFonts w:ascii="宋体" w:hAnsi="宋体"/>
          <w:color w:val="000000"/>
          <w:sz w:val="24"/>
        </w:rPr>
        <w:t>投标人须知</w:t>
      </w:r>
    </w:p>
    <w:p>
      <w:pPr>
        <w:snapToGrid w:val="0"/>
        <w:ind w:firstLine="480" w:firstLineChars="200"/>
        <w:jc w:val="left"/>
        <w:rPr>
          <w:rFonts w:ascii="宋体" w:hAnsi="宋体"/>
          <w:color w:val="000000"/>
          <w:sz w:val="24"/>
          <w:szCs w:val="20"/>
        </w:rPr>
      </w:pPr>
      <w:r>
        <w:rPr>
          <w:rFonts w:ascii="宋体" w:hAnsi="宋体"/>
          <w:color w:val="000000"/>
          <w:sz w:val="24"/>
        </w:rPr>
        <w:t>4</w:t>
      </w:r>
      <w:r>
        <w:rPr>
          <w:rFonts w:hint="eastAsia" w:ascii="宋体" w:hAnsi="宋体"/>
          <w:color w:val="000000"/>
          <w:sz w:val="24"/>
        </w:rPr>
        <w:t>.</w:t>
      </w:r>
      <w:r>
        <w:rPr>
          <w:rFonts w:ascii="宋体" w:hAnsi="宋体"/>
          <w:color w:val="000000"/>
          <w:sz w:val="24"/>
        </w:rPr>
        <w:t>评标办法及标准</w:t>
      </w:r>
    </w:p>
    <w:p>
      <w:pPr>
        <w:snapToGrid w:val="0"/>
        <w:ind w:firstLine="480" w:firstLineChars="200"/>
        <w:jc w:val="left"/>
        <w:rPr>
          <w:rFonts w:ascii="宋体" w:hAnsi="宋体"/>
          <w:color w:val="000000"/>
          <w:sz w:val="24"/>
          <w:szCs w:val="20"/>
        </w:rPr>
      </w:pPr>
      <w:r>
        <w:rPr>
          <w:rFonts w:ascii="宋体" w:hAnsi="宋体"/>
          <w:color w:val="000000"/>
          <w:sz w:val="24"/>
        </w:rPr>
        <w:t>5</w:t>
      </w:r>
      <w:r>
        <w:rPr>
          <w:rFonts w:hint="eastAsia" w:ascii="宋体" w:hAnsi="宋体"/>
          <w:color w:val="000000"/>
          <w:sz w:val="24"/>
        </w:rPr>
        <w:t>.</w:t>
      </w:r>
      <w:r>
        <w:rPr>
          <w:rFonts w:ascii="宋体" w:hAnsi="宋体"/>
          <w:color w:val="000000"/>
          <w:sz w:val="24"/>
        </w:rPr>
        <w:t>合同主要条款</w:t>
      </w:r>
    </w:p>
    <w:p>
      <w:pPr>
        <w:snapToGrid w:val="0"/>
        <w:ind w:firstLine="480" w:firstLineChars="200"/>
        <w:jc w:val="left"/>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投标文件格式</w:t>
      </w:r>
    </w:p>
    <w:p>
      <w:pPr>
        <w:snapToGrid w:val="0"/>
        <w:ind w:firstLine="480" w:firstLineChars="200"/>
        <w:jc w:val="left"/>
        <w:rPr>
          <w:rFonts w:ascii="宋体" w:hAnsi="宋体"/>
          <w:color w:val="000000"/>
          <w:sz w:val="24"/>
          <w:szCs w:val="20"/>
        </w:rPr>
      </w:pPr>
      <w:r>
        <w:rPr>
          <w:rFonts w:hint="eastAsia" w:ascii="宋体" w:hAnsi="宋体"/>
          <w:color w:val="000000"/>
          <w:sz w:val="24"/>
        </w:rPr>
        <w:t>7.本项目</w:t>
      </w:r>
      <w:r>
        <w:rPr>
          <w:rFonts w:ascii="宋体" w:hAnsi="宋体"/>
          <w:color w:val="000000"/>
          <w:sz w:val="24"/>
        </w:rPr>
        <w:t>招标文件</w:t>
      </w:r>
      <w:r>
        <w:rPr>
          <w:rFonts w:hint="eastAsia" w:ascii="宋体" w:hAnsi="宋体"/>
          <w:color w:val="000000"/>
          <w:sz w:val="24"/>
        </w:rPr>
        <w:t>的</w:t>
      </w:r>
      <w:r>
        <w:rPr>
          <w:rFonts w:ascii="宋体" w:hAnsi="宋体"/>
          <w:color w:val="000000"/>
          <w:sz w:val="24"/>
        </w:rPr>
        <w:t>澄清、答复、修改、补充的内容</w:t>
      </w:r>
    </w:p>
    <w:p>
      <w:pPr>
        <w:snapToGrid w:val="0"/>
        <w:spacing w:beforeLines="50"/>
        <w:ind w:firstLine="472" w:firstLineChars="196"/>
        <w:jc w:val="left"/>
        <w:rPr>
          <w:rFonts w:ascii="宋体" w:hAnsi="宋体"/>
          <w:b/>
          <w:color w:val="000000"/>
          <w:sz w:val="24"/>
          <w:szCs w:val="20"/>
        </w:rPr>
      </w:pPr>
      <w:r>
        <w:rPr>
          <w:rFonts w:hint="eastAsia" w:ascii="宋体" w:hAnsi="宋体"/>
          <w:b/>
          <w:color w:val="000000"/>
          <w:sz w:val="24"/>
        </w:rPr>
        <w:t>（二）投标人的风险</w:t>
      </w:r>
    </w:p>
    <w:p>
      <w:pPr>
        <w:pStyle w:val="12"/>
        <w:rPr>
          <w:rFonts w:ascii="宋体" w:eastAsia="宋体"/>
          <w:szCs w:val="20"/>
        </w:rPr>
      </w:pPr>
      <w:r>
        <w:rPr>
          <w:rFonts w:hint="eastAsia" w:ascii="宋体" w:eastAsia="宋体"/>
        </w:rPr>
        <w:t>投标人没有按照招标文件要求提供全部资料，或者投标人没有对招标文件在各方面作出实质性响应是投标人的风险，并可能导致其投标被拒绝。</w:t>
      </w:r>
    </w:p>
    <w:p>
      <w:pPr>
        <w:pStyle w:val="3"/>
        <w:tabs>
          <w:tab w:val="left" w:pos="720"/>
        </w:tabs>
        <w:snapToGrid w:val="0"/>
        <w:spacing w:beforeLines="50"/>
        <w:ind w:left="0" w:firstLine="413" w:firstLineChars="196"/>
        <w:rPr>
          <w:rFonts w:ascii="宋体" w:hAnsi="宋体"/>
          <w:b/>
          <w:color w:val="000000"/>
        </w:rPr>
      </w:pPr>
      <w:r>
        <w:rPr>
          <w:rFonts w:hint="eastAsia" w:ascii="宋体" w:hAnsi="宋体"/>
          <w:b/>
          <w:color w:val="000000"/>
        </w:rPr>
        <w:t>（三）招标文件的澄清与修改</w:t>
      </w:r>
    </w:p>
    <w:p>
      <w:pPr>
        <w:pStyle w:val="8"/>
        <w:snapToGrid w:val="0"/>
        <w:spacing w:beforeLines="0" w:afterLines="0" w:line="240" w:lineRule="auto"/>
        <w:ind w:firstLine="480" w:firstLineChars="200"/>
        <w:rPr>
          <w:rFonts w:hAnsi="宋体"/>
          <w:color w:val="000000"/>
        </w:rPr>
      </w:pPr>
      <w:r>
        <w:rPr>
          <w:rFonts w:hAnsi="宋体"/>
          <w:color w:val="000000"/>
          <w:highlight w:val="none"/>
        </w:rPr>
        <w:t>1</w:t>
      </w:r>
      <w:r>
        <w:rPr>
          <w:rFonts w:hint="eastAsia" w:hAnsi="宋体"/>
          <w:color w:val="000000"/>
          <w:highlight w:val="none"/>
        </w:rPr>
        <w:t>.</w:t>
      </w:r>
      <w:r>
        <w:rPr>
          <w:rFonts w:hAnsi="宋体"/>
          <w:bCs/>
          <w:color w:val="000000"/>
          <w:highlight w:val="none"/>
        </w:rPr>
        <w:t>投标人应认真阅读本招标文件，发现其中有误或有不合理要求的，投标人必须在</w:t>
      </w:r>
      <w:r>
        <w:rPr>
          <w:rFonts w:hint="eastAsia" w:hAnsi="宋体"/>
          <w:bCs/>
          <w:color w:val="000000"/>
          <w:highlight w:val="none"/>
        </w:rPr>
        <w:t xml:space="preserve"> 2019年</w:t>
      </w:r>
      <w:r>
        <w:rPr>
          <w:rFonts w:hint="eastAsia" w:hAnsi="宋体"/>
          <w:bCs/>
          <w:color w:val="000000"/>
          <w:highlight w:val="none"/>
          <w:lang w:val="en-US" w:eastAsia="zh-CN"/>
        </w:rPr>
        <w:t>6</w:t>
      </w:r>
      <w:r>
        <w:rPr>
          <w:rFonts w:hint="eastAsia" w:hAnsi="宋体"/>
          <w:bCs/>
          <w:color w:val="000000"/>
          <w:highlight w:val="none"/>
        </w:rPr>
        <w:t>月</w:t>
      </w:r>
      <w:r>
        <w:rPr>
          <w:rFonts w:hint="eastAsia" w:hAnsi="宋体"/>
          <w:bCs/>
          <w:color w:val="000000"/>
          <w:highlight w:val="none"/>
          <w:lang w:val="en-US" w:eastAsia="zh-CN"/>
        </w:rPr>
        <w:t>4</w:t>
      </w:r>
      <w:r>
        <w:rPr>
          <w:rFonts w:hint="eastAsia" w:hAnsi="宋体"/>
          <w:bCs/>
          <w:color w:val="000000"/>
          <w:highlight w:val="none"/>
        </w:rPr>
        <w:t>日16：00</w:t>
      </w:r>
      <w:r>
        <w:rPr>
          <w:rFonts w:hAnsi="宋体"/>
          <w:bCs/>
          <w:color w:val="000000"/>
          <w:highlight w:val="none"/>
        </w:rPr>
        <w:t>前以书面形式要求招标采购单位澄清</w:t>
      </w:r>
      <w:r>
        <w:rPr>
          <w:rFonts w:hAnsi="宋体"/>
          <w:color w:val="000000"/>
          <w:highlight w:val="none"/>
        </w:rPr>
        <w:t>。招标方对已发出的招标文件进行必要澄清、答</w:t>
      </w:r>
      <w:r>
        <w:rPr>
          <w:rFonts w:hAnsi="宋体"/>
          <w:color w:val="000000"/>
        </w:rPr>
        <w:t>复、修改或补充的，</w:t>
      </w:r>
      <w:r>
        <w:rPr>
          <w:rFonts w:hint="eastAsia" w:hAnsi="宋体"/>
          <w:color w:val="000000"/>
        </w:rPr>
        <w:t>将</w:t>
      </w:r>
      <w:r>
        <w:rPr>
          <w:rFonts w:hAnsi="宋体"/>
          <w:color w:val="000000"/>
        </w:rPr>
        <w:t>在招标文件要求提交投标文件截止时间五日前，在财政部门指定的政府采购信息发布媒体上</w:t>
      </w:r>
      <w:r>
        <w:rPr>
          <w:rFonts w:hint="eastAsia" w:hAnsi="宋体"/>
          <w:color w:val="000000"/>
        </w:rPr>
        <w:t>以书面形式</w:t>
      </w:r>
      <w:r>
        <w:rPr>
          <w:rFonts w:hAnsi="宋体"/>
          <w:color w:val="000000"/>
        </w:rPr>
        <w:t>发布更正公告，</w:t>
      </w:r>
      <w:r>
        <w:rPr>
          <w:rFonts w:hint="eastAsia" w:hAnsi="宋体"/>
          <w:color w:val="000000"/>
        </w:rPr>
        <w:t>不另作通知。</w:t>
      </w:r>
    </w:p>
    <w:p>
      <w:pPr>
        <w:pStyle w:val="8"/>
        <w:snapToGrid w:val="0"/>
        <w:spacing w:beforeLines="0" w:afterLines="0" w:line="240" w:lineRule="auto"/>
        <w:ind w:firstLine="480" w:firstLineChars="200"/>
        <w:rPr>
          <w:rFonts w:hAnsi="宋体"/>
          <w:color w:val="000000"/>
        </w:rPr>
      </w:pPr>
      <w:r>
        <w:rPr>
          <w:rFonts w:hAnsi="宋体"/>
          <w:color w:val="000000"/>
        </w:rPr>
        <w:t>2</w:t>
      </w:r>
      <w:r>
        <w:rPr>
          <w:rFonts w:hint="eastAsia" w:hAnsi="宋体"/>
          <w:color w:val="000000"/>
        </w:rPr>
        <w:t>.</w:t>
      </w:r>
      <w:r>
        <w:rPr>
          <w:rFonts w:hAnsi="宋体"/>
          <w:color w:val="000000"/>
        </w:rPr>
        <w:t>招标方必须以书面形式答复投标人要求澄清的问题，并将不包含问题来源的答复书面通知</w:t>
      </w:r>
      <w:r>
        <w:rPr>
          <w:rFonts w:hint="eastAsia" w:hAnsi="宋体"/>
          <w:color w:val="000000"/>
        </w:rPr>
        <w:t>或网上答疑和电话通知的方式通知</w:t>
      </w:r>
      <w:r>
        <w:rPr>
          <w:rFonts w:hAnsi="宋体"/>
          <w:color w:val="000000"/>
        </w:rPr>
        <w:t>所有购买招标文件的投标人；除</w:t>
      </w:r>
      <w:r>
        <w:rPr>
          <w:rFonts w:hint="eastAsia" w:hAnsi="宋体"/>
          <w:color w:val="000000"/>
        </w:rPr>
        <w:t>规定</w:t>
      </w:r>
      <w:r>
        <w:rPr>
          <w:rFonts w:hAnsi="宋体"/>
          <w:color w:val="000000"/>
        </w:rPr>
        <w:t>以外的其他澄清方式及澄清内容均无效。</w:t>
      </w:r>
    </w:p>
    <w:p>
      <w:pPr>
        <w:pStyle w:val="8"/>
        <w:snapToGrid w:val="0"/>
        <w:spacing w:beforeLines="0" w:afterLines="0" w:line="240" w:lineRule="auto"/>
        <w:ind w:firstLine="480" w:firstLineChars="200"/>
        <w:rPr>
          <w:rFonts w:hAnsi="宋体"/>
          <w:color w:val="000000"/>
        </w:rPr>
      </w:pPr>
      <w:r>
        <w:rPr>
          <w:rFonts w:hint="eastAsia" w:hAnsi="宋体"/>
          <w:color w:val="000000"/>
        </w:rPr>
        <w:t>3.</w:t>
      </w:r>
      <w:r>
        <w:rPr>
          <w:rFonts w:hAnsi="宋体"/>
          <w:color w:val="000000"/>
        </w:rPr>
        <w:t>招标文件澄清、答复、修改、补充的内容为招标文件的组成部分。当招标文件与招标文件的答复、澄清、修改、补充通知就同一内容的表述不一致时，以最后发出的书面文件为准。</w:t>
      </w:r>
    </w:p>
    <w:p>
      <w:pPr>
        <w:pStyle w:val="8"/>
        <w:snapToGrid w:val="0"/>
        <w:spacing w:beforeLines="0" w:afterLines="0" w:line="240" w:lineRule="auto"/>
        <w:ind w:firstLine="480" w:firstLineChars="200"/>
        <w:rPr>
          <w:rFonts w:hAnsi="宋体"/>
          <w:color w:val="000000"/>
        </w:rPr>
      </w:pPr>
      <w:r>
        <w:rPr>
          <w:rFonts w:hint="eastAsia" w:hAnsi="宋体"/>
          <w:color w:val="000000"/>
        </w:rPr>
        <w:t>4.</w:t>
      </w:r>
      <w:r>
        <w:rPr>
          <w:rFonts w:hAnsi="宋体"/>
          <w:color w:val="000000"/>
        </w:rPr>
        <w:t>招标文件的澄清、答复、修改或补充都应该通过本</w:t>
      </w:r>
      <w:r>
        <w:rPr>
          <w:rFonts w:hint="eastAsia" w:hAnsi="宋体"/>
          <w:color w:val="000000"/>
        </w:rPr>
        <w:t>招标</w:t>
      </w:r>
      <w:r>
        <w:rPr>
          <w:rFonts w:hAnsi="宋体"/>
          <w:color w:val="000000"/>
        </w:rPr>
        <w:t>机构以法定形式发布，采购人非通过本机构，不得擅自澄清、答复、修改或补充招标文件。</w:t>
      </w:r>
    </w:p>
    <w:p>
      <w:pPr>
        <w:pStyle w:val="8"/>
        <w:snapToGrid w:val="0"/>
        <w:spacing w:beforeLines="0" w:afterLines="0" w:line="240" w:lineRule="auto"/>
        <w:ind w:firstLine="551" w:firstLineChars="196"/>
        <w:outlineLvl w:val="1"/>
        <w:rPr>
          <w:rFonts w:hAnsi="宋体"/>
          <w:b/>
          <w:color w:val="000000"/>
          <w:sz w:val="28"/>
          <w:szCs w:val="28"/>
        </w:rPr>
      </w:pPr>
      <w:r>
        <w:rPr>
          <w:rFonts w:hAnsi="宋体"/>
          <w:b/>
          <w:color w:val="000000"/>
          <w:sz w:val="28"/>
          <w:szCs w:val="28"/>
        </w:rPr>
        <w:t>三、投标文件的编制</w:t>
      </w:r>
    </w:p>
    <w:p>
      <w:pPr>
        <w:snapToGrid w:val="0"/>
        <w:ind w:firstLine="472" w:firstLineChars="196"/>
        <w:jc w:val="left"/>
        <w:outlineLvl w:val="0"/>
        <w:rPr>
          <w:rFonts w:ascii="宋体" w:hAnsi="宋体"/>
          <w:b/>
          <w:color w:val="000000"/>
          <w:sz w:val="24"/>
          <w:szCs w:val="20"/>
        </w:rPr>
      </w:pPr>
      <w:r>
        <w:rPr>
          <w:rFonts w:hint="eastAsia" w:ascii="宋体" w:hAnsi="宋体"/>
          <w:b/>
          <w:color w:val="000000"/>
          <w:sz w:val="24"/>
        </w:rPr>
        <w:t>（一）投标文件的组成</w:t>
      </w:r>
    </w:p>
    <w:p>
      <w:pPr>
        <w:snapToGrid w:val="0"/>
        <w:ind w:firstLine="470" w:firstLineChars="196"/>
        <w:jc w:val="left"/>
        <w:rPr>
          <w:rFonts w:ascii="宋体" w:hAnsi="宋体"/>
          <w:color w:val="000000"/>
          <w:sz w:val="24"/>
        </w:rPr>
      </w:pPr>
      <w:r>
        <w:rPr>
          <w:rFonts w:hint="eastAsia" w:ascii="宋体" w:hAnsi="宋体"/>
          <w:color w:val="000000"/>
          <w:sz w:val="24"/>
        </w:rPr>
        <w:t>投标文件由资格审查资料、资信及商务文件、技术文件、投标报价文件四部份组成。</w:t>
      </w:r>
    </w:p>
    <w:p>
      <w:pPr>
        <w:snapToGrid w:val="0"/>
        <w:spacing w:line="312" w:lineRule="auto"/>
        <w:ind w:firstLine="472" w:firstLineChars="196"/>
        <w:jc w:val="left"/>
        <w:rPr>
          <w:rFonts w:ascii="宋体" w:hAnsi="宋体"/>
          <w:b/>
          <w:color w:val="000000"/>
          <w:sz w:val="24"/>
        </w:rPr>
      </w:pPr>
      <w:r>
        <w:rPr>
          <w:rFonts w:hint="eastAsia" w:ascii="宋体" w:hAnsi="宋体"/>
          <w:b/>
          <w:color w:val="000000"/>
          <w:sz w:val="24"/>
        </w:rPr>
        <w:t>1.资格审查资料（</w:t>
      </w:r>
      <w:r>
        <w:rPr>
          <w:rFonts w:hint="eastAsia" w:ascii="宋体" w:hAnsi="宋体"/>
          <w:b/>
          <w:sz w:val="24"/>
        </w:rPr>
        <w:t>资格审查资料中的证件原件投标截止时间前在开标现场查验，</w:t>
      </w:r>
      <w:r>
        <w:rPr>
          <w:rFonts w:hint="eastAsia" w:ascii="宋体" w:hAnsi="宋体"/>
          <w:b/>
          <w:color w:val="000000"/>
          <w:sz w:val="24"/>
        </w:rPr>
        <w:t>无需装入资信及商务包装袋内，复印件装入资信及商务包装袋内）：</w:t>
      </w:r>
    </w:p>
    <w:p>
      <w:pPr>
        <w:snapToGrid w:val="0"/>
        <w:ind w:firstLine="470" w:firstLineChars="196"/>
        <w:jc w:val="left"/>
        <w:rPr>
          <w:rFonts w:ascii="宋体" w:hAnsi="宋体"/>
          <w:color w:val="000000"/>
          <w:sz w:val="24"/>
        </w:rPr>
      </w:pPr>
      <w:r>
        <w:rPr>
          <w:rFonts w:hint="eastAsia" w:ascii="宋体" w:hAnsi="宋体"/>
          <w:color w:val="000000"/>
          <w:sz w:val="24"/>
        </w:rPr>
        <w:t>（1）企业法人营业执照原件及复印件；</w:t>
      </w:r>
    </w:p>
    <w:p>
      <w:pPr>
        <w:snapToGrid w:val="0"/>
        <w:ind w:firstLine="470" w:firstLineChars="196"/>
        <w:jc w:val="left"/>
        <w:rPr>
          <w:rFonts w:ascii="宋体" w:hAnsi="宋体"/>
          <w:color w:val="000000"/>
          <w:sz w:val="24"/>
        </w:rPr>
      </w:pPr>
      <w:r>
        <w:rPr>
          <w:rFonts w:hint="eastAsia" w:ascii="宋体" w:hAnsi="宋体"/>
          <w:color w:val="000000"/>
          <w:sz w:val="24"/>
        </w:rPr>
        <w:t>（2）法定代表人授权委托书及经办人身份证原件及复印件；</w:t>
      </w:r>
    </w:p>
    <w:p>
      <w:pPr>
        <w:snapToGrid w:val="0"/>
        <w:ind w:firstLine="472" w:firstLineChars="196"/>
        <w:jc w:val="left"/>
        <w:rPr>
          <w:rFonts w:ascii="宋体" w:hAnsi="宋体"/>
          <w:b/>
          <w:bCs/>
          <w:color w:val="000000"/>
          <w:sz w:val="24"/>
        </w:rPr>
      </w:pPr>
      <w:r>
        <w:rPr>
          <w:rFonts w:hint="eastAsia" w:ascii="宋体" w:hAnsi="宋体"/>
          <w:b/>
          <w:bCs/>
          <w:color w:val="000000"/>
          <w:sz w:val="24"/>
        </w:rPr>
        <w:t>（3）以上复印件均需加盖单位公章，并装订成册。</w:t>
      </w:r>
    </w:p>
    <w:p>
      <w:pPr>
        <w:snapToGrid w:val="0"/>
        <w:spacing w:beforeLines="50"/>
        <w:ind w:firstLine="472" w:firstLineChars="196"/>
        <w:jc w:val="left"/>
        <w:rPr>
          <w:rFonts w:ascii="宋体" w:hAnsi="宋体"/>
          <w:b/>
          <w:color w:val="000000"/>
          <w:sz w:val="24"/>
        </w:rPr>
      </w:pPr>
      <w:r>
        <w:rPr>
          <w:rFonts w:hint="eastAsia" w:ascii="宋体" w:hAnsi="宋体"/>
          <w:b/>
          <w:color w:val="000000"/>
          <w:sz w:val="24"/>
        </w:rPr>
        <w:t>2.资信及商务文件：</w:t>
      </w:r>
    </w:p>
    <w:p>
      <w:pPr>
        <w:numPr>
          <w:ilvl w:val="0"/>
          <w:numId w:val="5"/>
        </w:numPr>
        <w:snapToGrid w:val="0"/>
        <w:jc w:val="left"/>
        <w:rPr>
          <w:rFonts w:ascii="宋体" w:hAnsi="宋体"/>
          <w:sz w:val="24"/>
        </w:rPr>
      </w:pPr>
      <w:r>
        <w:rPr>
          <w:rFonts w:hint="eastAsia" w:ascii="宋体" w:hAnsi="宋体"/>
          <w:sz w:val="24"/>
        </w:rPr>
        <w:t>投标单位情况表（格式见附件）；</w:t>
      </w:r>
    </w:p>
    <w:p>
      <w:pPr>
        <w:numPr>
          <w:ilvl w:val="0"/>
          <w:numId w:val="5"/>
        </w:numPr>
        <w:snapToGrid w:val="0"/>
        <w:jc w:val="left"/>
        <w:rPr>
          <w:rFonts w:ascii="宋体" w:hAnsi="宋体"/>
          <w:sz w:val="24"/>
        </w:rPr>
      </w:pPr>
      <w:r>
        <w:rPr>
          <w:rFonts w:hint="eastAsia" w:ascii="宋体" w:hAnsi="宋体"/>
          <w:sz w:val="24"/>
        </w:rPr>
        <w:t>投标声明书（格式见附件）；</w:t>
      </w:r>
    </w:p>
    <w:p>
      <w:pPr>
        <w:numPr>
          <w:ilvl w:val="0"/>
          <w:numId w:val="5"/>
        </w:numPr>
        <w:snapToGrid w:val="0"/>
        <w:jc w:val="left"/>
        <w:rPr>
          <w:rFonts w:ascii="宋体" w:hAnsi="宋体"/>
          <w:sz w:val="24"/>
        </w:rPr>
      </w:pPr>
      <w:r>
        <w:rPr>
          <w:rFonts w:hint="eastAsia" w:ascii="宋体" w:hAnsi="宋体"/>
          <w:sz w:val="24"/>
        </w:rPr>
        <w:t>法定代表人授权委托书（格式见附件）；</w:t>
      </w:r>
    </w:p>
    <w:p>
      <w:pPr>
        <w:numPr>
          <w:ilvl w:val="0"/>
          <w:numId w:val="5"/>
        </w:numPr>
        <w:snapToGrid w:val="0"/>
        <w:jc w:val="left"/>
        <w:rPr>
          <w:rFonts w:ascii="宋体" w:hAnsi="宋体"/>
          <w:sz w:val="24"/>
        </w:rPr>
      </w:pPr>
      <w:r>
        <w:rPr>
          <w:rFonts w:hint="eastAsia" w:ascii="宋体" w:hAnsi="宋体"/>
          <w:sz w:val="24"/>
        </w:rPr>
        <w:t>法定代表人身份证复印件或被授权人身份证复印件；</w:t>
      </w:r>
    </w:p>
    <w:p>
      <w:pPr>
        <w:numPr>
          <w:ilvl w:val="0"/>
          <w:numId w:val="5"/>
        </w:numPr>
        <w:snapToGrid w:val="0"/>
        <w:jc w:val="left"/>
        <w:rPr>
          <w:rFonts w:ascii="宋体" w:hAnsi="宋体"/>
          <w:sz w:val="24"/>
        </w:rPr>
      </w:pPr>
      <w:r>
        <w:rPr>
          <w:rFonts w:hint="eastAsia" w:ascii="宋体" w:hAnsi="宋体"/>
          <w:sz w:val="24"/>
        </w:rPr>
        <w:t>2018年第四季度的财务会计报表；</w:t>
      </w:r>
    </w:p>
    <w:p>
      <w:pPr>
        <w:numPr>
          <w:ilvl w:val="0"/>
          <w:numId w:val="5"/>
        </w:numPr>
        <w:snapToGrid w:val="0"/>
        <w:jc w:val="left"/>
        <w:rPr>
          <w:rFonts w:ascii="宋体" w:hAnsi="宋体"/>
          <w:sz w:val="24"/>
        </w:rPr>
      </w:pPr>
      <w:r>
        <w:rPr>
          <w:rFonts w:hint="eastAsia" w:ascii="宋体" w:hAnsi="宋体"/>
          <w:sz w:val="24"/>
        </w:rPr>
        <w:t>最近一个季度依法缴纳税收[税费缴纳凭证复印件，或依法免缴税费的证明（复印件，原件备查并一年内有效，格式自拟）] ，及最近一个季度依法缴纳社保费的缴纳凭证复印件或网站上拉具的社保缴纳清单（须附社保参保人员花名册）；</w:t>
      </w:r>
    </w:p>
    <w:p>
      <w:pPr>
        <w:numPr>
          <w:ilvl w:val="0"/>
          <w:numId w:val="5"/>
        </w:numPr>
        <w:snapToGrid w:val="0"/>
        <w:jc w:val="left"/>
        <w:rPr>
          <w:rFonts w:ascii="宋体" w:hAnsi="宋体"/>
          <w:sz w:val="24"/>
        </w:rPr>
      </w:pPr>
      <w:r>
        <w:rPr>
          <w:rFonts w:hint="eastAsia" w:ascii="宋体" w:hAnsi="宋体"/>
          <w:sz w:val="24"/>
        </w:rPr>
        <w:t>营业执照副本复印件；</w:t>
      </w:r>
    </w:p>
    <w:p>
      <w:pPr>
        <w:numPr>
          <w:ilvl w:val="0"/>
          <w:numId w:val="5"/>
        </w:numPr>
        <w:snapToGrid w:val="0"/>
        <w:jc w:val="left"/>
        <w:rPr>
          <w:rFonts w:ascii="宋体" w:hAnsi="宋体"/>
          <w:sz w:val="24"/>
        </w:rPr>
      </w:pPr>
      <w:r>
        <w:rPr>
          <w:rFonts w:hint="eastAsia" w:ascii="宋体" w:hAnsi="宋体"/>
          <w:sz w:val="24"/>
        </w:rPr>
        <w:t>政府采购供应商诚信承诺书（格式见附件）；</w:t>
      </w:r>
    </w:p>
    <w:p>
      <w:pPr>
        <w:numPr>
          <w:ilvl w:val="0"/>
          <w:numId w:val="5"/>
        </w:numPr>
        <w:snapToGrid w:val="0"/>
        <w:jc w:val="left"/>
        <w:rPr>
          <w:rFonts w:ascii="宋体" w:hAnsi="宋体"/>
          <w:sz w:val="24"/>
        </w:rPr>
      </w:pPr>
      <w:r>
        <w:rPr>
          <w:rFonts w:hint="eastAsia" w:ascii="宋体" w:hAnsi="宋体"/>
          <w:sz w:val="24"/>
        </w:rPr>
        <w:t>截至公告发布日止，相关主体在“信用中国”网站(</w:t>
      </w:r>
      <w:r>
        <w:fldChar w:fldCharType="begin"/>
      </w:r>
      <w:r>
        <w:instrText xml:space="preserve"> HYPERLINK "http://www.creditchina.gov.cn" </w:instrText>
      </w:r>
      <w:r>
        <w:fldChar w:fldCharType="separate"/>
      </w:r>
      <w:r>
        <w:rPr>
          <w:rFonts w:hint="eastAsia" w:ascii="宋体" w:hAnsi="宋体"/>
          <w:sz w:val="24"/>
        </w:rPr>
        <w:t>www.creditchina.gov.cn</w:t>
      </w:r>
      <w:r>
        <w:rPr>
          <w:rFonts w:hint="eastAsia" w:ascii="宋体" w:hAnsi="宋体"/>
          <w:sz w:val="24"/>
        </w:rPr>
        <w:fldChar w:fldCharType="end"/>
      </w:r>
      <w:r>
        <w:rPr>
          <w:rFonts w:hint="eastAsia" w:ascii="宋体" w:hAnsi="宋体"/>
          <w:sz w:val="24"/>
        </w:rPr>
        <w:t>)及中国政府采购网(</w:t>
      </w:r>
      <w:r>
        <w:fldChar w:fldCharType="begin"/>
      </w:r>
      <w:r>
        <w:instrText xml:space="preserve"> HYPERLINK "http://www.ccgp.gov.cn" </w:instrText>
      </w:r>
      <w:r>
        <w:fldChar w:fldCharType="separate"/>
      </w:r>
      <w:r>
        <w:rPr>
          <w:rFonts w:hint="eastAsia" w:ascii="宋体" w:hAnsi="宋体"/>
          <w:sz w:val="24"/>
        </w:rPr>
        <w:t>www.ccgp.gov.cn</w:t>
      </w:r>
      <w:r>
        <w:rPr>
          <w:rFonts w:hint="eastAsia" w:ascii="宋体" w:hAnsi="宋体"/>
          <w:sz w:val="24"/>
        </w:rPr>
        <w:fldChar w:fldCharType="end"/>
      </w:r>
      <w:r>
        <w:rPr>
          <w:rFonts w:hint="eastAsia" w:ascii="宋体" w:hAnsi="宋体"/>
          <w:sz w:val="24"/>
        </w:rPr>
        <w:t>)是否有失信行为的查询结果截图；</w:t>
      </w:r>
    </w:p>
    <w:p>
      <w:pPr>
        <w:numPr>
          <w:ilvl w:val="0"/>
          <w:numId w:val="5"/>
        </w:numPr>
        <w:tabs>
          <w:tab w:val="left" w:pos="1080"/>
        </w:tabs>
        <w:snapToGrid w:val="0"/>
        <w:jc w:val="left"/>
        <w:rPr>
          <w:rFonts w:ascii="宋体" w:hAnsi="宋体"/>
          <w:sz w:val="24"/>
        </w:rPr>
      </w:pPr>
      <w:r>
        <w:rPr>
          <w:rFonts w:hint="eastAsia" w:ascii="宋体" w:hAnsi="宋体"/>
          <w:sz w:val="24"/>
        </w:rPr>
        <w:t>2016年以来同类产品销售业绩（格式见附件）；</w:t>
      </w:r>
    </w:p>
    <w:p>
      <w:pPr>
        <w:numPr>
          <w:ilvl w:val="0"/>
          <w:numId w:val="5"/>
        </w:numPr>
        <w:snapToGrid w:val="0"/>
        <w:jc w:val="left"/>
        <w:rPr>
          <w:rFonts w:ascii="宋体" w:hAnsi="宋体"/>
          <w:sz w:val="24"/>
        </w:rPr>
      </w:pPr>
      <w:r>
        <w:rPr>
          <w:rFonts w:hint="eastAsia" w:ascii="宋体" w:hAnsi="宋体"/>
          <w:sz w:val="24"/>
        </w:rPr>
        <w:t>投标产品服务计划表（格式见附件）；</w:t>
      </w:r>
    </w:p>
    <w:p>
      <w:pPr>
        <w:numPr>
          <w:ilvl w:val="0"/>
          <w:numId w:val="5"/>
        </w:numPr>
        <w:snapToGrid w:val="0"/>
        <w:jc w:val="left"/>
        <w:rPr>
          <w:rFonts w:ascii="宋体" w:hAnsi="宋体"/>
          <w:sz w:val="24"/>
        </w:rPr>
      </w:pPr>
      <w:r>
        <w:rPr>
          <w:rFonts w:hint="eastAsia" w:ascii="宋体" w:hAnsi="宋体"/>
          <w:sz w:val="24"/>
        </w:rPr>
        <w:t>投标人认为有必要提供的其它文件。</w:t>
      </w:r>
    </w:p>
    <w:p>
      <w:pPr>
        <w:snapToGrid w:val="0"/>
        <w:ind w:firstLine="472" w:firstLineChars="196"/>
        <w:jc w:val="left"/>
        <w:rPr>
          <w:rFonts w:ascii="宋体" w:hAnsi="宋体"/>
          <w:b/>
          <w:bCs/>
          <w:sz w:val="24"/>
        </w:rPr>
      </w:pPr>
      <w:r>
        <w:rPr>
          <w:rFonts w:hint="eastAsia" w:ascii="宋体" w:hAnsi="宋体"/>
          <w:b/>
          <w:bCs/>
          <w:sz w:val="24"/>
        </w:rPr>
        <w:t>3.</w:t>
      </w:r>
      <w:r>
        <w:rPr>
          <w:rFonts w:ascii="宋体" w:hAnsi="宋体"/>
          <w:b/>
          <w:bCs/>
          <w:sz w:val="24"/>
        </w:rPr>
        <w:t>技术文件</w:t>
      </w:r>
    </w:p>
    <w:p>
      <w:pPr>
        <w:snapToGrid w:val="0"/>
        <w:spacing w:line="312" w:lineRule="auto"/>
        <w:ind w:firstLine="413" w:firstLineChars="196"/>
        <w:jc w:val="left"/>
        <w:rPr>
          <w:rFonts w:ascii="宋体" w:hAnsi="宋体"/>
          <w:b/>
          <w:bCs/>
          <w:szCs w:val="21"/>
        </w:rPr>
      </w:pPr>
      <w:r>
        <w:rPr>
          <w:rFonts w:hint="eastAsia" w:ascii="宋体" w:hAnsi="宋体"/>
          <w:b/>
          <w:bCs/>
          <w:szCs w:val="21"/>
        </w:rPr>
        <w:t>（1）评分响应表（注：</w:t>
      </w:r>
      <w:r>
        <w:rPr>
          <w:rFonts w:hint="eastAsia" w:ascii="宋体" w:hAnsi="宋体"/>
          <w:b/>
          <w:bCs/>
          <w:sz w:val="24"/>
        </w:rPr>
        <w:t>投标人在标注页码时，应如实准确地标注“详见哪一份文件哪一页”，因投标人页码标注错误，导致专家误评、漏评</w:t>
      </w:r>
      <w:r>
        <w:rPr>
          <w:rFonts w:hint="eastAsia" w:ascii="宋体" w:hAnsi="宋体"/>
          <w:b/>
          <w:bCs/>
          <w:szCs w:val="21"/>
        </w:rPr>
        <w:t>的风险由投标人承担。）；（格式见附件4.1）</w:t>
      </w:r>
    </w:p>
    <w:p>
      <w:pPr>
        <w:snapToGrid w:val="0"/>
        <w:ind w:firstLine="480" w:firstLineChars="200"/>
        <w:jc w:val="left"/>
        <w:rPr>
          <w:rFonts w:ascii="宋体" w:hAnsi="宋体"/>
          <w:color w:val="000000"/>
          <w:sz w:val="24"/>
        </w:rPr>
      </w:pPr>
      <w:r>
        <w:rPr>
          <w:rFonts w:hint="eastAsia" w:ascii="宋体" w:hAnsi="宋体"/>
          <w:color w:val="000000"/>
          <w:sz w:val="24"/>
        </w:rPr>
        <w:t xml:space="preserve">（2）货物主要技术指标、功能及配置的详细说明（格式见附件4.2）      </w:t>
      </w:r>
    </w:p>
    <w:p>
      <w:pPr>
        <w:snapToGrid w:val="0"/>
        <w:ind w:firstLine="480" w:firstLineChars="200"/>
        <w:jc w:val="left"/>
        <w:rPr>
          <w:rFonts w:ascii="宋体" w:hAnsi="宋体"/>
          <w:color w:val="000000"/>
          <w:sz w:val="24"/>
        </w:rPr>
      </w:pPr>
      <w:r>
        <w:rPr>
          <w:rFonts w:hint="eastAsia" w:ascii="宋体" w:hAnsi="宋体"/>
          <w:color w:val="000000"/>
          <w:sz w:val="24"/>
        </w:rPr>
        <w:t>（4）技术偏离表：投标方必须针对招标文件要求的技术参数逐个做出实质性响应（格式见附件4.3）。</w:t>
      </w:r>
    </w:p>
    <w:p>
      <w:pPr>
        <w:snapToGrid w:val="0"/>
        <w:ind w:firstLine="480" w:firstLineChars="200"/>
        <w:jc w:val="left"/>
        <w:rPr>
          <w:rFonts w:ascii="宋体" w:hAnsi="宋体"/>
          <w:color w:val="000000"/>
          <w:sz w:val="24"/>
        </w:rPr>
      </w:pPr>
      <w:r>
        <w:rPr>
          <w:rFonts w:hint="eastAsia" w:ascii="宋体" w:hAnsi="宋体"/>
          <w:color w:val="000000"/>
          <w:sz w:val="24"/>
        </w:rPr>
        <w:t>（5）技术服务、售后服务的内容和措施、技术培训、距采购人最近的服务网点的详细介绍，包括资质资格、技术力量、服务内容及承诺；</w:t>
      </w:r>
    </w:p>
    <w:p>
      <w:pPr>
        <w:snapToGrid w:val="0"/>
        <w:ind w:firstLine="480" w:firstLineChars="200"/>
        <w:jc w:val="left"/>
        <w:rPr>
          <w:rFonts w:ascii="宋体" w:hAnsi="宋体"/>
          <w:color w:val="000000"/>
          <w:sz w:val="24"/>
        </w:rPr>
      </w:pPr>
      <w:r>
        <w:rPr>
          <w:rFonts w:hint="eastAsia" w:ascii="宋体" w:hAnsi="宋体"/>
          <w:color w:val="000000"/>
          <w:sz w:val="24"/>
        </w:rPr>
        <w:t>（6）优惠条件：投标人承诺给予招标人的各种优惠条件；</w:t>
      </w:r>
    </w:p>
    <w:p>
      <w:pPr>
        <w:snapToGrid w:val="0"/>
        <w:ind w:firstLine="480" w:firstLineChars="200"/>
        <w:jc w:val="left"/>
        <w:rPr>
          <w:rFonts w:ascii="宋体" w:hAnsi="宋体"/>
          <w:color w:val="000000"/>
          <w:sz w:val="24"/>
        </w:rPr>
      </w:pPr>
      <w:r>
        <w:rPr>
          <w:rFonts w:hint="eastAsia" w:ascii="宋体" w:hAnsi="宋体"/>
          <w:color w:val="000000"/>
          <w:sz w:val="24"/>
        </w:rPr>
        <w:t>（7）投标人需要说明的其他文件和说明（格式自拟）。</w:t>
      </w:r>
    </w:p>
    <w:p>
      <w:pPr>
        <w:snapToGrid w:val="0"/>
        <w:ind w:firstLine="472" w:firstLineChars="196"/>
        <w:jc w:val="left"/>
        <w:rPr>
          <w:rFonts w:ascii="宋体" w:hAnsi="宋体"/>
          <w:b/>
          <w:color w:val="000000"/>
          <w:sz w:val="24"/>
          <w:szCs w:val="20"/>
        </w:rPr>
      </w:pPr>
      <w:r>
        <w:rPr>
          <w:rFonts w:hint="eastAsia" w:ascii="宋体" w:hAnsi="宋体"/>
          <w:b/>
          <w:color w:val="000000"/>
          <w:sz w:val="24"/>
        </w:rPr>
        <w:t>4.</w:t>
      </w:r>
      <w:r>
        <w:rPr>
          <w:rFonts w:ascii="宋体" w:hAnsi="宋体"/>
          <w:b/>
          <w:color w:val="000000"/>
          <w:sz w:val="24"/>
        </w:rPr>
        <w:t>报价文件</w:t>
      </w:r>
    </w:p>
    <w:p>
      <w:pPr>
        <w:snapToGrid w:val="0"/>
        <w:ind w:firstLine="480" w:firstLineChars="200"/>
        <w:jc w:val="left"/>
        <w:rPr>
          <w:rFonts w:ascii="宋体" w:hAnsi="宋体"/>
          <w:color w:val="000000"/>
          <w:sz w:val="24"/>
        </w:rPr>
      </w:pPr>
      <w:r>
        <w:rPr>
          <w:rFonts w:hint="eastAsia" w:ascii="宋体" w:hAnsi="宋体"/>
          <w:color w:val="000000"/>
          <w:sz w:val="24"/>
        </w:rPr>
        <w:t>（1）投标函（格式见附件5.1）</w:t>
      </w:r>
    </w:p>
    <w:p>
      <w:pPr>
        <w:snapToGrid w:val="0"/>
        <w:ind w:firstLine="480" w:firstLineChars="200"/>
        <w:jc w:val="left"/>
        <w:rPr>
          <w:rFonts w:ascii="宋体" w:hAnsi="宋体"/>
          <w:color w:val="000000"/>
          <w:sz w:val="24"/>
        </w:rPr>
      </w:pPr>
      <w:r>
        <w:rPr>
          <w:rFonts w:hint="eastAsia" w:ascii="宋体" w:hAnsi="宋体"/>
          <w:color w:val="000000"/>
          <w:sz w:val="24"/>
        </w:rPr>
        <w:t>（2）开标一览表（格式见附件5.2）</w:t>
      </w:r>
    </w:p>
    <w:p>
      <w:pPr>
        <w:snapToGrid w:val="0"/>
        <w:ind w:firstLine="480" w:firstLineChars="200"/>
        <w:jc w:val="left"/>
        <w:rPr>
          <w:rFonts w:ascii="宋体" w:hAnsi="宋体"/>
          <w:color w:val="000000"/>
          <w:sz w:val="24"/>
        </w:rPr>
      </w:pPr>
      <w:r>
        <w:rPr>
          <w:rFonts w:hint="eastAsia" w:ascii="宋体" w:hAnsi="宋体"/>
          <w:color w:val="000000"/>
          <w:sz w:val="24"/>
        </w:rPr>
        <w:t>（3）中小企业声明函（附件5.3：小微企业投标时适用，提供中小企业名录查询结果截图http://xwqy.gsxt.gov.cn，不提供不予抵扣）</w:t>
      </w:r>
    </w:p>
    <w:p>
      <w:pPr>
        <w:snapToGrid w:val="0"/>
        <w:ind w:firstLine="480" w:firstLineChars="200"/>
        <w:jc w:val="left"/>
        <w:rPr>
          <w:rFonts w:ascii="宋体" w:hAnsi="宋体"/>
          <w:color w:val="000000"/>
          <w:sz w:val="24"/>
        </w:rPr>
      </w:pPr>
      <w:r>
        <w:rPr>
          <w:rFonts w:hint="eastAsia" w:ascii="宋体" w:hAnsi="宋体"/>
          <w:color w:val="000000"/>
          <w:sz w:val="24"/>
        </w:rPr>
        <w:t>（4）残疾人福利性单位声明函（附件5.4：残疾人福利性单位投标时适用）</w:t>
      </w:r>
    </w:p>
    <w:p>
      <w:pPr>
        <w:snapToGrid w:val="0"/>
        <w:ind w:firstLine="480" w:firstLineChars="200"/>
        <w:jc w:val="left"/>
        <w:rPr>
          <w:rFonts w:ascii="宋体" w:hAnsi="宋体"/>
          <w:color w:val="000000"/>
          <w:sz w:val="24"/>
        </w:rPr>
      </w:pPr>
      <w:r>
        <w:rPr>
          <w:rFonts w:hint="eastAsia" w:ascii="宋体" w:hAnsi="宋体"/>
          <w:color w:val="000000"/>
          <w:sz w:val="24"/>
        </w:rPr>
        <w:t>（5）政府采购政策情况表（附件5.5：小微企业、残疾人福利性单位、监狱企业投标时适用）</w:t>
      </w:r>
    </w:p>
    <w:p>
      <w:pPr>
        <w:snapToGrid w:val="0"/>
        <w:ind w:firstLine="480" w:firstLineChars="200"/>
        <w:jc w:val="left"/>
        <w:rPr>
          <w:rFonts w:ascii="宋体" w:hAnsi="宋体"/>
          <w:color w:val="000000"/>
          <w:sz w:val="24"/>
        </w:rPr>
      </w:pPr>
      <w:r>
        <w:rPr>
          <w:rFonts w:hint="eastAsia" w:ascii="宋体" w:hAnsi="宋体"/>
          <w:color w:val="000000"/>
          <w:sz w:val="24"/>
        </w:rPr>
        <w:t>（6）制造企业情况表：（小微企业提供其他小微企业生产的产品时适用,提供中小企业名录查询结果截图http://xwqy.gsxt.gov.cn，不提供不予抵扣）</w:t>
      </w:r>
    </w:p>
    <w:p>
      <w:pPr>
        <w:snapToGrid w:val="0"/>
        <w:ind w:firstLine="480" w:firstLineChars="200"/>
        <w:jc w:val="left"/>
        <w:rPr>
          <w:rFonts w:ascii="宋体" w:hAnsi="宋体"/>
          <w:color w:val="000000"/>
          <w:sz w:val="24"/>
        </w:rPr>
      </w:pPr>
      <w:r>
        <w:rPr>
          <w:rFonts w:hint="eastAsia" w:ascii="宋体" w:hAnsi="宋体"/>
          <w:color w:val="000000"/>
          <w:sz w:val="24"/>
        </w:rPr>
        <w:t>（7）投标人针对报价需要说明的其他文件和说明（不含报价）。</w:t>
      </w:r>
    </w:p>
    <w:p>
      <w:pPr>
        <w:snapToGrid w:val="0"/>
        <w:spacing w:beforeLines="50"/>
        <w:ind w:firstLine="472" w:firstLineChars="196"/>
        <w:jc w:val="left"/>
        <w:outlineLvl w:val="0"/>
        <w:rPr>
          <w:rFonts w:ascii="宋体" w:hAnsi="宋体"/>
          <w:b/>
          <w:color w:val="000000"/>
          <w:sz w:val="24"/>
        </w:rPr>
      </w:pPr>
      <w:r>
        <w:rPr>
          <w:rFonts w:hint="eastAsia" w:ascii="宋体" w:hAnsi="宋体"/>
          <w:b/>
          <w:color w:val="000000"/>
          <w:sz w:val="24"/>
        </w:rPr>
        <w:t>（二）投标文件的语言及计量</w:t>
      </w:r>
    </w:p>
    <w:p>
      <w:pPr>
        <w:snapToGrid w:val="0"/>
        <w:ind w:firstLine="420" w:firstLineChars="200"/>
        <w:jc w:val="left"/>
        <w:rPr>
          <w:rFonts w:ascii="宋体" w:hAnsi="宋体"/>
          <w:color w:val="000000"/>
          <w:sz w:val="24"/>
          <w:szCs w:val="20"/>
        </w:rPr>
      </w:pPr>
      <w:r>
        <w:rPr>
          <w:rFonts w:hint="eastAsia" w:ascii="宋体" w:hAnsi="宋体"/>
          <w:color w:val="000000"/>
          <w:szCs w:val="21"/>
        </w:rPr>
        <w:t>▲</w:t>
      </w:r>
      <w:r>
        <w:rPr>
          <w:rFonts w:ascii="宋体" w:hAnsi="宋体"/>
          <w:color w:val="000000"/>
          <w:sz w:val="24"/>
        </w:rPr>
        <w:t>1</w:t>
      </w:r>
      <w:r>
        <w:rPr>
          <w:rFonts w:hint="eastAsia" w:ascii="宋体" w:hAnsi="宋体"/>
          <w:color w:val="000000"/>
          <w:sz w:val="24"/>
        </w:rPr>
        <w:t>.</w:t>
      </w:r>
      <w:r>
        <w:rPr>
          <w:rFonts w:ascii="宋体" w:hAnsi="宋体"/>
          <w:color w:val="000000"/>
          <w:sz w:val="24"/>
        </w:rPr>
        <w:t>投标文件以及投标方与招标方就有关投标事宜的所有来往函电，均应以中文汉语书写。除签名、盖章、专用名称等特殊情形外，以中文汉语以外的文字表述的投标文件视同未提供。</w:t>
      </w:r>
    </w:p>
    <w:p>
      <w:pPr>
        <w:snapToGrid w:val="0"/>
        <w:ind w:firstLine="420" w:firstLineChars="200"/>
        <w:jc w:val="left"/>
        <w:rPr>
          <w:rFonts w:ascii="宋体" w:hAnsi="宋体"/>
          <w:color w:val="000000"/>
          <w:sz w:val="24"/>
          <w:szCs w:val="20"/>
        </w:rPr>
      </w:pPr>
      <w:r>
        <w:rPr>
          <w:rFonts w:hint="eastAsia" w:ascii="宋体" w:hAnsi="宋体"/>
          <w:color w:val="000000"/>
          <w:szCs w:val="21"/>
        </w:rPr>
        <w:t>▲</w:t>
      </w:r>
      <w:r>
        <w:rPr>
          <w:rFonts w:ascii="宋体" w:hAnsi="宋体"/>
          <w:color w:val="000000"/>
          <w:sz w:val="24"/>
        </w:rPr>
        <w:t>2</w:t>
      </w:r>
      <w:r>
        <w:rPr>
          <w:rFonts w:hint="eastAsia" w:ascii="宋体" w:hAnsi="宋体"/>
          <w:color w:val="000000"/>
          <w:sz w:val="24"/>
        </w:rPr>
        <w:t>.</w:t>
      </w:r>
      <w:r>
        <w:rPr>
          <w:rFonts w:ascii="宋体" w:hAnsi="宋体"/>
          <w:color w:val="000000"/>
          <w:sz w:val="24"/>
        </w:rPr>
        <w:t>投标计量单位，应采用中华人民共和国法定计量单位（货币单位：人民币元），否则视同未响应。</w:t>
      </w:r>
    </w:p>
    <w:p>
      <w:pPr>
        <w:snapToGrid w:val="0"/>
        <w:spacing w:beforeLines="50" w:afterLines="50"/>
        <w:ind w:firstLine="472" w:firstLineChars="196"/>
        <w:jc w:val="left"/>
        <w:outlineLvl w:val="0"/>
        <w:rPr>
          <w:rFonts w:ascii="宋体" w:hAnsi="宋体"/>
          <w:b/>
          <w:color w:val="000000"/>
          <w:sz w:val="24"/>
          <w:szCs w:val="20"/>
        </w:rPr>
      </w:pPr>
      <w:r>
        <w:rPr>
          <w:rFonts w:hint="eastAsia" w:ascii="宋体" w:hAnsi="宋体"/>
          <w:b/>
          <w:color w:val="000000"/>
          <w:sz w:val="24"/>
        </w:rPr>
        <w:t>（三）投标报价</w:t>
      </w:r>
    </w:p>
    <w:p>
      <w:pPr>
        <w:tabs>
          <w:tab w:val="left" w:pos="3870"/>
          <w:tab w:val="left" w:pos="4085"/>
        </w:tabs>
        <w:snapToGrid w:val="0"/>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投标报价应按招标文件中相关附表格式填写。</w:t>
      </w:r>
    </w:p>
    <w:p>
      <w:pPr>
        <w:tabs>
          <w:tab w:val="left" w:pos="3870"/>
          <w:tab w:val="left" w:pos="4085"/>
        </w:tabs>
        <w:snapToGrid w:val="0"/>
        <w:ind w:firstLine="480" w:firstLineChars="200"/>
        <w:jc w:val="left"/>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w:t>
      </w:r>
      <w:r>
        <w:rPr>
          <w:rFonts w:ascii="宋体" w:hAnsi="宋体"/>
          <w:color w:val="000000"/>
          <w:sz w:val="24"/>
        </w:rPr>
        <w:t>投标报价是履行合同的最终价格，应包括货款、标准附件、备品备件、专用工具、包装、运输、装卸、保险、税金、货到就位以及安装、调试、培训、保修等一切税金和费用。</w:t>
      </w:r>
    </w:p>
    <w:p>
      <w:pPr>
        <w:tabs>
          <w:tab w:val="left" w:pos="3870"/>
          <w:tab w:val="left" w:pos="4085"/>
        </w:tabs>
        <w:snapToGrid w:val="0"/>
        <w:ind w:firstLine="480" w:firstLineChars="200"/>
        <w:jc w:val="left"/>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w:t>
      </w:r>
      <w:r>
        <w:rPr>
          <w:rFonts w:ascii="宋体" w:hAnsi="宋体"/>
          <w:color w:val="000000"/>
          <w:sz w:val="24"/>
        </w:rPr>
        <w:t>投标文件只允许有一个报价，有选择的</w:t>
      </w:r>
      <w:r>
        <w:rPr>
          <w:rFonts w:hint="eastAsia" w:ascii="宋体" w:hAnsi="宋体"/>
          <w:color w:val="000000"/>
          <w:sz w:val="24"/>
        </w:rPr>
        <w:t>或有条件的</w:t>
      </w:r>
      <w:r>
        <w:rPr>
          <w:rFonts w:ascii="宋体" w:hAnsi="宋体"/>
          <w:color w:val="000000"/>
          <w:sz w:val="24"/>
        </w:rPr>
        <w:t>报价将不予接受。</w:t>
      </w:r>
    </w:p>
    <w:p>
      <w:pPr>
        <w:pStyle w:val="3"/>
        <w:numPr>
          <w:ilvl w:val="0"/>
          <w:numId w:val="0"/>
        </w:numPr>
        <w:tabs>
          <w:tab w:val="left" w:pos="720"/>
          <w:tab w:val="clear" w:pos="360"/>
        </w:tabs>
        <w:snapToGrid w:val="0"/>
        <w:spacing w:beforeLines="50"/>
        <w:ind w:left="412" w:leftChars="196"/>
        <w:rPr>
          <w:rFonts w:ascii="宋体" w:hAnsi="宋体"/>
          <w:b/>
          <w:color w:val="000000"/>
        </w:rPr>
      </w:pPr>
      <w:r>
        <w:rPr>
          <w:rFonts w:hint="eastAsia" w:ascii="宋体" w:hAnsi="宋体"/>
          <w:b/>
          <w:color w:val="000000"/>
        </w:rPr>
        <w:t>（四）投标文件的有效期</w:t>
      </w:r>
    </w:p>
    <w:p>
      <w:pPr>
        <w:pStyle w:val="3"/>
        <w:numPr>
          <w:ilvl w:val="0"/>
          <w:numId w:val="0"/>
        </w:numPr>
        <w:tabs>
          <w:tab w:val="left" w:pos="720"/>
          <w:tab w:val="clear" w:pos="360"/>
        </w:tabs>
        <w:snapToGrid w:val="0"/>
        <w:ind w:left="420" w:left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w:t>
      </w:r>
      <w:r>
        <w:rPr>
          <w:rFonts w:ascii="宋体" w:hAnsi="宋体"/>
          <w:color w:val="000000"/>
          <w:sz w:val="24"/>
        </w:rPr>
        <w:t xml:space="preserve">自投标截止日起 </w:t>
      </w:r>
      <w:r>
        <w:rPr>
          <w:rFonts w:hint="eastAsia" w:ascii="宋体" w:hAnsi="宋体"/>
          <w:color w:val="000000"/>
          <w:sz w:val="24"/>
        </w:rPr>
        <w:t>60</w:t>
      </w:r>
      <w:r>
        <w:rPr>
          <w:rFonts w:ascii="宋体" w:hAnsi="宋体"/>
          <w:color w:val="000000"/>
          <w:sz w:val="24"/>
        </w:rPr>
        <w:t xml:space="preserve"> 天投标</w:t>
      </w:r>
      <w:r>
        <w:rPr>
          <w:rFonts w:hint="eastAsia" w:ascii="宋体" w:hAnsi="宋体"/>
          <w:color w:val="000000"/>
          <w:sz w:val="24"/>
        </w:rPr>
        <w:t>文件</w:t>
      </w:r>
      <w:r>
        <w:rPr>
          <w:rFonts w:ascii="宋体" w:hAnsi="宋体"/>
          <w:color w:val="000000"/>
          <w:sz w:val="24"/>
        </w:rPr>
        <w:t>应保持有效。有效期</w:t>
      </w:r>
      <w:r>
        <w:rPr>
          <w:rFonts w:hint="eastAsia" w:ascii="宋体" w:hAnsi="宋体"/>
          <w:color w:val="000000"/>
          <w:sz w:val="24"/>
        </w:rPr>
        <w:t>不足</w:t>
      </w:r>
      <w:r>
        <w:rPr>
          <w:rFonts w:ascii="宋体" w:hAnsi="宋体"/>
          <w:color w:val="000000"/>
          <w:sz w:val="24"/>
        </w:rPr>
        <w:t>的投标</w:t>
      </w:r>
      <w:r>
        <w:rPr>
          <w:rFonts w:hint="eastAsia" w:ascii="宋体" w:hAnsi="宋体"/>
          <w:color w:val="000000"/>
          <w:sz w:val="24"/>
        </w:rPr>
        <w:t>文件</w:t>
      </w:r>
      <w:r>
        <w:rPr>
          <w:rFonts w:ascii="宋体" w:hAnsi="宋体"/>
          <w:color w:val="000000"/>
          <w:sz w:val="24"/>
        </w:rPr>
        <w:t>将被拒绝。</w:t>
      </w:r>
    </w:p>
    <w:p>
      <w:pPr>
        <w:pStyle w:val="3"/>
        <w:numPr>
          <w:ilvl w:val="0"/>
          <w:numId w:val="0"/>
        </w:numPr>
        <w:tabs>
          <w:tab w:val="left" w:pos="720"/>
          <w:tab w:val="clear" w:pos="360"/>
        </w:tabs>
        <w:snapToGrid w:val="0"/>
        <w:ind w:left="420" w:leftChars="200" w:firstLine="240" w:firstLineChars="1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在特殊情况下，招标人可与投标人协商延长投标书的有效期，这种要求和答复均以书面形式进行。</w:t>
      </w:r>
    </w:p>
    <w:p>
      <w:pPr>
        <w:snapToGrid w:val="0"/>
        <w:ind w:firstLine="480" w:firstLineChars="200"/>
        <w:jc w:val="left"/>
        <w:outlineLvl w:val="0"/>
        <w:rPr>
          <w:rFonts w:ascii="宋体" w:hAnsi="宋体"/>
          <w:b/>
          <w:color w:val="000000"/>
          <w:sz w:val="24"/>
          <w:szCs w:val="20"/>
        </w:rPr>
      </w:pPr>
      <w:r>
        <w:rPr>
          <w:rFonts w:ascii="宋体" w:hAnsi="宋体"/>
          <w:color w:val="000000"/>
          <w:sz w:val="24"/>
        </w:rPr>
        <w:t>3</w:t>
      </w:r>
      <w:r>
        <w:rPr>
          <w:rFonts w:hint="eastAsia" w:ascii="宋体" w:hAnsi="宋体"/>
          <w:color w:val="000000"/>
          <w:sz w:val="24"/>
        </w:rPr>
        <w:t>.</w:t>
      </w:r>
      <w:r>
        <w:rPr>
          <w:rFonts w:ascii="宋体" w:hAnsi="宋体"/>
          <w:color w:val="000000"/>
          <w:sz w:val="24"/>
        </w:rPr>
        <w:t>投标人可拒绝接受延期要求。同意延长有效期的投标人不能修改投标文件。</w:t>
      </w:r>
    </w:p>
    <w:p>
      <w:pPr>
        <w:snapToGrid w:val="0"/>
        <w:ind w:firstLine="480" w:firstLineChars="200"/>
        <w:jc w:val="left"/>
        <w:outlineLvl w:val="0"/>
        <w:rPr>
          <w:rFonts w:ascii="宋体" w:hAnsi="宋体"/>
          <w:b/>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中标人的投标文件自开标之日起至合同履行完毕止均保持有效。</w:t>
      </w:r>
    </w:p>
    <w:p>
      <w:pPr>
        <w:snapToGrid w:val="0"/>
        <w:spacing w:beforeLines="50"/>
        <w:ind w:firstLine="472" w:firstLineChars="196"/>
        <w:jc w:val="left"/>
        <w:outlineLvl w:val="0"/>
        <w:rPr>
          <w:rFonts w:ascii="宋体" w:hAnsi="宋体"/>
          <w:b/>
          <w:color w:val="000000"/>
          <w:sz w:val="24"/>
        </w:rPr>
      </w:pPr>
      <w:r>
        <w:rPr>
          <w:rFonts w:hint="eastAsia" w:ascii="宋体" w:hAnsi="宋体"/>
          <w:b/>
          <w:color w:val="000000"/>
          <w:sz w:val="24"/>
        </w:rPr>
        <w:t>（五）投标文件的签署和份数</w:t>
      </w:r>
    </w:p>
    <w:p>
      <w:pPr>
        <w:snapToGrid w:val="0"/>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投标人应</w:t>
      </w:r>
      <w:r>
        <w:rPr>
          <w:rFonts w:hint="eastAsia" w:ascii="宋体" w:hAnsi="宋体"/>
          <w:color w:val="000000"/>
          <w:sz w:val="24"/>
        </w:rPr>
        <w:t>按</w:t>
      </w:r>
      <w:r>
        <w:rPr>
          <w:rFonts w:ascii="宋体" w:hAnsi="宋体"/>
          <w:color w:val="000000"/>
          <w:sz w:val="24"/>
        </w:rPr>
        <w:t>本招标文件规定的格式和顺序编制、装订投标文件</w:t>
      </w:r>
      <w:r>
        <w:rPr>
          <w:rFonts w:hint="eastAsia" w:ascii="宋体" w:hAnsi="宋体"/>
          <w:color w:val="000000"/>
          <w:sz w:val="24"/>
        </w:rPr>
        <w:t>并标注页码</w:t>
      </w:r>
      <w:r>
        <w:rPr>
          <w:rFonts w:ascii="宋体" w:hAnsi="宋体"/>
          <w:color w:val="000000"/>
          <w:sz w:val="24"/>
        </w:rPr>
        <w:t>，投标文件内容不完整、编排混乱导致投标文件被误读、漏读或者查找不到相关内容的，是投标人的责任。</w:t>
      </w:r>
    </w:p>
    <w:p>
      <w:pPr>
        <w:snapToGrid w:val="0"/>
        <w:ind w:firstLine="480" w:firstLineChars="200"/>
        <w:jc w:val="left"/>
        <w:rPr>
          <w:rFonts w:ascii="宋体" w:hAnsi="宋体"/>
          <w:sz w:val="24"/>
          <w:szCs w:val="20"/>
        </w:rPr>
      </w:pPr>
      <w:r>
        <w:rPr>
          <w:rFonts w:ascii="宋体" w:hAnsi="宋体"/>
          <w:color w:val="000000"/>
          <w:sz w:val="24"/>
        </w:rPr>
        <w:t>2</w:t>
      </w:r>
      <w:r>
        <w:rPr>
          <w:rFonts w:hint="eastAsia" w:ascii="宋体" w:hAnsi="宋体"/>
          <w:color w:val="000000"/>
          <w:sz w:val="24"/>
        </w:rPr>
        <w:t>.</w:t>
      </w:r>
      <w:r>
        <w:rPr>
          <w:rFonts w:ascii="宋体" w:hAnsi="宋体"/>
          <w:color w:val="0D0D0D"/>
          <w:sz w:val="24"/>
        </w:rPr>
        <w:t xml:space="preserve"> 投标人应按</w:t>
      </w:r>
      <w:r>
        <w:rPr>
          <w:rFonts w:hint="eastAsia" w:ascii="宋体" w:hAnsi="宋体"/>
          <w:color w:val="0D0D0D"/>
          <w:sz w:val="24"/>
        </w:rPr>
        <w:t>资信及商务文件、技术文件、投标报价文件正本各</w:t>
      </w:r>
      <w:r>
        <w:rPr>
          <w:rFonts w:hint="eastAsia" w:ascii="宋体" w:hAnsi="宋体"/>
          <w:color w:val="0D0D0D"/>
          <w:sz w:val="24"/>
          <w:u w:val="single"/>
        </w:rPr>
        <w:t>1</w:t>
      </w:r>
      <w:r>
        <w:rPr>
          <w:rFonts w:hint="eastAsia" w:ascii="宋体" w:hAnsi="宋体"/>
          <w:color w:val="0D0D0D"/>
          <w:sz w:val="24"/>
        </w:rPr>
        <w:t>份，副本各</w:t>
      </w:r>
      <w:r>
        <w:rPr>
          <w:rFonts w:hint="eastAsia" w:ascii="宋体" w:hAnsi="宋体"/>
          <w:color w:val="0D0D0D"/>
          <w:sz w:val="24"/>
          <w:u w:val="single"/>
          <w:lang w:val="en-US" w:eastAsia="zh-CN"/>
        </w:rPr>
        <w:t>6</w:t>
      </w:r>
      <w:r>
        <w:rPr>
          <w:rFonts w:hint="eastAsia" w:ascii="宋体" w:hAnsi="宋体"/>
          <w:color w:val="0D0D0D"/>
          <w:sz w:val="24"/>
        </w:rPr>
        <w:t>份；</w:t>
      </w:r>
      <w:r>
        <w:rPr>
          <w:rFonts w:hint="eastAsia" w:ascii="宋体" w:hAnsi="宋体"/>
          <w:b/>
          <w:color w:val="0D0D0D"/>
          <w:sz w:val="24"/>
        </w:rPr>
        <w:t>资格审查资料1份</w:t>
      </w:r>
      <w:r>
        <w:rPr>
          <w:rFonts w:hint="eastAsia" w:ascii="宋体" w:hAnsi="宋体"/>
          <w:color w:val="0D0D0D"/>
          <w:sz w:val="24"/>
        </w:rPr>
        <w:t>分别编制并单独装订成册，投标文件的封面应注明“正本”、“副本”字样</w:t>
      </w:r>
      <w:r>
        <w:rPr>
          <w:rFonts w:hint="eastAsia" w:ascii="宋体" w:hAnsi="宋体"/>
          <w:b/>
          <w:color w:val="0D0D0D"/>
          <w:sz w:val="24"/>
        </w:rPr>
        <w:t>(资格审查资料无需注明正副本)</w:t>
      </w:r>
      <w:r>
        <w:rPr>
          <w:rFonts w:hint="eastAsia" w:ascii="宋体" w:hAnsi="宋体"/>
          <w:color w:val="0D0D0D"/>
          <w:sz w:val="24"/>
        </w:rPr>
        <w:t>，投标文件的封面格式详见附件1。</w:t>
      </w:r>
    </w:p>
    <w:p>
      <w:pPr>
        <w:snapToGrid w:val="0"/>
        <w:ind w:firstLine="480" w:firstLineChars="200"/>
        <w:jc w:val="left"/>
        <w:rPr>
          <w:rFonts w:ascii="宋体" w:hAnsi="宋体"/>
          <w:sz w:val="24"/>
        </w:rPr>
      </w:pPr>
      <w:r>
        <w:rPr>
          <w:rFonts w:hint="eastAsia" w:ascii="宋体" w:hAnsi="宋体"/>
          <w:color w:val="000000"/>
          <w:sz w:val="24"/>
        </w:rPr>
        <w:t>3.</w:t>
      </w:r>
      <w:r>
        <w:rPr>
          <w:rFonts w:ascii="宋体" w:hAnsi="宋体"/>
          <w:color w:val="000000"/>
          <w:sz w:val="24"/>
        </w:rPr>
        <w:t>投标文件需打印或用不褪色的墨水填写，投标文件正本除本</w:t>
      </w:r>
      <w:r>
        <w:rPr>
          <w:rFonts w:hint="eastAsia" w:ascii="宋体" w:hAnsi="宋体"/>
          <w:color w:val="000000"/>
          <w:sz w:val="24"/>
        </w:rPr>
        <w:t>《</w:t>
      </w:r>
      <w:r>
        <w:rPr>
          <w:rFonts w:ascii="宋体" w:hAnsi="宋体"/>
          <w:color w:val="000000"/>
          <w:sz w:val="24"/>
        </w:rPr>
        <w:t>投标人须知</w:t>
      </w:r>
      <w:r>
        <w:rPr>
          <w:rFonts w:hint="eastAsia" w:ascii="宋体" w:hAnsi="宋体"/>
          <w:color w:val="000000"/>
          <w:sz w:val="24"/>
        </w:rPr>
        <w:t>》</w:t>
      </w:r>
      <w:r>
        <w:rPr>
          <w:rFonts w:ascii="宋体" w:hAnsi="宋体"/>
          <w:color w:val="000000"/>
          <w:sz w:val="24"/>
        </w:rPr>
        <w:t>中规定的可提供复印件外</w:t>
      </w:r>
      <w:r>
        <w:rPr>
          <w:rFonts w:ascii="宋体" w:hAnsi="宋体"/>
          <w:sz w:val="24"/>
        </w:rPr>
        <w:t>均须提供原件。副本</w:t>
      </w:r>
      <w:r>
        <w:rPr>
          <w:rFonts w:hint="eastAsia" w:ascii="宋体" w:hAnsi="宋体"/>
          <w:sz w:val="24"/>
        </w:rPr>
        <w:t>可</w:t>
      </w:r>
      <w:r>
        <w:rPr>
          <w:rFonts w:ascii="宋体" w:hAnsi="宋体"/>
          <w:sz w:val="24"/>
        </w:rPr>
        <w:t>为正本</w:t>
      </w:r>
      <w:r>
        <w:rPr>
          <w:rFonts w:hint="eastAsia" w:ascii="宋体" w:hAnsi="宋体"/>
          <w:sz w:val="24"/>
        </w:rPr>
        <w:t>签字盖章后</w:t>
      </w:r>
      <w:r>
        <w:rPr>
          <w:rFonts w:ascii="宋体" w:hAnsi="宋体"/>
          <w:sz w:val="24"/>
        </w:rPr>
        <w:t>的复印件。</w:t>
      </w:r>
    </w:p>
    <w:p>
      <w:pPr>
        <w:snapToGrid w:val="0"/>
        <w:ind w:firstLine="480" w:firstLineChars="200"/>
        <w:jc w:val="left"/>
        <w:rPr>
          <w:rFonts w:ascii="宋体" w:hAnsi="宋体"/>
          <w:color w:val="000000"/>
          <w:sz w:val="24"/>
          <w:szCs w:val="20"/>
        </w:rPr>
      </w:pPr>
      <w:r>
        <w:rPr>
          <w:rFonts w:hint="eastAsia" w:ascii="宋体" w:hAnsi="宋体"/>
          <w:sz w:val="24"/>
        </w:rPr>
        <w:t>▲4.招标</w:t>
      </w:r>
      <w:r>
        <w:rPr>
          <w:rFonts w:ascii="宋体" w:hAnsi="宋体"/>
          <w:sz w:val="24"/>
        </w:rPr>
        <w:t>文件</w:t>
      </w:r>
      <w:r>
        <w:rPr>
          <w:rFonts w:hint="eastAsia" w:ascii="宋体" w:hAnsi="宋体"/>
          <w:sz w:val="24"/>
        </w:rPr>
        <w:t>对签字、盖章有特别要求的地方，投标文件无论正本或副本必须</w:t>
      </w:r>
      <w:r>
        <w:rPr>
          <w:rFonts w:ascii="宋体" w:hAnsi="宋体"/>
          <w:sz w:val="24"/>
        </w:rPr>
        <w:t>由</w:t>
      </w:r>
      <w:r>
        <w:rPr>
          <w:rFonts w:ascii="宋体" w:hAnsi="宋体"/>
          <w:color w:val="000000"/>
          <w:sz w:val="24"/>
        </w:rPr>
        <w:t>投标人法定代表人或法定代表</w:t>
      </w:r>
      <w:r>
        <w:rPr>
          <w:rFonts w:hint="eastAsia" w:ascii="宋体" w:hAnsi="宋体"/>
          <w:color w:val="000000"/>
          <w:sz w:val="24"/>
        </w:rPr>
        <w:t>人的</w:t>
      </w:r>
      <w:r>
        <w:rPr>
          <w:rFonts w:ascii="宋体" w:hAnsi="宋体"/>
          <w:color w:val="000000"/>
          <w:sz w:val="24"/>
        </w:rPr>
        <w:t>授权</w:t>
      </w:r>
      <w:r>
        <w:rPr>
          <w:rFonts w:hint="eastAsia" w:ascii="宋体" w:hAnsi="宋体"/>
          <w:color w:val="000000"/>
          <w:sz w:val="24"/>
        </w:rPr>
        <w:t>委托</w:t>
      </w:r>
      <w:r>
        <w:rPr>
          <w:rFonts w:ascii="宋体" w:hAnsi="宋体"/>
          <w:color w:val="000000"/>
          <w:sz w:val="24"/>
        </w:rPr>
        <w:t>人签署</w:t>
      </w:r>
      <w:r>
        <w:rPr>
          <w:rFonts w:hint="eastAsia" w:ascii="宋体" w:hAnsi="宋体"/>
          <w:color w:val="000000"/>
          <w:sz w:val="24"/>
        </w:rPr>
        <w:t>并加盖单位公章</w:t>
      </w:r>
      <w:r>
        <w:rPr>
          <w:rFonts w:ascii="宋体" w:hAnsi="宋体"/>
          <w:color w:val="000000"/>
          <w:sz w:val="24"/>
        </w:rPr>
        <w:t>，投标人应写全称。</w:t>
      </w:r>
    </w:p>
    <w:p>
      <w:pPr>
        <w:snapToGrid w:val="0"/>
        <w:ind w:firstLine="480" w:firstLineChars="200"/>
        <w:jc w:val="left"/>
        <w:rPr>
          <w:rFonts w:ascii="宋体" w:hAnsi="宋体"/>
          <w:color w:val="000000"/>
          <w:sz w:val="24"/>
          <w:szCs w:val="20"/>
        </w:rPr>
      </w:pPr>
      <w:r>
        <w:rPr>
          <w:rFonts w:hint="eastAsia" w:ascii="宋体" w:hAnsi="宋体"/>
          <w:color w:val="000000"/>
          <w:sz w:val="24"/>
        </w:rPr>
        <w:t>5.</w:t>
      </w:r>
      <w:r>
        <w:rPr>
          <w:rFonts w:ascii="宋体" w:hAnsi="宋体"/>
          <w:color w:val="000000"/>
          <w:sz w:val="24"/>
        </w:rPr>
        <w:t>投标文件不得涂改，若有修改错漏处，须加盖单位公章或者法定代表人或授权委托人签字或盖章。投标文件因字迹潦草或表达不清所引起的后果由投标人负责。</w:t>
      </w:r>
    </w:p>
    <w:p>
      <w:pPr>
        <w:snapToGrid w:val="0"/>
        <w:spacing w:beforeLines="50"/>
        <w:ind w:firstLine="354" w:firstLineChars="147"/>
        <w:jc w:val="left"/>
        <w:rPr>
          <w:rFonts w:ascii="宋体" w:hAnsi="宋体"/>
          <w:b/>
          <w:color w:val="000000"/>
          <w:sz w:val="24"/>
          <w:szCs w:val="20"/>
        </w:rPr>
      </w:pPr>
      <w:r>
        <w:rPr>
          <w:rFonts w:hint="eastAsia" w:ascii="宋体" w:hAnsi="宋体"/>
          <w:b/>
          <w:color w:val="000000"/>
          <w:sz w:val="24"/>
        </w:rPr>
        <w:t>（六）投标文件的包装、递交、修改和撤回</w:t>
      </w:r>
    </w:p>
    <w:p>
      <w:pPr>
        <w:snapToGrid w:val="0"/>
        <w:ind w:firstLine="480" w:firstLineChars="200"/>
        <w:jc w:val="left"/>
        <w:rPr>
          <w:rFonts w:ascii="宋体" w:hAnsi="宋体"/>
          <w:color w:val="000000"/>
          <w:sz w:val="24"/>
          <w:szCs w:val="20"/>
        </w:rPr>
      </w:pPr>
      <w:r>
        <w:rPr>
          <w:rFonts w:hint="eastAsia" w:ascii="宋体" w:hAnsi="宋体"/>
          <w:sz w:val="24"/>
        </w:rPr>
        <w:t>1.</w:t>
      </w:r>
      <w:r>
        <w:rPr>
          <w:rFonts w:hint="eastAsia" w:ascii="宋体" w:hAnsi="宋体"/>
          <w:color w:val="0D0D0D"/>
          <w:sz w:val="24"/>
        </w:rPr>
        <w:t xml:space="preserve"> 投标文件应按以下方法装袋密封标记</w:t>
      </w:r>
      <w:r>
        <w:rPr>
          <w:rFonts w:hint="eastAsia" w:ascii="宋体" w:hAnsi="宋体"/>
          <w:b/>
          <w:bCs/>
          <w:color w:val="0D0D0D"/>
          <w:sz w:val="24"/>
        </w:rPr>
        <w:t>（不同标项的报价文件、技术文件必须单独编制、密封和包装）</w:t>
      </w:r>
      <w:r>
        <w:rPr>
          <w:rFonts w:hint="eastAsia" w:ascii="宋体" w:hAnsi="宋体"/>
          <w:color w:val="0D0D0D"/>
          <w:szCs w:val="21"/>
        </w:rPr>
        <w:t>：</w:t>
      </w:r>
      <w:r>
        <w:rPr>
          <w:rFonts w:hint="eastAsia" w:ascii="宋体" w:hAnsi="宋体"/>
          <w:color w:val="0D0D0D"/>
          <w:sz w:val="24"/>
        </w:rPr>
        <w:t>资信及商务文件包装袋内装资信及商务文件正本1份和副本6</w:t>
      </w:r>
      <w:r>
        <w:rPr>
          <w:rFonts w:hint="eastAsia" w:ascii="宋体" w:hAnsi="宋体"/>
          <w:bCs/>
          <w:color w:val="0D0D0D"/>
          <w:sz w:val="24"/>
        </w:rPr>
        <w:t>份、</w:t>
      </w:r>
      <w:r>
        <w:rPr>
          <w:rFonts w:hint="eastAsia" w:ascii="宋体" w:hAnsi="宋体"/>
          <w:b/>
          <w:color w:val="0D0D0D"/>
          <w:sz w:val="24"/>
        </w:rPr>
        <w:t>资格审查资料一份</w:t>
      </w:r>
      <w:r>
        <w:rPr>
          <w:rFonts w:hint="eastAsia" w:ascii="宋体" w:hAnsi="宋体"/>
          <w:color w:val="0D0D0D"/>
          <w:sz w:val="24"/>
        </w:rPr>
        <w:t>，技术文件包装袋内装技术文件正本1份和副本6份，报价文件包装袋内装报价文件正本1份和副本6份，包装封面上应标明“招标编号、投标项目名称、资信及商务文件及资格审查资料、技术文件、报价文件、投标人名称、</w:t>
      </w:r>
      <w:r>
        <w:rPr>
          <w:rFonts w:hint="eastAsia" w:ascii="宋体" w:hAnsi="宋体"/>
          <w:color w:val="000000"/>
          <w:sz w:val="24"/>
        </w:rPr>
        <w:t>于2019年</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18</w:t>
      </w:r>
      <w:r>
        <w:rPr>
          <w:rFonts w:hint="eastAsia" w:ascii="宋体" w:hAnsi="宋体"/>
          <w:color w:val="000000"/>
          <w:sz w:val="24"/>
        </w:rPr>
        <w:t>日上午09：30前不准启封”等</w:t>
      </w:r>
      <w:r>
        <w:rPr>
          <w:rFonts w:hint="eastAsia" w:ascii="宋体" w:hAnsi="宋体"/>
          <w:color w:val="0D0D0D"/>
          <w:sz w:val="24"/>
        </w:rPr>
        <w:t>，并在封面加盖单位公章。外包装的封面格式详见附件1。</w:t>
      </w:r>
    </w:p>
    <w:p>
      <w:pPr>
        <w:snapToGrid w:val="0"/>
        <w:ind w:firstLine="420"/>
        <w:jc w:val="left"/>
        <w:rPr>
          <w:rFonts w:ascii="宋体" w:hAnsi="宋体"/>
          <w:color w:val="000000"/>
          <w:sz w:val="24"/>
        </w:rPr>
      </w:pPr>
      <w:r>
        <w:rPr>
          <w:rFonts w:hint="eastAsia" w:ascii="宋体" w:hAnsi="宋体"/>
          <w:color w:val="000000"/>
          <w:sz w:val="24"/>
        </w:rPr>
        <w:t>2.未按规定密封或标记的投标文件将</w:t>
      </w:r>
      <w:r>
        <w:rPr>
          <w:rFonts w:hint="eastAsia" w:ascii="宋体" w:hAnsi="宋体"/>
          <w:sz w:val="24"/>
        </w:rPr>
        <w:t>可能</w:t>
      </w:r>
      <w:r>
        <w:rPr>
          <w:rFonts w:hint="eastAsia" w:ascii="宋体" w:hAnsi="宋体"/>
          <w:color w:val="000000"/>
          <w:sz w:val="24"/>
        </w:rPr>
        <w:t>被拒绝，由此造成投标文件被误投或提前拆封的风险由投标人承担。</w:t>
      </w:r>
    </w:p>
    <w:p>
      <w:pPr>
        <w:snapToGrid w:val="0"/>
        <w:ind w:firstLine="420"/>
        <w:jc w:val="left"/>
        <w:rPr>
          <w:rFonts w:ascii="宋体" w:hAnsi="宋体"/>
          <w:color w:val="000000"/>
          <w:sz w:val="24"/>
        </w:rPr>
      </w:pPr>
      <w:r>
        <w:rPr>
          <w:rFonts w:hint="eastAsia" w:ascii="宋体" w:hAnsi="宋体"/>
          <w:color w:val="000000"/>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Lines="50"/>
        <w:ind w:firstLine="354" w:firstLineChars="147"/>
        <w:jc w:val="left"/>
        <w:rPr>
          <w:rFonts w:ascii="宋体" w:hAnsi="宋体"/>
          <w:b/>
          <w:color w:val="000000"/>
          <w:sz w:val="24"/>
        </w:rPr>
      </w:pPr>
      <w:r>
        <w:rPr>
          <w:rFonts w:hint="eastAsia" w:ascii="宋体" w:hAnsi="宋体"/>
          <w:b/>
          <w:color w:val="000000"/>
          <w:sz w:val="24"/>
        </w:rPr>
        <w:t>（七）投标无效的情形</w:t>
      </w:r>
    </w:p>
    <w:p>
      <w:pPr>
        <w:snapToGrid w:val="0"/>
        <w:ind w:firstLine="420"/>
        <w:jc w:val="left"/>
        <w:rPr>
          <w:rFonts w:hint="eastAsia" w:ascii="宋体" w:hAnsi="宋体"/>
          <w:color w:val="000000"/>
          <w:sz w:val="24"/>
        </w:rPr>
      </w:pPr>
      <w:r>
        <w:rPr>
          <w:rFonts w:hint="eastAsia" w:ascii="宋体" w:hAnsi="宋体"/>
          <w:color w:val="000000"/>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napToGrid w:val="0"/>
        <w:spacing w:line="312" w:lineRule="auto"/>
        <w:rPr>
          <w:rFonts w:ascii="宋体" w:hAnsi="宋体"/>
          <w:b/>
          <w:sz w:val="24"/>
        </w:rPr>
      </w:pPr>
      <w:r>
        <w:rPr>
          <w:rFonts w:hint="eastAsia" w:ascii="宋体" w:hAnsi="宋体"/>
          <w:b/>
          <w:sz w:val="24"/>
        </w:rPr>
        <w:t>有下列情形之一的，视为投标人串通投标，其投标无效：</w:t>
      </w:r>
    </w:p>
    <w:p>
      <w:pPr>
        <w:snapToGrid w:val="0"/>
        <w:jc w:val="left"/>
        <w:rPr>
          <w:rFonts w:ascii="宋体" w:hAnsi="宋体"/>
          <w:color w:val="0D0D0D"/>
          <w:sz w:val="24"/>
        </w:rPr>
      </w:pPr>
      <w:r>
        <w:rPr>
          <w:rFonts w:hint="eastAsia" w:ascii="宋体" w:hAnsi="宋体"/>
          <w:color w:val="0D0D0D"/>
          <w:sz w:val="24"/>
        </w:rPr>
        <w:t>A.不同投标人的投标文件由同一单位或者个人编制；</w:t>
      </w:r>
    </w:p>
    <w:p>
      <w:pPr>
        <w:snapToGrid w:val="0"/>
        <w:jc w:val="left"/>
        <w:rPr>
          <w:rFonts w:ascii="宋体" w:hAnsi="宋体"/>
          <w:color w:val="0D0D0D"/>
          <w:sz w:val="24"/>
        </w:rPr>
      </w:pPr>
      <w:r>
        <w:rPr>
          <w:rFonts w:hint="eastAsia" w:ascii="宋体" w:hAnsi="宋体"/>
          <w:color w:val="0D0D0D"/>
          <w:sz w:val="24"/>
        </w:rPr>
        <w:t>B.不同投标人委托同一单位或者个人办理投标事宜；</w:t>
      </w:r>
    </w:p>
    <w:p>
      <w:pPr>
        <w:snapToGrid w:val="0"/>
        <w:jc w:val="left"/>
        <w:rPr>
          <w:rFonts w:ascii="宋体" w:hAnsi="宋体"/>
          <w:color w:val="0D0D0D"/>
          <w:sz w:val="24"/>
        </w:rPr>
      </w:pPr>
      <w:r>
        <w:rPr>
          <w:rFonts w:hint="eastAsia" w:ascii="宋体" w:hAnsi="宋体"/>
          <w:color w:val="0D0D0D"/>
          <w:sz w:val="24"/>
        </w:rPr>
        <w:t>C.不同投标人的投标文件载明的项目管理成员或者联系人员为同一人；</w:t>
      </w:r>
    </w:p>
    <w:p>
      <w:pPr>
        <w:snapToGrid w:val="0"/>
        <w:jc w:val="left"/>
        <w:rPr>
          <w:rFonts w:ascii="宋体" w:hAnsi="宋体"/>
          <w:color w:val="0D0D0D"/>
          <w:sz w:val="24"/>
        </w:rPr>
      </w:pPr>
      <w:r>
        <w:rPr>
          <w:rFonts w:hint="eastAsia" w:ascii="宋体" w:hAnsi="宋体"/>
          <w:color w:val="0D0D0D"/>
          <w:sz w:val="24"/>
        </w:rPr>
        <w:t xml:space="preserve">D.不同投标人的投标文件异常一致或者投标报价呈规律性差异； </w:t>
      </w:r>
    </w:p>
    <w:p>
      <w:pPr>
        <w:snapToGrid w:val="0"/>
        <w:jc w:val="left"/>
        <w:rPr>
          <w:rFonts w:ascii="宋体" w:hAnsi="宋体"/>
          <w:color w:val="0D0D0D"/>
          <w:sz w:val="24"/>
        </w:rPr>
      </w:pPr>
      <w:r>
        <w:rPr>
          <w:rFonts w:hint="eastAsia" w:ascii="宋体" w:hAnsi="宋体"/>
          <w:color w:val="0D0D0D"/>
          <w:sz w:val="24"/>
        </w:rPr>
        <w:t>E.不同投标人的投标文件相互混装；</w:t>
      </w:r>
    </w:p>
    <w:p>
      <w:pPr>
        <w:snapToGrid w:val="0"/>
        <w:ind w:firstLine="420"/>
        <w:jc w:val="left"/>
        <w:rPr>
          <w:rFonts w:hint="eastAsia" w:ascii="宋体" w:hAnsi="宋体"/>
          <w:color w:val="000000"/>
          <w:sz w:val="24"/>
        </w:rPr>
      </w:pPr>
    </w:p>
    <w:p>
      <w:pPr>
        <w:snapToGrid w:val="0"/>
        <w:rPr>
          <w:rFonts w:ascii="宋体" w:hAnsi="宋体"/>
          <w:b/>
          <w:bCs/>
          <w:color w:val="000000"/>
          <w:sz w:val="24"/>
          <w:szCs w:val="20"/>
        </w:rPr>
      </w:pPr>
      <w:r>
        <w:rPr>
          <w:rFonts w:ascii="宋体" w:hAnsi="宋体"/>
          <w:b/>
          <w:bCs/>
          <w:color w:val="000000"/>
          <w:sz w:val="24"/>
        </w:rPr>
        <w:t>1</w:t>
      </w:r>
      <w:r>
        <w:rPr>
          <w:rFonts w:hint="eastAsia" w:ascii="宋体" w:hAnsi="宋体"/>
          <w:b/>
          <w:bCs/>
          <w:color w:val="000000"/>
          <w:sz w:val="24"/>
        </w:rPr>
        <w:t>.</w:t>
      </w:r>
      <w:r>
        <w:rPr>
          <w:rFonts w:ascii="宋体" w:hAnsi="宋体"/>
          <w:b/>
          <w:bCs/>
          <w:color w:val="000000"/>
          <w:sz w:val="24"/>
        </w:rPr>
        <w:t>在符合性审查和商务评审时，如发现下列情形之一的，投标文件将被视为无效：</w:t>
      </w:r>
    </w:p>
    <w:p>
      <w:pPr>
        <w:snapToGrid w:val="0"/>
        <w:spacing w:line="312" w:lineRule="auto"/>
        <w:ind w:firstLine="470" w:firstLineChars="196"/>
        <w:rPr>
          <w:rFonts w:ascii="宋体" w:hAnsi="宋体"/>
          <w:sz w:val="24"/>
        </w:rPr>
      </w:pPr>
      <w:r>
        <w:rPr>
          <w:rFonts w:hint="eastAsia" w:ascii="宋体" w:hAnsi="宋体"/>
          <w:sz w:val="24"/>
        </w:rPr>
        <w:t>（1）资信及商务标内有报价出现的；</w:t>
      </w:r>
    </w:p>
    <w:p>
      <w:pPr>
        <w:snapToGrid w:val="0"/>
        <w:spacing w:line="312" w:lineRule="auto"/>
        <w:ind w:firstLine="470" w:firstLineChars="196"/>
        <w:rPr>
          <w:rFonts w:ascii="宋体" w:hAnsi="宋体"/>
          <w:sz w:val="24"/>
        </w:rPr>
      </w:pPr>
      <w:r>
        <w:rPr>
          <w:rFonts w:hint="eastAsia" w:ascii="宋体" w:hAnsi="宋体"/>
          <w:sz w:val="24"/>
        </w:rPr>
        <w:t>（2</w:t>
      </w:r>
      <w:r>
        <w:rPr>
          <w:rFonts w:ascii="宋体" w:hAnsi="宋体"/>
          <w:sz w:val="24"/>
        </w:rPr>
        <w:t>）超出经营范围投标的</w:t>
      </w:r>
      <w:r>
        <w:rPr>
          <w:rFonts w:hint="eastAsia" w:ascii="宋体" w:hAnsi="宋体"/>
          <w:sz w:val="24"/>
        </w:rPr>
        <w:t>；</w:t>
      </w:r>
    </w:p>
    <w:p>
      <w:pPr>
        <w:snapToGrid w:val="0"/>
        <w:spacing w:line="312" w:lineRule="auto"/>
        <w:ind w:firstLine="470" w:firstLineChars="196"/>
        <w:rPr>
          <w:rFonts w:ascii="宋体" w:hAnsi="宋体"/>
          <w:sz w:val="24"/>
        </w:rPr>
      </w:pPr>
      <w:r>
        <w:rPr>
          <w:rFonts w:hint="eastAsia" w:ascii="宋体" w:hAnsi="宋体"/>
          <w:sz w:val="24"/>
        </w:rPr>
        <w:t>（3</w:t>
      </w:r>
      <w:r>
        <w:rPr>
          <w:rFonts w:ascii="宋体" w:hAnsi="宋体"/>
          <w:sz w:val="24"/>
        </w:rPr>
        <w:t>）资格证明文件不全的，或者不符合招标文件标明的资格要求的</w:t>
      </w:r>
      <w:r>
        <w:rPr>
          <w:rFonts w:hint="eastAsia" w:ascii="宋体" w:hAnsi="宋体"/>
          <w:sz w:val="24"/>
        </w:rPr>
        <w:t>；</w:t>
      </w:r>
    </w:p>
    <w:p>
      <w:pPr>
        <w:snapToGrid w:val="0"/>
        <w:spacing w:line="312" w:lineRule="auto"/>
        <w:ind w:firstLine="470" w:firstLineChars="196"/>
        <w:rPr>
          <w:rFonts w:ascii="宋体" w:hAnsi="宋体"/>
          <w:sz w:val="24"/>
        </w:rPr>
      </w:pPr>
      <w:r>
        <w:rPr>
          <w:rFonts w:hint="eastAsia" w:ascii="宋体" w:hAnsi="宋体"/>
          <w:sz w:val="24"/>
        </w:rPr>
        <w:t>（</w:t>
      </w:r>
      <w:r>
        <w:rPr>
          <w:rFonts w:hint="eastAsia" w:ascii="宋体" w:hAnsi="宋体"/>
          <w:sz w:val="24"/>
          <w:lang w:val="en-US" w:eastAsia="zh-CN"/>
        </w:rPr>
        <w:t>4</w:t>
      </w:r>
      <w:r>
        <w:rPr>
          <w:rFonts w:ascii="宋体" w:hAnsi="宋体"/>
          <w:sz w:val="24"/>
        </w:rPr>
        <w:t>）</w:t>
      </w:r>
      <w:r>
        <w:rPr>
          <w:rFonts w:hint="eastAsia" w:ascii="宋体" w:hAnsi="宋体"/>
          <w:sz w:val="24"/>
        </w:rPr>
        <w:t>本招标文件明确规定投标文件需要投标人签字、盖章的地方，投标人没有按招标文件的规定进行签字、盖章的</w:t>
      </w:r>
      <w:r>
        <w:rPr>
          <w:rFonts w:ascii="宋体" w:hAnsi="宋体"/>
          <w:sz w:val="24"/>
        </w:rPr>
        <w:t>,或未</w:t>
      </w:r>
      <w:r>
        <w:rPr>
          <w:rFonts w:hint="eastAsia" w:ascii="宋体" w:hAnsi="宋体"/>
          <w:sz w:val="24"/>
        </w:rPr>
        <w:t>提供法定代表人授权委托书、投标声明书或者填写项目不齐全的，或则授权委托书无效的；</w:t>
      </w:r>
    </w:p>
    <w:p>
      <w:pPr>
        <w:snapToGrid w:val="0"/>
        <w:spacing w:line="312" w:lineRule="auto"/>
        <w:ind w:firstLine="470" w:firstLineChars="196"/>
        <w:outlineLvl w:val="0"/>
        <w:rPr>
          <w:rFonts w:ascii="宋体" w:hAnsi="宋体"/>
          <w:sz w:val="24"/>
        </w:rPr>
      </w:pPr>
      <w:r>
        <w:rPr>
          <w:rFonts w:ascii="宋体"/>
          <w:sz w:val="24"/>
        </w:rPr>
        <w:t>（</w:t>
      </w:r>
      <w:r>
        <w:rPr>
          <w:rFonts w:hint="eastAsia" w:ascii="宋体"/>
          <w:sz w:val="24"/>
          <w:lang w:val="en-US" w:eastAsia="zh-CN"/>
        </w:rPr>
        <w:t>5</w:t>
      </w:r>
      <w:r>
        <w:rPr>
          <w:rFonts w:ascii="宋体"/>
          <w:sz w:val="24"/>
        </w:rPr>
        <w:t>）</w:t>
      </w:r>
      <w:r>
        <w:rPr>
          <w:rFonts w:ascii="宋体" w:hAnsi="宋体"/>
          <w:sz w:val="24"/>
        </w:rPr>
        <w:t>投标文件格式</w:t>
      </w:r>
      <w:r>
        <w:rPr>
          <w:rFonts w:hint="eastAsia" w:ascii="宋体" w:hAnsi="宋体"/>
          <w:sz w:val="24"/>
        </w:rPr>
        <w:t>未按招标文件要求格式和要求的内容提供</w:t>
      </w:r>
      <w:r>
        <w:rPr>
          <w:rFonts w:ascii="宋体" w:hAnsi="宋体"/>
          <w:sz w:val="24"/>
        </w:rPr>
        <w:t>或者内容虚假的；</w:t>
      </w:r>
    </w:p>
    <w:p>
      <w:pPr>
        <w:snapToGrid w:val="0"/>
        <w:spacing w:line="312" w:lineRule="auto"/>
        <w:ind w:firstLine="470" w:firstLineChars="196"/>
        <w:rPr>
          <w:snapToGrid w:val="0"/>
          <w:sz w:val="24"/>
        </w:rPr>
      </w:pPr>
      <w:r>
        <w:rPr>
          <w:sz w:val="24"/>
        </w:rPr>
        <w:t>（</w:t>
      </w:r>
      <w:r>
        <w:rPr>
          <w:rFonts w:hint="eastAsia"/>
          <w:sz w:val="24"/>
          <w:lang w:val="en-US" w:eastAsia="zh-CN"/>
        </w:rPr>
        <w:t>6</w:t>
      </w:r>
      <w:r>
        <w:rPr>
          <w:sz w:val="24"/>
        </w:rPr>
        <w:t>）投标文件的实质性内容未使用中文表述、意思表述不明确、前后矛盾或者使用计量单位不符合招标文件要求的（经评标委员会认定</w:t>
      </w:r>
      <w:r>
        <w:rPr>
          <w:rFonts w:hint="eastAsia"/>
          <w:sz w:val="24"/>
        </w:rPr>
        <w:t>并</w:t>
      </w:r>
      <w:r>
        <w:rPr>
          <w:sz w:val="24"/>
        </w:rPr>
        <w:t>允许其当场更正的笔误除外）</w:t>
      </w:r>
      <w:r>
        <w:rPr>
          <w:rFonts w:hint="eastAsia"/>
          <w:sz w:val="24"/>
        </w:rPr>
        <w:t>；</w:t>
      </w:r>
    </w:p>
    <w:p>
      <w:pPr>
        <w:pStyle w:val="7"/>
        <w:snapToGrid w:val="0"/>
        <w:spacing w:line="312" w:lineRule="auto"/>
        <w:ind w:firstLine="454" w:firstLineChars="196"/>
        <w:outlineLvl w:val="0"/>
        <w:rPr>
          <w:rFonts w:hAnsi="宋体"/>
          <w:snapToGrid w:val="0"/>
          <w:sz w:val="24"/>
          <w:szCs w:val="24"/>
        </w:rPr>
      </w:pPr>
      <w:r>
        <w:rPr>
          <w:rFonts w:hAnsi="宋体"/>
          <w:sz w:val="24"/>
          <w:szCs w:val="24"/>
        </w:rPr>
        <w:t>（</w:t>
      </w:r>
      <w:r>
        <w:rPr>
          <w:rFonts w:hint="eastAsia" w:hAnsi="宋体"/>
          <w:sz w:val="24"/>
          <w:szCs w:val="24"/>
          <w:lang w:val="en-US" w:eastAsia="zh-CN"/>
        </w:rPr>
        <w:t>7</w:t>
      </w:r>
      <w:r>
        <w:rPr>
          <w:rFonts w:hAnsi="宋体"/>
          <w:snapToGrid w:val="0"/>
          <w:sz w:val="24"/>
          <w:szCs w:val="24"/>
        </w:rPr>
        <w:t>）投标有效期、交货时间、质保期等商务条款不能满足招标文件要求的；</w:t>
      </w:r>
    </w:p>
    <w:p>
      <w:pPr>
        <w:pStyle w:val="7"/>
        <w:snapToGrid w:val="0"/>
        <w:spacing w:line="312" w:lineRule="auto"/>
        <w:ind w:firstLine="454" w:firstLineChars="196"/>
        <w:rPr>
          <w:rFonts w:hAnsi="宋体"/>
          <w:sz w:val="24"/>
          <w:szCs w:val="24"/>
        </w:rPr>
      </w:pPr>
      <w:r>
        <w:rPr>
          <w:rFonts w:hAnsi="宋体"/>
          <w:sz w:val="24"/>
          <w:szCs w:val="24"/>
        </w:rPr>
        <w:t>（</w:t>
      </w:r>
      <w:r>
        <w:rPr>
          <w:rFonts w:hint="eastAsia" w:hAnsi="宋体"/>
          <w:sz w:val="24"/>
          <w:szCs w:val="24"/>
          <w:lang w:val="en-US" w:eastAsia="zh-CN"/>
        </w:rPr>
        <w:t>8</w:t>
      </w:r>
      <w:r>
        <w:rPr>
          <w:rFonts w:hAnsi="宋体"/>
          <w:sz w:val="24"/>
          <w:szCs w:val="24"/>
        </w:rPr>
        <w:t>）</w:t>
      </w:r>
      <w:r>
        <w:rPr>
          <w:rFonts w:hint="eastAsia" w:hAnsi="宋体"/>
          <w:sz w:val="24"/>
          <w:szCs w:val="24"/>
        </w:rPr>
        <w:t>未实质性</w:t>
      </w:r>
      <w:r>
        <w:rPr>
          <w:rFonts w:hAnsi="宋体"/>
          <w:sz w:val="24"/>
          <w:szCs w:val="24"/>
        </w:rPr>
        <w:t>响应招标文件</w:t>
      </w:r>
      <w:r>
        <w:rPr>
          <w:rFonts w:hint="eastAsia" w:hAnsi="宋体"/>
          <w:sz w:val="24"/>
          <w:szCs w:val="24"/>
        </w:rPr>
        <w:t>中</w:t>
      </w:r>
      <w:r>
        <w:rPr>
          <w:rFonts w:hAnsi="宋体"/>
          <w:sz w:val="24"/>
          <w:szCs w:val="24"/>
        </w:rPr>
        <w:t>标</w:t>
      </w:r>
      <w:r>
        <w:rPr>
          <w:rFonts w:hint="eastAsia" w:hAnsi="宋体"/>
          <w:sz w:val="24"/>
          <w:szCs w:val="24"/>
        </w:rPr>
        <w:t>有</w:t>
      </w:r>
      <w:r>
        <w:rPr>
          <w:rFonts w:hAnsi="宋体"/>
          <w:sz w:val="24"/>
          <w:szCs w:val="24"/>
        </w:rPr>
        <w:t>“▲”</w:t>
      </w:r>
      <w:r>
        <w:rPr>
          <w:rFonts w:hint="eastAsia" w:hAnsi="宋体"/>
          <w:sz w:val="24"/>
          <w:szCs w:val="24"/>
        </w:rPr>
        <w:t>条款</w:t>
      </w:r>
      <w:r>
        <w:rPr>
          <w:rFonts w:hAnsi="宋体"/>
          <w:sz w:val="24"/>
          <w:szCs w:val="24"/>
        </w:rPr>
        <w:t>要求</w:t>
      </w:r>
      <w:r>
        <w:rPr>
          <w:rFonts w:hint="eastAsia" w:hAnsi="宋体"/>
          <w:sz w:val="24"/>
          <w:szCs w:val="24"/>
        </w:rPr>
        <w:t>的；</w:t>
      </w:r>
    </w:p>
    <w:p>
      <w:pPr>
        <w:pStyle w:val="7"/>
        <w:snapToGrid w:val="0"/>
        <w:spacing w:line="312" w:lineRule="auto"/>
        <w:ind w:firstLine="454" w:firstLineChars="196"/>
        <w:rPr>
          <w:rFonts w:hAnsi="宋体"/>
          <w:sz w:val="24"/>
          <w:szCs w:val="24"/>
        </w:rPr>
      </w:pPr>
      <w:r>
        <w:rPr>
          <w:rFonts w:hint="eastAsia" w:hAnsi="宋体"/>
          <w:sz w:val="24"/>
          <w:szCs w:val="24"/>
        </w:rPr>
        <w:t>（</w:t>
      </w:r>
      <w:r>
        <w:rPr>
          <w:rFonts w:hint="eastAsia" w:hAnsi="宋体"/>
          <w:sz w:val="24"/>
          <w:szCs w:val="24"/>
          <w:lang w:val="en-US" w:eastAsia="zh-CN"/>
        </w:rPr>
        <w:t>9</w:t>
      </w:r>
      <w:r>
        <w:rPr>
          <w:rFonts w:hint="eastAsia" w:hAnsi="宋体"/>
          <w:sz w:val="24"/>
          <w:szCs w:val="24"/>
        </w:rPr>
        <w:t>）未提交本招标文件资信及商务文件中第（</w:t>
      </w:r>
      <w:r>
        <w:rPr>
          <w:rFonts w:hint="eastAsia" w:hAnsi="宋体"/>
          <w:sz w:val="24"/>
          <w:szCs w:val="24"/>
          <w:lang w:val="en-US" w:eastAsia="zh-CN"/>
        </w:rPr>
        <w:t>3</w:t>
      </w:r>
      <w:r>
        <w:rPr>
          <w:rFonts w:hint="eastAsia" w:hAnsi="宋体"/>
          <w:sz w:val="24"/>
          <w:szCs w:val="24"/>
        </w:rPr>
        <w:t>）、（</w:t>
      </w:r>
      <w:r>
        <w:rPr>
          <w:rFonts w:hint="eastAsia" w:hAnsi="宋体"/>
          <w:sz w:val="24"/>
          <w:szCs w:val="24"/>
          <w:lang w:val="en-US" w:eastAsia="zh-CN"/>
        </w:rPr>
        <w:t>4</w:t>
      </w:r>
      <w:r>
        <w:rPr>
          <w:rFonts w:hint="eastAsia" w:hAnsi="宋体"/>
          <w:sz w:val="24"/>
          <w:szCs w:val="24"/>
        </w:rPr>
        <w:t>）、（</w:t>
      </w:r>
      <w:r>
        <w:rPr>
          <w:rFonts w:hint="eastAsia" w:hAnsi="宋体"/>
          <w:snapToGrid w:val="0"/>
          <w:sz w:val="24"/>
          <w:szCs w:val="24"/>
          <w:lang w:val="en-US" w:eastAsia="zh-CN"/>
        </w:rPr>
        <w:t>6</w:t>
      </w:r>
      <w:r>
        <w:rPr>
          <w:rFonts w:hint="eastAsia" w:hAnsi="宋体"/>
          <w:snapToGrid w:val="0"/>
          <w:sz w:val="24"/>
          <w:szCs w:val="24"/>
        </w:rPr>
        <w:t>）、（</w:t>
      </w:r>
      <w:r>
        <w:rPr>
          <w:rFonts w:hint="eastAsia" w:hAnsi="宋体"/>
          <w:snapToGrid w:val="0"/>
          <w:sz w:val="24"/>
          <w:szCs w:val="24"/>
          <w:lang w:val="en-US" w:eastAsia="zh-CN"/>
        </w:rPr>
        <w:t>7</w:t>
      </w:r>
      <w:r>
        <w:rPr>
          <w:rFonts w:hint="eastAsia" w:hAnsi="宋体"/>
          <w:snapToGrid w:val="0"/>
          <w:sz w:val="24"/>
          <w:szCs w:val="24"/>
        </w:rPr>
        <w:t>）条</w:t>
      </w:r>
      <w:r>
        <w:rPr>
          <w:rFonts w:hint="eastAsia" w:hAnsi="宋体"/>
          <w:sz w:val="24"/>
          <w:szCs w:val="24"/>
        </w:rPr>
        <w:t>资料的；</w:t>
      </w:r>
    </w:p>
    <w:p>
      <w:pPr>
        <w:pStyle w:val="7"/>
        <w:snapToGrid w:val="0"/>
        <w:spacing w:line="312" w:lineRule="auto"/>
        <w:ind w:firstLine="454" w:firstLineChars="196"/>
        <w:rPr>
          <w:rFonts w:hAnsi="宋体"/>
          <w:sz w:val="24"/>
          <w:szCs w:val="24"/>
        </w:rPr>
      </w:pPr>
      <w:r>
        <w:rPr>
          <w:rFonts w:hint="eastAsia" w:hAnsi="宋体"/>
          <w:sz w:val="24"/>
          <w:szCs w:val="24"/>
        </w:rPr>
        <w:t>（1</w:t>
      </w:r>
      <w:r>
        <w:rPr>
          <w:rFonts w:hint="eastAsia" w:hAnsi="宋体"/>
          <w:sz w:val="24"/>
          <w:szCs w:val="24"/>
          <w:lang w:val="en-US" w:eastAsia="zh-CN"/>
        </w:rPr>
        <w:t>0</w:t>
      </w:r>
      <w:r>
        <w:rPr>
          <w:rFonts w:hint="eastAsia" w:hAnsi="宋体"/>
          <w:sz w:val="24"/>
          <w:szCs w:val="24"/>
        </w:rPr>
        <w:t>）投标文件有招标采购方不能接受的附加条件的。</w:t>
      </w:r>
    </w:p>
    <w:p>
      <w:pPr>
        <w:pStyle w:val="7"/>
        <w:snapToGrid w:val="0"/>
        <w:spacing w:line="312" w:lineRule="auto"/>
        <w:ind w:firstLine="454" w:firstLineChars="196"/>
        <w:rPr>
          <w:rFonts w:hAnsi="宋体"/>
          <w:sz w:val="24"/>
          <w:szCs w:val="24"/>
        </w:rPr>
      </w:pPr>
      <w:r>
        <w:rPr>
          <w:rFonts w:hint="eastAsia" w:hAnsi="宋体"/>
          <w:sz w:val="24"/>
          <w:szCs w:val="24"/>
        </w:rPr>
        <w:t>（1</w:t>
      </w:r>
      <w:r>
        <w:rPr>
          <w:rFonts w:hint="eastAsia" w:hAnsi="宋体"/>
          <w:sz w:val="24"/>
          <w:szCs w:val="24"/>
          <w:lang w:val="en-US" w:eastAsia="zh-CN"/>
        </w:rPr>
        <w:t>1</w:t>
      </w:r>
      <w:r>
        <w:rPr>
          <w:rFonts w:hint="eastAsia" w:hAnsi="宋体"/>
          <w:sz w:val="24"/>
          <w:szCs w:val="24"/>
        </w:rPr>
        <w:t>）有下列情形之一的，视为投标人串通投标，其投标无效:</w:t>
      </w:r>
    </w:p>
    <w:p>
      <w:pPr>
        <w:snapToGrid w:val="0"/>
        <w:spacing w:line="312" w:lineRule="auto"/>
        <w:ind w:firstLine="950" w:firstLineChars="396"/>
        <w:rPr>
          <w:rFonts w:ascii="宋体" w:hAnsi="宋体"/>
          <w:bCs/>
          <w:sz w:val="24"/>
        </w:rPr>
      </w:pPr>
      <w:r>
        <w:rPr>
          <w:rFonts w:hint="eastAsia" w:ascii="宋体" w:hAnsi="宋体"/>
          <w:bCs/>
          <w:sz w:val="24"/>
        </w:rPr>
        <w:t>A.不同投标人的投标文件由同一单位或者个人编制；</w:t>
      </w:r>
    </w:p>
    <w:p>
      <w:pPr>
        <w:snapToGrid w:val="0"/>
        <w:spacing w:line="312" w:lineRule="auto"/>
        <w:ind w:firstLine="950" w:firstLineChars="396"/>
        <w:rPr>
          <w:rFonts w:ascii="宋体" w:hAnsi="宋体"/>
          <w:bCs/>
          <w:sz w:val="24"/>
        </w:rPr>
      </w:pPr>
      <w:r>
        <w:rPr>
          <w:rFonts w:hint="eastAsia" w:ascii="宋体" w:hAnsi="宋体"/>
          <w:bCs/>
          <w:sz w:val="24"/>
        </w:rPr>
        <w:t>B.不同投标人委托同一单位或者个人办理投标事宜；</w:t>
      </w:r>
    </w:p>
    <w:p>
      <w:pPr>
        <w:snapToGrid w:val="0"/>
        <w:spacing w:line="312" w:lineRule="auto"/>
        <w:ind w:firstLine="950" w:firstLineChars="396"/>
        <w:rPr>
          <w:rFonts w:ascii="宋体" w:hAnsi="宋体"/>
          <w:bCs/>
          <w:sz w:val="24"/>
        </w:rPr>
      </w:pPr>
      <w:r>
        <w:rPr>
          <w:rFonts w:hint="eastAsia" w:ascii="宋体" w:hAnsi="宋体"/>
          <w:bCs/>
          <w:sz w:val="24"/>
        </w:rPr>
        <w:t>C.不同投标人的投标文件载明的项目管理成员或者联系人员为同一人；</w:t>
      </w:r>
    </w:p>
    <w:p>
      <w:pPr>
        <w:snapToGrid w:val="0"/>
        <w:spacing w:line="312" w:lineRule="auto"/>
        <w:ind w:firstLine="950" w:firstLineChars="396"/>
        <w:rPr>
          <w:rFonts w:ascii="宋体" w:hAnsi="宋体"/>
          <w:bCs/>
          <w:sz w:val="24"/>
        </w:rPr>
      </w:pPr>
      <w:r>
        <w:rPr>
          <w:rFonts w:hint="eastAsia" w:ascii="宋体" w:hAnsi="宋体"/>
          <w:bCs/>
          <w:sz w:val="24"/>
        </w:rPr>
        <w:t>D.不同投标人的投标文件异常一致或者投标报价呈规律性差异；</w:t>
      </w:r>
    </w:p>
    <w:p>
      <w:pPr>
        <w:snapToGrid w:val="0"/>
        <w:spacing w:line="312" w:lineRule="auto"/>
        <w:ind w:firstLine="950" w:firstLineChars="396"/>
        <w:rPr>
          <w:rFonts w:ascii="宋体" w:hAnsi="宋体"/>
          <w:bCs/>
          <w:sz w:val="24"/>
        </w:rPr>
      </w:pPr>
      <w:r>
        <w:rPr>
          <w:rFonts w:hint="eastAsia" w:ascii="宋体" w:hAnsi="宋体"/>
          <w:bCs/>
          <w:sz w:val="24"/>
        </w:rPr>
        <w:t>E.不同投标人的投标文件相互混装；</w:t>
      </w:r>
    </w:p>
    <w:p>
      <w:pPr>
        <w:snapToGrid w:val="0"/>
        <w:spacing w:line="312" w:lineRule="auto"/>
        <w:ind w:firstLine="480" w:firstLineChars="200"/>
        <w:rPr>
          <w:rFonts w:ascii="宋体" w:hAnsi="宋体"/>
          <w:bCs/>
          <w:sz w:val="24"/>
        </w:rPr>
      </w:pPr>
      <w:r>
        <w:rPr>
          <w:rFonts w:hint="eastAsia" w:ascii="宋体" w:hAnsi="宋体"/>
          <w:bCs/>
          <w:sz w:val="24"/>
        </w:rPr>
        <w:t>（13）本项目投标截止之日前三年内，相关主体在“信用中国”网站(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bCs/>
          <w:sz w:val="24"/>
        </w:rPr>
        <w:t>www.creditchina.gov.cn</w:t>
      </w:r>
      <w:r>
        <w:rPr>
          <w:rFonts w:hint="eastAsia" w:ascii="宋体" w:hAnsi="宋体"/>
          <w:bCs/>
          <w:sz w:val="24"/>
        </w:rPr>
        <w:fldChar w:fldCharType="end"/>
      </w:r>
      <w:r>
        <w:rPr>
          <w:rFonts w:hint="eastAsia" w:ascii="宋体" w:hAnsi="宋体"/>
          <w:bCs/>
          <w:sz w:val="24"/>
        </w:rPr>
        <w:t>)、中国政府采购网(</w:t>
      </w:r>
      <w:r>
        <w:fldChar w:fldCharType="begin"/>
      </w:r>
      <w:r>
        <w:instrText xml:space="preserve"> HYPERLINK "http://www.ccgp.gov.cn" </w:instrText>
      </w:r>
      <w:r>
        <w:fldChar w:fldCharType="separate"/>
      </w:r>
      <w:r>
        <w:rPr>
          <w:rFonts w:hint="eastAsia" w:ascii="宋体" w:hAnsi="宋体"/>
          <w:bCs/>
          <w:sz w:val="24"/>
        </w:rPr>
        <w:t>www.ccgp.gov.cn</w:t>
      </w:r>
      <w:r>
        <w:rPr>
          <w:rFonts w:hint="eastAsia" w:ascii="宋体" w:hAnsi="宋体"/>
          <w:bCs/>
          <w:sz w:val="24"/>
        </w:rPr>
        <w:fldChar w:fldCharType="end"/>
      </w:r>
      <w:r>
        <w:rPr>
          <w:rFonts w:hint="eastAsia" w:ascii="宋体" w:hAnsi="宋体"/>
          <w:bCs/>
          <w:sz w:val="24"/>
        </w:rPr>
        <w:t>)有失信行为或被列入受惩黑名单。</w:t>
      </w:r>
    </w:p>
    <w:p>
      <w:pPr>
        <w:snapToGrid w:val="0"/>
        <w:spacing w:line="312" w:lineRule="auto"/>
        <w:ind w:firstLine="480" w:firstLineChars="200"/>
        <w:rPr>
          <w:rFonts w:ascii="宋体" w:hAnsi="宋体"/>
          <w:bCs/>
          <w:sz w:val="24"/>
        </w:rPr>
      </w:pPr>
      <w:r>
        <w:rPr>
          <w:rFonts w:hint="eastAsia" w:ascii="宋体" w:hAnsi="宋体"/>
          <w:bCs/>
          <w:sz w:val="24"/>
        </w:rPr>
        <w:t>（14）法律、法规和招标文件规定的其他无效情形。</w:t>
      </w:r>
    </w:p>
    <w:p>
      <w:pPr>
        <w:pStyle w:val="7"/>
        <w:snapToGrid w:val="0"/>
        <w:spacing w:line="240" w:lineRule="auto"/>
        <w:ind w:left="0" w:leftChars="0" w:firstLine="0" w:firstLineChars="0"/>
        <w:rPr>
          <w:rFonts w:hAnsi="宋体"/>
          <w:b/>
          <w:bCs/>
          <w:color w:val="000000"/>
          <w:spacing w:val="0"/>
          <w:sz w:val="24"/>
        </w:rPr>
      </w:pPr>
      <w:r>
        <w:rPr>
          <w:rFonts w:hAnsi="宋体"/>
          <w:b/>
          <w:bCs/>
          <w:color w:val="000000"/>
          <w:spacing w:val="0"/>
          <w:sz w:val="24"/>
        </w:rPr>
        <w:t>2</w:t>
      </w:r>
      <w:r>
        <w:rPr>
          <w:rFonts w:hint="eastAsia" w:hAnsi="宋体"/>
          <w:b/>
          <w:bCs/>
          <w:color w:val="000000"/>
          <w:spacing w:val="0"/>
          <w:sz w:val="24"/>
        </w:rPr>
        <w:t>.</w:t>
      </w:r>
      <w:r>
        <w:rPr>
          <w:rFonts w:hAnsi="宋体"/>
          <w:b/>
          <w:bCs/>
          <w:color w:val="000000"/>
          <w:spacing w:val="0"/>
          <w:sz w:val="24"/>
        </w:rPr>
        <w:t>在技术评审时，如发现下列情形之一的，投标文件将被视为无效：</w:t>
      </w:r>
    </w:p>
    <w:p>
      <w:pPr>
        <w:snapToGrid w:val="0"/>
        <w:ind w:firstLine="420"/>
        <w:jc w:val="left"/>
        <w:rPr>
          <w:rFonts w:ascii="宋体" w:hAnsi="宋体"/>
          <w:color w:val="000000"/>
          <w:sz w:val="24"/>
        </w:rPr>
      </w:pPr>
      <w:r>
        <w:rPr>
          <w:rFonts w:hint="eastAsia" w:ascii="宋体" w:hAnsi="宋体"/>
          <w:color w:val="000000"/>
          <w:sz w:val="24"/>
        </w:rPr>
        <w:t>（1）技术标内有报价出现的；</w:t>
      </w:r>
    </w:p>
    <w:p>
      <w:pPr>
        <w:snapToGrid w:val="0"/>
        <w:ind w:firstLine="42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）未提供或未如实提供投标货物的技术参数</w:t>
      </w:r>
      <w:r>
        <w:rPr>
          <w:rFonts w:hint="eastAsia" w:ascii="宋体" w:hAnsi="宋体"/>
          <w:color w:val="000000"/>
          <w:sz w:val="24"/>
        </w:rPr>
        <w:t>或品牌型号的</w:t>
      </w:r>
      <w:r>
        <w:rPr>
          <w:rFonts w:ascii="宋体" w:hAnsi="宋体"/>
          <w:color w:val="000000"/>
          <w:sz w:val="24"/>
        </w:rPr>
        <w:t>，或者投标文件标明的响应或偏离与事实不符或虚假投标的；</w:t>
      </w:r>
    </w:p>
    <w:p>
      <w:pPr>
        <w:snapToGrid w:val="0"/>
        <w:ind w:firstLine="420"/>
        <w:jc w:val="left"/>
        <w:rPr>
          <w:rFonts w:ascii="宋体" w:hAnsi="宋体"/>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）明显不符合招标文件</w:t>
      </w:r>
      <w:r>
        <w:rPr>
          <w:rFonts w:hint="eastAsia" w:ascii="宋体" w:hAnsi="宋体"/>
          <w:color w:val="000000"/>
          <w:sz w:val="24"/>
        </w:rPr>
        <w:t>要求</w:t>
      </w:r>
      <w:r>
        <w:rPr>
          <w:rFonts w:ascii="宋体" w:hAnsi="宋体"/>
          <w:sz w:val="24"/>
        </w:rPr>
        <w:t>的</w:t>
      </w:r>
      <w:r>
        <w:rPr>
          <w:rFonts w:hint="eastAsia" w:ascii="宋体" w:hAnsi="宋体"/>
          <w:sz w:val="24"/>
        </w:rPr>
        <w:t>品牌、</w:t>
      </w:r>
      <w:r>
        <w:rPr>
          <w:rFonts w:ascii="宋体" w:hAnsi="宋体"/>
          <w:sz w:val="24"/>
        </w:rPr>
        <w:t>规格型号、质量标准，或者</w:t>
      </w:r>
      <w:r>
        <w:rPr>
          <w:rFonts w:hint="eastAsia" w:ascii="宋体" w:hAnsi="宋体"/>
          <w:sz w:val="24"/>
        </w:rPr>
        <w:t>与</w:t>
      </w:r>
      <w:r>
        <w:rPr>
          <w:rFonts w:ascii="宋体" w:hAnsi="宋体"/>
          <w:sz w:val="24"/>
        </w:rPr>
        <w:t>招标文件中标</w:t>
      </w:r>
      <w:r>
        <w:rPr>
          <w:rFonts w:hint="eastAsia" w:ascii="宋体" w:hAnsi="宋体"/>
          <w:sz w:val="24"/>
        </w:rPr>
        <w:t>有</w:t>
      </w:r>
      <w:r>
        <w:rPr>
          <w:rFonts w:ascii="宋体" w:hAnsi="宋体"/>
          <w:sz w:val="24"/>
        </w:rPr>
        <w:t>“▲”</w:t>
      </w:r>
      <w:r>
        <w:rPr>
          <w:rFonts w:hint="eastAsia" w:ascii="宋体" w:hAnsi="宋体"/>
          <w:sz w:val="24"/>
        </w:rPr>
        <w:t>、</w:t>
      </w:r>
      <w:r>
        <w:rPr>
          <w:rFonts w:ascii="宋体" w:hAnsi="宋体"/>
          <w:sz w:val="24"/>
        </w:rPr>
        <w:t>的技术指标、主要功能项目发生实质性偏离的；</w:t>
      </w:r>
    </w:p>
    <w:p>
      <w:pPr>
        <w:snapToGrid w:val="0"/>
        <w:ind w:firstLine="420"/>
        <w:jc w:val="left"/>
        <w:rPr>
          <w:rFonts w:ascii="宋体" w:hAnsi="宋体"/>
          <w:color w:val="000000"/>
          <w:sz w:val="24"/>
        </w:rPr>
      </w:pPr>
      <w:r>
        <w:rPr>
          <w:rFonts w:ascii="宋体" w:hAnsi="宋体"/>
          <w:sz w:val="24"/>
        </w:rPr>
        <w:t>（</w:t>
      </w:r>
      <w:r>
        <w:rPr>
          <w:rFonts w:hint="eastAsia" w:ascii="宋体" w:hAnsi="宋体"/>
          <w:sz w:val="24"/>
        </w:rPr>
        <w:t>4</w:t>
      </w:r>
      <w:r>
        <w:rPr>
          <w:rFonts w:ascii="宋体" w:hAnsi="宋体"/>
          <w:sz w:val="24"/>
        </w:rPr>
        <w:t>）投标技术方案不明确，存在一个或一个以上</w:t>
      </w:r>
      <w:r>
        <w:rPr>
          <w:rFonts w:ascii="宋体" w:hAnsi="宋体"/>
          <w:color w:val="000000"/>
          <w:sz w:val="24"/>
        </w:rPr>
        <w:t>备选（替代）投标方案的；</w:t>
      </w:r>
    </w:p>
    <w:p>
      <w:pPr>
        <w:snapToGrid w:val="0"/>
        <w:ind w:firstLine="420"/>
        <w:jc w:val="left"/>
        <w:rPr>
          <w:rFonts w:ascii="宋体" w:hAnsi="宋体"/>
          <w:color w:val="000000"/>
          <w:sz w:val="24"/>
        </w:rPr>
      </w:pPr>
      <w:r>
        <w:rPr>
          <w:rFonts w:hint="eastAsia" w:ascii="宋体" w:hAnsi="宋体"/>
          <w:color w:val="000000"/>
          <w:sz w:val="24"/>
        </w:rPr>
        <w:t>（5）与其他参加本次投标供应商的投标文件（技术文件）的文字表述内容相同连续20行以上或者差错相同2处以上的。</w:t>
      </w:r>
    </w:p>
    <w:p>
      <w:pPr>
        <w:pStyle w:val="7"/>
        <w:snapToGrid w:val="0"/>
        <w:spacing w:line="240" w:lineRule="auto"/>
        <w:ind w:left="0" w:leftChars="0" w:firstLine="0" w:firstLineChars="0"/>
        <w:rPr>
          <w:rFonts w:hAnsi="宋体"/>
          <w:b/>
          <w:bCs/>
          <w:color w:val="000000"/>
          <w:spacing w:val="0"/>
          <w:sz w:val="24"/>
        </w:rPr>
      </w:pPr>
      <w:r>
        <w:rPr>
          <w:rFonts w:hAnsi="宋体"/>
          <w:b/>
          <w:bCs/>
          <w:color w:val="000000"/>
          <w:spacing w:val="0"/>
          <w:sz w:val="24"/>
        </w:rPr>
        <w:t>3</w:t>
      </w:r>
      <w:r>
        <w:rPr>
          <w:rFonts w:hint="eastAsia" w:hAnsi="宋体"/>
          <w:b/>
          <w:bCs/>
          <w:color w:val="000000"/>
          <w:spacing w:val="0"/>
          <w:sz w:val="24"/>
        </w:rPr>
        <w:t>.</w:t>
      </w:r>
      <w:r>
        <w:rPr>
          <w:rFonts w:hAnsi="宋体"/>
          <w:b/>
          <w:bCs/>
          <w:color w:val="000000"/>
          <w:spacing w:val="0"/>
          <w:sz w:val="24"/>
        </w:rPr>
        <w:t>在报价评审时，如发现下列情形之一的，投标文件将被视为无效：</w:t>
      </w:r>
    </w:p>
    <w:p>
      <w:pPr>
        <w:pStyle w:val="7"/>
        <w:snapToGrid w:val="0"/>
        <w:spacing w:line="312" w:lineRule="auto"/>
        <w:ind w:firstLine="454" w:firstLineChars="196"/>
        <w:rPr>
          <w:rFonts w:hAnsi="宋体"/>
          <w:sz w:val="24"/>
          <w:szCs w:val="24"/>
        </w:rPr>
      </w:pPr>
      <w:r>
        <w:rPr>
          <w:rFonts w:hAnsi="宋体"/>
          <w:sz w:val="24"/>
          <w:szCs w:val="24"/>
        </w:rPr>
        <w:t>（1）未采用人民币报价或者未按照招标文件标明的币种报价的；</w:t>
      </w:r>
    </w:p>
    <w:p>
      <w:pPr>
        <w:pStyle w:val="7"/>
        <w:snapToGrid w:val="0"/>
        <w:spacing w:line="312" w:lineRule="auto"/>
        <w:ind w:firstLine="454" w:firstLineChars="196"/>
        <w:rPr>
          <w:rFonts w:hAnsi="宋体"/>
          <w:sz w:val="24"/>
          <w:szCs w:val="24"/>
        </w:rPr>
      </w:pPr>
      <w:r>
        <w:rPr>
          <w:rFonts w:hAnsi="宋体"/>
          <w:sz w:val="24"/>
          <w:szCs w:val="24"/>
        </w:rPr>
        <w:t>（2）报价超出</w:t>
      </w:r>
      <w:r>
        <w:rPr>
          <w:rFonts w:hint="eastAsia" w:hAnsi="宋体"/>
          <w:sz w:val="24"/>
          <w:szCs w:val="24"/>
        </w:rPr>
        <w:t>招标文件规定的预算金额或者最高限价的；</w:t>
      </w:r>
    </w:p>
    <w:p>
      <w:pPr>
        <w:pStyle w:val="7"/>
        <w:snapToGrid w:val="0"/>
        <w:spacing w:line="312" w:lineRule="auto"/>
        <w:ind w:firstLine="454" w:firstLineChars="196"/>
        <w:rPr>
          <w:rFonts w:hAnsi="宋体"/>
          <w:sz w:val="24"/>
          <w:szCs w:val="24"/>
        </w:rPr>
      </w:pPr>
      <w:r>
        <w:rPr>
          <w:rFonts w:hint="eastAsia" w:hAnsi="宋体"/>
          <w:sz w:val="24"/>
          <w:szCs w:val="24"/>
        </w:rPr>
        <w:t>（3）投标报价具有选择性。</w:t>
      </w:r>
    </w:p>
    <w:p>
      <w:pPr>
        <w:pStyle w:val="7"/>
        <w:snapToGrid w:val="0"/>
        <w:spacing w:line="312" w:lineRule="auto"/>
        <w:ind w:firstLine="454" w:firstLineChars="196"/>
        <w:rPr>
          <w:rFonts w:hAnsi="宋体"/>
          <w:sz w:val="24"/>
          <w:szCs w:val="24"/>
        </w:rPr>
      </w:pPr>
      <w:r>
        <w:rPr>
          <w:rFonts w:hint="eastAsia" w:hAnsi="宋体"/>
          <w:sz w:val="24"/>
          <w:szCs w:val="24"/>
        </w:rPr>
        <w:t>（4）投标报价文件格式不符合招标文件要求格式的；</w:t>
      </w:r>
    </w:p>
    <w:p>
      <w:pPr>
        <w:pStyle w:val="7"/>
        <w:snapToGrid w:val="0"/>
        <w:spacing w:line="312" w:lineRule="auto"/>
        <w:ind w:firstLine="457" w:firstLineChars="196"/>
        <w:rPr>
          <w:rFonts w:hAnsi="宋体"/>
          <w:b/>
          <w:bCs/>
          <w:sz w:val="24"/>
          <w:szCs w:val="24"/>
        </w:rPr>
      </w:pPr>
      <w:r>
        <w:rPr>
          <w:rFonts w:hint="eastAsia" w:hAnsi="宋体"/>
          <w:b/>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snapToGrid w:val="0"/>
        <w:spacing w:after="120" w:line="240" w:lineRule="auto"/>
        <w:ind w:left="0" w:leftChars="0" w:firstLine="0" w:firstLineChars="0"/>
        <w:rPr>
          <w:rFonts w:hAnsi="宋体"/>
          <w:b/>
          <w:color w:val="000000"/>
          <w:spacing w:val="0"/>
          <w:sz w:val="24"/>
        </w:rPr>
      </w:pPr>
      <w:r>
        <w:rPr>
          <w:rFonts w:hint="eastAsia" w:hAnsi="宋体"/>
          <w:b/>
          <w:color w:val="000000"/>
          <w:spacing w:val="0"/>
          <w:sz w:val="24"/>
        </w:rPr>
        <w:t>4.资格审查资料复印件未按要求提供、包装或提供不完整可在评标过程中补充后，不作无效标处理。被拒绝的投标文件为无效。</w:t>
      </w:r>
    </w:p>
    <w:p>
      <w:pPr>
        <w:pStyle w:val="7"/>
        <w:snapToGrid w:val="0"/>
        <w:spacing w:after="120" w:line="240" w:lineRule="auto"/>
        <w:ind w:left="0" w:leftChars="0" w:firstLine="0" w:firstLineChars="0"/>
        <w:rPr>
          <w:rFonts w:hAnsi="宋体"/>
          <w:b/>
          <w:color w:val="000000"/>
          <w:spacing w:val="0"/>
          <w:sz w:val="24"/>
        </w:rPr>
      </w:pPr>
      <w:r>
        <w:rPr>
          <w:rFonts w:hint="eastAsia" w:hAnsi="宋体"/>
          <w:b/>
          <w:color w:val="000000"/>
          <w:spacing w:val="0"/>
          <w:sz w:val="24"/>
        </w:rPr>
        <w:t>5．对仅出现以上1、2、3情形之一中小项情况的，经审定凡没有实质性影响和损害的，可不作无效标处理。</w:t>
      </w:r>
    </w:p>
    <w:p>
      <w:pPr>
        <w:pStyle w:val="7"/>
        <w:snapToGrid w:val="0"/>
        <w:spacing w:line="240" w:lineRule="auto"/>
        <w:ind w:firstLine="535" w:firstLineChars="196"/>
        <w:outlineLvl w:val="1"/>
        <w:rPr>
          <w:rFonts w:hAnsi="宋体"/>
          <w:b/>
          <w:snapToGrid w:val="0"/>
          <w:color w:val="000000"/>
          <w:sz w:val="28"/>
          <w:szCs w:val="28"/>
        </w:rPr>
      </w:pPr>
      <w:r>
        <w:rPr>
          <w:rFonts w:hint="eastAsia" w:hAnsi="宋体"/>
          <w:b/>
          <w:color w:val="000000"/>
          <w:sz w:val="28"/>
          <w:szCs w:val="28"/>
        </w:rPr>
        <w:t>四、开标</w:t>
      </w:r>
    </w:p>
    <w:p>
      <w:pPr>
        <w:pStyle w:val="8"/>
        <w:snapToGrid w:val="0"/>
        <w:spacing w:beforeLines="0" w:afterLines="0" w:line="240" w:lineRule="auto"/>
        <w:ind w:firstLine="472" w:firstLineChars="196"/>
        <w:rPr>
          <w:rFonts w:hAnsi="宋体"/>
          <w:b/>
          <w:color w:val="000000"/>
        </w:rPr>
      </w:pPr>
      <w:r>
        <w:rPr>
          <w:rFonts w:hAnsi="宋体"/>
          <w:b/>
          <w:color w:val="000000"/>
        </w:rPr>
        <w:t>（一）开标准备</w:t>
      </w:r>
    </w:p>
    <w:p>
      <w:pPr>
        <w:snapToGrid w:val="0"/>
        <w:spacing w:line="312" w:lineRule="auto"/>
        <w:ind w:firstLine="482" w:firstLineChars="200"/>
        <w:rPr>
          <w:rFonts w:ascii="宋体" w:hAnsi="宋体" w:cs="Arial"/>
          <w:b/>
          <w:sz w:val="24"/>
        </w:rPr>
      </w:pPr>
      <w:r>
        <w:rPr>
          <w:rFonts w:hint="eastAsia" w:ascii="宋体" w:hAnsi="宋体" w:cs="Arial"/>
          <w:b/>
          <w:sz w:val="24"/>
        </w:rPr>
        <w:t>投标人派代表参加开标会议时，法定代表人应携带法定代表人证明和身份证；授权代表应携带法定代表人授权委托书、身份证、投标单位缴纳的社保花名册等有效证明出席开标会议（注：授权代表应为投标人的在职正式职工，并以社保网站拉具的含授权代表的投标单位社保清单为准）。</w:t>
      </w:r>
    </w:p>
    <w:p>
      <w:pPr>
        <w:snapToGrid w:val="0"/>
        <w:spacing w:line="312" w:lineRule="auto"/>
        <w:ind w:firstLine="482" w:firstLineChars="200"/>
        <w:rPr>
          <w:rFonts w:ascii="宋体" w:hAnsi="宋体" w:cs="Arial"/>
          <w:b/>
          <w:bCs/>
          <w:sz w:val="24"/>
        </w:rPr>
      </w:pPr>
      <w:r>
        <w:rPr>
          <w:rFonts w:hint="eastAsia" w:ascii="宋体" w:hAnsi="宋体" w:cs="Arial"/>
          <w:b/>
          <w:bCs/>
          <w:sz w:val="24"/>
        </w:rPr>
        <w:t>投标人未派代表参加开标会议的（含未携带以上规定资料参加开标会议的），视同认可开标结果，不得对开标过程及开标结果提出质疑。</w:t>
      </w:r>
    </w:p>
    <w:p>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pPr>
        <w:pStyle w:val="8"/>
        <w:snapToGrid w:val="0"/>
        <w:spacing w:beforeLines="0" w:afterLines="0" w:line="240" w:lineRule="auto"/>
        <w:ind w:firstLine="472" w:firstLineChars="196"/>
        <w:rPr>
          <w:rFonts w:hAnsi="宋体"/>
          <w:b/>
          <w:color w:val="000000"/>
        </w:rPr>
      </w:pPr>
      <w:r>
        <w:rPr>
          <w:rFonts w:hAnsi="宋体"/>
          <w:b/>
          <w:color w:val="000000"/>
        </w:rPr>
        <w:t>（二） 开标程序：</w:t>
      </w:r>
    </w:p>
    <w:p>
      <w:pPr>
        <w:pStyle w:val="8"/>
        <w:snapToGrid w:val="0"/>
        <w:spacing w:beforeLines="0" w:afterLines="0" w:line="240" w:lineRule="auto"/>
        <w:ind w:firstLine="480" w:firstLineChars="200"/>
        <w:rPr>
          <w:rFonts w:hAnsi="宋体"/>
          <w:bCs/>
          <w:color w:val="000000"/>
        </w:rPr>
      </w:pPr>
      <w:r>
        <w:rPr>
          <w:rFonts w:hAnsi="宋体"/>
          <w:bCs/>
          <w:color w:val="000000"/>
        </w:rPr>
        <w:t>1</w:t>
      </w:r>
      <w:r>
        <w:rPr>
          <w:rFonts w:hint="eastAsia" w:hAnsi="宋体"/>
          <w:bCs/>
          <w:color w:val="000000"/>
        </w:rPr>
        <w:t>.</w:t>
      </w:r>
      <w:r>
        <w:rPr>
          <w:rFonts w:hAnsi="宋体"/>
          <w:bCs/>
          <w:color w:val="000000"/>
        </w:rPr>
        <w:t>开标会由招标方主持，主持人宣布开标会议开始；</w:t>
      </w:r>
    </w:p>
    <w:p>
      <w:pPr>
        <w:pStyle w:val="8"/>
        <w:snapToGrid w:val="0"/>
        <w:spacing w:beforeLines="0" w:afterLines="0" w:line="240" w:lineRule="auto"/>
        <w:ind w:firstLine="480" w:firstLineChars="200"/>
        <w:rPr>
          <w:rFonts w:hAnsi="宋体"/>
          <w:bCs/>
          <w:color w:val="000000"/>
        </w:rPr>
      </w:pPr>
      <w:r>
        <w:rPr>
          <w:rFonts w:hAnsi="宋体"/>
          <w:bCs/>
          <w:color w:val="000000"/>
        </w:rPr>
        <w:t>2</w:t>
      </w:r>
      <w:r>
        <w:rPr>
          <w:rFonts w:hint="eastAsia" w:hAnsi="宋体"/>
          <w:bCs/>
          <w:color w:val="000000"/>
        </w:rPr>
        <w:t>.主持人</w:t>
      </w:r>
      <w:r>
        <w:rPr>
          <w:rFonts w:hAnsi="宋体"/>
          <w:bCs/>
          <w:color w:val="000000"/>
        </w:rPr>
        <w:t xml:space="preserve">介绍参加开标会的人员名单； </w:t>
      </w:r>
    </w:p>
    <w:p>
      <w:pPr>
        <w:pStyle w:val="8"/>
        <w:snapToGrid w:val="0"/>
        <w:spacing w:beforeLines="0" w:afterLines="0" w:line="240" w:lineRule="auto"/>
        <w:ind w:firstLine="480" w:firstLineChars="200"/>
        <w:rPr>
          <w:rFonts w:hAnsi="宋体"/>
          <w:bCs/>
          <w:color w:val="000000"/>
        </w:rPr>
      </w:pPr>
      <w:r>
        <w:rPr>
          <w:rFonts w:hAnsi="宋体"/>
          <w:bCs/>
          <w:color w:val="000000"/>
        </w:rPr>
        <w:t>3</w:t>
      </w:r>
      <w:r>
        <w:rPr>
          <w:rFonts w:hint="eastAsia" w:hAnsi="宋体"/>
          <w:bCs/>
          <w:color w:val="000000"/>
        </w:rPr>
        <w:t>.主持人</w:t>
      </w:r>
      <w:r>
        <w:rPr>
          <w:rFonts w:hAnsi="宋体"/>
          <w:bCs/>
          <w:color w:val="000000"/>
        </w:rPr>
        <w:t>宣布评标期间的有关事项</w:t>
      </w:r>
      <w:r>
        <w:rPr>
          <w:rFonts w:hint="eastAsia" w:hAnsi="宋体"/>
          <w:bCs/>
          <w:color w:val="000000"/>
        </w:rPr>
        <w:t>；</w:t>
      </w:r>
      <w:r>
        <w:rPr>
          <w:rFonts w:hAnsi="宋体"/>
          <w:bCs/>
          <w:color w:val="000000"/>
        </w:rPr>
        <w:t>告知应当回避的情形,提请有关人员回避</w:t>
      </w:r>
      <w:r>
        <w:rPr>
          <w:rFonts w:hint="eastAsia" w:hAnsi="宋体"/>
          <w:bCs/>
          <w:color w:val="000000"/>
        </w:rPr>
        <w:t>，检查投标人代表的到会情况</w:t>
      </w:r>
      <w:r>
        <w:rPr>
          <w:rFonts w:hAnsi="宋体"/>
          <w:bCs/>
          <w:color w:val="000000"/>
        </w:rPr>
        <w:t>；</w:t>
      </w:r>
    </w:p>
    <w:p>
      <w:pPr>
        <w:pStyle w:val="8"/>
        <w:snapToGrid w:val="0"/>
        <w:spacing w:beforeLines="0" w:afterLines="0" w:line="240" w:lineRule="auto"/>
        <w:ind w:firstLine="480" w:firstLineChars="200"/>
        <w:rPr>
          <w:rFonts w:hAnsi="宋体"/>
          <w:bCs/>
          <w:color w:val="000000"/>
        </w:rPr>
      </w:pPr>
      <w:r>
        <w:rPr>
          <w:rFonts w:hAnsi="宋体"/>
          <w:bCs/>
          <w:color w:val="000000"/>
        </w:rPr>
        <w:t>4</w:t>
      </w:r>
      <w:r>
        <w:rPr>
          <w:rFonts w:hint="eastAsia" w:hAnsi="宋体"/>
          <w:bCs/>
          <w:color w:val="000000"/>
        </w:rPr>
        <w:t>.投标人或其当场推荐的代表，或者招标采购单位委托的</w:t>
      </w:r>
      <w:r>
        <w:rPr>
          <w:rFonts w:hAnsi="宋体"/>
          <w:bCs/>
          <w:color w:val="000000"/>
        </w:rPr>
        <w:t>公证</w:t>
      </w:r>
      <w:r>
        <w:rPr>
          <w:rFonts w:hint="eastAsia" w:hAnsi="宋体"/>
          <w:bCs/>
          <w:color w:val="000000"/>
        </w:rPr>
        <w:t>机构</w:t>
      </w:r>
      <w:r>
        <w:rPr>
          <w:rFonts w:hAnsi="宋体"/>
          <w:bCs/>
          <w:color w:val="000000"/>
        </w:rPr>
        <w:t>检</w:t>
      </w:r>
      <w:r>
        <w:rPr>
          <w:rFonts w:hint="eastAsia" w:hAnsi="宋体"/>
          <w:bCs/>
          <w:color w:val="000000"/>
        </w:rPr>
        <w:t>查</w:t>
      </w:r>
      <w:r>
        <w:rPr>
          <w:rFonts w:hAnsi="宋体"/>
          <w:bCs/>
          <w:color w:val="000000"/>
        </w:rPr>
        <w:t>投标文件密封的完整性；</w:t>
      </w:r>
    </w:p>
    <w:p>
      <w:pPr>
        <w:pStyle w:val="8"/>
        <w:snapToGrid w:val="0"/>
        <w:spacing w:beforeLines="0" w:afterLines="0" w:line="240" w:lineRule="auto"/>
        <w:ind w:firstLine="480" w:firstLineChars="200"/>
        <w:rPr>
          <w:rFonts w:hAnsi="宋体"/>
          <w:bCs/>
          <w:color w:val="000000"/>
        </w:rPr>
      </w:pPr>
      <w:r>
        <w:rPr>
          <w:rFonts w:hAnsi="宋体"/>
          <w:bCs/>
          <w:color w:val="000000"/>
        </w:rPr>
        <w:t>5</w:t>
      </w:r>
      <w:r>
        <w:rPr>
          <w:rFonts w:hint="eastAsia" w:hAnsi="宋体"/>
          <w:bCs/>
          <w:color w:val="000000"/>
        </w:rPr>
        <w:t>.</w:t>
      </w:r>
      <w:r>
        <w:rPr>
          <w:rFonts w:hAnsi="宋体"/>
          <w:bCs/>
          <w:color w:val="000000"/>
        </w:rPr>
        <w:t>按各投标人</w:t>
      </w:r>
      <w:r>
        <w:rPr>
          <w:rFonts w:hint="eastAsia" w:hAnsi="宋体"/>
          <w:bCs/>
          <w:color w:val="000000"/>
        </w:rPr>
        <w:t>标项顺序</w:t>
      </w:r>
      <w:r>
        <w:rPr>
          <w:rFonts w:hAnsi="宋体"/>
          <w:bCs/>
          <w:color w:val="000000"/>
        </w:rPr>
        <w:t>打开资信/商务文件、技术文件外包装，清点投标文件正本、副本数量，符合招标文件要求的送评标室评审；不符合要求的，由投标人代表签字确认</w:t>
      </w:r>
      <w:r>
        <w:rPr>
          <w:rFonts w:hint="eastAsia" w:hAnsi="宋体"/>
          <w:bCs/>
          <w:color w:val="000000"/>
        </w:rPr>
        <w:t>；</w:t>
      </w:r>
    </w:p>
    <w:p>
      <w:pPr>
        <w:pStyle w:val="8"/>
        <w:snapToGrid w:val="0"/>
        <w:spacing w:beforeLines="0" w:afterLines="0" w:line="240" w:lineRule="auto"/>
        <w:ind w:firstLine="480" w:firstLineChars="200"/>
        <w:rPr>
          <w:rFonts w:hAnsi="宋体"/>
          <w:bCs/>
          <w:color w:val="000000"/>
        </w:rPr>
      </w:pPr>
      <w:r>
        <w:rPr>
          <w:rFonts w:hAnsi="宋体"/>
          <w:bCs/>
          <w:color w:val="000000"/>
        </w:rPr>
        <w:t>6</w:t>
      </w:r>
      <w:r>
        <w:rPr>
          <w:rFonts w:hint="eastAsia" w:hAnsi="宋体"/>
          <w:bCs/>
          <w:color w:val="000000"/>
        </w:rPr>
        <w:t>.</w:t>
      </w:r>
      <w:r>
        <w:rPr>
          <w:rFonts w:hAnsi="宋体"/>
          <w:bCs/>
          <w:color w:val="000000"/>
        </w:rPr>
        <w:t>资信</w:t>
      </w:r>
      <w:r>
        <w:rPr>
          <w:rFonts w:hint="eastAsia" w:hAnsi="宋体"/>
          <w:bCs/>
          <w:color w:val="000000"/>
        </w:rPr>
        <w:t>/</w:t>
      </w:r>
      <w:r>
        <w:rPr>
          <w:rFonts w:hAnsi="宋体"/>
          <w:bCs/>
          <w:color w:val="000000"/>
        </w:rPr>
        <w:t>商务、技</w:t>
      </w:r>
      <w:r>
        <w:rPr>
          <w:rFonts w:hAnsi="宋体"/>
          <w:color w:val="000000"/>
        </w:rPr>
        <w:t>术评分结束后，由</w:t>
      </w:r>
      <w:r>
        <w:rPr>
          <w:rFonts w:hint="eastAsia" w:hAnsi="宋体"/>
          <w:color w:val="000000"/>
        </w:rPr>
        <w:t>公证机构人员</w:t>
      </w:r>
      <w:r>
        <w:rPr>
          <w:rFonts w:hAnsi="宋体"/>
          <w:color w:val="000000"/>
        </w:rPr>
        <w:t>公布无效投标的投标人名</w:t>
      </w:r>
      <w:r>
        <w:rPr>
          <w:rFonts w:hAnsi="宋体"/>
          <w:bCs/>
          <w:color w:val="000000"/>
        </w:rPr>
        <w:t>单、投标无效的原因及其他有效投标的评分结果；</w:t>
      </w:r>
    </w:p>
    <w:p>
      <w:pPr>
        <w:pStyle w:val="8"/>
        <w:snapToGrid w:val="0"/>
        <w:spacing w:beforeLines="0" w:afterLines="0" w:line="240" w:lineRule="auto"/>
        <w:ind w:firstLine="480" w:firstLineChars="200"/>
        <w:rPr>
          <w:rFonts w:hAnsi="宋体"/>
          <w:bCs/>
          <w:color w:val="000000"/>
        </w:rPr>
      </w:pPr>
      <w:r>
        <w:rPr>
          <w:rFonts w:hAnsi="宋体"/>
          <w:bCs/>
          <w:color w:val="000000"/>
        </w:rPr>
        <w:t>7</w:t>
      </w:r>
      <w:r>
        <w:rPr>
          <w:rFonts w:hint="eastAsia" w:hAnsi="宋体"/>
          <w:bCs/>
          <w:color w:val="000000"/>
        </w:rPr>
        <w:t>.</w:t>
      </w:r>
      <w:r>
        <w:rPr>
          <w:rFonts w:hAnsi="宋体"/>
          <w:bCs/>
          <w:color w:val="000000"/>
        </w:rPr>
        <w:t>由</w:t>
      </w:r>
      <w:r>
        <w:rPr>
          <w:rFonts w:hint="eastAsia" w:hAnsi="宋体"/>
          <w:bCs/>
          <w:color w:val="000000"/>
        </w:rPr>
        <w:t>公证机构人员</w:t>
      </w:r>
      <w:r>
        <w:rPr>
          <w:rFonts w:hAnsi="宋体"/>
          <w:bCs/>
          <w:color w:val="000000"/>
        </w:rPr>
        <w:t>宣读《</w:t>
      </w:r>
      <w:r>
        <w:rPr>
          <w:rFonts w:hint="eastAsia" w:hAnsi="宋体"/>
          <w:bCs/>
          <w:color w:val="000000"/>
        </w:rPr>
        <w:t>开标</w:t>
      </w:r>
      <w:r>
        <w:rPr>
          <w:rFonts w:hAnsi="宋体"/>
          <w:bCs/>
          <w:color w:val="000000"/>
        </w:rPr>
        <w:t>一览表》中的投标人名称及在其投标文件中承诺的投标报价、投标内容（投标设备名称、规格型号或者服务项目名称），以及招标方认为有必要宣读的其他内容。</w:t>
      </w:r>
    </w:p>
    <w:p>
      <w:pPr>
        <w:pStyle w:val="8"/>
        <w:snapToGrid w:val="0"/>
        <w:spacing w:beforeLines="0" w:afterLines="0" w:line="240" w:lineRule="auto"/>
        <w:ind w:firstLine="480" w:firstLineChars="200"/>
        <w:rPr>
          <w:rFonts w:hAnsi="宋体"/>
          <w:bCs/>
          <w:color w:val="000000"/>
        </w:rPr>
      </w:pPr>
      <w:r>
        <w:rPr>
          <w:rFonts w:hAnsi="宋体"/>
          <w:bCs/>
          <w:color w:val="000000"/>
        </w:rPr>
        <w:t>8</w:t>
      </w:r>
      <w:r>
        <w:rPr>
          <w:rFonts w:hint="eastAsia" w:hAnsi="宋体"/>
          <w:bCs/>
          <w:color w:val="000000"/>
        </w:rPr>
        <w:t>.</w:t>
      </w:r>
      <w:r>
        <w:rPr>
          <w:rFonts w:hAnsi="宋体"/>
          <w:bCs/>
          <w:color w:val="000000"/>
        </w:rPr>
        <w:t xml:space="preserve"> 采购代理机构做开标记录, 投标人代表对开标记录进行当场校核及勘误，并签字确认；同时由记录人、监督人当场签字确认。投标人代表未到场签字确认</w:t>
      </w:r>
      <w:r>
        <w:rPr>
          <w:rFonts w:hint="eastAsia" w:hAnsi="宋体"/>
          <w:bCs/>
          <w:color w:val="000000"/>
        </w:rPr>
        <w:t>或者拒绝签字确认</w:t>
      </w:r>
      <w:r>
        <w:rPr>
          <w:rFonts w:hAnsi="宋体"/>
          <w:bCs/>
          <w:color w:val="000000"/>
        </w:rPr>
        <w:t>的，不影响评标过程。</w:t>
      </w:r>
    </w:p>
    <w:p>
      <w:pPr>
        <w:pStyle w:val="8"/>
        <w:snapToGrid w:val="0"/>
        <w:spacing w:beforeLines="0" w:afterLines="0" w:line="240" w:lineRule="auto"/>
        <w:ind w:left="842" w:leftChars="267" w:hanging="281" w:hangingChars="100"/>
        <w:outlineLvl w:val="1"/>
        <w:rPr>
          <w:rFonts w:hAnsi="宋体"/>
          <w:b/>
          <w:color w:val="000000"/>
          <w:sz w:val="28"/>
          <w:szCs w:val="28"/>
        </w:rPr>
      </w:pPr>
      <w:r>
        <w:rPr>
          <w:rFonts w:hint="eastAsia" w:hAnsi="宋体"/>
          <w:b/>
          <w:color w:val="000000"/>
          <w:sz w:val="28"/>
          <w:szCs w:val="28"/>
        </w:rPr>
        <w:t>五、评标</w:t>
      </w:r>
    </w:p>
    <w:p>
      <w:pPr>
        <w:pStyle w:val="8"/>
        <w:snapToGrid w:val="0"/>
        <w:spacing w:beforeLines="0" w:afterLines="0" w:line="240" w:lineRule="auto"/>
        <w:ind w:left="720" w:leftChars="228" w:hanging="241" w:hangingChars="100"/>
        <w:rPr>
          <w:rFonts w:hAnsi="宋体"/>
          <w:b/>
          <w:color w:val="000000"/>
        </w:rPr>
      </w:pPr>
      <w:r>
        <w:rPr>
          <w:rFonts w:hAnsi="宋体"/>
          <w:b/>
          <w:color w:val="000000"/>
        </w:rPr>
        <w:t>（一）组建评标委员会</w:t>
      </w:r>
    </w:p>
    <w:p>
      <w:pPr>
        <w:pStyle w:val="8"/>
        <w:snapToGrid w:val="0"/>
        <w:spacing w:beforeLines="0" w:afterLines="0" w:line="240" w:lineRule="auto"/>
        <w:ind w:firstLine="480" w:firstLineChars="200"/>
        <w:rPr>
          <w:rFonts w:hAnsi="宋体"/>
          <w:color w:val="000000"/>
        </w:rPr>
      </w:pPr>
      <w:r>
        <w:rPr>
          <w:rFonts w:hAnsi="宋体"/>
          <w:color w:val="000000"/>
        </w:rPr>
        <w:t>本项目评标委员会由政</w:t>
      </w:r>
      <w:r>
        <w:rPr>
          <w:rFonts w:hAnsi="宋体"/>
        </w:rPr>
        <w:t>府采购评审专家</w:t>
      </w:r>
      <w:r>
        <w:rPr>
          <w:rFonts w:hint="eastAsia" w:hAnsi="宋体"/>
          <w:u w:val="single"/>
        </w:rPr>
        <w:t xml:space="preserve"> 6</w:t>
      </w:r>
      <w:r>
        <w:rPr>
          <w:rFonts w:hint="eastAsia" w:hAnsi="宋体"/>
        </w:rPr>
        <w:t>人</w:t>
      </w:r>
      <w:r>
        <w:rPr>
          <w:rFonts w:hAnsi="宋体"/>
        </w:rPr>
        <w:t>和采购人代表</w:t>
      </w:r>
      <w:r>
        <w:rPr>
          <w:rFonts w:hint="eastAsia" w:hAnsi="宋体"/>
          <w:u w:val="single"/>
        </w:rPr>
        <w:t xml:space="preserve"> 1 </w:t>
      </w:r>
      <w:r>
        <w:rPr>
          <w:rFonts w:hint="eastAsia" w:hAnsi="宋体"/>
        </w:rPr>
        <w:t>人</w:t>
      </w:r>
      <w:r>
        <w:rPr>
          <w:rFonts w:hAnsi="宋体"/>
        </w:rPr>
        <w:t>,共</w:t>
      </w:r>
      <w:r>
        <w:rPr>
          <w:rFonts w:hint="eastAsia" w:hAnsi="宋体"/>
          <w:u w:val="single"/>
        </w:rPr>
        <w:t>7</w:t>
      </w:r>
      <w:r>
        <w:rPr>
          <w:rFonts w:hAnsi="宋体"/>
        </w:rPr>
        <w:t>人</w:t>
      </w:r>
      <w:r>
        <w:rPr>
          <w:rFonts w:hAnsi="宋体"/>
          <w:color w:val="000000"/>
        </w:rPr>
        <w:t>组成。</w:t>
      </w:r>
    </w:p>
    <w:p>
      <w:pPr>
        <w:pStyle w:val="8"/>
        <w:snapToGrid w:val="0"/>
        <w:spacing w:beforeLines="0" w:afterLines="0" w:line="240" w:lineRule="auto"/>
        <w:ind w:left="720" w:leftChars="228" w:hanging="241" w:hangingChars="100"/>
        <w:rPr>
          <w:rFonts w:hAnsi="宋体"/>
          <w:b/>
          <w:color w:val="000000"/>
        </w:rPr>
      </w:pPr>
      <w:r>
        <w:rPr>
          <w:rFonts w:hAnsi="宋体"/>
          <w:b/>
          <w:color w:val="000000"/>
        </w:rPr>
        <w:t>（二）评标的方式</w:t>
      </w:r>
    </w:p>
    <w:p>
      <w:pPr>
        <w:pStyle w:val="8"/>
        <w:snapToGrid w:val="0"/>
        <w:spacing w:beforeLines="0" w:afterLines="0" w:line="240" w:lineRule="auto"/>
        <w:ind w:left="719" w:leftChars="228" w:hanging="240" w:hangingChars="100"/>
        <w:rPr>
          <w:rFonts w:hAnsi="宋体"/>
          <w:color w:val="000000"/>
        </w:rPr>
      </w:pPr>
      <w:r>
        <w:rPr>
          <w:rFonts w:hAnsi="宋体"/>
          <w:color w:val="000000"/>
        </w:rPr>
        <w:t>本项目采用不公开方式评标，评标的依据为招标文件和投标文件。</w:t>
      </w:r>
    </w:p>
    <w:p>
      <w:pPr>
        <w:pStyle w:val="8"/>
        <w:snapToGrid w:val="0"/>
        <w:spacing w:beforeLines="0" w:afterLines="0" w:line="240" w:lineRule="auto"/>
        <w:ind w:left="720" w:leftChars="228" w:hanging="241" w:hangingChars="100"/>
        <w:rPr>
          <w:rFonts w:hAnsi="宋体"/>
          <w:b/>
          <w:color w:val="000000"/>
        </w:rPr>
      </w:pPr>
      <w:r>
        <w:rPr>
          <w:rFonts w:hAnsi="宋体"/>
          <w:b/>
          <w:color w:val="000000"/>
        </w:rPr>
        <w:t>（三）</w:t>
      </w:r>
      <w:r>
        <w:rPr>
          <w:rFonts w:hAnsi="宋体"/>
          <w:b/>
          <w:bCs/>
          <w:color w:val="000000"/>
        </w:rPr>
        <w:t>评标程序</w:t>
      </w:r>
    </w:p>
    <w:p>
      <w:pPr>
        <w:snapToGrid w:val="0"/>
        <w:spacing w:line="312" w:lineRule="auto"/>
        <w:ind w:firstLine="472" w:firstLineChars="196"/>
        <w:rPr>
          <w:rFonts w:ascii="宋体" w:hAnsi="宋体"/>
          <w:b/>
          <w:bCs/>
          <w:sz w:val="24"/>
        </w:rPr>
      </w:pPr>
      <w:r>
        <w:rPr>
          <w:rFonts w:hint="eastAsia" w:ascii="宋体" w:hAnsi="宋体"/>
          <w:b/>
          <w:bCs/>
          <w:sz w:val="24"/>
        </w:rPr>
        <w:t>1.资格审查</w:t>
      </w:r>
    </w:p>
    <w:p>
      <w:pPr>
        <w:snapToGrid w:val="0"/>
        <w:spacing w:line="312" w:lineRule="auto"/>
        <w:ind w:firstLine="470" w:firstLineChars="196"/>
        <w:rPr>
          <w:rFonts w:ascii="宋体" w:hAnsi="宋体"/>
          <w:sz w:val="24"/>
        </w:rPr>
      </w:pPr>
      <w:r>
        <w:rPr>
          <w:rFonts w:hint="eastAsia" w:ascii="宋体" w:hAnsi="宋体"/>
          <w:sz w:val="24"/>
        </w:rPr>
        <w:t>采购人依法对投标人的资格进行审查。</w:t>
      </w:r>
    </w:p>
    <w:p>
      <w:pPr>
        <w:snapToGrid w:val="0"/>
        <w:spacing w:line="312" w:lineRule="auto"/>
        <w:ind w:firstLine="472" w:firstLineChars="196"/>
        <w:rPr>
          <w:rFonts w:ascii="宋体" w:hAnsi="宋体"/>
          <w:b/>
          <w:bCs/>
          <w:sz w:val="24"/>
        </w:rPr>
      </w:pPr>
      <w:r>
        <w:rPr>
          <w:rFonts w:hint="eastAsia" w:ascii="宋体" w:hAnsi="宋体"/>
          <w:b/>
          <w:bCs/>
          <w:sz w:val="24"/>
        </w:rPr>
        <w:t>2.</w:t>
      </w:r>
      <w:r>
        <w:rPr>
          <w:rFonts w:ascii="宋体" w:hAnsi="宋体"/>
          <w:b/>
          <w:bCs/>
          <w:sz w:val="24"/>
        </w:rPr>
        <w:t>形式审查</w:t>
      </w:r>
    </w:p>
    <w:p>
      <w:pPr>
        <w:snapToGrid w:val="0"/>
        <w:spacing w:line="312" w:lineRule="auto"/>
        <w:ind w:firstLine="480" w:firstLineChars="200"/>
        <w:rPr>
          <w:rFonts w:ascii="宋体" w:hAnsi="宋体"/>
          <w:b/>
          <w:sz w:val="24"/>
        </w:rPr>
      </w:pPr>
      <w:r>
        <w:rPr>
          <w:rFonts w:hint="eastAsia" w:ascii="宋体" w:hAnsi="宋体"/>
          <w:sz w:val="24"/>
        </w:rPr>
        <w:t>招标方工作人员协助评标委员会对</w:t>
      </w:r>
      <w:r>
        <w:rPr>
          <w:rFonts w:ascii="宋体" w:hAnsi="宋体"/>
          <w:sz w:val="24"/>
        </w:rPr>
        <w:t>投标文件的完整性、合法性等进行审查。</w:t>
      </w:r>
    </w:p>
    <w:p>
      <w:pPr>
        <w:snapToGrid w:val="0"/>
        <w:ind w:firstLine="472" w:firstLineChars="196"/>
        <w:rPr>
          <w:rFonts w:ascii="宋体" w:hAnsi="宋体"/>
          <w:b/>
          <w:bCs/>
          <w:color w:val="000000"/>
          <w:sz w:val="24"/>
        </w:rPr>
      </w:pPr>
      <w:r>
        <w:rPr>
          <w:rFonts w:hint="eastAsia" w:ascii="宋体" w:hAnsi="宋体"/>
          <w:b/>
          <w:bCs/>
          <w:color w:val="000000"/>
          <w:sz w:val="24"/>
        </w:rPr>
        <w:t>3.</w:t>
      </w:r>
      <w:r>
        <w:rPr>
          <w:rFonts w:ascii="宋体" w:hAnsi="宋体"/>
          <w:b/>
          <w:bCs/>
          <w:color w:val="000000"/>
          <w:sz w:val="24"/>
        </w:rPr>
        <w:t>实质审查与比较</w:t>
      </w:r>
    </w:p>
    <w:p>
      <w:pPr>
        <w:pStyle w:val="8"/>
        <w:snapToGrid w:val="0"/>
        <w:spacing w:beforeLines="0" w:afterLines="0" w:line="240" w:lineRule="auto"/>
        <w:ind w:firstLine="480" w:firstLineChars="200"/>
        <w:rPr>
          <w:rFonts w:hAnsi="宋体"/>
          <w:color w:val="000000"/>
        </w:rPr>
      </w:pPr>
      <w:r>
        <w:rPr>
          <w:rFonts w:hint="eastAsia" w:hAnsi="宋体"/>
          <w:color w:val="000000"/>
        </w:rPr>
        <w:t>（</w:t>
      </w:r>
      <w:r>
        <w:rPr>
          <w:rFonts w:hAnsi="宋体"/>
          <w:color w:val="000000"/>
        </w:rPr>
        <w:t>1）评标委员会审查投标文件的实质性内容是否符合招标文件的实质性要求。</w:t>
      </w:r>
    </w:p>
    <w:p>
      <w:pPr>
        <w:pStyle w:val="8"/>
        <w:snapToGrid w:val="0"/>
        <w:spacing w:beforeLines="0" w:afterLines="0" w:line="240" w:lineRule="auto"/>
        <w:ind w:firstLine="480" w:firstLineChars="200"/>
        <w:rPr>
          <w:rFonts w:hAnsi="宋体"/>
          <w:color w:val="000000"/>
        </w:rPr>
      </w:pPr>
      <w:r>
        <w:rPr>
          <w:rFonts w:hint="eastAsia" w:hAnsi="宋体"/>
          <w:color w:val="000000"/>
        </w:rPr>
        <w:t>（</w:t>
      </w:r>
      <w:r>
        <w:rPr>
          <w:rFonts w:hAnsi="宋体"/>
          <w:color w:val="000000"/>
        </w:rPr>
        <w:t>2）评标委员会将根据投标人的投标文件进行审查、核对,如有疑问,将对投标人进行询标,投标人要向评标委员会澄清有关问题,并最终以书面形式进行答复。</w:t>
      </w:r>
    </w:p>
    <w:p>
      <w:pPr>
        <w:pStyle w:val="8"/>
        <w:snapToGrid w:val="0"/>
        <w:spacing w:beforeLines="0" w:afterLines="0" w:line="240" w:lineRule="auto"/>
        <w:ind w:firstLine="480" w:firstLineChars="200"/>
        <w:rPr>
          <w:rFonts w:hAnsi="宋体"/>
          <w:color w:val="000000"/>
        </w:rPr>
      </w:pPr>
      <w:r>
        <w:rPr>
          <w:rFonts w:hint="eastAsia" w:hAnsi="宋体"/>
          <w:color w:val="000000"/>
        </w:rPr>
        <w:t>投标人代表未到场或者拒绝澄清或者澄清的内容改变了投标文件的实质性内容的，评标委员会有权对该投标文件作出不利于投标人的评判。</w:t>
      </w:r>
    </w:p>
    <w:p>
      <w:pPr>
        <w:pStyle w:val="8"/>
        <w:snapToGrid w:val="0"/>
        <w:spacing w:beforeLines="0" w:afterLines="0" w:line="240" w:lineRule="auto"/>
        <w:ind w:firstLine="480" w:firstLineChars="200"/>
        <w:rPr>
          <w:rFonts w:hAnsi="宋体"/>
          <w:color w:val="000000"/>
        </w:rPr>
      </w:pPr>
      <w:r>
        <w:rPr>
          <w:rFonts w:hint="eastAsia" w:hAnsi="宋体"/>
          <w:color w:val="000000"/>
        </w:rPr>
        <w:t>（</w:t>
      </w:r>
      <w:r>
        <w:rPr>
          <w:rFonts w:hAnsi="宋体"/>
          <w:color w:val="000000"/>
        </w:rPr>
        <w:t>3）</w:t>
      </w:r>
      <w:r>
        <w:rPr>
          <w:rFonts w:hint="eastAsia" w:hAnsi="宋体"/>
          <w:color w:val="000000"/>
        </w:rPr>
        <w:t>技术、商务、资信及其他分按照评标委员会成员的独立评分结果的算术平均分计算，</w:t>
      </w:r>
      <w:r>
        <w:rPr>
          <w:rFonts w:hAnsi="宋体"/>
          <w:color w:val="000000"/>
        </w:rPr>
        <w:t>由指定专人进行计算复核。</w:t>
      </w:r>
    </w:p>
    <w:p>
      <w:pPr>
        <w:pStyle w:val="8"/>
        <w:snapToGrid w:val="0"/>
        <w:spacing w:beforeLines="0" w:afterLines="0" w:line="240" w:lineRule="auto"/>
        <w:ind w:firstLine="480" w:firstLineChars="200"/>
        <w:rPr>
          <w:rFonts w:hAnsi="宋体"/>
          <w:color w:val="000000"/>
        </w:rPr>
      </w:pPr>
      <w:r>
        <w:rPr>
          <w:rFonts w:hint="eastAsia" w:hAnsi="宋体"/>
          <w:color w:val="000000"/>
        </w:rPr>
        <w:t>（</w:t>
      </w:r>
      <w:r>
        <w:rPr>
          <w:rFonts w:hAnsi="宋体"/>
          <w:color w:val="000000"/>
        </w:rPr>
        <w:t>4）</w:t>
      </w:r>
      <w:r>
        <w:rPr>
          <w:rFonts w:hint="eastAsia" w:hAnsi="宋体"/>
          <w:color w:val="000000"/>
        </w:rPr>
        <w:t>招标方工作人员协助</w:t>
      </w:r>
      <w:r>
        <w:rPr>
          <w:rFonts w:hAnsi="宋体"/>
          <w:color w:val="000000"/>
        </w:rPr>
        <w:t>评标委员会</w:t>
      </w:r>
      <w:r>
        <w:rPr>
          <w:rFonts w:hint="eastAsia" w:hAnsi="宋体"/>
          <w:color w:val="000000"/>
        </w:rPr>
        <w:t>审核投标报价有无计算错误，并</w:t>
      </w:r>
      <w:r>
        <w:rPr>
          <w:rFonts w:hAnsi="宋体"/>
          <w:color w:val="000000"/>
        </w:rPr>
        <w:t>根据</w:t>
      </w:r>
      <w:r>
        <w:rPr>
          <w:rFonts w:hint="eastAsia" w:hAnsi="宋体"/>
          <w:color w:val="000000"/>
        </w:rPr>
        <w:t>本项目的评分标准</w:t>
      </w:r>
      <w:r>
        <w:rPr>
          <w:rFonts w:hAnsi="宋体"/>
          <w:color w:val="000000"/>
        </w:rPr>
        <w:t>计算各投标人的报价得分</w:t>
      </w:r>
      <w:r>
        <w:rPr>
          <w:rFonts w:hint="eastAsia" w:hAnsi="宋体"/>
          <w:color w:val="000000"/>
        </w:rPr>
        <w:t>。</w:t>
      </w:r>
    </w:p>
    <w:p>
      <w:pPr>
        <w:pStyle w:val="8"/>
        <w:snapToGrid w:val="0"/>
        <w:spacing w:beforeLines="0" w:afterLines="0" w:line="240" w:lineRule="auto"/>
        <w:ind w:firstLine="480" w:firstLineChars="200"/>
        <w:rPr>
          <w:rFonts w:hAnsi="宋体"/>
          <w:color w:val="000000"/>
        </w:rPr>
      </w:pPr>
      <w:r>
        <w:rPr>
          <w:rFonts w:hint="eastAsia" w:hAnsi="宋体"/>
          <w:color w:val="000000"/>
        </w:rPr>
        <w:t>（</w:t>
      </w:r>
      <w:r>
        <w:rPr>
          <w:rFonts w:hAnsi="宋体"/>
          <w:color w:val="000000"/>
        </w:rPr>
        <w:t>5）评标委员会完成评标后,</w:t>
      </w:r>
      <w:r>
        <w:rPr>
          <w:rFonts w:hint="eastAsia" w:hAnsi="宋体"/>
          <w:color w:val="000000"/>
        </w:rPr>
        <w:t xml:space="preserve"> 招标方工作人员</w:t>
      </w:r>
      <w:r>
        <w:rPr>
          <w:rFonts w:hAnsi="宋体"/>
          <w:color w:val="000000"/>
        </w:rPr>
        <w:t>对各部分得分汇总,</w:t>
      </w:r>
      <w:r>
        <w:rPr>
          <w:rFonts w:hint="eastAsia" w:hAnsi="宋体"/>
          <w:color w:val="000000"/>
        </w:rPr>
        <w:t>计算</w:t>
      </w:r>
      <w:r>
        <w:rPr>
          <w:rFonts w:hAnsi="宋体"/>
          <w:color w:val="000000"/>
        </w:rPr>
        <w:t>出本项目</w:t>
      </w:r>
      <w:r>
        <w:rPr>
          <w:rFonts w:hint="eastAsia" w:hAnsi="宋体"/>
          <w:color w:val="000000"/>
        </w:rPr>
        <w:t>最终得分</w:t>
      </w:r>
      <w:r>
        <w:rPr>
          <w:rFonts w:hAnsi="宋体"/>
          <w:color w:val="000000"/>
        </w:rPr>
        <w:t>。评标委员会按评标原则推荐中标候选人</w:t>
      </w:r>
      <w:r>
        <w:rPr>
          <w:rFonts w:hint="eastAsia" w:hAnsi="宋体"/>
          <w:color w:val="000000"/>
        </w:rPr>
        <w:t>并</w:t>
      </w:r>
      <w:r>
        <w:rPr>
          <w:rFonts w:hAnsi="宋体"/>
          <w:color w:val="000000"/>
        </w:rPr>
        <w:t>起草评标报告。</w:t>
      </w:r>
    </w:p>
    <w:p>
      <w:pPr>
        <w:pStyle w:val="8"/>
        <w:snapToGrid w:val="0"/>
        <w:spacing w:beforeLines="0" w:afterLines="0" w:line="240" w:lineRule="auto"/>
        <w:ind w:left="720" w:leftChars="228" w:hanging="241" w:hangingChars="100"/>
        <w:rPr>
          <w:rFonts w:hAnsi="宋体"/>
          <w:b/>
          <w:color w:val="000000"/>
        </w:rPr>
      </w:pPr>
      <w:r>
        <w:rPr>
          <w:rFonts w:hint="eastAsia" w:hAnsi="宋体"/>
          <w:b/>
          <w:color w:val="000000"/>
        </w:rPr>
        <w:t>（四）澄清问题的形式</w:t>
      </w:r>
    </w:p>
    <w:p>
      <w:pPr>
        <w:snapToGrid w:val="0"/>
        <w:ind w:firstLine="480" w:firstLineChars="200"/>
        <w:rPr>
          <w:rFonts w:ascii="宋体" w:hAnsi="宋体"/>
          <w:color w:val="000000"/>
          <w:sz w:val="24"/>
        </w:rPr>
      </w:pPr>
      <w:r>
        <w:rPr>
          <w:rFonts w:hint="eastAsia" w:ascii="宋体" w:hAnsi="宋体"/>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8"/>
        <w:snapToGrid w:val="0"/>
        <w:spacing w:beforeLines="0" w:afterLines="0" w:line="360" w:lineRule="auto"/>
        <w:ind w:left="720" w:leftChars="228" w:hanging="241" w:hangingChars="100"/>
        <w:rPr>
          <w:rFonts w:hAnsi="宋体"/>
          <w:b/>
          <w:color w:val="000000"/>
        </w:rPr>
      </w:pPr>
      <w:r>
        <w:rPr>
          <w:rFonts w:hAnsi="宋体"/>
          <w:b/>
          <w:color w:val="000000"/>
        </w:rPr>
        <w:t>（五）错误修正</w:t>
      </w:r>
    </w:p>
    <w:p>
      <w:pPr>
        <w:pStyle w:val="8"/>
        <w:snapToGrid w:val="0"/>
        <w:spacing w:beforeLines="0" w:afterLines="0" w:line="240" w:lineRule="auto"/>
        <w:ind w:firstLine="480" w:firstLineChars="200"/>
        <w:rPr>
          <w:rFonts w:hAnsi="宋体"/>
          <w:color w:val="000000"/>
        </w:rPr>
      </w:pPr>
      <w:r>
        <w:rPr>
          <w:rFonts w:hint="eastAsia" w:hAnsi="宋体"/>
          <w:color w:val="000000"/>
        </w:rPr>
        <w:t>投标文件如果出现计算或表达上的错误，修正错误的原则如下：</w:t>
      </w:r>
    </w:p>
    <w:p>
      <w:pPr>
        <w:pStyle w:val="8"/>
        <w:snapToGrid w:val="0"/>
        <w:spacing w:beforeLines="0" w:afterLines="0" w:line="240" w:lineRule="auto"/>
        <w:ind w:firstLine="480" w:firstLineChars="200"/>
        <w:rPr>
          <w:rFonts w:hAnsi="宋体"/>
          <w:color w:val="000000"/>
        </w:rPr>
      </w:pPr>
      <w:r>
        <w:rPr>
          <w:rFonts w:hint="eastAsia" w:hAnsi="宋体"/>
          <w:color w:val="000000"/>
        </w:rPr>
        <w:t>1.投标文件中开标一览表内容与投标文件中相应内容不一致的，以开标一览表为准；</w:t>
      </w:r>
    </w:p>
    <w:p>
      <w:pPr>
        <w:pStyle w:val="8"/>
        <w:snapToGrid w:val="0"/>
        <w:spacing w:beforeLines="0" w:afterLines="0" w:line="240" w:lineRule="auto"/>
        <w:ind w:firstLine="480" w:firstLineChars="200"/>
        <w:rPr>
          <w:rFonts w:hAnsi="宋体"/>
          <w:color w:val="000000"/>
        </w:rPr>
      </w:pPr>
      <w:r>
        <w:rPr>
          <w:rFonts w:hint="eastAsia" w:hAnsi="宋体"/>
          <w:color w:val="000000"/>
        </w:rPr>
        <w:t>2.大写金额和小写金额不一致的，以大写金额为准；</w:t>
      </w:r>
    </w:p>
    <w:p>
      <w:pPr>
        <w:pStyle w:val="8"/>
        <w:snapToGrid w:val="0"/>
        <w:spacing w:beforeLines="0" w:afterLines="0" w:line="240" w:lineRule="auto"/>
        <w:ind w:firstLine="480" w:firstLineChars="200"/>
        <w:rPr>
          <w:rFonts w:hAnsi="宋体"/>
          <w:color w:val="000000"/>
        </w:rPr>
      </w:pPr>
      <w:r>
        <w:rPr>
          <w:rFonts w:hint="eastAsia" w:hAnsi="宋体"/>
          <w:color w:val="000000"/>
        </w:rPr>
        <w:t>3.单价金额小数点或者百分比有明显错位的，以开标一览表的总价为准，并修改单价；</w:t>
      </w:r>
    </w:p>
    <w:p>
      <w:pPr>
        <w:pStyle w:val="8"/>
        <w:snapToGrid w:val="0"/>
        <w:spacing w:beforeLines="0" w:afterLines="0" w:line="240" w:lineRule="auto"/>
        <w:ind w:firstLine="480" w:firstLineChars="200"/>
        <w:rPr>
          <w:rFonts w:hAnsi="宋体"/>
          <w:color w:val="000000"/>
        </w:rPr>
      </w:pPr>
      <w:r>
        <w:rPr>
          <w:rFonts w:hint="eastAsia" w:hAnsi="宋体"/>
          <w:color w:val="000000"/>
        </w:rPr>
        <w:t>4.总价金额与按单价汇总金额不一致的，以单价金额计算结果为准。</w:t>
      </w:r>
    </w:p>
    <w:p>
      <w:pPr>
        <w:pStyle w:val="8"/>
        <w:snapToGrid w:val="0"/>
        <w:spacing w:beforeLines="0" w:afterLines="0" w:line="240" w:lineRule="auto"/>
        <w:ind w:firstLine="480" w:firstLineChars="200"/>
        <w:rPr>
          <w:rFonts w:hAnsi="宋体"/>
          <w:color w:val="000000"/>
        </w:rPr>
      </w:pPr>
      <w:r>
        <w:rPr>
          <w:rFonts w:hint="eastAsia" w:hAnsi="宋体"/>
          <w:color w:val="000000"/>
        </w:rPr>
        <w:t>5.</w:t>
      </w:r>
      <w:r>
        <w:rPr>
          <w:rFonts w:hAnsi="宋体"/>
          <w:color w:val="000000"/>
        </w:rPr>
        <w:t>对不同文字文本投标文件的解释发生异议的，以中文文本为准。</w:t>
      </w:r>
    </w:p>
    <w:p>
      <w:pPr>
        <w:pStyle w:val="8"/>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约束力，投标人不确认的，如</w:t>
      </w:r>
      <w:r>
        <w:rPr>
          <w:rFonts w:hAnsi="宋体"/>
          <w:b/>
          <w:bCs/>
        </w:rPr>
        <w:t>果投标人不接受修正后的报价，则其投标将</w:t>
      </w:r>
      <w:r>
        <w:rPr>
          <w:rFonts w:hint="eastAsia" w:hAnsi="宋体"/>
          <w:b/>
          <w:bCs/>
        </w:rPr>
        <w:t>作为无效投标处理</w:t>
      </w:r>
      <w:r>
        <w:rPr>
          <w:rFonts w:hAnsi="宋体"/>
          <w:b/>
          <w:bCs/>
        </w:rPr>
        <w:t>。</w:t>
      </w:r>
    </w:p>
    <w:p>
      <w:pPr>
        <w:pStyle w:val="8"/>
        <w:tabs>
          <w:tab w:val="left" w:pos="630"/>
        </w:tabs>
        <w:snapToGrid w:val="0"/>
        <w:spacing w:beforeLines="0" w:afterLines="0" w:line="360" w:lineRule="auto"/>
        <w:ind w:firstLine="472" w:firstLineChars="196"/>
        <w:rPr>
          <w:rFonts w:hAnsi="宋体"/>
          <w:b/>
          <w:color w:val="0D0D0D"/>
        </w:rPr>
      </w:pPr>
      <w:r>
        <w:rPr>
          <w:rFonts w:hAnsi="宋体"/>
          <w:b/>
          <w:color w:val="000000"/>
        </w:rPr>
        <w:t>（六）</w:t>
      </w:r>
      <w:r>
        <w:rPr>
          <w:rFonts w:hAnsi="宋体"/>
          <w:b/>
          <w:color w:val="0D0D0D"/>
        </w:rPr>
        <w:t>评标原则</w:t>
      </w:r>
      <w:r>
        <w:rPr>
          <w:rFonts w:hint="eastAsia" w:hAnsi="宋体"/>
          <w:b/>
          <w:color w:val="0D0D0D"/>
        </w:rPr>
        <w:t>、</w:t>
      </w:r>
      <w:r>
        <w:rPr>
          <w:rFonts w:hAnsi="宋体"/>
          <w:b/>
          <w:color w:val="0D0D0D"/>
        </w:rPr>
        <w:t>办法</w:t>
      </w:r>
      <w:r>
        <w:rPr>
          <w:rFonts w:hint="eastAsia" w:hAnsi="宋体"/>
          <w:b/>
          <w:color w:val="0D0D0D"/>
        </w:rPr>
        <w:t>及依据</w:t>
      </w:r>
    </w:p>
    <w:p>
      <w:pPr>
        <w:pStyle w:val="8"/>
        <w:snapToGrid w:val="0"/>
        <w:spacing w:beforeLines="0" w:afterLines="0" w:line="240" w:lineRule="auto"/>
        <w:ind w:firstLine="480" w:firstLineChars="200"/>
        <w:rPr>
          <w:rFonts w:hAnsi="宋体"/>
          <w:color w:val="000000"/>
        </w:rPr>
      </w:pPr>
      <w:r>
        <w:rPr>
          <w:rFonts w:hAnsi="宋体"/>
          <w:color w:val="000000"/>
        </w:rPr>
        <w:t>1</w:t>
      </w:r>
      <w:r>
        <w:rPr>
          <w:rFonts w:hint="eastAsia" w:hAnsi="宋体"/>
          <w:color w:val="000000"/>
        </w:rPr>
        <w:t>.</w:t>
      </w:r>
      <w:r>
        <w:rPr>
          <w:rFonts w:hAnsi="宋体"/>
          <w:color w:val="000000"/>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8"/>
        <w:snapToGrid w:val="0"/>
        <w:spacing w:beforeLines="0" w:afterLines="0" w:line="240" w:lineRule="auto"/>
        <w:ind w:firstLine="480" w:firstLineChars="200"/>
        <w:rPr>
          <w:rFonts w:hAnsi="宋体"/>
          <w:color w:val="000000"/>
        </w:rPr>
      </w:pPr>
      <w:r>
        <w:rPr>
          <w:rFonts w:hAnsi="宋体"/>
          <w:color w:val="000000"/>
        </w:rPr>
        <w:t>2</w:t>
      </w:r>
      <w:r>
        <w:rPr>
          <w:rFonts w:hint="eastAsia" w:hAnsi="宋体"/>
          <w:color w:val="000000"/>
        </w:rPr>
        <w:t>.</w:t>
      </w:r>
      <w:r>
        <w:rPr>
          <w:rFonts w:hAnsi="宋体"/>
          <w:color w:val="000000"/>
        </w:rPr>
        <w:t>评标办法。本项目评标办法是</w:t>
      </w:r>
      <w:r>
        <w:rPr>
          <w:rFonts w:hint="eastAsia" w:hAnsi="宋体"/>
          <w:color w:val="000000"/>
          <w:u w:val="single"/>
        </w:rPr>
        <w:t>综合评分法</w:t>
      </w:r>
      <w:r>
        <w:rPr>
          <w:rFonts w:hAnsi="宋体"/>
          <w:color w:val="000000"/>
        </w:rPr>
        <w:t>，具体评标内容及评分标准等详见《第四章：评标办法及评分标准》。</w:t>
      </w:r>
    </w:p>
    <w:p>
      <w:pPr>
        <w:pStyle w:val="8"/>
        <w:snapToGrid w:val="0"/>
        <w:spacing w:beforeLines="0" w:afterLines="0" w:line="240" w:lineRule="auto"/>
        <w:ind w:firstLine="480" w:firstLineChars="200"/>
        <w:rPr>
          <w:rFonts w:hAnsi="宋体"/>
          <w:color w:val="000000"/>
        </w:rPr>
      </w:pPr>
      <w:r>
        <w:rPr>
          <w:rFonts w:hint="eastAsia" w:hAnsi="宋体"/>
          <w:color w:val="000000"/>
        </w:rPr>
        <w:t>3、评标依据：评标委员会决定投标的响应性只根据投标文件的内容，而不寻求外部的证据。</w:t>
      </w:r>
    </w:p>
    <w:p>
      <w:pPr>
        <w:pStyle w:val="8"/>
        <w:snapToGrid w:val="0"/>
        <w:spacing w:beforeLines="0" w:afterLines="0" w:line="240" w:lineRule="auto"/>
        <w:ind w:firstLine="472" w:firstLineChars="196"/>
        <w:rPr>
          <w:rFonts w:hAnsi="宋体"/>
          <w:b/>
          <w:color w:val="000000"/>
        </w:rPr>
      </w:pPr>
      <w:r>
        <w:rPr>
          <w:rFonts w:hAnsi="宋体"/>
          <w:b/>
          <w:color w:val="000000"/>
        </w:rPr>
        <w:t>（七）评标过程的监控</w:t>
      </w:r>
    </w:p>
    <w:p>
      <w:pPr>
        <w:pStyle w:val="8"/>
        <w:snapToGrid w:val="0"/>
        <w:spacing w:beforeLines="0" w:afterLines="0" w:line="240" w:lineRule="auto"/>
        <w:ind w:firstLine="480" w:firstLineChars="200"/>
        <w:rPr>
          <w:rFonts w:hAnsi="宋体"/>
          <w:color w:val="000000"/>
        </w:rPr>
      </w:pPr>
      <w:r>
        <w:rPr>
          <w:rFonts w:hAnsi="宋体"/>
          <w:color w:val="000000"/>
        </w:rPr>
        <w:t>本项目评标过程实行全程录音、录像监控</w:t>
      </w:r>
      <w:r>
        <w:rPr>
          <w:rFonts w:hint="eastAsia" w:hAnsi="宋体"/>
          <w:color w:val="000000"/>
        </w:rPr>
        <w:t>，同时</w:t>
      </w:r>
      <w:r>
        <w:rPr>
          <w:rFonts w:hAnsi="宋体"/>
          <w:color w:val="000000"/>
        </w:rPr>
        <w:t>聘请</w:t>
      </w:r>
      <w:r>
        <w:rPr>
          <w:rFonts w:hint="eastAsia" w:hAnsi="宋体"/>
          <w:color w:val="000000"/>
          <w:u w:val="single"/>
        </w:rPr>
        <w:t xml:space="preserve">东阳市 </w:t>
      </w:r>
      <w:r>
        <w:rPr>
          <w:rFonts w:hAnsi="宋体"/>
          <w:color w:val="000000"/>
        </w:rPr>
        <w:t>公证处公证员进行现场监督，投标人在评标过程中所进行的</w:t>
      </w:r>
      <w:r>
        <w:rPr>
          <w:rFonts w:hint="eastAsia" w:hAnsi="宋体"/>
          <w:color w:val="000000"/>
        </w:rPr>
        <w:t>试</w:t>
      </w:r>
      <w:r>
        <w:rPr>
          <w:rFonts w:hAnsi="宋体"/>
          <w:color w:val="000000"/>
        </w:rPr>
        <w:t>图影响评标结果的不公正活动，可能导致其投标被拒绝。</w:t>
      </w:r>
    </w:p>
    <w:p>
      <w:pPr>
        <w:pStyle w:val="8"/>
        <w:snapToGrid w:val="0"/>
        <w:spacing w:beforeLines="0" w:afterLines="0" w:line="240" w:lineRule="auto"/>
        <w:ind w:firstLine="472" w:firstLineChars="196"/>
        <w:outlineLvl w:val="1"/>
        <w:rPr>
          <w:rFonts w:hAnsi="宋体"/>
          <w:b/>
          <w:color w:val="000000"/>
        </w:rPr>
      </w:pPr>
      <w:r>
        <w:rPr>
          <w:rFonts w:hint="eastAsia" w:hAnsi="宋体"/>
          <w:b/>
          <w:color w:val="000000"/>
        </w:rPr>
        <w:t>六、定标</w:t>
      </w:r>
    </w:p>
    <w:p>
      <w:pPr>
        <w:pStyle w:val="8"/>
        <w:snapToGrid w:val="0"/>
        <w:spacing w:beforeLines="0" w:afterLines="0" w:line="360" w:lineRule="auto"/>
        <w:ind w:firstLine="472" w:firstLineChars="196"/>
        <w:rPr>
          <w:rFonts w:hAnsi="宋体"/>
          <w:b/>
          <w:bCs/>
          <w:color w:val="0D0D0D"/>
        </w:rPr>
      </w:pPr>
      <w:r>
        <w:rPr>
          <w:rFonts w:hint="eastAsia" w:hAnsi="宋体"/>
          <w:b/>
          <w:bCs/>
          <w:color w:val="000000"/>
        </w:rPr>
        <w:t>（一）</w:t>
      </w:r>
      <w:r>
        <w:rPr>
          <w:rFonts w:hint="eastAsia" w:hAnsi="宋体"/>
          <w:b/>
          <w:bCs/>
          <w:color w:val="0D0D0D"/>
        </w:rPr>
        <w:t>确定中标人。本项目由采购人授权评标委员会确定中标人。</w:t>
      </w:r>
    </w:p>
    <w:p>
      <w:pPr>
        <w:pStyle w:val="8"/>
        <w:snapToGrid w:val="0"/>
        <w:spacing w:beforeLines="0" w:afterLines="0" w:line="240" w:lineRule="auto"/>
        <w:ind w:firstLine="480" w:firstLineChars="200"/>
        <w:rPr>
          <w:rFonts w:hAnsi="宋体"/>
          <w:color w:val="000000"/>
        </w:rPr>
      </w:pPr>
      <w:r>
        <w:rPr>
          <w:rFonts w:hint="eastAsia" w:hAnsi="宋体"/>
          <w:color w:val="000000"/>
        </w:rPr>
        <w:t>1．</w:t>
      </w:r>
      <w:r>
        <w:rPr>
          <w:rFonts w:hAnsi="宋体"/>
          <w:color w:val="000000"/>
        </w:rPr>
        <w:t>出现下列情形之一的，</w:t>
      </w:r>
      <w:r>
        <w:rPr>
          <w:rFonts w:hint="eastAsia" w:hAnsi="宋体"/>
          <w:color w:val="000000"/>
        </w:rPr>
        <w:t>采购单位或评标委员会</w:t>
      </w:r>
      <w:r>
        <w:rPr>
          <w:rFonts w:hAnsi="宋体"/>
          <w:color w:val="000000"/>
        </w:rPr>
        <w:t>可以直接确定排名第二的候选供应商为中标成交供应商。</w:t>
      </w:r>
    </w:p>
    <w:p>
      <w:pPr>
        <w:pStyle w:val="8"/>
        <w:snapToGrid w:val="0"/>
        <w:spacing w:beforeLines="0" w:afterLines="0" w:line="240" w:lineRule="auto"/>
        <w:ind w:firstLine="480" w:firstLineChars="200"/>
        <w:rPr>
          <w:rFonts w:hAnsi="宋体"/>
          <w:color w:val="000000"/>
        </w:rPr>
      </w:pPr>
      <w:r>
        <w:rPr>
          <w:rFonts w:hAnsi="宋体"/>
          <w:color w:val="000000"/>
        </w:rPr>
        <w:t>（1）排名第一的候选供应商，因自身原因放弃中标成交或因不可抗力不能履行合同的</w:t>
      </w:r>
      <w:r>
        <w:rPr>
          <w:rFonts w:hint="eastAsia" w:hAnsi="宋体"/>
          <w:color w:val="000000"/>
        </w:rPr>
        <w:t>；</w:t>
      </w:r>
    </w:p>
    <w:p>
      <w:pPr>
        <w:pStyle w:val="8"/>
        <w:snapToGrid w:val="0"/>
        <w:spacing w:beforeLines="0" w:afterLines="0" w:line="240" w:lineRule="auto"/>
        <w:ind w:firstLine="480" w:firstLineChars="200"/>
        <w:rPr>
          <w:rFonts w:hAnsi="宋体"/>
          <w:color w:val="000000"/>
        </w:rPr>
      </w:pPr>
      <w:r>
        <w:rPr>
          <w:rFonts w:hAnsi="宋体"/>
          <w:color w:val="000000"/>
        </w:rPr>
        <w:t>（</w:t>
      </w:r>
      <w:r>
        <w:rPr>
          <w:rFonts w:hint="eastAsia" w:hAnsi="宋体"/>
          <w:color w:val="000000"/>
        </w:rPr>
        <w:t>2</w:t>
      </w:r>
      <w:r>
        <w:rPr>
          <w:rFonts w:hAnsi="宋体"/>
          <w:color w:val="000000"/>
        </w:rPr>
        <w:t>）经质疑，采购组织机构审查确认因排名第一的候选供应商在本次采购活动中存在违法违规行为或其他原因使质疑成立的。</w:t>
      </w:r>
    </w:p>
    <w:p>
      <w:pPr>
        <w:pStyle w:val="8"/>
        <w:snapToGrid w:val="0"/>
        <w:spacing w:beforeLines="0" w:afterLines="0" w:line="240" w:lineRule="auto"/>
        <w:ind w:firstLine="480" w:firstLineChars="200"/>
        <w:rPr>
          <w:rFonts w:hAnsi="宋体"/>
          <w:color w:val="000000"/>
        </w:rPr>
      </w:pPr>
      <w:r>
        <w:rPr>
          <w:rFonts w:hint="eastAsia" w:hAnsi="宋体"/>
          <w:color w:val="000000"/>
        </w:rPr>
        <w:t>2.</w:t>
      </w:r>
      <w:r>
        <w:rPr>
          <w:rFonts w:hAnsi="宋体"/>
          <w:color w:val="000000"/>
        </w:rPr>
        <w:t>招标方</w:t>
      </w:r>
      <w:r>
        <w:rPr>
          <w:rFonts w:hint="eastAsia" w:hAnsi="宋体"/>
          <w:color w:val="000000"/>
        </w:rPr>
        <w:t>一般将在2</w:t>
      </w:r>
      <w:r>
        <w:rPr>
          <w:rFonts w:hAnsi="宋体"/>
          <w:color w:val="000000"/>
        </w:rPr>
        <w:t>个工作日</w:t>
      </w:r>
      <w:r>
        <w:rPr>
          <w:rFonts w:hint="eastAsia" w:hAnsi="宋体"/>
          <w:color w:val="000000"/>
        </w:rPr>
        <w:t>内把</w:t>
      </w:r>
      <w:r>
        <w:rPr>
          <w:rFonts w:hAnsi="宋体"/>
          <w:color w:val="000000"/>
        </w:rPr>
        <w:t>评标</w:t>
      </w:r>
      <w:r>
        <w:rPr>
          <w:rFonts w:hint="eastAsia" w:hAnsi="宋体"/>
          <w:color w:val="000000"/>
        </w:rPr>
        <w:t>结果发布在</w:t>
      </w:r>
      <w:r>
        <w:rPr>
          <w:rFonts w:hAnsi="宋体"/>
          <w:color w:val="000000"/>
        </w:rPr>
        <w:t>发布招标公告的网站上进行</w:t>
      </w:r>
      <w:r>
        <w:rPr>
          <w:rFonts w:hint="eastAsia" w:hAnsi="宋体"/>
          <w:color w:val="000000"/>
        </w:rPr>
        <w:t>公告，公告经发布后不再以其他方式通知投标人，视同书面送达</w:t>
      </w:r>
      <w:r>
        <w:rPr>
          <w:rFonts w:hAnsi="宋体"/>
          <w:color w:val="000000"/>
        </w:rPr>
        <w:t>。</w:t>
      </w:r>
    </w:p>
    <w:p>
      <w:pPr>
        <w:pStyle w:val="8"/>
        <w:snapToGrid w:val="0"/>
        <w:spacing w:beforeLines="0" w:afterLines="0" w:line="240" w:lineRule="auto"/>
        <w:ind w:firstLine="480" w:firstLineChars="200"/>
        <w:rPr>
          <w:rFonts w:hAnsi="宋体"/>
          <w:color w:val="000000"/>
        </w:rPr>
      </w:pPr>
      <w:r>
        <w:rPr>
          <w:rFonts w:hint="eastAsia" w:hAnsi="宋体"/>
          <w:color w:val="000000"/>
        </w:rPr>
        <w:t>3.</w:t>
      </w:r>
      <w:r>
        <w:rPr>
          <w:rFonts w:hAnsi="宋体"/>
          <w:color w:val="000000"/>
        </w:rPr>
        <w:t>投标人对评标结果无异议的，采购人应在收到评标报告后5个工作日内对评标结果进行确认。如有投标人对评标结果提出质疑的，采购人可在质疑处理完毕后确定中标人。</w:t>
      </w:r>
    </w:p>
    <w:p>
      <w:pPr>
        <w:pStyle w:val="8"/>
        <w:snapToGrid w:val="0"/>
        <w:spacing w:beforeLines="0" w:afterLines="0" w:line="240" w:lineRule="auto"/>
        <w:ind w:firstLine="480" w:firstLineChars="200"/>
        <w:rPr>
          <w:rFonts w:hAnsi="宋体"/>
          <w:color w:val="000000"/>
        </w:rPr>
      </w:pPr>
      <w:r>
        <w:rPr>
          <w:rFonts w:hint="eastAsia" w:hAnsi="宋体"/>
          <w:color w:val="000000"/>
        </w:rPr>
        <w:t>4.评标委员会依法确定中标人后</w:t>
      </w:r>
      <w:r>
        <w:rPr>
          <w:rFonts w:hAnsi="宋体"/>
          <w:color w:val="000000"/>
        </w:rPr>
        <w:t>2个工作日内，招标方以书面形式发出《中标通知书》,并同时在相关网站上发布中标公告。</w:t>
      </w:r>
    </w:p>
    <w:p>
      <w:pPr>
        <w:pStyle w:val="8"/>
        <w:snapToGrid w:val="0"/>
        <w:spacing w:beforeLines="0" w:afterLines="0" w:line="240" w:lineRule="auto"/>
        <w:ind w:firstLine="551" w:firstLineChars="196"/>
        <w:outlineLvl w:val="1"/>
        <w:rPr>
          <w:rFonts w:hAnsi="宋体"/>
          <w:b/>
          <w:color w:val="000000"/>
          <w:sz w:val="28"/>
          <w:szCs w:val="28"/>
        </w:rPr>
      </w:pPr>
      <w:r>
        <w:rPr>
          <w:rFonts w:hint="eastAsia" w:hAnsi="宋体"/>
          <w:b/>
          <w:color w:val="000000"/>
          <w:sz w:val="28"/>
          <w:szCs w:val="28"/>
        </w:rPr>
        <w:t>七、合同授予</w:t>
      </w:r>
    </w:p>
    <w:p>
      <w:pPr>
        <w:pStyle w:val="8"/>
        <w:snapToGrid w:val="0"/>
        <w:spacing w:beforeLines="0" w:afterLines="0" w:line="240" w:lineRule="auto"/>
        <w:ind w:firstLine="472" w:firstLineChars="196"/>
        <w:rPr>
          <w:rFonts w:hAnsi="宋体"/>
          <w:color w:val="000000"/>
        </w:rPr>
      </w:pPr>
      <w:r>
        <w:rPr>
          <w:rFonts w:hint="eastAsia" w:hAnsi="宋体"/>
          <w:b/>
          <w:color w:val="000000"/>
        </w:rPr>
        <w:t>（一）签订合同</w:t>
      </w:r>
    </w:p>
    <w:p>
      <w:pPr>
        <w:snapToGrid w:val="0"/>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.招标方与</w:t>
      </w:r>
      <w:r>
        <w:rPr>
          <w:rFonts w:ascii="宋体" w:hAnsi="宋体"/>
          <w:color w:val="000000"/>
          <w:sz w:val="24"/>
        </w:rPr>
        <w:t>中标人应</w:t>
      </w:r>
      <w:r>
        <w:rPr>
          <w:rFonts w:hint="eastAsia" w:ascii="宋体" w:hAnsi="宋体"/>
          <w:color w:val="000000"/>
          <w:sz w:val="24"/>
        </w:rPr>
        <w:t>当在《</w:t>
      </w:r>
      <w:r>
        <w:rPr>
          <w:rFonts w:ascii="宋体" w:hAnsi="宋体"/>
          <w:color w:val="000000"/>
          <w:sz w:val="24"/>
        </w:rPr>
        <w:t>中标通知书</w:t>
      </w:r>
      <w:r>
        <w:rPr>
          <w:rFonts w:hint="eastAsia" w:ascii="宋体" w:hAnsi="宋体"/>
          <w:color w:val="000000"/>
          <w:sz w:val="24"/>
        </w:rPr>
        <w:t>》发出之日起30日内签订政府采购合同。</w:t>
      </w:r>
    </w:p>
    <w:p>
      <w:pPr>
        <w:snapToGrid w:val="0"/>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中标人拖延、拒签合同的</w:t>
      </w:r>
      <w:r>
        <w:rPr>
          <w:rFonts w:hint="eastAsia" w:ascii="宋体" w:hAnsi="宋体"/>
          <w:color w:val="000000"/>
          <w:sz w:val="24"/>
        </w:rPr>
        <w:t>，</w:t>
      </w:r>
      <w:r>
        <w:rPr>
          <w:rFonts w:ascii="宋体" w:hAnsi="宋体"/>
          <w:color w:val="000000"/>
          <w:sz w:val="24"/>
        </w:rPr>
        <w:t>将取消中标资格。</w:t>
      </w:r>
    </w:p>
    <w:p>
      <w:pPr>
        <w:snapToGrid w:val="0"/>
        <w:ind w:firstLine="480" w:firstLineChars="200"/>
        <w:rPr>
          <w:rFonts w:hAnsi="宋体"/>
          <w:color w:val="000000"/>
        </w:rPr>
      </w:pPr>
      <w:r>
        <w:rPr>
          <w:rFonts w:hint="eastAsia" w:ascii="宋体" w:hAnsi="宋体"/>
          <w:color w:val="000000"/>
          <w:sz w:val="24"/>
        </w:rPr>
        <w:t>3.中标通知书发出后，若中标人放弃中标，应当承担相应的法律责任，中标通知书对采购人和中标人具有同等法律效力。当确定的中标人放弃中标，采购人可以依次类推，由第二预中标人中标，或重新组织招标。</w:t>
      </w: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hint="eastAsia" w:ascii="黑体" w:hAnsi="宋体" w:eastAsia="黑体"/>
          <w:b/>
          <w:color w:val="000000"/>
          <w:sz w:val="30"/>
          <w:szCs w:val="30"/>
        </w:rPr>
      </w:pPr>
    </w:p>
    <w:p>
      <w:pPr>
        <w:pStyle w:val="8"/>
        <w:snapToGrid w:val="0"/>
        <w:spacing w:beforeLines="0" w:afterLines="0" w:line="240" w:lineRule="auto"/>
        <w:jc w:val="center"/>
        <w:rPr>
          <w:rFonts w:ascii="黑体" w:hAnsi="宋体" w:eastAsia="黑体"/>
          <w:b/>
          <w:color w:val="000000"/>
          <w:sz w:val="30"/>
          <w:szCs w:val="30"/>
        </w:rPr>
      </w:pPr>
      <w:r>
        <w:rPr>
          <w:rFonts w:hint="eastAsia" w:ascii="黑体" w:hAnsi="宋体" w:eastAsia="黑体"/>
          <w:b/>
          <w:color w:val="000000"/>
          <w:sz w:val="30"/>
          <w:szCs w:val="30"/>
        </w:rPr>
        <w:t>第四章 评标办法及评分标准</w:t>
      </w:r>
    </w:p>
    <w:p>
      <w:pPr>
        <w:pStyle w:val="8"/>
        <w:snapToGrid w:val="0"/>
        <w:spacing w:before="120" w:afterLines="0" w:line="240" w:lineRule="auto"/>
        <w:outlineLvl w:val="0"/>
        <w:rPr>
          <w:rFonts w:ascii="黑体" w:hAnsi="宋体" w:eastAsia="黑体"/>
          <w:b/>
          <w:color w:val="000000"/>
          <w:sz w:val="30"/>
          <w:szCs w:val="30"/>
        </w:rPr>
      </w:pPr>
    </w:p>
    <w:p>
      <w:pPr>
        <w:spacing w:line="400" w:lineRule="exact"/>
        <w:ind w:firstLine="480" w:firstLineChars="200"/>
        <w:rPr>
          <w:rFonts w:ascii="宋体" w:hAnsi="宋体"/>
          <w:color w:val="000000"/>
          <w:sz w:val="24"/>
        </w:rPr>
      </w:pPr>
      <w:r>
        <w:rPr>
          <w:rFonts w:hint="eastAsia" w:ascii="宋体" w:hAnsi="宋体"/>
          <w:color w:val="000000"/>
          <w:sz w:val="24"/>
        </w:rPr>
        <w:t>为公正、公平、科学地选择中标人，根据《中华人民共和国政府采购法》等有关法律法规的规定，并结合本项目的实际，制定本办法。</w:t>
      </w:r>
    </w:p>
    <w:p>
      <w:pPr>
        <w:spacing w:line="400" w:lineRule="exact"/>
        <w:ind w:firstLine="480" w:firstLineChars="200"/>
        <w:rPr>
          <w:rFonts w:ascii="宋体" w:hAnsi="宋体"/>
          <w:color w:val="000000"/>
          <w:sz w:val="24"/>
        </w:rPr>
      </w:pPr>
      <w:r>
        <w:rPr>
          <w:rFonts w:hint="eastAsia" w:ascii="宋体" w:hAnsi="宋体"/>
          <w:color w:val="000000"/>
          <w:sz w:val="24"/>
        </w:rPr>
        <w:t>本办法适用于</w:t>
      </w:r>
      <w:r>
        <w:rPr>
          <w:rFonts w:hint="eastAsia" w:ascii="宋体" w:hAnsi="宋体"/>
          <w:b/>
          <w:bCs/>
          <w:color w:val="000000"/>
          <w:sz w:val="24"/>
          <w:lang w:eastAsia="zh-CN"/>
        </w:rPr>
        <w:t>东阳市环境卫生管理处填埋场除臭服务、灭蝇药剂、道路清洗除臭剂及雾炮器采购项目</w:t>
      </w:r>
      <w:r>
        <w:rPr>
          <w:rFonts w:hint="eastAsia" w:ascii="宋体" w:hAnsi="宋体"/>
          <w:color w:val="000000"/>
          <w:sz w:val="24"/>
        </w:rPr>
        <w:t>的评标。</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一、总则</w:t>
      </w:r>
    </w:p>
    <w:p>
      <w:pPr>
        <w:spacing w:line="400" w:lineRule="exact"/>
        <w:ind w:firstLine="480" w:firstLineChars="200"/>
        <w:rPr>
          <w:rFonts w:ascii="宋体" w:hAnsi="宋体"/>
          <w:color w:val="000000"/>
          <w:sz w:val="24"/>
        </w:rPr>
      </w:pPr>
      <w:r>
        <w:rPr>
          <w:rFonts w:hint="eastAsia" w:ascii="宋体" w:hAnsi="宋体"/>
          <w:color w:val="000000"/>
          <w:sz w:val="24"/>
        </w:rPr>
        <w:t>本次评标采用综合评分法，总分为100分，其中价格分、技术分、商务分、资信及其他分见第二条《评标内容及标准》。合格投标人的评标得分为各项目汇总得分，中标候选资格按评标综合得分由高到低顺序排列，得分相同的，按投标报价由低到高顺序排列；得分且投标报价相同的，按技术、商务、资信及其他分得分由高到低顺序排列。排名第一的投标人为中标候选人,排名第二的投标人为候补中标候选人，其他投标人中标候选资格依此类推。评分过程中采用四舍五入法，并保留小数2位。</w:t>
      </w:r>
    </w:p>
    <w:p>
      <w:pPr>
        <w:spacing w:line="400" w:lineRule="exact"/>
        <w:ind w:firstLine="480" w:firstLineChars="200"/>
        <w:rPr>
          <w:rFonts w:ascii="宋体" w:hAnsi="宋体"/>
          <w:color w:val="000000"/>
          <w:sz w:val="24"/>
        </w:rPr>
      </w:pPr>
      <w:r>
        <w:rPr>
          <w:rFonts w:hint="eastAsia" w:ascii="宋体" w:hAnsi="宋体"/>
          <w:color w:val="000000"/>
          <w:sz w:val="24"/>
        </w:rPr>
        <w:t>投标人评标综合得分=价格分+技术分+商务分+资信及其他分</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二、评标内容及标准</w:t>
      </w:r>
    </w:p>
    <w:p>
      <w:pPr>
        <w:rPr>
          <w:sz w:val="32"/>
          <w:szCs w:val="32"/>
        </w:rPr>
      </w:pPr>
      <w:r>
        <w:rPr>
          <w:rFonts w:hint="eastAsia"/>
          <w:sz w:val="32"/>
          <w:szCs w:val="32"/>
        </w:rPr>
        <w:t>标一：除臭服务（除臭药剂）</w:t>
      </w:r>
    </w:p>
    <w:p>
      <w:pPr>
        <w:spacing w:beforeLines="50" w:afterLines="50"/>
        <w:ind w:firstLine="472" w:firstLineChars="196"/>
        <w:rPr>
          <w:rFonts w:ascii="宋体" w:hAnsi="宋体"/>
          <w:b/>
          <w:bCs/>
          <w:color w:val="000000"/>
          <w:sz w:val="24"/>
        </w:rPr>
      </w:pPr>
      <w:r>
        <w:rPr>
          <w:rFonts w:ascii="宋体" w:hAnsi="宋体"/>
          <w:b/>
          <w:bCs/>
          <w:color w:val="000000"/>
          <w:sz w:val="24"/>
        </w:rPr>
        <w:t>（</w:t>
      </w:r>
      <w:r>
        <w:rPr>
          <w:rFonts w:hint="eastAsia" w:ascii="宋体" w:hAnsi="宋体"/>
          <w:b/>
          <w:bCs/>
          <w:color w:val="000000"/>
          <w:sz w:val="24"/>
        </w:rPr>
        <w:t>一</w:t>
      </w:r>
      <w:r>
        <w:rPr>
          <w:rFonts w:ascii="宋体" w:hAnsi="宋体"/>
          <w:b/>
          <w:bCs/>
          <w:color w:val="000000"/>
          <w:sz w:val="24"/>
        </w:rPr>
        <w:t>）价格分（</w:t>
      </w:r>
      <w:r>
        <w:rPr>
          <w:rFonts w:hint="eastAsia" w:ascii="宋体" w:hAnsi="宋体"/>
          <w:b/>
          <w:bCs/>
          <w:color w:val="000000"/>
          <w:sz w:val="24"/>
        </w:rPr>
        <w:t>40</w:t>
      </w:r>
      <w:r>
        <w:rPr>
          <w:rFonts w:ascii="宋体" w:hAnsi="宋体"/>
          <w:b/>
          <w:bCs/>
          <w:color w:val="000000"/>
          <w:sz w:val="24"/>
        </w:rPr>
        <w:t>分）</w:t>
      </w:r>
    </w:p>
    <w:p>
      <w:pPr>
        <w:pStyle w:val="7"/>
        <w:spacing w:beforeLines="50" w:afterLines="50" w:line="400" w:lineRule="exact"/>
        <w:ind w:firstLine="464" w:firstLineChars="200"/>
        <w:rPr>
          <w:rFonts w:hAnsi="宋体"/>
          <w:bCs/>
          <w:color w:val="000000"/>
          <w:sz w:val="24"/>
        </w:rPr>
      </w:pPr>
      <w:r>
        <w:rPr>
          <w:rFonts w:hint="eastAsia" w:hAnsi="宋体"/>
          <w:bCs/>
          <w:color w:val="000000"/>
          <w:sz w:val="24"/>
        </w:rPr>
        <w:t>1、价格分采用低价优先法计算，取所有进入报价评审的投标人中投标价格最低的投标报价为评标基准价，其他投标人的价格分按照下列公式计算：</w:t>
      </w:r>
    </w:p>
    <w:p>
      <w:pPr>
        <w:spacing w:beforeLines="50" w:afterLines="50"/>
        <w:ind w:firstLine="470" w:firstLineChars="196"/>
        <w:rPr>
          <w:rFonts w:ascii="宋体" w:hAnsi="宋体"/>
          <w:bCs/>
          <w:color w:val="000000"/>
          <w:spacing w:val="-4"/>
          <w:sz w:val="24"/>
          <w:szCs w:val="20"/>
        </w:rPr>
      </w:pPr>
      <w:r>
        <w:rPr>
          <w:rFonts w:hint="eastAsia" w:hAnsi="宋体"/>
          <w:bCs/>
          <w:color w:val="000000"/>
          <w:sz w:val="24"/>
        </w:rPr>
        <w:t>价格分=（评标基准价/投标报价</w:t>
      </w:r>
      <w:r>
        <w:rPr>
          <w:rFonts w:hint="eastAsia" w:ascii="宋体" w:hAnsi="宋体"/>
          <w:bCs/>
          <w:color w:val="000000"/>
          <w:spacing w:val="-4"/>
          <w:sz w:val="24"/>
          <w:szCs w:val="20"/>
        </w:rPr>
        <w:t>）×40分</w:t>
      </w:r>
    </w:p>
    <w:p>
      <w:pPr>
        <w:tabs>
          <w:tab w:val="left" w:pos="982"/>
        </w:tabs>
        <w:snapToGrid w:val="0"/>
        <w:ind w:left="-2" w:leftChars="-1" w:firstLine="512" w:firstLineChars="220"/>
        <w:rPr>
          <w:rFonts w:ascii="宋体" w:hAnsi="宋体"/>
          <w:b/>
          <w:spacing w:val="-4"/>
          <w:sz w:val="24"/>
        </w:rPr>
      </w:pPr>
      <w:r>
        <w:rPr>
          <w:rFonts w:hint="eastAsia" w:ascii="宋体" w:hAnsi="宋体"/>
          <w:b/>
          <w:spacing w:val="-4"/>
          <w:sz w:val="24"/>
        </w:rPr>
        <w:t>2、依据《政府采购促进中小企业发展暂行办法》（财库〔2011〕181号）文件、《财政部、司法部关于政府采购支持监狱企业发展有关问题的通知》（财库〔2014〕68号）文件及《财政部、民政部、中国残疾人联合会关于促进残疾人就业政府采购政策的通知》（财库〔2017〕 141号）的规定，对小型和微型企业、监狱企业、残疾人福利性单位生产的产品价格给予6%～10%的扣除，用扣除后的价格参与评审。本项目的扣除比例为6 %。小型和微型企业是指投标文件中提供了中小企业声明函且符合《政府采购促进中小企业发展暂行办法》（财库〔2011〕181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pStyle w:val="13"/>
        <w:spacing w:beforeLines="30" w:beforeAutospacing="0" w:afterLines="30" w:afterAutospacing="0" w:line="320" w:lineRule="exact"/>
        <w:ind w:firstLine="466" w:firstLineChars="200"/>
        <w:rPr>
          <w:bCs/>
        </w:rPr>
      </w:pPr>
      <w:r>
        <w:rPr>
          <w:rFonts w:hint="eastAsia"/>
          <w:b/>
          <w:color w:val="auto"/>
          <w:spacing w:val="-4"/>
          <w:kern w:val="2"/>
        </w:rPr>
        <w:t>小微企业的评审价格=小微企业的投标报价 － 小型、微型企业生产的产品</w:t>
      </w:r>
      <w:r>
        <w:rPr>
          <w:rFonts w:hint="eastAsia"/>
          <w:b/>
          <w:color w:val="auto"/>
          <w:spacing w:val="-4"/>
          <w:kern w:val="2"/>
          <w:lang w:val="en-GB"/>
        </w:rPr>
        <w:t>金额合计</w:t>
      </w:r>
      <w:r>
        <w:rPr>
          <w:rFonts w:hint="eastAsia"/>
          <w:b/>
          <w:color w:val="auto"/>
          <w:spacing w:val="-4"/>
          <w:kern w:val="2"/>
        </w:rPr>
        <w:t>×6%</w:t>
      </w:r>
    </w:p>
    <w:p>
      <w:pPr>
        <w:pStyle w:val="7"/>
        <w:spacing w:line="360" w:lineRule="auto"/>
        <w:ind w:firstLine="466" w:firstLineChars="200"/>
        <w:rPr>
          <w:rFonts w:hAnsi="宋体"/>
          <w:b/>
          <w:color w:val="000000"/>
          <w:sz w:val="24"/>
          <w:szCs w:val="24"/>
        </w:rPr>
      </w:pPr>
      <w:r>
        <w:rPr>
          <w:rFonts w:hint="eastAsia" w:hAnsi="宋体"/>
          <w:b/>
          <w:color w:val="000000"/>
          <w:sz w:val="24"/>
          <w:szCs w:val="24"/>
        </w:rPr>
        <w:t>（二）技术分、商务分、资信及其他分，共60分。</w:t>
      </w:r>
    </w:p>
    <w:p>
      <w:pPr>
        <w:pStyle w:val="7"/>
        <w:spacing w:beforeLines="50" w:afterLines="50" w:line="320" w:lineRule="exact"/>
        <w:ind w:firstLine="466" w:firstLineChars="200"/>
        <w:rPr>
          <w:rFonts w:hAnsi="宋体"/>
          <w:b/>
          <w:sz w:val="24"/>
          <w:szCs w:val="24"/>
        </w:rPr>
      </w:pPr>
      <w:r>
        <w:rPr>
          <w:rFonts w:hint="eastAsia" w:hAnsi="宋体"/>
          <w:b/>
          <w:sz w:val="24"/>
          <w:szCs w:val="24"/>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pPr>
        <w:spacing w:line="400" w:lineRule="exact"/>
        <w:ind w:firstLine="472" w:firstLineChars="196"/>
        <w:rPr>
          <w:rFonts w:ascii="宋体" w:hAnsi="宋体"/>
          <w:b/>
          <w:bCs/>
          <w:color w:val="000000"/>
          <w:sz w:val="24"/>
        </w:rPr>
      </w:pPr>
      <w:r>
        <w:rPr>
          <w:rFonts w:hint="eastAsia" w:ascii="宋体" w:hAnsi="宋体"/>
          <w:b/>
          <w:bCs/>
          <w:color w:val="000000"/>
          <w:sz w:val="24"/>
        </w:rPr>
        <w:t>（三）技术、商务、资信及其他分的计算</w:t>
      </w:r>
    </w:p>
    <w:p>
      <w:pPr>
        <w:spacing w:beforeLines="50" w:afterLines="50" w:line="276" w:lineRule="auto"/>
        <w:ind w:firstLine="480" w:firstLineChars="200"/>
        <w:rPr>
          <w:rFonts w:ascii="宋体" w:hAnsi="宋体"/>
          <w:color w:val="000000"/>
          <w:sz w:val="24"/>
        </w:rPr>
      </w:pPr>
      <w:r>
        <w:rPr>
          <w:rFonts w:hint="eastAsia" w:ascii="宋体" w:hAnsi="宋体"/>
          <w:color w:val="000000"/>
          <w:sz w:val="24"/>
        </w:rPr>
        <w:t>技术、商务及其它、资信分按照评标委员会成员的独立评分结果的算术平均分计算，计算公式为：</w:t>
      </w:r>
    </w:p>
    <w:p>
      <w:pPr>
        <w:spacing w:beforeLines="50" w:afterLines="50" w:line="276" w:lineRule="auto"/>
        <w:ind w:firstLine="495"/>
        <w:rPr>
          <w:rFonts w:ascii="宋体" w:hAnsi="宋体"/>
          <w:b/>
          <w:color w:val="000000"/>
          <w:sz w:val="24"/>
        </w:rPr>
      </w:pPr>
      <w:r>
        <w:rPr>
          <w:rFonts w:hint="eastAsia" w:ascii="宋体" w:hAnsi="宋体"/>
          <w:color w:val="000000"/>
          <w:sz w:val="24"/>
        </w:rPr>
        <w:t>技术、商务及其它、资信分=评标委员会所有成员评分合计数/评标委员会组成人员数</w:t>
      </w:r>
    </w:p>
    <w:p>
      <w:pPr>
        <w:snapToGrid w:val="0"/>
        <w:spacing w:line="360" w:lineRule="auto"/>
        <w:rPr>
          <w:rFonts w:ascii="宋体" w:hAnsi="宋体"/>
          <w:b/>
          <w:sz w:val="24"/>
        </w:rPr>
      </w:pPr>
      <w:r>
        <w:rPr>
          <w:rFonts w:hint="eastAsia" w:ascii="宋体" w:hAnsi="宋体"/>
          <w:b/>
          <w:sz w:val="24"/>
        </w:rPr>
        <w:t>附件：评分表格式（技术、商务、资信及其他分，共60分）</w:t>
      </w:r>
    </w:p>
    <w:tbl>
      <w:tblPr>
        <w:tblStyle w:val="15"/>
        <w:tblpPr w:leftFromText="180" w:rightFromText="180" w:vertAnchor="text" w:horzAnchor="page" w:tblpX="1462" w:tblpY="448"/>
        <w:tblOverlap w:val="never"/>
        <w:tblW w:w="93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5"/>
        <w:gridCol w:w="524"/>
        <w:gridCol w:w="570"/>
        <w:gridCol w:w="7084"/>
        <w:gridCol w:w="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序号</w:t>
            </w:r>
          </w:p>
        </w:tc>
        <w:tc>
          <w:tcPr>
            <w:tcW w:w="1094" w:type="dxa"/>
            <w:gridSpan w:val="2"/>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评审内容</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firstLine="2356" w:firstLineChars="978"/>
              <w:rPr>
                <w:rFonts w:ascii="宋体" w:cs="仿宋"/>
                <w:b/>
                <w:bCs/>
                <w:sz w:val="24"/>
              </w:rPr>
            </w:pPr>
            <w:r>
              <w:rPr>
                <w:rFonts w:hint="eastAsia" w:ascii="宋体" w:hAnsi="宋体" w:cs="仿宋"/>
                <w:b/>
                <w:bCs/>
                <w:sz w:val="24"/>
              </w:rPr>
              <w:t>评分标准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bCs/>
                <w:sz w:val="24"/>
              </w:rPr>
            </w:pPr>
            <w:r>
              <w:rPr>
                <w:rFonts w:hint="eastAsia" w:ascii="宋体" w:hAnsi="宋体" w:cs="仿宋"/>
                <w:b/>
                <w:bCs/>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一</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b/>
                <w:bCs/>
                <w:sz w:val="24"/>
              </w:rPr>
            </w:pPr>
            <w:r>
              <w:rPr>
                <w:rFonts w:hint="eastAsia" w:ascii="宋体" w:hAnsi="宋体" w:cs="仿宋"/>
                <w:b/>
                <w:bCs/>
                <w:sz w:val="24"/>
              </w:rPr>
              <w:t>技术分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bCs/>
                <w:sz w:val="24"/>
              </w:rPr>
            </w:pPr>
            <w:r>
              <w:rPr>
                <w:rFonts w:hint="eastAsia" w:ascii="宋体" w:hAnsi="宋体" w:cs="仿宋"/>
                <w:b/>
                <w:bCs/>
                <w:sz w:val="24"/>
              </w:rPr>
              <w:t>2</w:t>
            </w:r>
            <w:r>
              <w:rPr>
                <w:rFonts w:hint="eastAsia" w:ascii="宋体" w:hAnsi="宋体" w:cs="仿宋"/>
                <w:b/>
                <w:bCs/>
                <w:sz w:val="24"/>
                <w:lang w:val="en-US" w:eastAsia="zh-CN"/>
              </w:rPr>
              <w:t>2</w:t>
            </w:r>
            <w:r>
              <w:rPr>
                <w:rFonts w:hint="eastAsia" w:ascii="宋体" w:hAnsi="宋体" w:cs="仿宋"/>
                <w:b/>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13" w:hRule="exact"/>
        </w:trPr>
        <w:tc>
          <w:tcPr>
            <w:tcW w:w="435" w:type="dxa"/>
            <w:tcBorders>
              <w:top w:val="nil"/>
              <w:bottom w:val="single" w:color="auto" w:sz="4" w:space="0"/>
              <w:right w:val="single" w:color="auto" w:sz="4" w:space="0"/>
            </w:tcBorders>
            <w:noWrap/>
            <w:vAlign w:val="center"/>
          </w:tcPr>
          <w:p>
            <w:pPr>
              <w:numPr>
                <w:ilvl w:val="0"/>
                <w:numId w:val="6"/>
              </w:numPr>
              <w:ind w:left="420" w:right="-105" w:rightChars="-50"/>
              <w:rPr>
                <w:rFonts w:ascii="宋体" w:cs="仿宋"/>
                <w:color w:val="000000" w:themeColor="text1"/>
                <w:sz w:val="24"/>
              </w:rPr>
            </w:pPr>
          </w:p>
        </w:tc>
        <w:tc>
          <w:tcPr>
            <w:tcW w:w="524" w:type="dxa"/>
            <w:vMerge w:val="restart"/>
            <w:tcBorders>
              <w:top w:val="single" w:color="auto" w:sz="4" w:space="0"/>
              <w:left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技术能力</w:t>
            </w:r>
          </w:p>
        </w:tc>
        <w:tc>
          <w:tcPr>
            <w:tcW w:w="570" w:type="dxa"/>
            <w:vMerge w:val="restart"/>
            <w:tcBorders>
              <w:top w:val="nil"/>
              <w:left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生物除臭剂产品技术参数要求</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该药剂</w:t>
            </w:r>
            <w:r>
              <w:rPr>
                <w:rFonts w:hint="eastAsia" w:ascii="宋体" w:hAnsi="宋体" w:cs="仿宋"/>
                <w:b/>
                <w:bCs/>
                <w:color w:val="000000" w:themeColor="text1"/>
                <w:sz w:val="24"/>
              </w:rPr>
              <w:t>原液</w:t>
            </w:r>
            <w:r>
              <w:rPr>
                <w:rFonts w:hint="eastAsia" w:ascii="宋体" w:hAnsi="宋体" w:cs="仿宋"/>
                <w:color w:val="000000" w:themeColor="text1"/>
                <w:sz w:val="24"/>
              </w:rPr>
              <w:t>对人体无毒无害，并提供</w:t>
            </w:r>
            <w:r>
              <w:rPr>
                <w:rFonts w:ascii="宋体" w:hAnsi="宋体" w:cs="仿宋"/>
                <w:color w:val="000000" w:themeColor="text1"/>
                <w:sz w:val="24"/>
              </w:rPr>
              <w:t>2018</w:t>
            </w:r>
            <w:r>
              <w:rPr>
                <w:rFonts w:hint="eastAsia" w:ascii="宋体" w:hAnsi="宋体" w:cs="仿宋"/>
                <w:color w:val="000000" w:themeColor="text1"/>
                <w:sz w:val="24"/>
              </w:rPr>
              <w:t>年后（包括</w:t>
            </w:r>
            <w:r>
              <w:rPr>
                <w:rFonts w:ascii="宋体" w:hAnsi="宋体" w:cs="仿宋"/>
                <w:color w:val="000000" w:themeColor="text1"/>
                <w:sz w:val="24"/>
              </w:rPr>
              <w:t>2018</w:t>
            </w:r>
            <w:r>
              <w:rPr>
                <w:rFonts w:hint="eastAsia" w:ascii="宋体" w:hAnsi="宋体" w:cs="仿宋"/>
                <w:color w:val="000000" w:themeColor="text1"/>
                <w:sz w:val="24"/>
              </w:rPr>
              <w:t>年）国家或省级第三方检测机构出具的加盖</w:t>
            </w:r>
            <w:r>
              <w:rPr>
                <w:rFonts w:ascii="宋体" w:hAnsi="宋体" w:cs="仿宋"/>
                <w:color w:val="000000" w:themeColor="text1"/>
                <w:sz w:val="24"/>
              </w:rPr>
              <w:t>CMA</w:t>
            </w:r>
            <w:r>
              <w:rPr>
                <w:rFonts w:hint="eastAsia" w:ascii="宋体" w:hAnsi="宋体" w:cs="仿宋"/>
                <w:color w:val="000000" w:themeColor="text1"/>
                <w:sz w:val="24"/>
              </w:rPr>
              <w:t>章的</w:t>
            </w:r>
            <w:r>
              <w:rPr>
                <w:rFonts w:hint="eastAsia" w:ascii="宋体" w:hAnsi="宋体" w:cs="仿宋"/>
                <w:b/>
                <w:bCs/>
                <w:color w:val="000000" w:themeColor="text1"/>
                <w:sz w:val="24"/>
              </w:rPr>
              <w:t>原液无毒无害</w:t>
            </w:r>
            <w:r>
              <w:rPr>
                <w:rFonts w:hint="eastAsia" w:ascii="宋体" w:hAnsi="宋体" w:cs="仿宋"/>
                <w:color w:val="000000" w:themeColor="text1"/>
                <w:sz w:val="24"/>
              </w:rPr>
              <w:t>检测报告为依据：</w:t>
            </w:r>
            <w:r>
              <w:rPr>
                <w:rFonts w:ascii="宋体" w:hAnsi="宋体" w:cs="仿宋"/>
                <w:color w:val="000000" w:themeColor="text1"/>
                <w:sz w:val="24"/>
              </w:rPr>
              <w:t>a</w:t>
            </w:r>
            <w:r>
              <w:rPr>
                <w:rFonts w:hint="eastAsia" w:ascii="宋体" w:hAnsi="宋体" w:cs="仿宋"/>
                <w:color w:val="000000" w:themeColor="text1"/>
                <w:sz w:val="24"/>
              </w:rPr>
              <w:t>、提供急性口毒毒性检测报告；</w:t>
            </w:r>
            <w:r>
              <w:rPr>
                <w:rFonts w:ascii="宋体" w:hAnsi="宋体" w:cs="仿宋"/>
                <w:color w:val="000000" w:themeColor="text1"/>
                <w:sz w:val="24"/>
              </w:rPr>
              <w:t>b</w:t>
            </w:r>
            <w:r>
              <w:rPr>
                <w:rFonts w:hint="eastAsia" w:ascii="宋体" w:hAnsi="宋体" w:cs="仿宋"/>
                <w:color w:val="000000" w:themeColor="text1"/>
                <w:sz w:val="24"/>
              </w:rPr>
              <w:t>、提供皮肤刺激性毒性检测报告；</w:t>
            </w:r>
            <w:r>
              <w:rPr>
                <w:rFonts w:ascii="宋体" w:hAnsi="宋体" w:cs="仿宋"/>
                <w:color w:val="000000" w:themeColor="text1"/>
                <w:sz w:val="24"/>
              </w:rPr>
              <w:t>c</w:t>
            </w:r>
            <w:r>
              <w:rPr>
                <w:rFonts w:hint="eastAsia" w:ascii="宋体" w:hAnsi="宋体" w:cs="仿宋"/>
                <w:color w:val="000000" w:themeColor="text1"/>
                <w:sz w:val="24"/>
              </w:rPr>
              <w:t>、提供吸入性毒性检测报告；</w:t>
            </w:r>
            <w:r>
              <w:rPr>
                <w:rFonts w:ascii="宋体" w:hAnsi="宋体" w:cs="仿宋"/>
                <w:color w:val="000000" w:themeColor="text1"/>
                <w:sz w:val="24"/>
              </w:rPr>
              <w:t>d</w:t>
            </w:r>
            <w:r>
              <w:rPr>
                <w:rFonts w:hint="eastAsia" w:ascii="宋体" w:hAnsi="宋体" w:cs="仿宋"/>
                <w:color w:val="000000" w:themeColor="text1"/>
                <w:sz w:val="24"/>
              </w:rPr>
              <w:t>、提供眼刺激性检测报告；每提供</w:t>
            </w:r>
            <w:r>
              <w:rPr>
                <w:rFonts w:ascii="宋体" w:hAnsi="宋体" w:cs="仿宋"/>
                <w:color w:val="000000" w:themeColor="text1"/>
                <w:sz w:val="24"/>
              </w:rPr>
              <w:t>1</w:t>
            </w:r>
            <w:r>
              <w:rPr>
                <w:rFonts w:hint="eastAsia" w:ascii="宋体" w:hAnsi="宋体" w:cs="仿宋"/>
                <w:color w:val="000000" w:themeColor="text1"/>
                <w:sz w:val="24"/>
              </w:rPr>
              <w:t>份得</w:t>
            </w:r>
            <w:r>
              <w:rPr>
                <w:rFonts w:hint="eastAsia" w:ascii="宋体" w:hAnsi="宋体" w:cs="仿宋"/>
                <w:color w:val="000000" w:themeColor="text1"/>
                <w:sz w:val="24"/>
                <w:lang w:val="en-US" w:eastAsia="zh-CN"/>
              </w:rPr>
              <w:t>1</w:t>
            </w:r>
            <w:r>
              <w:rPr>
                <w:rFonts w:hint="eastAsia" w:ascii="宋体" w:hAnsi="宋体" w:cs="仿宋"/>
                <w:color w:val="000000" w:themeColor="text1"/>
                <w:sz w:val="24"/>
              </w:rPr>
              <w:t>分，总分</w:t>
            </w:r>
            <w:r>
              <w:rPr>
                <w:rFonts w:hint="eastAsia" w:ascii="宋体" w:hAnsi="宋体" w:cs="仿宋"/>
                <w:color w:val="000000" w:themeColor="text1"/>
                <w:sz w:val="24"/>
                <w:lang w:val="en-US" w:eastAsia="zh-CN"/>
              </w:rPr>
              <w:t>4</w:t>
            </w:r>
            <w:r>
              <w:rPr>
                <w:rFonts w:hint="eastAsia" w:ascii="宋体" w:hAnsi="宋体" w:cs="仿宋"/>
                <w:color w:val="000000" w:themeColor="text1"/>
                <w:sz w:val="24"/>
              </w:rPr>
              <w:t>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60" w:hRule="exact"/>
        </w:trPr>
        <w:tc>
          <w:tcPr>
            <w:tcW w:w="435" w:type="dxa"/>
            <w:tcBorders>
              <w:top w:val="nil"/>
              <w:bottom w:val="single" w:color="auto" w:sz="4" w:space="0"/>
              <w:right w:val="single" w:color="auto" w:sz="4" w:space="0"/>
            </w:tcBorders>
            <w:noWrap/>
            <w:vAlign w:val="center"/>
          </w:tcPr>
          <w:p>
            <w:pPr>
              <w:numPr>
                <w:ilvl w:val="0"/>
                <w:numId w:val="6"/>
              </w:numPr>
              <w:ind w:left="420" w:right="-105" w:rightChars="-50"/>
              <w:rPr>
                <w:rFonts w:ascii="宋体" w:cs="仿宋"/>
                <w:color w:val="000000" w:themeColor="text1"/>
                <w:sz w:val="24"/>
              </w:rPr>
            </w:pPr>
          </w:p>
        </w:tc>
        <w:tc>
          <w:tcPr>
            <w:tcW w:w="524" w:type="dxa"/>
            <w:vMerge w:val="continue"/>
            <w:tcBorders>
              <w:left w:val="single" w:color="auto" w:sz="4" w:space="0"/>
              <w:right w:val="single" w:color="auto" w:sz="4" w:space="0"/>
            </w:tcBorders>
            <w:noWrap/>
            <w:vAlign w:val="center"/>
          </w:tcPr>
          <w:p>
            <w:pPr>
              <w:ind w:right="-105" w:rightChars="-50"/>
              <w:rPr>
                <w:rFonts w:ascii="宋体" w:cs="仿宋"/>
                <w:color w:val="000000" w:themeColor="text1"/>
                <w:sz w:val="24"/>
              </w:rPr>
            </w:pPr>
          </w:p>
        </w:tc>
        <w:tc>
          <w:tcPr>
            <w:tcW w:w="570" w:type="dxa"/>
            <w:vMerge w:val="continue"/>
            <w:tcBorders>
              <w:left w:val="single" w:color="auto" w:sz="4" w:space="0"/>
              <w:right w:val="single" w:color="auto" w:sz="4" w:space="0"/>
            </w:tcBorders>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提供</w:t>
            </w:r>
            <w:r>
              <w:rPr>
                <w:rFonts w:ascii="宋体" w:hAnsi="宋体" w:cs="仿宋"/>
                <w:color w:val="000000" w:themeColor="text1"/>
                <w:sz w:val="24"/>
              </w:rPr>
              <w:t>2018</w:t>
            </w:r>
            <w:r>
              <w:rPr>
                <w:rFonts w:hint="eastAsia" w:ascii="宋体" w:hAnsi="宋体" w:cs="仿宋"/>
                <w:color w:val="000000" w:themeColor="text1"/>
                <w:sz w:val="24"/>
              </w:rPr>
              <w:t>年后（包括</w:t>
            </w:r>
            <w:r>
              <w:rPr>
                <w:rFonts w:ascii="宋体" w:hAnsi="宋体" w:cs="仿宋"/>
                <w:color w:val="000000" w:themeColor="text1"/>
                <w:sz w:val="24"/>
              </w:rPr>
              <w:t>2018</w:t>
            </w:r>
            <w:r>
              <w:rPr>
                <w:rFonts w:hint="eastAsia" w:ascii="宋体" w:hAnsi="宋体" w:cs="仿宋"/>
                <w:color w:val="000000" w:themeColor="text1"/>
                <w:sz w:val="24"/>
              </w:rPr>
              <w:t>年）国家或省级第三方检测机构出具的加盖</w:t>
            </w:r>
            <w:r>
              <w:rPr>
                <w:rFonts w:ascii="宋体" w:hAnsi="宋体" w:cs="仿宋"/>
                <w:color w:val="000000" w:themeColor="text1"/>
                <w:sz w:val="24"/>
              </w:rPr>
              <w:t>CMA</w:t>
            </w:r>
            <w:r>
              <w:rPr>
                <w:rFonts w:hint="eastAsia" w:ascii="宋体" w:hAnsi="宋体" w:cs="仿宋"/>
                <w:color w:val="000000" w:themeColor="text1"/>
                <w:sz w:val="24"/>
              </w:rPr>
              <w:t>章的菌落总数检测报告：菌落总数达</w:t>
            </w:r>
            <w:r>
              <w:rPr>
                <w:rFonts w:ascii="宋体" w:hAnsi="宋体" w:cs="仿宋"/>
                <w:color w:val="000000" w:themeColor="text1"/>
                <w:sz w:val="24"/>
              </w:rPr>
              <w:t>2</w:t>
            </w:r>
            <w:r>
              <w:rPr>
                <w:rFonts w:ascii="宋体" w:cs="仿宋"/>
                <w:color w:val="000000" w:themeColor="text1"/>
                <w:sz w:val="24"/>
              </w:rPr>
              <w:t>.0</w:t>
            </w:r>
            <w:r>
              <w:rPr>
                <w:rFonts w:hint="eastAsia" w:ascii="宋体" w:hAnsi="宋体" w:cs="仿宋"/>
                <w:color w:val="000000" w:themeColor="text1"/>
                <w:sz w:val="24"/>
              </w:rPr>
              <w:t>（含）</w:t>
            </w:r>
            <w:r>
              <w:rPr>
                <w:rFonts w:ascii="宋体" w:hAnsi="宋体" w:cs="仿宋"/>
                <w:color w:val="000000" w:themeColor="text1"/>
                <w:sz w:val="24"/>
              </w:rPr>
              <w:t>*10</w:t>
            </w:r>
            <w:r>
              <w:rPr>
                <w:rFonts w:ascii="宋体" w:hAnsi="宋体" w:cs="仿宋"/>
                <w:color w:val="000000" w:themeColor="text1"/>
                <w:sz w:val="24"/>
                <w:vertAlign w:val="superscript"/>
              </w:rPr>
              <w:t>9</w:t>
            </w:r>
            <w:r>
              <w:rPr>
                <w:rFonts w:ascii="宋体" w:cs="仿宋"/>
                <w:color w:val="000000" w:themeColor="text1"/>
                <w:sz w:val="24"/>
              </w:rPr>
              <w:t>-</w:t>
            </w:r>
            <w:r>
              <w:rPr>
                <w:rFonts w:ascii="宋体" w:hAnsi="宋体" w:cs="仿宋"/>
                <w:color w:val="000000" w:themeColor="text1"/>
                <w:sz w:val="24"/>
              </w:rPr>
              <w:t>2.5*10</w:t>
            </w:r>
            <w:r>
              <w:rPr>
                <w:rFonts w:ascii="宋体" w:hAnsi="宋体" w:cs="仿宋"/>
                <w:color w:val="000000" w:themeColor="text1"/>
                <w:sz w:val="24"/>
                <w:vertAlign w:val="superscript"/>
              </w:rPr>
              <w:t>9</w:t>
            </w:r>
            <w:r>
              <w:rPr>
                <w:rFonts w:ascii="宋体" w:hAnsi="宋体" w:cs="仿宋"/>
                <w:color w:val="000000" w:themeColor="text1"/>
                <w:sz w:val="24"/>
              </w:rPr>
              <w:t>CFU/ml</w:t>
            </w:r>
            <w:r>
              <w:rPr>
                <w:rFonts w:hint="eastAsia" w:ascii="宋体" w:hAnsi="宋体" w:cs="仿宋"/>
                <w:color w:val="000000" w:themeColor="text1"/>
                <w:sz w:val="24"/>
              </w:rPr>
              <w:t>得</w:t>
            </w:r>
            <w:r>
              <w:rPr>
                <w:rFonts w:ascii="宋体" w:hAnsi="宋体" w:cs="仿宋"/>
                <w:color w:val="000000" w:themeColor="text1"/>
                <w:sz w:val="24"/>
              </w:rPr>
              <w:t>1</w:t>
            </w:r>
            <w:r>
              <w:rPr>
                <w:rFonts w:hint="eastAsia" w:ascii="宋体" w:hAnsi="宋体" w:cs="仿宋"/>
                <w:color w:val="000000" w:themeColor="text1"/>
                <w:sz w:val="24"/>
              </w:rPr>
              <w:t>分，菌落总数达</w:t>
            </w:r>
            <w:r>
              <w:rPr>
                <w:rFonts w:ascii="宋体" w:hAnsi="宋体" w:cs="仿宋"/>
                <w:color w:val="000000" w:themeColor="text1"/>
                <w:sz w:val="24"/>
              </w:rPr>
              <w:t>2.5*10</w:t>
            </w:r>
            <w:r>
              <w:rPr>
                <w:rFonts w:ascii="宋体" w:hAnsi="宋体" w:cs="仿宋"/>
                <w:color w:val="000000" w:themeColor="text1"/>
                <w:sz w:val="24"/>
                <w:vertAlign w:val="superscript"/>
              </w:rPr>
              <w:t>9</w:t>
            </w:r>
            <w:r>
              <w:rPr>
                <w:rFonts w:hint="eastAsia" w:ascii="宋体" w:hAnsi="宋体" w:cs="仿宋"/>
                <w:color w:val="000000" w:themeColor="text1"/>
                <w:sz w:val="24"/>
              </w:rPr>
              <w:t>（含）</w:t>
            </w:r>
            <w:r>
              <w:rPr>
                <w:rFonts w:ascii="宋体" w:cs="仿宋"/>
                <w:color w:val="000000" w:themeColor="text1"/>
                <w:sz w:val="24"/>
              </w:rPr>
              <w:t>-</w:t>
            </w:r>
            <w:r>
              <w:rPr>
                <w:rFonts w:ascii="宋体" w:hAnsi="宋体" w:cs="仿宋"/>
                <w:color w:val="000000" w:themeColor="text1"/>
                <w:sz w:val="24"/>
              </w:rPr>
              <w:t>3*10</w:t>
            </w:r>
            <w:r>
              <w:rPr>
                <w:rFonts w:ascii="宋体" w:hAnsi="宋体" w:cs="仿宋"/>
                <w:color w:val="000000" w:themeColor="text1"/>
                <w:sz w:val="24"/>
                <w:vertAlign w:val="superscript"/>
              </w:rPr>
              <w:t>9</w:t>
            </w:r>
            <w:r>
              <w:rPr>
                <w:rFonts w:ascii="宋体" w:hAnsi="宋体" w:cs="仿宋"/>
                <w:color w:val="000000" w:themeColor="text1"/>
                <w:sz w:val="24"/>
              </w:rPr>
              <w:t>CFU/ml</w:t>
            </w:r>
            <w:r>
              <w:rPr>
                <w:rFonts w:hint="eastAsia" w:ascii="宋体" w:hAnsi="宋体" w:cs="仿宋"/>
                <w:color w:val="000000" w:themeColor="text1"/>
                <w:sz w:val="24"/>
              </w:rPr>
              <w:t>得</w:t>
            </w:r>
            <w:r>
              <w:rPr>
                <w:rFonts w:ascii="宋体" w:hAnsi="宋体" w:cs="仿宋"/>
                <w:color w:val="000000" w:themeColor="text1"/>
                <w:sz w:val="24"/>
              </w:rPr>
              <w:t>2</w:t>
            </w:r>
            <w:r>
              <w:rPr>
                <w:rFonts w:hint="eastAsia" w:ascii="宋体" w:hAnsi="宋体" w:cs="仿宋"/>
                <w:color w:val="000000" w:themeColor="text1"/>
                <w:sz w:val="24"/>
              </w:rPr>
              <w:t>分，菌落总数大于</w:t>
            </w:r>
            <w:r>
              <w:rPr>
                <w:rFonts w:ascii="宋体" w:hAnsi="宋体" w:cs="仿宋"/>
                <w:color w:val="000000" w:themeColor="text1"/>
                <w:sz w:val="24"/>
              </w:rPr>
              <w:t>3.0*10</w:t>
            </w:r>
            <w:r>
              <w:rPr>
                <w:rFonts w:ascii="宋体" w:hAnsi="宋体" w:cs="仿宋"/>
                <w:color w:val="000000" w:themeColor="text1"/>
                <w:sz w:val="24"/>
                <w:vertAlign w:val="superscript"/>
              </w:rPr>
              <w:t>9</w:t>
            </w:r>
            <w:r>
              <w:rPr>
                <w:rFonts w:ascii="宋体" w:hAnsi="宋体" w:cs="仿宋"/>
                <w:color w:val="000000" w:themeColor="text1"/>
                <w:sz w:val="24"/>
              </w:rPr>
              <w:t>CFU/ml</w:t>
            </w:r>
            <w:r>
              <w:rPr>
                <w:rFonts w:hint="eastAsia" w:ascii="宋体" w:hAnsi="宋体" w:cs="仿宋"/>
                <w:color w:val="000000" w:themeColor="text1"/>
                <w:sz w:val="24"/>
              </w:rPr>
              <w:t>（含）得</w:t>
            </w:r>
            <w:r>
              <w:rPr>
                <w:rFonts w:ascii="宋体" w:hAnsi="宋体" w:cs="仿宋"/>
                <w:color w:val="000000" w:themeColor="text1"/>
                <w:sz w:val="24"/>
              </w:rPr>
              <w:t>3</w:t>
            </w:r>
            <w:r>
              <w:rPr>
                <w:rFonts w:hint="eastAsia" w:ascii="宋体" w:hAnsi="宋体" w:cs="仿宋"/>
                <w:color w:val="000000" w:themeColor="text1"/>
                <w:sz w:val="24"/>
              </w:rPr>
              <w:t>分，不提供不得分。</w:t>
            </w:r>
          </w:p>
        </w:tc>
        <w:tc>
          <w:tcPr>
            <w:tcW w:w="705" w:type="dxa"/>
            <w:tcBorders>
              <w:top w:val="single" w:color="auto" w:sz="4" w:space="0"/>
              <w:left w:val="single" w:color="auto" w:sz="4" w:space="0"/>
            </w:tcBorders>
            <w:noWrap/>
            <w:vAlign w:val="center"/>
          </w:tcPr>
          <w:p>
            <w:pPr>
              <w:ind w:right="-105" w:rightChars="-50"/>
              <w:jc w:val="center"/>
              <w:rPr>
                <w:rFonts w:ascii="宋体" w:cs="仿宋"/>
                <w:color w:val="000000" w:themeColor="text1"/>
                <w:sz w:val="24"/>
              </w:rPr>
            </w:pPr>
            <w:r>
              <w:rPr>
                <w:rFonts w:ascii="宋体" w:hAnsi="宋体" w:cs="仿宋"/>
                <w:color w:val="000000" w:themeColor="text1"/>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94" w:hRule="atLeast"/>
        </w:trPr>
        <w:tc>
          <w:tcPr>
            <w:tcW w:w="435" w:type="dxa"/>
            <w:tcBorders>
              <w:top w:val="single" w:color="auto" w:sz="4" w:space="0"/>
              <w:right w:val="single" w:color="auto" w:sz="4" w:space="0"/>
            </w:tcBorders>
            <w:shd w:val="clear" w:color="auto" w:fill="auto"/>
            <w:noWrap/>
            <w:vAlign w:val="center"/>
          </w:tcPr>
          <w:p>
            <w:pPr>
              <w:numPr>
                <w:ilvl w:val="0"/>
                <w:numId w:val="6"/>
              </w:numPr>
              <w:ind w:left="420" w:right="-105" w:rightChars="-50"/>
              <w:rPr>
                <w:rFonts w:ascii="宋体" w:cs="仿宋"/>
                <w:color w:val="000000" w:themeColor="text1"/>
                <w:sz w:val="24"/>
              </w:rPr>
            </w:pPr>
          </w:p>
        </w:tc>
        <w:tc>
          <w:tcPr>
            <w:tcW w:w="524" w:type="dxa"/>
            <w:vMerge w:val="continue"/>
            <w:tcBorders>
              <w:left w:val="single" w:color="auto" w:sz="4" w:space="0"/>
              <w:right w:val="single" w:color="auto" w:sz="4" w:space="0"/>
            </w:tcBorders>
            <w:shd w:val="clear" w:color="auto" w:fill="auto"/>
            <w:noWrap/>
            <w:vAlign w:val="center"/>
          </w:tcPr>
          <w:p>
            <w:pPr>
              <w:ind w:right="-105" w:rightChars="-50"/>
              <w:rPr>
                <w:rFonts w:ascii="宋体" w:cs="仿宋"/>
                <w:color w:val="000000" w:themeColor="text1"/>
                <w:sz w:val="24"/>
              </w:rPr>
            </w:pPr>
          </w:p>
        </w:tc>
        <w:tc>
          <w:tcPr>
            <w:tcW w:w="570" w:type="dxa"/>
            <w:vMerge w:val="continue"/>
            <w:tcBorders>
              <w:left w:val="single" w:color="auto" w:sz="4" w:space="0"/>
              <w:right w:val="single" w:color="auto" w:sz="4" w:space="0"/>
            </w:tcBorders>
            <w:shd w:val="clear" w:color="auto" w:fill="auto"/>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right w:val="single" w:color="auto" w:sz="4" w:space="0"/>
            </w:tcBorders>
            <w:shd w:val="clear" w:color="auto" w:fill="auto"/>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提供该药剂</w:t>
            </w:r>
            <w:r>
              <w:rPr>
                <w:rFonts w:ascii="宋体" w:hAnsi="宋体" w:cs="仿宋"/>
                <w:color w:val="000000" w:themeColor="text1"/>
                <w:sz w:val="24"/>
              </w:rPr>
              <w:t>2018</w:t>
            </w:r>
            <w:r>
              <w:rPr>
                <w:rFonts w:hint="eastAsia" w:ascii="宋体" w:hAnsi="宋体" w:cs="仿宋"/>
                <w:color w:val="000000" w:themeColor="text1"/>
                <w:sz w:val="24"/>
              </w:rPr>
              <w:t>年后（包括</w:t>
            </w:r>
            <w:r>
              <w:rPr>
                <w:rFonts w:ascii="宋体" w:hAnsi="宋体" w:cs="仿宋"/>
                <w:color w:val="000000" w:themeColor="text1"/>
                <w:sz w:val="24"/>
              </w:rPr>
              <w:t>2018</w:t>
            </w:r>
            <w:r>
              <w:rPr>
                <w:rFonts w:hint="eastAsia" w:ascii="宋体" w:hAnsi="宋体" w:cs="仿宋"/>
                <w:color w:val="000000" w:themeColor="text1"/>
                <w:sz w:val="24"/>
              </w:rPr>
              <w:t>年）国家或省级第三方检测机构出具的加盖</w:t>
            </w:r>
            <w:r>
              <w:rPr>
                <w:rFonts w:ascii="宋体" w:hAnsi="宋体" w:cs="仿宋"/>
                <w:color w:val="000000" w:themeColor="text1"/>
                <w:sz w:val="24"/>
              </w:rPr>
              <w:t>CMA</w:t>
            </w:r>
            <w:r>
              <w:rPr>
                <w:rFonts w:hint="eastAsia" w:ascii="宋体" w:hAnsi="宋体" w:cs="仿宋"/>
                <w:color w:val="000000" w:themeColor="text1"/>
                <w:sz w:val="24"/>
              </w:rPr>
              <w:t>章的除臭效果报告：稀释</w:t>
            </w:r>
            <w:r>
              <w:rPr>
                <w:rFonts w:ascii="宋体" w:hAnsi="宋体" w:cs="仿宋"/>
                <w:color w:val="000000" w:themeColor="text1"/>
                <w:sz w:val="24"/>
              </w:rPr>
              <w:t>50</w:t>
            </w:r>
            <w:r>
              <w:rPr>
                <w:rFonts w:hint="eastAsia" w:ascii="宋体" w:hAnsi="宋体" w:cs="仿宋"/>
                <w:color w:val="000000" w:themeColor="text1"/>
                <w:sz w:val="24"/>
              </w:rPr>
              <w:t>倍后喷洒，对硫化氢去除效果</w:t>
            </w:r>
            <w:r>
              <w:rPr>
                <w:rFonts w:ascii="宋体" w:hAnsi="宋体" w:cs="仿宋"/>
                <w:color w:val="000000" w:themeColor="text1"/>
                <w:sz w:val="24"/>
              </w:rPr>
              <w:t>:90%</w:t>
            </w:r>
            <w:r>
              <w:rPr>
                <w:rFonts w:hint="eastAsia" w:ascii="宋体" w:hAnsi="宋体" w:cs="仿宋"/>
                <w:color w:val="000000" w:themeColor="text1"/>
                <w:sz w:val="24"/>
              </w:rPr>
              <w:t>（含）</w:t>
            </w:r>
            <w:r>
              <w:rPr>
                <w:rFonts w:ascii="宋体" w:hAnsi="宋体" w:cs="仿宋"/>
                <w:color w:val="000000" w:themeColor="text1"/>
                <w:sz w:val="24"/>
              </w:rPr>
              <w:t>-100%</w:t>
            </w:r>
            <w:r>
              <w:rPr>
                <w:rFonts w:hint="eastAsia" w:ascii="宋体" w:hAnsi="宋体" w:cs="仿宋"/>
                <w:color w:val="000000" w:themeColor="text1"/>
                <w:sz w:val="24"/>
              </w:rPr>
              <w:t>的得</w:t>
            </w:r>
            <w:r>
              <w:rPr>
                <w:rFonts w:ascii="宋体" w:hAnsi="宋体" w:cs="仿宋"/>
                <w:color w:val="000000" w:themeColor="text1"/>
                <w:sz w:val="24"/>
              </w:rPr>
              <w:t>1</w:t>
            </w:r>
            <w:r>
              <w:rPr>
                <w:rFonts w:hint="eastAsia" w:ascii="宋体" w:hAnsi="宋体" w:cs="仿宋"/>
                <w:color w:val="000000" w:themeColor="text1"/>
                <w:sz w:val="24"/>
              </w:rPr>
              <w:t>分，＜</w:t>
            </w:r>
            <w:r>
              <w:rPr>
                <w:rFonts w:ascii="宋体" w:hAnsi="宋体" w:cs="仿宋"/>
                <w:color w:val="000000" w:themeColor="text1"/>
                <w:sz w:val="24"/>
              </w:rPr>
              <w:t>90%</w:t>
            </w:r>
            <w:r>
              <w:rPr>
                <w:rFonts w:hint="eastAsia" w:ascii="宋体" w:hAnsi="宋体" w:cs="仿宋"/>
                <w:color w:val="000000" w:themeColor="text1"/>
                <w:sz w:val="24"/>
              </w:rPr>
              <w:t>的不得分；对氨气去除效果：</w:t>
            </w:r>
            <w:r>
              <w:rPr>
                <w:rFonts w:ascii="宋体" w:hAnsi="宋体" w:cs="仿宋"/>
                <w:color w:val="000000" w:themeColor="text1"/>
                <w:sz w:val="24"/>
              </w:rPr>
              <w:t>9</w:t>
            </w:r>
            <w:r>
              <w:rPr>
                <w:rFonts w:ascii="宋体" w:cs="仿宋"/>
                <w:color w:val="000000" w:themeColor="text1"/>
                <w:sz w:val="24"/>
              </w:rPr>
              <w:t>0</w:t>
            </w:r>
            <w:r>
              <w:rPr>
                <w:rFonts w:ascii="宋体" w:hAnsi="宋体" w:cs="仿宋"/>
                <w:color w:val="000000" w:themeColor="text1"/>
                <w:sz w:val="24"/>
              </w:rPr>
              <w:t>%</w:t>
            </w:r>
            <w:r>
              <w:rPr>
                <w:rFonts w:hint="eastAsia" w:ascii="宋体" w:hAnsi="宋体" w:cs="仿宋"/>
                <w:color w:val="000000" w:themeColor="text1"/>
                <w:sz w:val="24"/>
              </w:rPr>
              <w:t>（含）</w:t>
            </w:r>
            <w:r>
              <w:rPr>
                <w:rFonts w:ascii="宋体" w:hAnsi="宋体" w:cs="仿宋"/>
                <w:color w:val="000000" w:themeColor="text1"/>
                <w:sz w:val="24"/>
              </w:rPr>
              <w:t>-100%</w:t>
            </w:r>
            <w:r>
              <w:rPr>
                <w:rFonts w:hint="eastAsia" w:ascii="宋体" w:hAnsi="宋体" w:cs="仿宋"/>
                <w:color w:val="000000" w:themeColor="text1"/>
                <w:sz w:val="24"/>
              </w:rPr>
              <w:t>的得</w:t>
            </w:r>
            <w:r>
              <w:rPr>
                <w:rFonts w:ascii="宋体" w:hAnsi="宋体" w:cs="仿宋"/>
                <w:color w:val="000000" w:themeColor="text1"/>
                <w:sz w:val="24"/>
              </w:rPr>
              <w:t>1</w:t>
            </w:r>
            <w:r>
              <w:rPr>
                <w:rFonts w:hint="eastAsia" w:ascii="宋体" w:hAnsi="宋体" w:cs="仿宋"/>
                <w:color w:val="000000" w:themeColor="text1"/>
                <w:sz w:val="24"/>
              </w:rPr>
              <w:t>分，＜</w:t>
            </w:r>
            <w:r>
              <w:rPr>
                <w:rFonts w:ascii="宋体" w:hAnsi="宋体" w:cs="仿宋"/>
                <w:color w:val="000000" w:themeColor="text1"/>
                <w:sz w:val="24"/>
              </w:rPr>
              <w:t>90%</w:t>
            </w:r>
            <w:r>
              <w:rPr>
                <w:rFonts w:hint="eastAsia" w:ascii="宋体" w:hAnsi="宋体" w:cs="仿宋"/>
                <w:color w:val="000000" w:themeColor="text1"/>
                <w:sz w:val="24"/>
              </w:rPr>
              <w:t>的不得分；对臭气强度去除效果：</w:t>
            </w:r>
            <w:r>
              <w:rPr>
                <w:rFonts w:ascii="宋体" w:hAnsi="宋体" w:cs="仿宋"/>
                <w:color w:val="000000" w:themeColor="text1"/>
                <w:sz w:val="24"/>
              </w:rPr>
              <w:t>90%</w:t>
            </w:r>
            <w:r>
              <w:rPr>
                <w:rFonts w:hint="eastAsia" w:ascii="宋体" w:hAnsi="宋体" w:cs="仿宋"/>
                <w:color w:val="000000" w:themeColor="text1"/>
                <w:sz w:val="24"/>
              </w:rPr>
              <w:t>（含）</w:t>
            </w:r>
            <w:r>
              <w:rPr>
                <w:rFonts w:ascii="宋体" w:hAnsi="宋体" w:cs="仿宋"/>
                <w:color w:val="000000" w:themeColor="text1"/>
                <w:sz w:val="24"/>
              </w:rPr>
              <w:t>-100%</w:t>
            </w:r>
            <w:r>
              <w:rPr>
                <w:rFonts w:hint="eastAsia" w:ascii="宋体" w:hAnsi="宋体" w:cs="仿宋"/>
                <w:color w:val="000000" w:themeColor="text1"/>
                <w:sz w:val="24"/>
              </w:rPr>
              <w:t>的得</w:t>
            </w:r>
            <w:r>
              <w:rPr>
                <w:rFonts w:ascii="宋体" w:hAnsi="宋体" w:cs="仿宋"/>
                <w:color w:val="000000" w:themeColor="text1"/>
                <w:sz w:val="24"/>
              </w:rPr>
              <w:t>1</w:t>
            </w:r>
            <w:r>
              <w:rPr>
                <w:rFonts w:hint="eastAsia" w:ascii="宋体" w:hAnsi="宋体" w:cs="仿宋"/>
                <w:color w:val="000000" w:themeColor="text1"/>
                <w:sz w:val="24"/>
              </w:rPr>
              <w:t>分</w:t>
            </w:r>
            <w:r>
              <w:rPr>
                <w:rFonts w:hint="eastAsia" w:ascii="宋体" w:hAnsi="宋体" w:cs="仿宋"/>
                <w:color w:val="000000" w:themeColor="text1"/>
                <w:sz w:val="24"/>
                <w:lang w:val="en-US" w:eastAsia="zh-CN"/>
              </w:rPr>
              <w:t>,</w:t>
            </w:r>
            <w:r>
              <w:rPr>
                <w:rFonts w:hint="eastAsia" w:ascii="宋体" w:hAnsi="宋体" w:cs="仿宋"/>
                <w:color w:val="000000" w:themeColor="text1"/>
                <w:sz w:val="24"/>
              </w:rPr>
              <w:t>＜</w:t>
            </w:r>
            <w:r>
              <w:rPr>
                <w:rFonts w:ascii="宋体" w:hAnsi="宋体" w:cs="仿宋"/>
                <w:color w:val="000000" w:themeColor="text1"/>
                <w:sz w:val="24"/>
              </w:rPr>
              <w:t>90%</w:t>
            </w:r>
            <w:r>
              <w:rPr>
                <w:rFonts w:hint="eastAsia" w:ascii="宋体" w:hAnsi="宋体" w:cs="仿宋"/>
                <w:color w:val="000000" w:themeColor="text1"/>
                <w:sz w:val="24"/>
              </w:rPr>
              <w:t>的不得分；不提供不得分。</w:t>
            </w:r>
          </w:p>
        </w:tc>
        <w:tc>
          <w:tcPr>
            <w:tcW w:w="705" w:type="dxa"/>
            <w:tcBorders>
              <w:top w:val="single" w:color="auto" w:sz="4" w:space="0"/>
              <w:left w:val="single" w:color="auto" w:sz="4" w:space="0"/>
            </w:tcBorders>
            <w:shd w:val="clear" w:color="auto" w:fill="auto"/>
            <w:noWrap/>
            <w:vAlign w:val="center"/>
          </w:tcPr>
          <w:p>
            <w:pPr>
              <w:ind w:right="-105" w:rightChars="-50"/>
              <w:jc w:val="center"/>
              <w:rPr>
                <w:rFonts w:ascii="宋体" w:cs="仿宋"/>
                <w:color w:val="000000" w:themeColor="text1"/>
                <w:sz w:val="24"/>
              </w:rPr>
            </w:pPr>
            <w:r>
              <w:rPr>
                <w:rFonts w:ascii="宋体" w:hAnsi="宋体" w:cs="仿宋"/>
                <w:color w:val="000000" w:themeColor="text1"/>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9" w:hRule="atLeast"/>
        </w:trPr>
        <w:tc>
          <w:tcPr>
            <w:tcW w:w="435" w:type="dxa"/>
            <w:tcBorders>
              <w:top w:val="single" w:color="auto" w:sz="4" w:space="0"/>
              <w:right w:val="single" w:color="auto" w:sz="4" w:space="0"/>
            </w:tcBorders>
            <w:shd w:val="clear" w:color="auto" w:fill="auto"/>
            <w:noWrap/>
            <w:vAlign w:val="center"/>
          </w:tcPr>
          <w:p>
            <w:pPr>
              <w:numPr>
                <w:ilvl w:val="0"/>
                <w:numId w:val="6"/>
              </w:numPr>
              <w:ind w:left="420" w:right="-105" w:rightChars="-50"/>
              <w:rPr>
                <w:rFonts w:ascii="宋体" w:cs="仿宋"/>
                <w:color w:val="000000" w:themeColor="text1"/>
                <w:sz w:val="24"/>
              </w:rPr>
            </w:pPr>
          </w:p>
        </w:tc>
        <w:tc>
          <w:tcPr>
            <w:tcW w:w="524" w:type="dxa"/>
            <w:vMerge w:val="continue"/>
            <w:tcBorders>
              <w:left w:val="single" w:color="auto" w:sz="4" w:space="0"/>
              <w:right w:val="single" w:color="auto" w:sz="4" w:space="0"/>
            </w:tcBorders>
            <w:shd w:val="clear" w:color="auto" w:fill="auto"/>
            <w:noWrap/>
            <w:vAlign w:val="center"/>
          </w:tcPr>
          <w:p>
            <w:pPr>
              <w:ind w:right="-105" w:rightChars="-50"/>
              <w:rPr>
                <w:rFonts w:ascii="宋体" w:cs="仿宋"/>
                <w:color w:val="000000" w:themeColor="text1"/>
                <w:sz w:val="24"/>
              </w:rPr>
            </w:pPr>
          </w:p>
        </w:tc>
        <w:tc>
          <w:tcPr>
            <w:tcW w:w="570" w:type="dxa"/>
            <w:tcBorders>
              <w:left w:val="single" w:color="auto" w:sz="4" w:space="0"/>
              <w:right w:val="single" w:color="auto" w:sz="4" w:space="0"/>
            </w:tcBorders>
            <w:shd w:val="clear" w:color="auto" w:fill="auto"/>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right w:val="single" w:color="auto" w:sz="4" w:space="0"/>
            </w:tcBorders>
            <w:shd w:val="clear" w:color="auto" w:fill="auto"/>
            <w:noWrap/>
            <w:vAlign w:val="center"/>
          </w:tcPr>
          <w:p>
            <w:pPr>
              <w:ind w:right="-105" w:rightChars="-50"/>
              <w:rPr>
                <w:rFonts w:ascii="宋体" w:hAnsi="宋体" w:cs="仿宋"/>
                <w:color w:val="000000" w:themeColor="text1"/>
                <w:sz w:val="24"/>
              </w:rPr>
            </w:pPr>
            <w:r>
              <w:rPr>
                <w:rFonts w:hint="eastAsia" w:ascii="宋体" w:hAnsi="宋体" w:cs="仿宋"/>
                <w:color w:val="000000" w:themeColor="text1"/>
                <w:sz w:val="24"/>
              </w:rPr>
              <w:t>提供菌种来源（原件备查）得</w:t>
            </w:r>
            <w:r>
              <w:rPr>
                <w:rFonts w:hint="eastAsia" w:ascii="宋体" w:hAnsi="宋体" w:cs="仿宋"/>
                <w:color w:val="000000" w:themeColor="text1"/>
                <w:sz w:val="24"/>
                <w:lang w:val="en-US" w:eastAsia="zh-CN"/>
              </w:rPr>
              <w:t>4</w:t>
            </w:r>
            <w:r>
              <w:rPr>
                <w:rFonts w:hint="eastAsia" w:ascii="宋体" w:hAnsi="宋体" w:cs="仿宋"/>
                <w:color w:val="000000" w:themeColor="text1"/>
                <w:sz w:val="24"/>
              </w:rPr>
              <w:t>分，不提供不得分。</w:t>
            </w:r>
          </w:p>
        </w:tc>
        <w:tc>
          <w:tcPr>
            <w:tcW w:w="705" w:type="dxa"/>
            <w:tcBorders>
              <w:top w:val="single" w:color="auto" w:sz="4" w:space="0"/>
              <w:left w:val="single" w:color="auto" w:sz="4" w:space="0"/>
            </w:tcBorders>
            <w:shd w:val="clear" w:color="auto" w:fill="auto"/>
            <w:noWrap/>
            <w:vAlign w:val="center"/>
          </w:tcPr>
          <w:p>
            <w:pPr>
              <w:ind w:right="-105" w:rightChars="-50"/>
              <w:jc w:val="center"/>
              <w:rPr>
                <w:rFonts w:hint="eastAsia" w:ascii="宋体" w:hAnsi="宋体" w:eastAsia="宋体" w:cs="仿宋"/>
                <w:color w:val="000000" w:themeColor="text1"/>
                <w:sz w:val="24"/>
                <w:lang w:eastAsia="zh-CN"/>
              </w:rPr>
            </w:pPr>
            <w:r>
              <w:rPr>
                <w:rFonts w:hint="eastAsia" w:ascii="宋体" w:hAnsi="宋体" w:cs="仿宋"/>
                <w:color w:val="000000" w:themeColor="text1"/>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13" w:hRule="exact"/>
        </w:trPr>
        <w:tc>
          <w:tcPr>
            <w:tcW w:w="435" w:type="dxa"/>
            <w:tcBorders>
              <w:top w:val="single" w:color="auto" w:sz="4" w:space="0"/>
              <w:bottom w:val="single" w:color="auto" w:sz="4" w:space="0"/>
              <w:right w:val="single" w:color="auto" w:sz="4" w:space="0"/>
            </w:tcBorders>
            <w:noWrap/>
            <w:vAlign w:val="center"/>
          </w:tcPr>
          <w:p>
            <w:pPr>
              <w:numPr>
                <w:ilvl w:val="0"/>
                <w:numId w:val="6"/>
              </w:numPr>
              <w:ind w:left="420" w:right="-105" w:rightChars="-50"/>
              <w:rPr>
                <w:rFonts w:ascii="宋体" w:cs="仿宋"/>
                <w:color w:val="000000" w:themeColor="text1"/>
                <w:sz w:val="24"/>
              </w:rPr>
            </w:pPr>
          </w:p>
        </w:tc>
        <w:tc>
          <w:tcPr>
            <w:tcW w:w="524" w:type="dxa"/>
            <w:vMerge w:val="continue"/>
            <w:tcBorders>
              <w:left w:val="single" w:color="auto" w:sz="4" w:space="0"/>
              <w:right w:val="single" w:color="auto" w:sz="4" w:space="0"/>
            </w:tcBorders>
            <w:noWrap/>
            <w:vAlign w:val="center"/>
          </w:tcPr>
          <w:p>
            <w:pPr>
              <w:ind w:right="-105" w:rightChars="-50"/>
              <w:rPr>
                <w:rFonts w:ascii="宋体" w:cs="仿宋"/>
                <w:color w:val="000000" w:themeColor="text1"/>
                <w:sz w:val="24"/>
              </w:rPr>
            </w:pPr>
          </w:p>
        </w:tc>
        <w:tc>
          <w:tcPr>
            <w:tcW w:w="570" w:type="dxa"/>
            <w:vMerge w:val="restart"/>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Cs w:val="21"/>
              </w:rPr>
              <w:t>植物除臭产品技术参数要求</w:t>
            </w:r>
          </w:p>
        </w:tc>
        <w:tc>
          <w:tcPr>
            <w:tcW w:w="7084" w:type="dxa"/>
            <w:tcBorders>
              <w:top w:val="single" w:color="auto" w:sz="4" w:space="0"/>
              <w:left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提供该药剂</w:t>
            </w:r>
            <w:r>
              <w:rPr>
                <w:rFonts w:ascii="宋体" w:hAnsi="宋体" w:cs="仿宋"/>
                <w:color w:val="000000" w:themeColor="text1"/>
                <w:sz w:val="24"/>
              </w:rPr>
              <w:t>2018</w:t>
            </w:r>
            <w:r>
              <w:rPr>
                <w:rFonts w:hint="eastAsia" w:ascii="宋体" w:hAnsi="宋体" w:cs="仿宋"/>
                <w:color w:val="000000" w:themeColor="text1"/>
                <w:sz w:val="24"/>
              </w:rPr>
              <w:t>年后（包括</w:t>
            </w:r>
            <w:r>
              <w:rPr>
                <w:rFonts w:ascii="宋体" w:hAnsi="宋体" w:cs="仿宋"/>
                <w:color w:val="000000" w:themeColor="text1"/>
                <w:sz w:val="24"/>
              </w:rPr>
              <w:t>2018</w:t>
            </w:r>
            <w:r>
              <w:rPr>
                <w:rFonts w:hint="eastAsia" w:ascii="宋体" w:hAnsi="宋体" w:cs="仿宋"/>
                <w:color w:val="000000" w:themeColor="text1"/>
                <w:sz w:val="24"/>
              </w:rPr>
              <w:t>年）国家或省级第三方检测机构出具的加盖</w:t>
            </w:r>
            <w:r>
              <w:rPr>
                <w:rFonts w:ascii="宋体" w:hAnsi="宋体" w:cs="仿宋"/>
                <w:color w:val="000000" w:themeColor="text1"/>
                <w:sz w:val="24"/>
              </w:rPr>
              <w:t>CMA</w:t>
            </w:r>
            <w:r>
              <w:rPr>
                <w:rFonts w:hint="eastAsia" w:ascii="宋体" w:hAnsi="宋体" w:cs="仿宋"/>
                <w:color w:val="000000" w:themeColor="text1"/>
                <w:sz w:val="24"/>
              </w:rPr>
              <w:t>章的除臭效果报告：稀释</w:t>
            </w:r>
            <w:r>
              <w:rPr>
                <w:rFonts w:ascii="宋体" w:hAnsi="宋体" w:cs="仿宋"/>
                <w:color w:val="000000" w:themeColor="text1"/>
                <w:sz w:val="24"/>
              </w:rPr>
              <w:t>100</w:t>
            </w:r>
            <w:r>
              <w:rPr>
                <w:rFonts w:hint="eastAsia" w:ascii="宋体" w:hAnsi="宋体" w:cs="仿宋"/>
                <w:color w:val="000000" w:themeColor="text1"/>
                <w:sz w:val="24"/>
              </w:rPr>
              <w:t>倍后，对</w:t>
            </w:r>
            <w:r>
              <w:rPr>
                <w:rFonts w:ascii="宋体" w:hAnsi="宋体" w:cs="仿宋"/>
                <w:color w:val="000000" w:themeColor="text1"/>
                <w:sz w:val="24"/>
              </w:rPr>
              <w:t>H2S</w:t>
            </w:r>
            <w:r>
              <w:rPr>
                <w:rFonts w:hint="eastAsia" w:ascii="宋体" w:hAnsi="宋体" w:cs="仿宋"/>
                <w:color w:val="000000" w:themeColor="text1"/>
                <w:sz w:val="24"/>
              </w:rPr>
              <w:t>去除效果</w:t>
            </w:r>
            <w:r>
              <w:rPr>
                <w:rFonts w:ascii="宋体" w:hAnsi="宋体" w:cs="仿宋"/>
                <w:color w:val="000000" w:themeColor="text1"/>
                <w:sz w:val="24"/>
              </w:rPr>
              <w:t>:9</w:t>
            </w:r>
            <w:r>
              <w:rPr>
                <w:rFonts w:ascii="宋体" w:cs="仿宋"/>
                <w:color w:val="000000" w:themeColor="text1"/>
                <w:sz w:val="24"/>
              </w:rPr>
              <w:t>0</w:t>
            </w:r>
            <w:r>
              <w:rPr>
                <w:rFonts w:ascii="宋体" w:hAnsi="宋体" w:cs="仿宋"/>
                <w:color w:val="000000" w:themeColor="text1"/>
                <w:sz w:val="24"/>
              </w:rPr>
              <w:t>%</w:t>
            </w:r>
            <w:r>
              <w:rPr>
                <w:rFonts w:hint="eastAsia" w:ascii="宋体" w:hAnsi="宋体" w:cs="仿宋"/>
                <w:color w:val="000000" w:themeColor="text1"/>
                <w:sz w:val="24"/>
              </w:rPr>
              <w:t>（含）</w:t>
            </w:r>
            <w:r>
              <w:rPr>
                <w:rFonts w:ascii="宋体" w:hAnsi="宋体" w:cs="仿宋"/>
                <w:color w:val="000000" w:themeColor="text1"/>
                <w:sz w:val="24"/>
              </w:rPr>
              <w:t>-100%</w:t>
            </w:r>
            <w:r>
              <w:rPr>
                <w:rFonts w:hint="eastAsia" w:ascii="宋体" w:hAnsi="宋体" w:cs="仿宋"/>
                <w:color w:val="000000" w:themeColor="text1"/>
                <w:sz w:val="24"/>
              </w:rPr>
              <w:t>的得</w:t>
            </w:r>
            <w:r>
              <w:rPr>
                <w:rFonts w:hint="eastAsia" w:ascii="宋体" w:hAnsi="宋体" w:cs="仿宋"/>
                <w:color w:val="000000" w:themeColor="text1"/>
                <w:sz w:val="24"/>
                <w:lang w:val="en-US" w:eastAsia="zh-CN"/>
              </w:rPr>
              <w:t>2</w:t>
            </w:r>
            <w:r>
              <w:rPr>
                <w:rFonts w:hint="eastAsia" w:ascii="宋体" w:hAnsi="宋体" w:cs="仿宋"/>
                <w:color w:val="000000" w:themeColor="text1"/>
                <w:sz w:val="24"/>
              </w:rPr>
              <w:t>分，＜</w:t>
            </w:r>
            <w:r>
              <w:rPr>
                <w:rFonts w:ascii="宋体" w:hAnsi="宋体" w:cs="仿宋"/>
                <w:color w:val="000000" w:themeColor="text1"/>
                <w:sz w:val="24"/>
              </w:rPr>
              <w:t>90%</w:t>
            </w:r>
            <w:r>
              <w:rPr>
                <w:rFonts w:hint="eastAsia" w:ascii="宋体" w:hAnsi="宋体" w:cs="仿宋"/>
                <w:color w:val="000000" w:themeColor="text1"/>
                <w:sz w:val="24"/>
              </w:rPr>
              <w:t>的不得分；对氨气去除效果：</w:t>
            </w:r>
            <w:r>
              <w:rPr>
                <w:rFonts w:ascii="宋体" w:hAnsi="宋体" w:cs="仿宋"/>
                <w:color w:val="000000" w:themeColor="text1"/>
                <w:sz w:val="24"/>
              </w:rPr>
              <w:t>9</w:t>
            </w:r>
            <w:r>
              <w:rPr>
                <w:rFonts w:ascii="宋体" w:cs="仿宋"/>
                <w:color w:val="000000" w:themeColor="text1"/>
                <w:sz w:val="24"/>
              </w:rPr>
              <w:t>0</w:t>
            </w:r>
            <w:r>
              <w:rPr>
                <w:rFonts w:ascii="宋体" w:hAnsi="宋体" w:cs="仿宋"/>
                <w:color w:val="000000" w:themeColor="text1"/>
                <w:sz w:val="24"/>
              </w:rPr>
              <w:t>%</w:t>
            </w:r>
            <w:r>
              <w:rPr>
                <w:rFonts w:hint="eastAsia" w:ascii="宋体" w:hAnsi="宋体" w:cs="仿宋"/>
                <w:color w:val="000000" w:themeColor="text1"/>
                <w:sz w:val="24"/>
              </w:rPr>
              <w:t>（含）</w:t>
            </w:r>
            <w:r>
              <w:rPr>
                <w:rFonts w:ascii="宋体" w:hAnsi="宋体" w:cs="仿宋"/>
                <w:color w:val="000000" w:themeColor="text1"/>
                <w:sz w:val="24"/>
              </w:rPr>
              <w:t>-100%</w:t>
            </w:r>
            <w:r>
              <w:rPr>
                <w:rFonts w:hint="eastAsia" w:ascii="宋体" w:hAnsi="宋体" w:cs="仿宋"/>
                <w:color w:val="000000" w:themeColor="text1"/>
                <w:sz w:val="24"/>
              </w:rPr>
              <w:t>的得</w:t>
            </w:r>
            <w:r>
              <w:rPr>
                <w:rFonts w:hint="eastAsia" w:ascii="宋体" w:hAnsi="宋体" w:cs="仿宋"/>
                <w:color w:val="000000" w:themeColor="text1"/>
                <w:sz w:val="24"/>
                <w:lang w:val="en-US" w:eastAsia="zh-CN"/>
              </w:rPr>
              <w:t>2</w:t>
            </w:r>
            <w:r>
              <w:rPr>
                <w:rFonts w:hint="eastAsia" w:ascii="宋体" w:hAnsi="宋体" w:cs="仿宋"/>
                <w:color w:val="000000" w:themeColor="text1"/>
                <w:sz w:val="24"/>
              </w:rPr>
              <w:t>分，＜</w:t>
            </w:r>
            <w:r>
              <w:rPr>
                <w:rFonts w:ascii="宋体" w:hAnsi="宋体" w:cs="仿宋"/>
                <w:color w:val="000000" w:themeColor="text1"/>
                <w:sz w:val="24"/>
              </w:rPr>
              <w:t>90%</w:t>
            </w:r>
            <w:r>
              <w:rPr>
                <w:rFonts w:hint="eastAsia" w:ascii="宋体" w:hAnsi="宋体" w:cs="仿宋"/>
                <w:color w:val="000000" w:themeColor="text1"/>
                <w:sz w:val="24"/>
              </w:rPr>
              <w:t>的不得分；不提供不得分。</w:t>
            </w:r>
          </w:p>
          <w:p>
            <w:pPr>
              <w:ind w:right="-105" w:rightChars="-50"/>
              <w:rPr>
                <w:rFonts w:ascii="宋体" w:cs="仿宋"/>
                <w:color w:val="000000" w:themeColor="text1"/>
                <w:sz w:val="24"/>
              </w:rPr>
            </w:pPr>
          </w:p>
        </w:tc>
        <w:tc>
          <w:tcPr>
            <w:tcW w:w="705" w:type="dxa"/>
            <w:tcBorders>
              <w:top w:val="single" w:color="auto" w:sz="4" w:space="0"/>
              <w:left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2" w:hRule="exact"/>
        </w:trPr>
        <w:tc>
          <w:tcPr>
            <w:tcW w:w="435" w:type="dxa"/>
            <w:tcBorders>
              <w:top w:val="single" w:color="auto" w:sz="4" w:space="0"/>
              <w:right w:val="single" w:color="auto" w:sz="4" w:space="0"/>
            </w:tcBorders>
            <w:noWrap/>
            <w:vAlign w:val="center"/>
          </w:tcPr>
          <w:p>
            <w:pPr>
              <w:numPr>
                <w:ilvl w:val="0"/>
                <w:numId w:val="6"/>
              </w:numPr>
              <w:ind w:left="420" w:right="-105" w:rightChars="-50"/>
              <w:rPr>
                <w:rFonts w:ascii="宋体" w:cs="仿宋"/>
                <w:color w:val="000000" w:themeColor="text1"/>
                <w:sz w:val="24"/>
              </w:rPr>
            </w:pPr>
          </w:p>
        </w:tc>
        <w:tc>
          <w:tcPr>
            <w:tcW w:w="524" w:type="dxa"/>
            <w:vMerge w:val="continue"/>
            <w:tcBorders>
              <w:left w:val="single" w:color="auto" w:sz="4" w:space="0"/>
              <w:right w:val="single" w:color="auto" w:sz="4" w:space="0"/>
            </w:tcBorders>
            <w:noWrap/>
            <w:vAlign w:val="center"/>
          </w:tcPr>
          <w:p>
            <w:pPr>
              <w:ind w:right="-105" w:rightChars="-50"/>
              <w:rPr>
                <w:rFonts w:ascii="宋体" w:cs="仿宋"/>
                <w:color w:val="000000" w:themeColor="text1"/>
                <w:sz w:val="24"/>
              </w:rPr>
            </w:pPr>
          </w:p>
        </w:tc>
        <w:tc>
          <w:tcPr>
            <w:tcW w:w="570" w:type="dxa"/>
            <w:vMerge w:val="continue"/>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该药剂</w:t>
            </w:r>
            <w:r>
              <w:rPr>
                <w:rFonts w:hint="eastAsia" w:ascii="宋体" w:hAnsi="宋体" w:cs="仿宋"/>
                <w:b/>
                <w:bCs/>
                <w:color w:val="000000" w:themeColor="text1"/>
                <w:sz w:val="24"/>
              </w:rPr>
              <w:t>原液为水溶性物质（不含不溶解成分，对金属、管道等设备无腐蚀性）、不可燃烧，无毒、无害、无刺激，适用于各种工作场所使用；</w:t>
            </w:r>
            <w:r>
              <w:rPr>
                <w:rFonts w:hint="eastAsia" w:ascii="宋体" w:hAnsi="宋体" w:cs="仿宋"/>
                <w:color w:val="000000" w:themeColor="text1"/>
                <w:sz w:val="24"/>
              </w:rPr>
              <w:t>提供该药剂</w:t>
            </w:r>
            <w:r>
              <w:rPr>
                <w:rFonts w:ascii="宋体" w:hAnsi="宋体" w:cs="仿宋"/>
                <w:color w:val="000000" w:themeColor="text1"/>
                <w:sz w:val="24"/>
              </w:rPr>
              <w:t>2018</w:t>
            </w:r>
            <w:r>
              <w:rPr>
                <w:rFonts w:hint="eastAsia" w:ascii="宋体" w:hAnsi="宋体" w:cs="仿宋"/>
                <w:color w:val="000000" w:themeColor="text1"/>
                <w:sz w:val="24"/>
              </w:rPr>
              <w:t>年后（包括</w:t>
            </w:r>
            <w:r>
              <w:rPr>
                <w:rFonts w:ascii="宋体" w:hAnsi="宋体" w:cs="仿宋"/>
                <w:color w:val="000000" w:themeColor="text1"/>
                <w:sz w:val="24"/>
              </w:rPr>
              <w:t>2018</w:t>
            </w:r>
            <w:r>
              <w:rPr>
                <w:rFonts w:hint="eastAsia" w:ascii="宋体" w:hAnsi="宋体" w:cs="仿宋"/>
                <w:color w:val="000000" w:themeColor="text1"/>
                <w:sz w:val="24"/>
              </w:rPr>
              <w:t>年）国家或省级第三方检测机构出具的加盖</w:t>
            </w:r>
            <w:r>
              <w:rPr>
                <w:rFonts w:ascii="宋体" w:hAnsi="宋体" w:cs="仿宋"/>
                <w:color w:val="000000" w:themeColor="text1"/>
                <w:sz w:val="24"/>
              </w:rPr>
              <w:t>CMA</w:t>
            </w:r>
            <w:r>
              <w:rPr>
                <w:rFonts w:hint="eastAsia" w:ascii="宋体" w:hAnsi="宋体" w:cs="仿宋"/>
                <w:color w:val="000000" w:themeColor="text1"/>
                <w:sz w:val="24"/>
              </w:rPr>
              <w:t>章的</w:t>
            </w:r>
            <w:r>
              <w:rPr>
                <w:rFonts w:hint="eastAsia" w:ascii="宋体" w:hAnsi="宋体" w:cs="仿宋"/>
                <w:b/>
                <w:bCs/>
                <w:color w:val="000000" w:themeColor="text1"/>
                <w:sz w:val="24"/>
              </w:rPr>
              <w:t>原液无毒检测报告</w:t>
            </w:r>
            <w:r>
              <w:rPr>
                <w:rFonts w:hint="eastAsia" w:ascii="宋体" w:hAnsi="宋体" w:cs="仿宋"/>
                <w:color w:val="000000" w:themeColor="text1"/>
                <w:sz w:val="24"/>
              </w:rPr>
              <w:t>，</w:t>
            </w:r>
            <w:r>
              <w:rPr>
                <w:rFonts w:ascii="宋体" w:hAnsi="宋体" w:cs="仿宋"/>
                <w:color w:val="000000" w:themeColor="text1"/>
                <w:sz w:val="24"/>
              </w:rPr>
              <w:t>a</w:t>
            </w:r>
            <w:r>
              <w:rPr>
                <w:rFonts w:hint="eastAsia" w:ascii="宋体" w:hAnsi="宋体" w:cs="仿宋"/>
                <w:color w:val="000000" w:themeColor="text1"/>
                <w:sz w:val="24"/>
              </w:rPr>
              <w:t>、提供急性口毒毒性检测报告；</w:t>
            </w:r>
            <w:r>
              <w:rPr>
                <w:rFonts w:ascii="宋体" w:hAnsi="宋体" w:cs="仿宋"/>
                <w:color w:val="000000" w:themeColor="text1"/>
                <w:sz w:val="24"/>
              </w:rPr>
              <w:t>b</w:t>
            </w:r>
            <w:r>
              <w:rPr>
                <w:rFonts w:hint="eastAsia" w:ascii="宋体" w:hAnsi="宋体" w:cs="仿宋"/>
                <w:color w:val="000000" w:themeColor="text1"/>
                <w:sz w:val="24"/>
              </w:rPr>
              <w:t>、提供皮肤刺激性毒性检测报告；</w:t>
            </w:r>
            <w:r>
              <w:rPr>
                <w:rFonts w:ascii="宋体" w:hAnsi="宋体" w:cs="仿宋"/>
                <w:color w:val="000000" w:themeColor="text1"/>
                <w:sz w:val="24"/>
              </w:rPr>
              <w:t>c</w:t>
            </w:r>
            <w:r>
              <w:rPr>
                <w:rFonts w:hint="eastAsia" w:ascii="宋体" w:hAnsi="宋体" w:cs="仿宋"/>
                <w:color w:val="000000" w:themeColor="text1"/>
                <w:sz w:val="24"/>
              </w:rPr>
              <w:t>、提供吸入性毒性检测报告；</w:t>
            </w:r>
            <w:r>
              <w:rPr>
                <w:rFonts w:ascii="宋体" w:hAnsi="宋体" w:cs="仿宋"/>
                <w:color w:val="000000" w:themeColor="text1"/>
                <w:sz w:val="24"/>
              </w:rPr>
              <w:t>d</w:t>
            </w:r>
            <w:r>
              <w:rPr>
                <w:rFonts w:hint="eastAsia" w:ascii="宋体" w:hAnsi="宋体" w:cs="仿宋"/>
                <w:color w:val="000000" w:themeColor="text1"/>
                <w:sz w:val="24"/>
              </w:rPr>
              <w:t>、提供眼刺激性检测报告；每提供</w:t>
            </w:r>
            <w:r>
              <w:rPr>
                <w:rFonts w:ascii="宋体" w:hAnsi="宋体" w:cs="仿宋"/>
                <w:color w:val="000000" w:themeColor="text1"/>
                <w:sz w:val="24"/>
              </w:rPr>
              <w:t>1</w:t>
            </w:r>
            <w:r>
              <w:rPr>
                <w:rFonts w:hint="eastAsia" w:ascii="宋体" w:hAnsi="宋体" w:cs="仿宋"/>
                <w:color w:val="000000" w:themeColor="text1"/>
                <w:sz w:val="24"/>
              </w:rPr>
              <w:t>份得</w:t>
            </w:r>
            <w:r>
              <w:rPr>
                <w:rFonts w:hint="eastAsia" w:ascii="宋体" w:hAnsi="宋体" w:cs="仿宋"/>
                <w:color w:val="000000" w:themeColor="text1"/>
                <w:sz w:val="24"/>
                <w:lang w:val="en-US" w:eastAsia="zh-CN"/>
              </w:rPr>
              <w:t>1</w:t>
            </w:r>
            <w:r>
              <w:rPr>
                <w:rFonts w:hint="eastAsia" w:ascii="宋体" w:hAnsi="宋体" w:cs="仿宋"/>
                <w:color w:val="000000" w:themeColor="text1"/>
                <w:sz w:val="24"/>
              </w:rPr>
              <w:t>分，总分</w:t>
            </w:r>
            <w:r>
              <w:rPr>
                <w:rFonts w:hint="eastAsia" w:ascii="宋体" w:hAnsi="宋体" w:cs="仿宋"/>
                <w:color w:val="000000" w:themeColor="text1"/>
                <w:sz w:val="24"/>
                <w:lang w:val="en-US" w:eastAsia="zh-CN"/>
              </w:rPr>
              <w:t>4</w:t>
            </w:r>
            <w:r>
              <w:rPr>
                <w:rFonts w:hint="eastAsia" w:ascii="宋体" w:hAnsi="宋体" w:cs="仿宋"/>
                <w:color w:val="000000" w:themeColor="text1"/>
                <w:sz w:val="24"/>
              </w:rPr>
              <w:t>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二</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color w:val="000000" w:themeColor="text1"/>
                <w:sz w:val="24"/>
              </w:rPr>
            </w:pPr>
            <w:r>
              <w:rPr>
                <w:rFonts w:hint="eastAsia" w:ascii="宋体" w:hAnsi="宋体" w:cs="仿宋"/>
                <w:b/>
                <w:color w:val="000000" w:themeColor="text1"/>
                <w:sz w:val="24"/>
              </w:rPr>
              <w:t>资信及其他分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b/>
                <w:color w:val="000000" w:themeColor="text1"/>
                <w:sz w:val="24"/>
              </w:rPr>
            </w:pPr>
            <w:r>
              <w:rPr>
                <w:rFonts w:hint="eastAsia" w:ascii="宋体" w:hAnsi="宋体" w:cs="仿宋"/>
                <w:b/>
                <w:color w:val="000000" w:themeColor="text1"/>
                <w:sz w:val="24"/>
              </w:rPr>
              <w:t>1</w:t>
            </w:r>
            <w:r>
              <w:rPr>
                <w:rFonts w:hint="eastAsia" w:ascii="宋体" w:hAnsi="宋体" w:cs="仿宋"/>
                <w:b/>
                <w:color w:val="000000" w:themeColor="text1"/>
                <w:sz w:val="24"/>
                <w:lang w:val="en-US" w:eastAsia="zh-CN"/>
              </w:rPr>
              <w:t>4</w:t>
            </w:r>
            <w:r>
              <w:rPr>
                <w:rFonts w:hint="eastAsia" w:ascii="宋体" w:hAnsi="宋体" w:cs="仿宋"/>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04" w:hRule="exact"/>
        </w:trPr>
        <w:tc>
          <w:tcPr>
            <w:tcW w:w="435" w:type="dxa"/>
            <w:tcBorders>
              <w:top w:val="nil"/>
              <w:bottom w:val="single" w:color="auto" w:sz="4" w:space="0"/>
              <w:right w:val="single" w:color="auto" w:sz="4" w:space="0"/>
            </w:tcBorders>
            <w:noWrap/>
            <w:vAlign w:val="center"/>
          </w:tcPr>
          <w:p>
            <w:pPr>
              <w:numPr>
                <w:ilvl w:val="0"/>
                <w:numId w:val="6"/>
              </w:numPr>
              <w:ind w:left="420" w:right="-105" w:rightChars="-50"/>
              <w:rPr>
                <w:rFonts w:ascii="宋体" w:cs="仿宋"/>
                <w:color w:val="000000" w:themeColor="text1"/>
                <w:sz w:val="24"/>
              </w:rPr>
            </w:pPr>
          </w:p>
        </w:tc>
        <w:tc>
          <w:tcPr>
            <w:tcW w:w="524" w:type="dxa"/>
            <w:vMerge w:val="restart"/>
            <w:tcBorders>
              <w:top w:val="nil"/>
              <w:left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履约能力</w:t>
            </w:r>
          </w:p>
        </w:tc>
        <w:tc>
          <w:tcPr>
            <w:tcW w:w="570" w:type="dxa"/>
            <w:vMerge w:val="restart"/>
            <w:tcBorders>
              <w:top w:val="nil"/>
              <w:left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履约能力</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投标通过</w:t>
            </w:r>
            <w:r>
              <w:rPr>
                <w:rFonts w:ascii="宋体" w:hAnsi="宋体" w:cs="仿宋"/>
                <w:color w:val="000000" w:themeColor="text1"/>
                <w:sz w:val="24"/>
              </w:rPr>
              <w:t>ISO9001</w:t>
            </w:r>
            <w:r>
              <w:rPr>
                <w:rFonts w:hint="eastAsia" w:ascii="宋体" w:hAnsi="宋体" w:cs="仿宋"/>
                <w:color w:val="000000" w:themeColor="text1"/>
                <w:sz w:val="24"/>
              </w:rPr>
              <w:t>质量管理体系认证，</w:t>
            </w:r>
            <w:r>
              <w:rPr>
                <w:rFonts w:ascii="宋体" w:hAnsi="宋体" w:cs="仿宋"/>
                <w:color w:val="000000" w:themeColor="text1"/>
                <w:sz w:val="24"/>
              </w:rPr>
              <w:t>ISO14001</w:t>
            </w:r>
            <w:r>
              <w:rPr>
                <w:rFonts w:hint="eastAsia" w:ascii="宋体" w:hAnsi="宋体" w:cs="仿宋"/>
                <w:color w:val="000000" w:themeColor="text1"/>
                <w:sz w:val="24"/>
              </w:rPr>
              <w:t>环境管理体系认证及</w:t>
            </w:r>
            <w:r>
              <w:rPr>
                <w:rFonts w:ascii="宋体" w:hAnsi="宋体" w:cs="仿宋"/>
                <w:color w:val="000000" w:themeColor="text1"/>
                <w:sz w:val="24"/>
              </w:rPr>
              <w:t>OHSAS 18001</w:t>
            </w:r>
            <w:r>
              <w:rPr>
                <w:rFonts w:hint="eastAsia" w:ascii="宋体" w:hAnsi="宋体" w:cs="仿宋"/>
                <w:color w:val="000000" w:themeColor="text1"/>
                <w:sz w:val="24"/>
              </w:rPr>
              <w:t>职业健康安全管理体系认证的，并且所有认证证书都在有效期内；每一项得一分，最高得</w:t>
            </w:r>
            <w:r>
              <w:rPr>
                <w:rFonts w:ascii="宋体" w:hAnsi="宋体" w:cs="仿宋"/>
                <w:color w:val="000000" w:themeColor="text1"/>
                <w:sz w:val="24"/>
              </w:rPr>
              <w:t>3</w:t>
            </w:r>
            <w:r>
              <w:rPr>
                <w:rFonts w:hint="eastAsia" w:ascii="宋体" w:hAnsi="宋体" w:cs="仿宋"/>
                <w:color w:val="000000" w:themeColor="text1"/>
                <w:sz w:val="24"/>
              </w:rPr>
              <w:t>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color w:val="000000" w:themeColor="text1"/>
                <w:sz w:val="24"/>
              </w:rPr>
            </w:pPr>
            <w:r>
              <w:rPr>
                <w:rFonts w:ascii="宋体" w:hAnsi="宋体" w:cs="仿宋"/>
                <w:color w:val="000000" w:themeColor="text1"/>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83" w:hRule="exact"/>
        </w:trPr>
        <w:tc>
          <w:tcPr>
            <w:tcW w:w="435" w:type="dxa"/>
            <w:tcBorders>
              <w:top w:val="nil"/>
              <w:bottom w:val="single" w:color="auto" w:sz="4" w:space="0"/>
              <w:right w:val="single" w:color="auto" w:sz="4" w:space="0"/>
            </w:tcBorders>
            <w:noWrap/>
            <w:vAlign w:val="center"/>
          </w:tcPr>
          <w:p>
            <w:pPr>
              <w:numPr>
                <w:ilvl w:val="0"/>
                <w:numId w:val="6"/>
              </w:numPr>
              <w:ind w:left="420" w:right="-105" w:rightChars="-50"/>
              <w:rPr>
                <w:rFonts w:ascii="宋体" w:cs="仿宋"/>
                <w:color w:val="000000" w:themeColor="text1"/>
                <w:sz w:val="24"/>
              </w:rPr>
            </w:pPr>
          </w:p>
        </w:tc>
        <w:tc>
          <w:tcPr>
            <w:tcW w:w="524" w:type="dxa"/>
            <w:vMerge w:val="continue"/>
            <w:tcBorders>
              <w:left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570" w:type="dxa"/>
            <w:vMerge w:val="continue"/>
            <w:tcBorders>
              <w:left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highlight w:val="yellow"/>
              </w:rPr>
            </w:pPr>
            <w:r>
              <w:rPr>
                <w:rFonts w:hint="eastAsia" w:ascii="宋体" w:hAnsi="宋体" w:cs="仿宋"/>
                <w:color w:val="000000" w:themeColor="text1"/>
                <w:sz w:val="24"/>
              </w:rPr>
              <w:t>企业具有城市管理专业或环境工程专业专业技术人员级别：正高级得</w:t>
            </w:r>
            <w:r>
              <w:rPr>
                <w:rFonts w:ascii="宋体" w:hAnsi="宋体" w:cs="仿宋"/>
                <w:color w:val="000000" w:themeColor="text1"/>
                <w:sz w:val="24"/>
              </w:rPr>
              <w:t>3</w:t>
            </w:r>
            <w:r>
              <w:rPr>
                <w:rFonts w:hint="eastAsia" w:ascii="宋体" w:hAnsi="宋体" w:cs="仿宋"/>
                <w:color w:val="000000" w:themeColor="text1"/>
                <w:sz w:val="24"/>
              </w:rPr>
              <w:t>分，副高级得</w:t>
            </w:r>
            <w:r>
              <w:rPr>
                <w:rFonts w:ascii="宋体" w:hAnsi="宋体" w:cs="仿宋"/>
                <w:color w:val="000000" w:themeColor="text1"/>
                <w:sz w:val="24"/>
              </w:rPr>
              <w:t>2</w:t>
            </w:r>
            <w:r>
              <w:rPr>
                <w:rFonts w:hint="eastAsia" w:ascii="宋体" w:hAnsi="宋体" w:cs="仿宋"/>
                <w:color w:val="000000" w:themeColor="text1"/>
                <w:sz w:val="24"/>
              </w:rPr>
              <w:t>分，中级得</w:t>
            </w:r>
            <w:r>
              <w:rPr>
                <w:rFonts w:ascii="宋体" w:hAnsi="宋体" w:cs="仿宋"/>
                <w:color w:val="000000" w:themeColor="text1"/>
                <w:sz w:val="24"/>
              </w:rPr>
              <w:t>1</w:t>
            </w:r>
            <w:r>
              <w:rPr>
                <w:rFonts w:hint="eastAsia" w:ascii="宋体" w:hAnsi="宋体" w:cs="仿宋"/>
                <w:color w:val="000000" w:themeColor="text1"/>
                <w:sz w:val="24"/>
              </w:rPr>
              <w:t>分，其他不得分，提供一名即可，就高原则。不提供不得分。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color w:val="000000" w:themeColor="text1"/>
                <w:sz w:val="24"/>
              </w:rPr>
            </w:pPr>
            <w:r>
              <w:rPr>
                <w:rFonts w:hint="eastAsia" w:ascii="宋体" w:cs="仿宋"/>
                <w:color w:val="000000" w:themeColor="text1"/>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78" w:hRule="exact"/>
        </w:trPr>
        <w:tc>
          <w:tcPr>
            <w:tcW w:w="435" w:type="dxa"/>
            <w:tcBorders>
              <w:top w:val="nil"/>
              <w:bottom w:val="single" w:color="auto" w:sz="4" w:space="0"/>
              <w:right w:val="single" w:color="auto" w:sz="4" w:space="0"/>
            </w:tcBorders>
            <w:noWrap/>
            <w:vAlign w:val="center"/>
          </w:tcPr>
          <w:p>
            <w:pPr>
              <w:numPr>
                <w:ilvl w:val="0"/>
                <w:numId w:val="6"/>
              </w:numPr>
              <w:ind w:left="420" w:right="-105" w:rightChars="-50"/>
              <w:rPr>
                <w:rFonts w:ascii="宋体" w:cs="仿宋"/>
                <w:color w:val="000000" w:themeColor="text1"/>
                <w:sz w:val="24"/>
              </w:rPr>
            </w:pPr>
          </w:p>
        </w:tc>
        <w:tc>
          <w:tcPr>
            <w:tcW w:w="524" w:type="dxa"/>
            <w:vMerge w:val="continue"/>
            <w:tcBorders>
              <w:left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570" w:type="dxa"/>
            <w:vMerge w:val="continue"/>
            <w:tcBorders>
              <w:left w:val="single" w:color="auto" w:sz="4" w:space="0"/>
              <w:bottom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highlight w:val="yellow"/>
              </w:rPr>
            </w:pPr>
            <w:r>
              <w:rPr>
                <w:rFonts w:hint="eastAsia" w:ascii="宋体" w:hAnsi="宋体" w:cs="仿宋"/>
                <w:color w:val="000000" w:themeColor="text1"/>
                <w:sz w:val="24"/>
              </w:rPr>
              <w:t>提供近三年所投</w:t>
            </w:r>
            <w:r>
              <w:rPr>
                <w:rFonts w:hint="eastAsia" w:ascii="宋体" w:hAnsi="宋体" w:cs="仿宋"/>
                <w:color w:val="000000" w:themeColor="text1"/>
                <w:sz w:val="24"/>
                <w:lang w:eastAsia="zh-CN"/>
              </w:rPr>
              <w:t>两</w:t>
            </w:r>
            <w:r>
              <w:rPr>
                <w:rFonts w:hint="eastAsia" w:ascii="宋体" w:hAnsi="宋体" w:cs="仿宋"/>
                <w:color w:val="000000" w:themeColor="text1"/>
                <w:sz w:val="24"/>
              </w:rPr>
              <w:t>种药剂在生活垃圾填埋场的相应业绩，根据供应商业绩横向对比，每种药剂业绩得0-</w:t>
            </w:r>
            <w:r>
              <w:rPr>
                <w:rFonts w:hint="eastAsia" w:ascii="宋体" w:hAnsi="宋体" w:cs="仿宋"/>
                <w:color w:val="000000" w:themeColor="text1"/>
                <w:sz w:val="24"/>
                <w:lang w:val="en-US" w:eastAsia="zh-CN"/>
              </w:rPr>
              <w:t>4</w:t>
            </w:r>
            <w:r>
              <w:rPr>
                <w:rFonts w:hint="eastAsia" w:ascii="宋体" w:hAnsi="宋体" w:cs="仿宋"/>
                <w:color w:val="000000" w:themeColor="text1"/>
                <w:sz w:val="24"/>
              </w:rPr>
              <w:t>分，总分</w:t>
            </w:r>
            <w:r>
              <w:rPr>
                <w:rFonts w:hint="eastAsia" w:ascii="宋体" w:hAnsi="宋体" w:cs="仿宋"/>
                <w:color w:val="000000" w:themeColor="text1"/>
                <w:sz w:val="24"/>
                <w:lang w:val="en-US" w:eastAsia="zh-CN"/>
              </w:rPr>
              <w:t>8</w:t>
            </w:r>
            <w:r>
              <w:rPr>
                <w:rFonts w:hint="eastAsia" w:ascii="宋体" w:hAnsi="宋体" w:cs="仿宋"/>
                <w:color w:val="000000" w:themeColor="text1"/>
                <w:sz w:val="24"/>
              </w:rPr>
              <w:t>分，不提供不得分。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cs="仿宋"/>
                <w:color w:val="000000" w:themeColor="text1"/>
                <w:sz w:val="24"/>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color w:val="000000" w:themeColor="text1"/>
                <w:sz w:val="24"/>
              </w:rPr>
            </w:pPr>
            <w:r>
              <w:rPr>
                <w:rFonts w:hint="eastAsia" w:ascii="宋体" w:hAnsi="宋体" w:cs="仿宋"/>
                <w:b/>
                <w:color w:val="000000" w:themeColor="text1"/>
                <w:sz w:val="24"/>
              </w:rPr>
              <w:t>三</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b/>
                <w:color w:val="000000" w:themeColor="text1"/>
                <w:sz w:val="24"/>
              </w:rPr>
            </w:pPr>
            <w:r>
              <w:rPr>
                <w:rFonts w:hint="eastAsia" w:ascii="宋体" w:hAnsi="宋体" w:cs="仿宋"/>
                <w:b/>
                <w:color w:val="000000" w:themeColor="text1"/>
                <w:sz w:val="24"/>
              </w:rPr>
              <w:t>商务分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color w:val="000000" w:themeColor="text1"/>
                <w:sz w:val="24"/>
              </w:rPr>
            </w:pPr>
            <w:r>
              <w:rPr>
                <w:rFonts w:hint="eastAsia" w:ascii="宋体" w:hAnsi="宋体" w:cs="仿宋"/>
                <w:b/>
                <w:color w:val="000000" w:themeColor="text1"/>
                <w:sz w:val="24"/>
              </w:rPr>
              <w:t>2</w:t>
            </w:r>
            <w:r>
              <w:rPr>
                <w:rFonts w:hint="eastAsia" w:ascii="宋体" w:hAnsi="宋体" w:cs="仿宋"/>
                <w:b/>
                <w:color w:val="000000" w:themeColor="text1"/>
                <w:sz w:val="24"/>
                <w:lang w:val="en-US" w:eastAsia="zh-CN"/>
              </w:rPr>
              <w:t>4</w:t>
            </w:r>
            <w:r>
              <w:rPr>
                <w:rFonts w:hint="eastAsia" w:ascii="宋体" w:hAnsi="宋体" w:cs="仿宋"/>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3"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ascii="宋体" w:hAnsi="宋体" w:cs="仿宋"/>
                <w:color w:val="000000" w:themeColor="text1"/>
                <w:sz w:val="24"/>
              </w:rPr>
              <w:t>1</w:t>
            </w:r>
            <w:r>
              <w:rPr>
                <w:rFonts w:hint="eastAsia" w:ascii="宋体" w:hAnsi="宋体" w:cs="仿宋"/>
                <w:color w:val="000000" w:themeColor="text1"/>
                <w:sz w:val="24"/>
                <w:lang w:val="en-US" w:eastAsia="zh-CN"/>
              </w:rPr>
              <w:t>0</w:t>
            </w:r>
          </w:p>
        </w:tc>
        <w:tc>
          <w:tcPr>
            <w:tcW w:w="1094" w:type="dxa"/>
            <w:gridSpan w:val="2"/>
            <w:vMerge w:val="restart"/>
            <w:tcBorders>
              <w:top w:val="single" w:color="auto" w:sz="4" w:space="0"/>
              <w:left w:val="single" w:color="auto" w:sz="4" w:space="0"/>
              <w:right w:val="single" w:color="auto" w:sz="4" w:space="0"/>
            </w:tcBorders>
            <w:noWrap/>
            <w:vAlign w:val="center"/>
          </w:tcPr>
          <w:p>
            <w:pPr>
              <w:ind w:right="-105" w:rightChars="-50"/>
              <w:jc w:val="center"/>
              <w:rPr>
                <w:rFonts w:ascii="宋体" w:cs="仿宋"/>
                <w:color w:val="000000" w:themeColor="text1"/>
                <w:sz w:val="24"/>
              </w:rPr>
            </w:pPr>
            <w:r>
              <w:rPr>
                <w:rFonts w:hint="eastAsia" w:ascii="宋体" w:hAnsi="宋体" w:cs="仿宋"/>
                <w:color w:val="000000" w:themeColor="text1"/>
                <w:sz w:val="24"/>
              </w:rPr>
              <w:t>售后服务</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hint="eastAsia" w:ascii="宋体" w:hAnsi="宋体" w:cs="仿宋"/>
                <w:color w:val="000000" w:themeColor="text1"/>
                <w:sz w:val="24"/>
              </w:rPr>
              <w:t>提供填埋除臭服务方案，根据方案优劣度程度给分，好得13</w:t>
            </w:r>
            <w:r>
              <w:rPr>
                <w:rFonts w:ascii="宋体" w:hAnsi="宋体" w:cs="仿宋"/>
                <w:color w:val="000000" w:themeColor="text1"/>
                <w:sz w:val="24"/>
              </w:rPr>
              <w:t>-1</w:t>
            </w:r>
            <w:r>
              <w:rPr>
                <w:rFonts w:hint="eastAsia" w:ascii="宋体" w:hAnsi="宋体" w:cs="仿宋"/>
                <w:color w:val="000000" w:themeColor="text1"/>
                <w:sz w:val="24"/>
              </w:rPr>
              <w:t>6分，较好得9</w:t>
            </w:r>
            <w:r>
              <w:rPr>
                <w:rFonts w:ascii="宋体" w:hAnsi="宋体" w:cs="仿宋"/>
                <w:color w:val="000000" w:themeColor="text1"/>
                <w:sz w:val="24"/>
              </w:rPr>
              <w:t>-</w:t>
            </w:r>
            <w:r>
              <w:rPr>
                <w:rFonts w:hint="eastAsia" w:ascii="宋体" w:hAnsi="宋体" w:cs="仿宋"/>
                <w:color w:val="000000" w:themeColor="text1"/>
                <w:sz w:val="24"/>
              </w:rPr>
              <w:t>12分，一般得5</w:t>
            </w:r>
            <w:r>
              <w:rPr>
                <w:rFonts w:ascii="宋体" w:hAnsi="宋体" w:cs="仿宋"/>
                <w:color w:val="000000" w:themeColor="text1"/>
                <w:sz w:val="24"/>
              </w:rPr>
              <w:t>-</w:t>
            </w:r>
            <w:r>
              <w:rPr>
                <w:rFonts w:hint="eastAsia" w:ascii="宋体" w:hAnsi="宋体" w:cs="仿宋"/>
                <w:color w:val="000000" w:themeColor="text1"/>
                <w:sz w:val="24"/>
              </w:rPr>
              <w:t>8分，较差得1-4分，不提供不给分</w:t>
            </w:r>
            <w:r>
              <w:rPr>
                <w:rFonts w:hint="eastAsia" w:ascii="宋体" w:hAnsi="宋体" w:cs="仿宋"/>
                <w:color w:val="000000" w:themeColor="text1"/>
                <w:sz w:val="24"/>
                <w:lang w:eastAsia="zh-CN"/>
              </w:rPr>
              <w:t>。</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color w:val="000000" w:themeColor="text1"/>
                <w:sz w:val="24"/>
              </w:rPr>
            </w:pPr>
            <w:r>
              <w:rPr>
                <w:rFonts w:hint="eastAsia" w:ascii="宋体" w:hAnsi="宋体" w:cs="仿宋"/>
                <w:color w:val="000000" w:themeColor="text1"/>
                <w:sz w:val="24"/>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3"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ascii="宋体" w:hAnsi="宋体" w:cs="仿宋"/>
                <w:color w:val="000000" w:themeColor="text1"/>
                <w:sz w:val="24"/>
              </w:rPr>
              <w:t>1</w:t>
            </w:r>
            <w:r>
              <w:rPr>
                <w:rFonts w:hint="eastAsia" w:ascii="宋体" w:hAnsi="宋体" w:cs="仿宋"/>
                <w:color w:val="000000" w:themeColor="text1"/>
                <w:sz w:val="24"/>
                <w:lang w:val="en-US" w:eastAsia="zh-CN"/>
              </w:rPr>
              <w:t>1</w:t>
            </w:r>
          </w:p>
        </w:tc>
        <w:tc>
          <w:tcPr>
            <w:tcW w:w="1094" w:type="dxa"/>
            <w:gridSpan w:val="2"/>
            <w:vMerge w:val="continue"/>
            <w:tcBorders>
              <w:left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投标人提供国家认证认可监督管理委员会或相关国家机构官方网站可以查询到的相关售后服务质量证书，且证书在有效期内的得</w:t>
            </w:r>
            <w:r>
              <w:rPr>
                <w:rFonts w:hint="eastAsia" w:ascii="宋体" w:hAnsi="宋体" w:cs="仿宋"/>
                <w:color w:val="000000" w:themeColor="text1"/>
                <w:sz w:val="24"/>
                <w:lang w:val="en-US" w:eastAsia="zh-CN"/>
              </w:rPr>
              <w:t>2</w:t>
            </w:r>
            <w:r>
              <w:rPr>
                <w:rFonts w:hint="eastAsia" w:ascii="宋体" w:hAnsi="宋体" w:cs="仿宋"/>
                <w:color w:val="000000" w:themeColor="text1"/>
                <w:sz w:val="24"/>
              </w:rPr>
              <w:t>分，不提供不得分。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ascii="宋体" w:hAnsi="宋体" w:cs="仿宋"/>
                <w:color w:val="000000" w:themeColor="text1"/>
                <w:sz w:val="24"/>
              </w:rPr>
              <w:t>1</w:t>
            </w:r>
            <w:r>
              <w:rPr>
                <w:rFonts w:hint="eastAsia" w:ascii="宋体" w:hAnsi="宋体" w:cs="仿宋"/>
                <w:color w:val="000000" w:themeColor="text1"/>
                <w:sz w:val="24"/>
                <w:lang w:val="en-US" w:eastAsia="zh-CN"/>
              </w:rPr>
              <w:t>2</w:t>
            </w:r>
          </w:p>
        </w:tc>
        <w:tc>
          <w:tcPr>
            <w:tcW w:w="1094" w:type="dxa"/>
            <w:gridSpan w:val="2"/>
            <w:vMerge w:val="continue"/>
            <w:tcBorders>
              <w:left w:val="single" w:color="auto" w:sz="4" w:space="0"/>
              <w:right w:val="single" w:color="auto" w:sz="4" w:space="0"/>
            </w:tcBorders>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u w:val="single"/>
              </w:rPr>
            </w:pPr>
            <w:r>
              <w:rPr>
                <w:rFonts w:hint="eastAsia" w:ascii="宋体" w:hAnsi="宋体" w:cs="仿宋"/>
                <w:color w:val="000000" w:themeColor="text1"/>
                <w:sz w:val="24"/>
              </w:rPr>
              <w:t>投标人必须提供第三方检测机构出具的</w:t>
            </w:r>
            <w:r>
              <w:rPr>
                <w:rFonts w:hint="eastAsia" w:ascii="宋体" w:hAnsi="宋体" w:cs="仿宋"/>
                <w:color w:val="000000" w:themeColor="text1"/>
                <w:sz w:val="24"/>
                <w:lang w:eastAsia="zh-CN"/>
              </w:rPr>
              <w:t>两</w:t>
            </w:r>
            <w:r>
              <w:rPr>
                <w:rFonts w:hint="eastAsia" w:ascii="宋体" w:hAnsi="宋体" w:cs="仿宋"/>
                <w:color w:val="000000" w:themeColor="text1"/>
                <w:sz w:val="24"/>
              </w:rPr>
              <w:t>种产品的货物运输条件鉴定书（普通货物），全部提供得2分，不提供或不足三种的不得分。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color w:val="000000" w:themeColor="text1"/>
                <w:sz w:val="24"/>
              </w:rPr>
            </w:pPr>
            <w:r>
              <w:rPr>
                <w:rFonts w:hint="eastAsia" w:ascii="宋体" w:hAnsi="宋体" w:cs="仿宋"/>
                <w:color w:val="000000" w:themeColor="text1"/>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ascii="宋体" w:hAnsi="宋体" w:cs="仿宋"/>
                <w:color w:val="000000" w:themeColor="text1"/>
                <w:sz w:val="24"/>
              </w:rPr>
              <w:t>1</w:t>
            </w:r>
            <w:r>
              <w:rPr>
                <w:rFonts w:hint="eastAsia" w:ascii="宋体" w:hAnsi="宋体" w:cs="仿宋"/>
                <w:color w:val="000000" w:themeColor="text1"/>
                <w:sz w:val="24"/>
                <w:lang w:val="en-US" w:eastAsia="zh-CN"/>
              </w:rPr>
              <w:t>3</w:t>
            </w:r>
          </w:p>
        </w:tc>
        <w:tc>
          <w:tcPr>
            <w:tcW w:w="1094" w:type="dxa"/>
            <w:gridSpan w:val="2"/>
            <w:vMerge w:val="continue"/>
            <w:tcBorders>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投标人在东阳当地有办事处或分支机构得</w:t>
            </w:r>
            <w:r>
              <w:rPr>
                <w:rFonts w:hint="eastAsia" w:ascii="宋体" w:hAnsi="宋体" w:cs="仿宋"/>
                <w:color w:val="000000" w:themeColor="text1"/>
                <w:sz w:val="24"/>
                <w:lang w:val="en-US" w:eastAsia="zh-CN"/>
              </w:rPr>
              <w:t>2</w:t>
            </w:r>
            <w:r>
              <w:rPr>
                <w:rFonts w:hint="eastAsia" w:ascii="宋体" w:hAnsi="宋体" w:cs="仿宋"/>
                <w:color w:val="000000" w:themeColor="text1"/>
                <w:sz w:val="24"/>
              </w:rPr>
              <w:t>分。须提供租房合同或营业执照复印件，原件备查。</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8"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strike/>
                <w:color w:val="000000" w:themeColor="text1"/>
                <w:sz w:val="24"/>
                <w:highlight w:val="yellow"/>
                <w:lang w:eastAsia="zh-CN"/>
              </w:rPr>
            </w:pPr>
            <w:r>
              <w:rPr>
                <w:rFonts w:hint="eastAsia" w:ascii="宋体" w:hAnsi="宋体" w:cs="仿宋"/>
                <w:color w:val="000000" w:themeColor="text1"/>
                <w:sz w:val="24"/>
              </w:rPr>
              <w:t>1</w:t>
            </w:r>
            <w:r>
              <w:rPr>
                <w:rFonts w:hint="eastAsia" w:ascii="宋体" w:hAnsi="宋体" w:cs="仿宋"/>
                <w:color w:val="000000" w:themeColor="text1"/>
                <w:sz w:val="24"/>
                <w:lang w:val="en-US" w:eastAsia="zh-CN"/>
              </w:rPr>
              <w:t>4</w:t>
            </w:r>
          </w:p>
        </w:tc>
        <w:tc>
          <w:tcPr>
            <w:tcW w:w="1094" w:type="dxa"/>
            <w:gridSpan w:val="2"/>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trike/>
                <w:color w:val="000000" w:themeColor="text1"/>
                <w:sz w:val="24"/>
                <w:highlight w:val="yellow"/>
              </w:rPr>
            </w:pPr>
            <w:r>
              <w:rPr>
                <w:rFonts w:hint="eastAsia" w:ascii="宋体" w:hAnsi="宋体" w:cs="仿宋"/>
                <w:color w:val="000000" w:themeColor="text1"/>
                <w:sz w:val="24"/>
              </w:rPr>
              <w:t>标书质量</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trike/>
                <w:color w:val="000000" w:themeColor="text1"/>
                <w:sz w:val="24"/>
                <w:highlight w:val="yellow"/>
              </w:rPr>
            </w:pPr>
            <w:r>
              <w:rPr>
                <w:rFonts w:hint="eastAsia" w:ascii="宋体" w:hAnsi="宋体" w:cs="仿宋"/>
                <w:color w:val="000000" w:themeColor="text1"/>
                <w:sz w:val="24"/>
              </w:rPr>
              <w:t>根据投标文件编制完整性、格式是否规范、装订是否整齐、符合招标文件要求程度，得2分。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strike/>
                <w:color w:val="000000" w:themeColor="text1"/>
                <w:sz w:val="24"/>
              </w:rPr>
            </w:pPr>
            <w:r>
              <w:rPr>
                <w:rFonts w:hint="eastAsia" w:ascii="宋体" w:cs="仿宋"/>
                <w:color w:val="000000" w:themeColor="text1"/>
                <w:sz w:val="24"/>
              </w:rPr>
              <w:t>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9318" w:type="dxa"/>
            <w:gridSpan w:val="5"/>
            <w:noWrap/>
          </w:tcPr>
          <w:p>
            <w:pPr>
              <w:snapToGrid w:val="0"/>
              <w:spacing w:before="120" w:after="120" w:line="360" w:lineRule="auto"/>
              <w:rPr>
                <w:rFonts w:ascii="宋体"/>
                <w:b/>
                <w:color w:val="000000" w:themeColor="text1"/>
                <w:sz w:val="24"/>
              </w:rPr>
            </w:pPr>
          </w:p>
          <w:p>
            <w:pPr>
              <w:snapToGrid w:val="0"/>
              <w:spacing w:before="120" w:after="120" w:line="360" w:lineRule="auto"/>
              <w:rPr>
                <w:rFonts w:ascii="宋体"/>
                <w:b/>
                <w:color w:val="000000" w:themeColor="text1"/>
                <w:sz w:val="24"/>
              </w:rPr>
            </w:pPr>
          </w:p>
          <w:p>
            <w:pPr>
              <w:snapToGrid w:val="0"/>
              <w:spacing w:before="120" w:after="120" w:line="360" w:lineRule="auto"/>
              <w:rPr>
                <w:rFonts w:ascii="宋体"/>
                <w:b/>
                <w:color w:val="000000" w:themeColor="text1"/>
                <w:sz w:val="24"/>
              </w:rPr>
            </w:pPr>
          </w:p>
          <w:p>
            <w:pPr>
              <w:snapToGrid w:val="0"/>
              <w:spacing w:before="120" w:after="120" w:line="360" w:lineRule="auto"/>
              <w:rPr>
                <w:rFonts w:ascii="宋体"/>
                <w:b/>
                <w:color w:val="000000" w:themeColor="text1"/>
                <w:sz w:val="24"/>
              </w:rPr>
            </w:pPr>
          </w:p>
        </w:tc>
      </w:tr>
    </w:tbl>
    <w:p>
      <w:pPr>
        <w:rPr>
          <w:sz w:val="28"/>
          <w:szCs w:val="28"/>
        </w:rPr>
      </w:pPr>
    </w:p>
    <w:p>
      <w:pPr>
        <w:rPr>
          <w:sz w:val="32"/>
          <w:szCs w:val="32"/>
        </w:rPr>
      </w:pPr>
      <w:r>
        <w:rPr>
          <w:rFonts w:hint="eastAsia"/>
          <w:sz w:val="32"/>
          <w:szCs w:val="32"/>
        </w:rPr>
        <w:t>标二：灭蝇药剂</w:t>
      </w:r>
    </w:p>
    <w:p>
      <w:pPr>
        <w:spacing w:beforeLines="50" w:afterLines="50"/>
        <w:ind w:firstLine="472" w:firstLineChars="196"/>
        <w:rPr>
          <w:rFonts w:ascii="宋体" w:hAnsi="宋体"/>
          <w:b/>
          <w:bCs/>
          <w:color w:val="000000"/>
          <w:sz w:val="24"/>
        </w:rPr>
      </w:pPr>
      <w:r>
        <w:rPr>
          <w:rFonts w:ascii="宋体" w:hAnsi="宋体"/>
          <w:b/>
          <w:bCs/>
          <w:color w:val="000000"/>
          <w:sz w:val="24"/>
        </w:rPr>
        <w:t>（</w:t>
      </w:r>
      <w:r>
        <w:rPr>
          <w:rFonts w:hint="eastAsia" w:ascii="宋体" w:hAnsi="宋体"/>
          <w:b/>
          <w:bCs/>
          <w:color w:val="000000"/>
          <w:sz w:val="24"/>
        </w:rPr>
        <w:t>一</w:t>
      </w:r>
      <w:r>
        <w:rPr>
          <w:rFonts w:ascii="宋体" w:hAnsi="宋体"/>
          <w:b/>
          <w:bCs/>
          <w:color w:val="000000"/>
          <w:sz w:val="24"/>
        </w:rPr>
        <w:t>）价格分（</w:t>
      </w:r>
      <w:r>
        <w:rPr>
          <w:rFonts w:hint="eastAsia" w:ascii="宋体" w:hAnsi="宋体"/>
          <w:b/>
          <w:bCs/>
          <w:color w:val="000000"/>
          <w:sz w:val="24"/>
        </w:rPr>
        <w:t>50</w:t>
      </w:r>
      <w:r>
        <w:rPr>
          <w:rFonts w:ascii="宋体" w:hAnsi="宋体"/>
          <w:b/>
          <w:bCs/>
          <w:color w:val="000000"/>
          <w:sz w:val="24"/>
        </w:rPr>
        <w:t>分）</w:t>
      </w:r>
    </w:p>
    <w:p>
      <w:pPr>
        <w:pStyle w:val="7"/>
        <w:spacing w:beforeLines="50" w:afterLines="50" w:line="400" w:lineRule="exact"/>
        <w:ind w:firstLine="464" w:firstLineChars="200"/>
        <w:rPr>
          <w:rFonts w:hAnsi="宋体"/>
          <w:bCs/>
          <w:color w:val="000000"/>
          <w:sz w:val="24"/>
        </w:rPr>
      </w:pPr>
      <w:r>
        <w:rPr>
          <w:rFonts w:hint="eastAsia" w:hAnsi="宋体"/>
          <w:bCs/>
          <w:color w:val="000000"/>
          <w:sz w:val="24"/>
        </w:rPr>
        <w:t>1、价格分采用低价优先法计算，取所有进入报价评审的投标人中投标价格最低的投标报价为评标基准价，其他投标人的价格分按照下列公式计算：</w:t>
      </w:r>
    </w:p>
    <w:p>
      <w:pPr>
        <w:spacing w:beforeLines="50" w:afterLines="50"/>
        <w:ind w:firstLine="470" w:firstLineChars="196"/>
        <w:rPr>
          <w:rFonts w:ascii="宋体" w:hAnsi="宋体"/>
          <w:bCs/>
          <w:color w:val="000000"/>
          <w:spacing w:val="-4"/>
          <w:sz w:val="24"/>
          <w:szCs w:val="20"/>
        </w:rPr>
      </w:pPr>
      <w:r>
        <w:rPr>
          <w:rFonts w:hint="eastAsia" w:hAnsi="宋体"/>
          <w:bCs/>
          <w:color w:val="000000"/>
          <w:sz w:val="24"/>
        </w:rPr>
        <w:t>价格分=（评标基准价/投标报价</w:t>
      </w:r>
      <w:r>
        <w:rPr>
          <w:rFonts w:hint="eastAsia" w:ascii="宋体" w:hAnsi="宋体"/>
          <w:bCs/>
          <w:color w:val="000000"/>
          <w:spacing w:val="-4"/>
          <w:sz w:val="24"/>
          <w:szCs w:val="20"/>
        </w:rPr>
        <w:t>）×50分</w:t>
      </w:r>
    </w:p>
    <w:p>
      <w:pPr>
        <w:tabs>
          <w:tab w:val="left" w:pos="982"/>
        </w:tabs>
        <w:snapToGrid w:val="0"/>
        <w:ind w:left="-2" w:leftChars="-1" w:firstLine="512" w:firstLineChars="220"/>
        <w:rPr>
          <w:rFonts w:ascii="宋体" w:hAnsi="宋体"/>
          <w:b/>
          <w:spacing w:val="-4"/>
          <w:sz w:val="24"/>
        </w:rPr>
      </w:pPr>
      <w:r>
        <w:rPr>
          <w:rFonts w:hint="eastAsia" w:ascii="宋体" w:hAnsi="宋体"/>
          <w:b/>
          <w:spacing w:val="-4"/>
          <w:sz w:val="24"/>
        </w:rPr>
        <w:t>2、依据《政府采购促进中小企业发展暂行办法》（财库〔2011〕181号）文件、《财政部、司法部关于政府采购支持监狱企业发展有关问题的通知》（财库〔2014〕68号）文件及《财政部、民政部、中国残疾人联合会关于促进残疾人就业政府采购政策的通知》（财库〔2017〕 141号）的规定，对小型和微型企业、监狱企业、残疾人福利性单位生产的产品价格给予6%～10%的扣除，用扣除后的价格参与评审。本项目的扣除比例为6 %。小型和微型企业是指投标文件中提供了中小企业声明函且符合《政府采购促进中小企业发展暂行办法》（财库〔2011〕181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pStyle w:val="13"/>
        <w:spacing w:beforeLines="30" w:beforeAutospacing="0" w:afterLines="30" w:afterAutospacing="0" w:line="320" w:lineRule="exact"/>
        <w:ind w:firstLine="466" w:firstLineChars="200"/>
        <w:rPr>
          <w:bCs/>
        </w:rPr>
      </w:pPr>
      <w:r>
        <w:rPr>
          <w:rFonts w:hint="eastAsia"/>
          <w:b/>
          <w:color w:val="auto"/>
          <w:spacing w:val="-4"/>
          <w:kern w:val="2"/>
        </w:rPr>
        <w:t>小微企业的评审价格=小微企业的投标报价 － 小型、微型企业生产的产品</w:t>
      </w:r>
      <w:r>
        <w:rPr>
          <w:rFonts w:hint="eastAsia"/>
          <w:b/>
          <w:color w:val="auto"/>
          <w:spacing w:val="-4"/>
          <w:kern w:val="2"/>
          <w:lang w:val="en-GB"/>
        </w:rPr>
        <w:t>金额合计</w:t>
      </w:r>
      <w:r>
        <w:rPr>
          <w:rFonts w:hint="eastAsia"/>
          <w:b/>
          <w:color w:val="auto"/>
          <w:spacing w:val="-4"/>
          <w:kern w:val="2"/>
        </w:rPr>
        <w:t>×6%</w:t>
      </w:r>
    </w:p>
    <w:p>
      <w:pPr>
        <w:pStyle w:val="7"/>
        <w:spacing w:line="360" w:lineRule="auto"/>
        <w:ind w:firstLine="466" w:firstLineChars="200"/>
        <w:rPr>
          <w:rFonts w:hAnsi="宋体"/>
          <w:b/>
          <w:color w:val="000000"/>
          <w:sz w:val="24"/>
          <w:szCs w:val="24"/>
        </w:rPr>
      </w:pPr>
      <w:r>
        <w:rPr>
          <w:rFonts w:hint="eastAsia" w:hAnsi="宋体"/>
          <w:b/>
          <w:color w:val="000000"/>
          <w:sz w:val="24"/>
          <w:szCs w:val="24"/>
        </w:rPr>
        <w:t>（二）技术分、商务分、资信及其他分，共50分。</w:t>
      </w:r>
    </w:p>
    <w:p>
      <w:pPr>
        <w:pStyle w:val="7"/>
        <w:spacing w:beforeLines="50" w:afterLines="50" w:line="320" w:lineRule="exact"/>
        <w:ind w:firstLine="466" w:firstLineChars="200"/>
        <w:rPr>
          <w:rFonts w:hAnsi="宋体"/>
          <w:b/>
          <w:sz w:val="24"/>
          <w:szCs w:val="24"/>
        </w:rPr>
      </w:pPr>
      <w:r>
        <w:rPr>
          <w:rFonts w:hint="eastAsia" w:hAnsi="宋体"/>
          <w:b/>
          <w:sz w:val="24"/>
          <w:szCs w:val="24"/>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pPr>
        <w:spacing w:line="400" w:lineRule="exact"/>
        <w:ind w:firstLine="472" w:firstLineChars="196"/>
        <w:rPr>
          <w:rFonts w:ascii="宋体" w:hAnsi="宋体"/>
          <w:b/>
          <w:bCs/>
          <w:color w:val="000000"/>
          <w:sz w:val="24"/>
        </w:rPr>
      </w:pPr>
      <w:r>
        <w:rPr>
          <w:rFonts w:hint="eastAsia" w:ascii="宋体" w:hAnsi="宋体"/>
          <w:b/>
          <w:bCs/>
          <w:color w:val="000000"/>
          <w:sz w:val="24"/>
        </w:rPr>
        <w:t>（三）技术、商务、资信及其他分的计算</w:t>
      </w:r>
    </w:p>
    <w:p>
      <w:pPr>
        <w:spacing w:beforeLines="50" w:afterLines="50" w:line="276" w:lineRule="auto"/>
        <w:ind w:firstLine="480" w:firstLineChars="200"/>
        <w:rPr>
          <w:rFonts w:ascii="宋体" w:hAnsi="宋体"/>
          <w:color w:val="000000"/>
          <w:sz w:val="24"/>
        </w:rPr>
      </w:pPr>
      <w:r>
        <w:rPr>
          <w:rFonts w:hint="eastAsia" w:ascii="宋体" w:hAnsi="宋体"/>
          <w:color w:val="000000"/>
          <w:sz w:val="24"/>
        </w:rPr>
        <w:t>技术、商务及其它、资信分按照评标委员会成员的独立评分结果的算术平均分计算，计算公式为：</w:t>
      </w:r>
    </w:p>
    <w:p>
      <w:pPr>
        <w:spacing w:beforeLines="50" w:afterLines="50" w:line="276" w:lineRule="auto"/>
        <w:ind w:firstLine="495"/>
        <w:rPr>
          <w:rFonts w:ascii="宋体" w:hAnsi="宋体"/>
          <w:b/>
          <w:color w:val="000000"/>
          <w:sz w:val="24"/>
        </w:rPr>
      </w:pPr>
      <w:r>
        <w:rPr>
          <w:rFonts w:hint="eastAsia" w:ascii="宋体" w:hAnsi="宋体"/>
          <w:color w:val="000000"/>
          <w:sz w:val="24"/>
        </w:rPr>
        <w:t>技术、商务及其它、资信分=评标委员会所有成员评分合计数/评标委员会组成人员数</w:t>
      </w:r>
    </w:p>
    <w:p>
      <w:pPr>
        <w:snapToGrid w:val="0"/>
        <w:spacing w:line="360" w:lineRule="auto"/>
        <w:rPr>
          <w:rFonts w:ascii="宋体" w:hAnsi="宋体"/>
          <w:b/>
          <w:sz w:val="24"/>
        </w:rPr>
      </w:pPr>
      <w:r>
        <w:rPr>
          <w:rFonts w:hint="eastAsia" w:ascii="宋体" w:hAnsi="宋体"/>
          <w:b/>
          <w:sz w:val="24"/>
        </w:rPr>
        <w:t>附件：评分表格式（技术、商务、资信及其他分，共50分）</w:t>
      </w:r>
    </w:p>
    <w:p>
      <w:pPr>
        <w:rPr>
          <w:sz w:val="28"/>
          <w:szCs w:val="28"/>
        </w:rPr>
      </w:pPr>
    </w:p>
    <w:tbl>
      <w:tblPr>
        <w:tblStyle w:val="15"/>
        <w:tblpPr w:leftFromText="180" w:rightFromText="180" w:vertAnchor="text" w:horzAnchor="page" w:tblpX="1462" w:tblpY="448"/>
        <w:tblOverlap w:val="never"/>
        <w:tblW w:w="93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5"/>
        <w:gridCol w:w="524"/>
        <w:gridCol w:w="570"/>
        <w:gridCol w:w="7084"/>
        <w:gridCol w:w="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序号</w:t>
            </w:r>
          </w:p>
        </w:tc>
        <w:tc>
          <w:tcPr>
            <w:tcW w:w="1094" w:type="dxa"/>
            <w:gridSpan w:val="2"/>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评审内容</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firstLine="2356" w:firstLineChars="978"/>
              <w:rPr>
                <w:rFonts w:ascii="宋体" w:cs="仿宋"/>
                <w:b/>
                <w:bCs/>
                <w:sz w:val="24"/>
              </w:rPr>
            </w:pPr>
            <w:r>
              <w:rPr>
                <w:rFonts w:hint="eastAsia" w:ascii="宋体" w:hAnsi="宋体" w:cs="仿宋"/>
                <w:b/>
                <w:bCs/>
                <w:sz w:val="24"/>
              </w:rPr>
              <w:t>评分标准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bCs/>
                <w:sz w:val="24"/>
              </w:rPr>
            </w:pPr>
            <w:r>
              <w:rPr>
                <w:rFonts w:hint="eastAsia" w:ascii="宋体" w:hAnsi="宋体" w:cs="仿宋"/>
                <w:b/>
                <w:bCs/>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一</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b/>
                <w:bCs/>
                <w:sz w:val="24"/>
              </w:rPr>
            </w:pPr>
            <w:r>
              <w:rPr>
                <w:rFonts w:hint="eastAsia" w:ascii="宋体" w:hAnsi="宋体" w:cs="仿宋"/>
                <w:b/>
                <w:bCs/>
                <w:sz w:val="24"/>
              </w:rPr>
              <w:t>技术分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bCs/>
                <w:sz w:val="24"/>
              </w:rPr>
            </w:pPr>
            <w:r>
              <w:rPr>
                <w:rFonts w:hint="eastAsia" w:ascii="宋体" w:hAnsi="宋体" w:cs="仿宋"/>
                <w:b/>
                <w:bCs/>
                <w:sz w:val="24"/>
                <w:lang w:val="en-US" w:eastAsia="zh-CN"/>
              </w:rPr>
              <w:t>16</w:t>
            </w:r>
            <w:r>
              <w:rPr>
                <w:rFonts w:hint="eastAsia" w:ascii="宋体" w:hAnsi="宋体" w:cs="仿宋"/>
                <w:b/>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76"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sz w:val="24"/>
                <w:lang w:eastAsia="zh-CN"/>
              </w:rPr>
            </w:pPr>
            <w:r>
              <w:rPr>
                <w:rFonts w:hint="eastAsia" w:ascii="宋体" w:cs="仿宋"/>
                <w:sz w:val="24"/>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z w:val="24"/>
              </w:rPr>
            </w:pPr>
          </w:p>
        </w:tc>
        <w:tc>
          <w:tcPr>
            <w:tcW w:w="5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仿宋"/>
                <w:sz w:val="24"/>
              </w:rPr>
            </w:pPr>
          </w:p>
        </w:tc>
        <w:tc>
          <w:tcPr>
            <w:tcW w:w="7084" w:type="dxa"/>
            <w:tcBorders>
              <w:top w:val="single" w:color="auto" w:sz="4" w:space="0"/>
              <w:left w:val="single" w:color="auto" w:sz="4" w:space="0"/>
              <w:bottom w:val="single" w:color="auto" w:sz="4" w:space="0"/>
              <w:right w:val="single" w:color="auto" w:sz="4" w:space="0"/>
            </w:tcBorders>
            <w:noWrap/>
          </w:tcPr>
          <w:p>
            <w:pPr>
              <w:ind w:right="-105" w:rightChars="-50"/>
              <w:rPr>
                <w:rFonts w:ascii="宋体" w:hAnsi="宋体" w:cs="仿宋"/>
                <w:sz w:val="24"/>
              </w:rPr>
            </w:pPr>
            <w:r>
              <w:rPr>
                <w:rFonts w:hint="eastAsia" w:ascii="宋体" w:hAnsi="宋体" w:cs="仿宋"/>
                <w:sz w:val="24"/>
              </w:rPr>
              <w:t>提供2018年后（包括2018年）内国家或省级第三方检测机构出具的加盖CMA章的灭蝇效果报告检测报告：稀释400倍后喷洒，8小时内灭蝇效果96%-100%的（包含96%）得1</w:t>
            </w:r>
            <w:r>
              <w:rPr>
                <w:rFonts w:hint="eastAsia" w:ascii="宋体" w:hAnsi="宋体" w:cs="仿宋"/>
                <w:sz w:val="24"/>
                <w:lang w:val="en-US" w:eastAsia="zh-CN"/>
              </w:rPr>
              <w:t>6</w:t>
            </w:r>
            <w:r>
              <w:rPr>
                <w:rFonts w:hint="eastAsia" w:ascii="宋体" w:hAnsi="宋体" w:cs="仿宋"/>
                <w:sz w:val="24"/>
              </w:rPr>
              <w:t>分；</w:t>
            </w:r>
          </w:p>
          <w:p>
            <w:pPr>
              <w:ind w:right="-105" w:rightChars="-50"/>
              <w:rPr>
                <w:rFonts w:ascii="宋体" w:hAnsi="宋体" w:cs="仿宋"/>
                <w:sz w:val="24"/>
              </w:rPr>
            </w:pPr>
            <w:r>
              <w:rPr>
                <w:rFonts w:hint="eastAsia" w:ascii="宋体" w:hAnsi="宋体" w:cs="仿宋"/>
                <w:sz w:val="24"/>
              </w:rPr>
              <w:t>灭蝇效果90%-96%的得</w:t>
            </w:r>
            <w:r>
              <w:rPr>
                <w:rFonts w:hint="eastAsia" w:ascii="宋体" w:hAnsi="宋体" w:cs="仿宋"/>
                <w:sz w:val="24"/>
                <w:lang w:val="en-US" w:eastAsia="zh-CN"/>
              </w:rPr>
              <w:t>10</w:t>
            </w:r>
            <w:r>
              <w:rPr>
                <w:rFonts w:hint="eastAsia" w:ascii="宋体" w:hAnsi="宋体" w:cs="仿宋"/>
                <w:sz w:val="24"/>
              </w:rPr>
              <w:t>分；</w:t>
            </w:r>
          </w:p>
          <w:p>
            <w:pPr>
              <w:ind w:right="-105" w:rightChars="-50"/>
              <w:rPr>
                <w:rFonts w:ascii="宋体" w:hAnsi="宋体" w:cs="仿宋"/>
                <w:sz w:val="24"/>
              </w:rPr>
            </w:pPr>
            <w:r>
              <w:rPr>
                <w:rFonts w:hint="eastAsia" w:ascii="宋体" w:hAnsi="宋体" w:cs="仿宋"/>
                <w:sz w:val="24"/>
              </w:rPr>
              <w:t>灭蝇效果＜90%的不得分；不提供不得分。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default" w:ascii="宋体" w:hAnsi="宋体" w:eastAsia="宋体" w:cs="仿宋"/>
                <w:sz w:val="24"/>
                <w:lang w:val="en-US" w:eastAsia="zh-CN"/>
              </w:rPr>
            </w:pPr>
            <w:r>
              <w:rPr>
                <w:rFonts w:hint="eastAsia" w:ascii="宋体" w:hAnsi="宋体" w:cs="仿宋"/>
                <w:sz w:val="24"/>
                <w:lang w:val="en-US" w:eastAsia="zh-CN"/>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sz w:val="24"/>
              </w:rPr>
            </w:pPr>
            <w:r>
              <w:rPr>
                <w:rFonts w:hint="eastAsia" w:ascii="宋体" w:hAnsi="宋体" w:cs="仿宋"/>
                <w:sz w:val="24"/>
              </w:rPr>
              <w:t>二</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sz w:val="24"/>
              </w:rPr>
            </w:pPr>
            <w:r>
              <w:rPr>
                <w:rFonts w:hint="eastAsia" w:ascii="宋体" w:hAnsi="宋体" w:cs="仿宋"/>
                <w:b/>
                <w:sz w:val="24"/>
              </w:rPr>
              <w:t>资信及其他分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b/>
                <w:sz w:val="24"/>
              </w:rPr>
            </w:pPr>
            <w:r>
              <w:rPr>
                <w:rFonts w:hint="eastAsia" w:ascii="宋体" w:hAnsi="宋体" w:cs="仿宋"/>
                <w:b/>
                <w:color w:val="000000" w:themeColor="text1"/>
                <w:sz w:val="24"/>
                <w:lang w:val="en-US" w:eastAsia="zh-CN"/>
              </w:rPr>
              <w:t>12</w:t>
            </w:r>
            <w:r>
              <w:rPr>
                <w:rFonts w:hint="eastAsia" w:ascii="宋体" w:hAnsi="宋体" w:cs="仿宋"/>
                <w:b/>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04" w:hRule="exact"/>
        </w:trPr>
        <w:tc>
          <w:tcPr>
            <w:tcW w:w="435" w:type="dxa"/>
            <w:tcBorders>
              <w:top w:val="nil"/>
              <w:bottom w:val="single" w:color="auto" w:sz="4" w:space="0"/>
              <w:right w:val="single" w:color="auto" w:sz="4" w:space="0"/>
            </w:tcBorders>
            <w:noWrap/>
            <w:vAlign w:val="center"/>
          </w:tcPr>
          <w:p>
            <w:pPr>
              <w:ind w:right="-105" w:rightChars="-50"/>
              <w:rPr>
                <w:rFonts w:hint="eastAsia" w:ascii="宋体" w:eastAsia="宋体" w:cs="仿宋"/>
                <w:sz w:val="24"/>
                <w:lang w:eastAsia="zh-CN"/>
              </w:rPr>
            </w:pPr>
            <w:r>
              <w:rPr>
                <w:rFonts w:hint="eastAsia" w:ascii="宋体" w:cs="仿宋"/>
                <w:sz w:val="24"/>
                <w:lang w:val="en-US" w:eastAsia="zh-CN"/>
              </w:rPr>
              <w:t>2</w:t>
            </w:r>
          </w:p>
        </w:tc>
        <w:tc>
          <w:tcPr>
            <w:tcW w:w="524" w:type="dxa"/>
            <w:vMerge w:val="restart"/>
            <w:tcBorders>
              <w:top w:val="nil"/>
              <w:left w:val="single" w:color="auto" w:sz="4" w:space="0"/>
              <w:right w:val="single" w:color="auto" w:sz="4" w:space="0"/>
            </w:tcBorders>
            <w:noWrap/>
            <w:vAlign w:val="center"/>
          </w:tcPr>
          <w:p>
            <w:pPr>
              <w:ind w:right="-105" w:rightChars="-50"/>
              <w:rPr>
                <w:rFonts w:ascii="宋体" w:cs="仿宋"/>
                <w:sz w:val="24"/>
              </w:rPr>
            </w:pPr>
            <w:r>
              <w:rPr>
                <w:rFonts w:hint="eastAsia" w:ascii="宋体" w:hAnsi="宋体" w:cs="仿宋"/>
                <w:sz w:val="24"/>
              </w:rPr>
              <w:t>履约能力</w:t>
            </w:r>
          </w:p>
        </w:tc>
        <w:tc>
          <w:tcPr>
            <w:tcW w:w="570" w:type="dxa"/>
            <w:vMerge w:val="restart"/>
            <w:tcBorders>
              <w:top w:val="nil"/>
              <w:left w:val="single" w:color="auto" w:sz="4" w:space="0"/>
              <w:right w:val="single" w:color="auto" w:sz="4" w:space="0"/>
            </w:tcBorders>
            <w:noWrap/>
            <w:vAlign w:val="center"/>
          </w:tcPr>
          <w:p>
            <w:pPr>
              <w:ind w:right="-105" w:rightChars="-50"/>
              <w:rPr>
                <w:rFonts w:ascii="宋体" w:cs="仿宋"/>
                <w:sz w:val="24"/>
              </w:rPr>
            </w:pPr>
            <w:r>
              <w:rPr>
                <w:rFonts w:hint="eastAsia" w:ascii="宋体" w:hAnsi="宋体" w:cs="仿宋"/>
                <w:sz w:val="24"/>
              </w:rPr>
              <w:t>履约能力</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z w:val="24"/>
              </w:rPr>
            </w:pPr>
            <w:r>
              <w:rPr>
                <w:rFonts w:hint="eastAsia" w:ascii="宋体" w:hAnsi="宋体" w:cs="仿宋"/>
                <w:sz w:val="24"/>
              </w:rPr>
              <w:t>投标通过</w:t>
            </w:r>
            <w:r>
              <w:rPr>
                <w:rFonts w:ascii="宋体" w:hAnsi="宋体" w:cs="仿宋"/>
                <w:sz w:val="24"/>
              </w:rPr>
              <w:t>ISO9001</w:t>
            </w:r>
            <w:r>
              <w:rPr>
                <w:rFonts w:hint="eastAsia" w:ascii="宋体" w:hAnsi="宋体" w:cs="仿宋"/>
                <w:sz w:val="24"/>
              </w:rPr>
              <w:t>质量管理体系认证，</w:t>
            </w:r>
            <w:r>
              <w:rPr>
                <w:rFonts w:ascii="宋体" w:hAnsi="宋体" w:cs="仿宋"/>
                <w:sz w:val="24"/>
              </w:rPr>
              <w:t>ISO14001</w:t>
            </w:r>
            <w:r>
              <w:rPr>
                <w:rFonts w:hint="eastAsia" w:ascii="宋体" w:hAnsi="宋体" w:cs="仿宋"/>
                <w:sz w:val="24"/>
              </w:rPr>
              <w:t>环境管理体系认证及</w:t>
            </w:r>
            <w:r>
              <w:rPr>
                <w:rFonts w:ascii="宋体" w:hAnsi="宋体" w:cs="仿宋"/>
                <w:sz w:val="24"/>
              </w:rPr>
              <w:t>OHSAS 18001</w:t>
            </w:r>
            <w:r>
              <w:rPr>
                <w:rFonts w:hint="eastAsia" w:ascii="宋体" w:hAnsi="宋体" w:cs="仿宋"/>
                <w:sz w:val="24"/>
              </w:rPr>
              <w:t>职业健康安全管理体系认证的，并且所有认证证书都在有效期内；每一项得1分，最高得3分。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sz w:val="24"/>
              </w:rPr>
            </w:pPr>
            <w:r>
              <w:rPr>
                <w:rFonts w:hint="eastAsia" w:ascii="宋体" w:hAnsi="宋体" w:cs="仿宋"/>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65" w:hRule="exact"/>
        </w:trPr>
        <w:tc>
          <w:tcPr>
            <w:tcW w:w="435" w:type="dxa"/>
            <w:tcBorders>
              <w:top w:val="nil"/>
              <w:bottom w:val="single" w:color="auto" w:sz="4" w:space="0"/>
              <w:right w:val="single" w:color="auto" w:sz="4" w:space="0"/>
            </w:tcBorders>
            <w:noWrap/>
            <w:vAlign w:val="center"/>
          </w:tcPr>
          <w:p>
            <w:pPr>
              <w:ind w:right="-105" w:rightChars="-50"/>
              <w:rPr>
                <w:rFonts w:hint="eastAsia" w:ascii="宋体" w:eastAsia="宋体" w:cs="仿宋"/>
                <w:sz w:val="24"/>
                <w:lang w:eastAsia="zh-CN"/>
              </w:rPr>
            </w:pPr>
            <w:r>
              <w:rPr>
                <w:rFonts w:hint="eastAsia" w:ascii="宋体" w:cs="仿宋"/>
                <w:sz w:val="24"/>
                <w:lang w:val="en-US" w:eastAsia="zh-CN"/>
              </w:rPr>
              <w:t>3</w:t>
            </w:r>
          </w:p>
        </w:tc>
        <w:tc>
          <w:tcPr>
            <w:tcW w:w="524" w:type="dxa"/>
            <w:vMerge w:val="continue"/>
            <w:tcBorders>
              <w:left w:val="single" w:color="auto" w:sz="4" w:space="0"/>
              <w:right w:val="single" w:color="auto" w:sz="4" w:space="0"/>
            </w:tcBorders>
            <w:noWrap/>
            <w:vAlign w:val="center"/>
          </w:tcPr>
          <w:p>
            <w:pPr>
              <w:ind w:right="-105" w:rightChars="-50"/>
              <w:jc w:val="center"/>
              <w:rPr>
                <w:rFonts w:ascii="宋体" w:cs="仿宋"/>
                <w:sz w:val="24"/>
              </w:rPr>
            </w:pPr>
          </w:p>
        </w:tc>
        <w:tc>
          <w:tcPr>
            <w:tcW w:w="570" w:type="dxa"/>
            <w:vMerge w:val="continue"/>
            <w:tcBorders>
              <w:left w:val="single" w:color="auto" w:sz="4" w:space="0"/>
              <w:right w:val="single" w:color="auto" w:sz="4" w:space="0"/>
            </w:tcBorders>
            <w:noWrap/>
            <w:vAlign w:val="center"/>
          </w:tcPr>
          <w:p>
            <w:pPr>
              <w:ind w:right="-105" w:rightChars="-50"/>
              <w:jc w:val="center"/>
              <w:rPr>
                <w:rFonts w:ascii="宋体" w:cs="仿宋"/>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z w:val="24"/>
                <w:highlight w:val="yellow"/>
              </w:rPr>
            </w:pPr>
            <w:r>
              <w:rPr>
                <w:rFonts w:hint="eastAsia" w:ascii="宋体" w:hAnsi="宋体" w:cs="仿宋"/>
                <w:sz w:val="24"/>
              </w:rPr>
              <w:t>企业具有城市管理专业或环境工程专业专业技术人员级别：正高级得</w:t>
            </w:r>
            <w:r>
              <w:rPr>
                <w:rFonts w:ascii="宋体" w:hAnsi="宋体" w:cs="仿宋"/>
                <w:sz w:val="24"/>
              </w:rPr>
              <w:t>3</w:t>
            </w:r>
            <w:r>
              <w:rPr>
                <w:rFonts w:hint="eastAsia" w:ascii="宋体" w:hAnsi="宋体" w:cs="仿宋"/>
                <w:sz w:val="24"/>
              </w:rPr>
              <w:t>分，副高级得</w:t>
            </w:r>
            <w:r>
              <w:rPr>
                <w:rFonts w:ascii="宋体" w:hAnsi="宋体" w:cs="仿宋"/>
                <w:sz w:val="24"/>
              </w:rPr>
              <w:t>2</w:t>
            </w:r>
            <w:r>
              <w:rPr>
                <w:rFonts w:hint="eastAsia" w:ascii="宋体" w:hAnsi="宋体" w:cs="仿宋"/>
                <w:sz w:val="24"/>
              </w:rPr>
              <w:t>分，中级得</w:t>
            </w:r>
            <w:r>
              <w:rPr>
                <w:rFonts w:ascii="宋体" w:hAnsi="宋体" w:cs="仿宋"/>
                <w:sz w:val="24"/>
              </w:rPr>
              <w:t>1</w:t>
            </w:r>
            <w:r>
              <w:rPr>
                <w:rFonts w:hint="eastAsia" w:ascii="宋体" w:hAnsi="宋体" w:cs="仿宋"/>
                <w:sz w:val="24"/>
              </w:rPr>
              <w:t>分，其他不得分，提供一名即可，就高原则。不提供不得分。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color w:val="FF0000"/>
                <w:sz w:val="24"/>
                <w:highlight w:val="yellow"/>
              </w:rPr>
            </w:pPr>
            <w:r>
              <w:rPr>
                <w:rFonts w:ascii="宋体" w:hAnsi="宋体" w:cs="仿宋"/>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8" w:hRule="exact"/>
        </w:trPr>
        <w:tc>
          <w:tcPr>
            <w:tcW w:w="435" w:type="dxa"/>
            <w:tcBorders>
              <w:top w:val="nil"/>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hint="eastAsia" w:ascii="宋体" w:cs="仿宋"/>
                <w:color w:val="000000" w:themeColor="text1"/>
                <w:sz w:val="24"/>
                <w:lang w:val="en-US" w:eastAsia="zh-CN"/>
              </w:rPr>
              <w:t>4</w:t>
            </w:r>
          </w:p>
        </w:tc>
        <w:tc>
          <w:tcPr>
            <w:tcW w:w="524" w:type="dxa"/>
            <w:vMerge w:val="continue"/>
            <w:tcBorders>
              <w:left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570" w:type="dxa"/>
            <w:vMerge w:val="continue"/>
            <w:tcBorders>
              <w:left w:val="single" w:color="auto" w:sz="4" w:space="0"/>
              <w:bottom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highlight w:val="yellow"/>
              </w:rPr>
            </w:pPr>
            <w:r>
              <w:rPr>
                <w:rFonts w:hint="eastAsia" w:ascii="宋体" w:hAnsi="宋体" w:cs="仿宋"/>
                <w:color w:val="000000" w:themeColor="text1"/>
                <w:sz w:val="24"/>
              </w:rPr>
              <w:t>提供近三年所投药剂在生活垃圾填埋场的相应业绩，对参投供应商业绩横向对比，业绩良好打</w:t>
            </w:r>
            <w:r>
              <w:rPr>
                <w:rFonts w:hint="eastAsia" w:ascii="宋体" w:hAnsi="宋体" w:cs="仿宋"/>
                <w:color w:val="000000" w:themeColor="text1"/>
                <w:sz w:val="24"/>
                <w:lang w:val="en-US" w:eastAsia="zh-CN"/>
              </w:rPr>
              <w:t>5</w:t>
            </w:r>
            <w:r>
              <w:rPr>
                <w:rFonts w:hint="eastAsia" w:ascii="宋体" w:hAnsi="宋体" w:cs="仿宋"/>
                <w:color w:val="000000" w:themeColor="text1"/>
                <w:sz w:val="24"/>
              </w:rPr>
              <w:t>-</w:t>
            </w:r>
            <w:r>
              <w:rPr>
                <w:rFonts w:hint="eastAsia" w:ascii="宋体" w:hAnsi="宋体" w:cs="仿宋"/>
                <w:color w:val="000000" w:themeColor="text1"/>
                <w:sz w:val="24"/>
                <w:lang w:val="en-US" w:eastAsia="zh-CN"/>
              </w:rPr>
              <w:t>6</w:t>
            </w:r>
            <w:r>
              <w:rPr>
                <w:rFonts w:hint="eastAsia" w:ascii="宋体" w:hAnsi="宋体" w:cs="仿宋"/>
                <w:color w:val="000000" w:themeColor="text1"/>
                <w:sz w:val="24"/>
              </w:rPr>
              <w:t>分；业绩中等</w:t>
            </w:r>
            <w:r>
              <w:rPr>
                <w:rFonts w:hint="eastAsia" w:ascii="宋体" w:hAnsi="宋体" w:cs="仿宋"/>
                <w:color w:val="000000" w:themeColor="text1"/>
                <w:sz w:val="24"/>
                <w:lang w:val="en-US" w:eastAsia="zh-CN"/>
              </w:rPr>
              <w:t>3</w:t>
            </w:r>
            <w:r>
              <w:rPr>
                <w:rFonts w:hint="eastAsia" w:ascii="宋体" w:hAnsi="宋体" w:cs="仿宋"/>
                <w:color w:val="000000" w:themeColor="text1"/>
                <w:sz w:val="24"/>
              </w:rPr>
              <w:t>-</w:t>
            </w:r>
            <w:r>
              <w:rPr>
                <w:rFonts w:hint="eastAsia" w:ascii="宋体" w:hAnsi="宋体" w:cs="仿宋"/>
                <w:color w:val="000000" w:themeColor="text1"/>
                <w:sz w:val="24"/>
                <w:lang w:val="en-US" w:eastAsia="zh-CN"/>
              </w:rPr>
              <w:t>4</w:t>
            </w:r>
            <w:r>
              <w:rPr>
                <w:rFonts w:hint="eastAsia" w:ascii="宋体" w:hAnsi="宋体" w:cs="仿宋"/>
                <w:color w:val="000000" w:themeColor="text1"/>
                <w:sz w:val="24"/>
              </w:rPr>
              <w:t>分；业绩一般</w:t>
            </w:r>
            <w:r>
              <w:rPr>
                <w:rFonts w:hint="eastAsia" w:ascii="宋体" w:hAnsi="宋体" w:cs="仿宋"/>
                <w:color w:val="000000" w:themeColor="text1"/>
                <w:sz w:val="24"/>
                <w:lang w:val="en-US" w:eastAsia="zh-CN"/>
              </w:rPr>
              <w:t>1</w:t>
            </w:r>
            <w:r>
              <w:rPr>
                <w:rFonts w:hint="eastAsia" w:ascii="宋体" w:hAnsi="宋体" w:cs="仿宋"/>
                <w:color w:val="000000" w:themeColor="text1"/>
                <w:sz w:val="24"/>
              </w:rPr>
              <w:t>-</w:t>
            </w:r>
            <w:r>
              <w:rPr>
                <w:rFonts w:hint="eastAsia" w:ascii="宋体" w:hAnsi="宋体" w:cs="仿宋"/>
                <w:color w:val="000000" w:themeColor="text1"/>
                <w:sz w:val="24"/>
                <w:lang w:val="en-US" w:eastAsia="zh-CN"/>
              </w:rPr>
              <w:t>2</w:t>
            </w:r>
            <w:r>
              <w:rPr>
                <w:rFonts w:hint="eastAsia" w:ascii="宋体" w:hAnsi="宋体" w:cs="仿宋"/>
                <w:color w:val="000000" w:themeColor="text1"/>
                <w:sz w:val="24"/>
              </w:rPr>
              <w:t>分，不提供不得分。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highlight w:val="yellow"/>
                <w:lang w:eastAsia="zh-CN"/>
              </w:rPr>
            </w:pPr>
            <w:r>
              <w:rPr>
                <w:rFonts w:hint="eastAsia" w:ascii="宋体" w:hAnsi="宋体" w:cs="仿宋"/>
                <w:color w:val="000000" w:themeColor="text1"/>
                <w:sz w:val="24"/>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7"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color w:val="000000" w:themeColor="text1"/>
                <w:sz w:val="24"/>
              </w:rPr>
            </w:pPr>
            <w:r>
              <w:rPr>
                <w:rFonts w:hint="eastAsia" w:ascii="宋体" w:hAnsi="宋体" w:cs="仿宋"/>
                <w:b/>
                <w:color w:val="000000" w:themeColor="text1"/>
                <w:sz w:val="24"/>
              </w:rPr>
              <w:t>三</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b/>
                <w:color w:val="000000" w:themeColor="text1"/>
                <w:sz w:val="24"/>
              </w:rPr>
            </w:pPr>
            <w:r>
              <w:rPr>
                <w:rFonts w:hint="eastAsia" w:ascii="宋体" w:hAnsi="宋体" w:cs="仿宋"/>
                <w:b/>
                <w:color w:val="000000" w:themeColor="text1"/>
                <w:sz w:val="24"/>
              </w:rPr>
              <w:t>商务分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color w:val="000000" w:themeColor="text1"/>
                <w:sz w:val="24"/>
              </w:rPr>
            </w:pPr>
            <w:r>
              <w:rPr>
                <w:rFonts w:hint="eastAsia" w:ascii="宋体" w:hAnsi="宋体" w:cs="仿宋"/>
                <w:b/>
                <w:color w:val="000000" w:themeColor="text1"/>
                <w:sz w:val="24"/>
                <w:lang w:val="en-US" w:eastAsia="zh-CN"/>
              </w:rPr>
              <w:t>22</w:t>
            </w:r>
            <w:r>
              <w:rPr>
                <w:rFonts w:hint="eastAsia" w:ascii="宋体" w:hAnsi="宋体" w:cs="仿宋"/>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3"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5</w:t>
            </w:r>
          </w:p>
        </w:tc>
        <w:tc>
          <w:tcPr>
            <w:tcW w:w="1094" w:type="dxa"/>
            <w:gridSpan w:val="2"/>
            <w:vMerge w:val="restart"/>
            <w:tcBorders>
              <w:top w:val="single" w:color="auto" w:sz="4" w:space="0"/>
              <w:left w:val="single" w:color="auto" w:sz="4" w:space="0"/>
              <w:right w:val="single" w:color="auto" w:sz="4" w:space="0"/>
            </w:tcBorders>
            <w:noWrap/>
            <w:vAlign w:val="center"/>
          </w:tcPr>
          <w:p>
            <w:pPr>
              <w:ind w:right="-105" w:rightChars="-50"/>
              <w:jc w:val="center"/>
              <w:rPr>
                <w:rFonts w:ascii="宋体" w:cs="仿宋"/>
                <w:color w:val="000000" w:themeColor="text1"/>
                <w:sz w:val="24"/>
              </w:rPr>
            </w:pPr>
            <w:r>
              <w:rPr>
                <w:rFonts w:hint="eastAsia" w:ascii="宋体" w:hAnsi="宋体" w:cs="仿宋"/>
                <w:color w:val="000000" w:themeColor="text1"/>
                <w:sz w:val="24"/>
              </w:rPr>
              <w:t>售后服务</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提供填埋场灭蝇药剂方案，根据方案优劣度程度给分，好得</w:t>
            </w:r>
            <w:r>
              <w:rPr>
                <w:rFonts w:hint="eastAsia" w:ascii="宋体" w:hAnsi="宋体" w:cs="仿宋"/>
                <w:color w:val="000000" w:themeColor="text1"/>
                <w:sz w:val="24"/>
                <w:lang w:val="en-US" w:eastAsia="zh-CN"/>
              </w:rPr>
              <w:t>9</w:t>
            </w:r>
            <w:r>
              <w:rPr>
                <w:rFonts w:hint="eastAsia" w:ascii="宋体" w:hAnsi="宋体" w:cs="仿宋"/>
                <w:color w:val="000000" w:themeColor="text1"/>
                <w:sz w:val="24"/>
              </w:rPr>
              <w:t>-</w:t>
            </w:r>
            <w:r>
              <w:rPr>
                <w:rFonts w:hint="eastAsia" w:ascii="宋体" w:hAnsi="宋体" w:cs="仿宋"/>
                <w:color w:val="000000" w:themeColor="text1"/>
                <w:sz w:val="24"/>
                <w:lang w:val="en-US" w:eastAsia="zh-CN"/>
              </w:rPr>
              <w:t>12</w:t>
            </w:r>
            <w:r>
              <w:rPr>
                <w:rFonts w:hint="eastAsia" w:ascii="宋体" w:hAnsi="宋体" w:cs="仿宋"/>
                <w:color w:val="000000" w:themeColor="text1"/>
                <w:sz w:val="24"/>
              </w:rPr>
              <w:t>分，较好得</w:t>
            </w:r>
            <w:r>
              <w:rPr>
                <w:rFonts w:hint="eastAsia" w:ascii="宋体" w:hAnsi="宋体" w:cs="仿宋"/>
                <w:color w:val="000000" w:themeColor="text1"/>
                <w:sz w:val="24"/>
                <w:lang w:val="en-US" w:eastAsia="zh-CN"/>
              </w:rPr>
              <w:t>5</w:t>
            </w:r>
            <w:r>
              <w:rPr>
                <w:rFonts w:ascii="宋体" w:hAnsi="宋体" w:cs="仿宋"/>
                <w:color w:val="000000" w:themeColor="text1"/>
                <w:sz w:val="24"/>
              </w:rPr>
              <w:t>-</w:t>
            </w:r>
            <w:r>
              <w:rPr>
                <w:rFonts w:hint="eastAsia" w:ascii="宋体" w:hAnsi="宋体" w:cs="仿宋"/>
                <w:color w:val="000000" w:themeColor="text1"/>
                <w:sz w:val="24"/>
                <w:lang w:val="en-US" w:eastAsia="zh-CN"/>
              </w:rPr>
              <w:t>8</w:t>
            </w:r>
            <w:r>
              <w:rPr>
                <w:rFonts w:hint="eastAsia" w:ascii="宋体" w:hAnsi="宋体" w:cs="仿宋"/>
                <w:color w:val="000000" w:themeColor="text1"/>
                <w:sz w:val="24"/>
              </w:rPr>
              <w:t>分，一般得1</w:t>
            </w:r>
            <w:r>
              <w:rPr>
                <w:rFonts w:ascii="宋体" w:hAnsi="宋体" w:cs="仿宋"/>
                <w:color w:val="000000" w:themeColor="text1"/>
                <w:sz w:val="24"/>
              </w:rPr>
              <w:t>-</w:t>
            </w:r>
            <w:r>
              <w:rPr>
                <w:rFonts w:hint="eastAsia" w:ascii="宋体" w:hAnsi="宋体" w:cs="仿宋"/>
                <w:color w:val="000000" w:themeColor="text1"/>
                <w:sz w:val="24"/>
                <w:lang w:val="en-US" w:eastAsia="zh-CN"/>
              </w:rPr>
              <w:t>4</w:t>
            </w:r>
            <w:r>
              <w:rPr>
                <w:rFonts w:hint="eastAsia" w:ascii="宋体" w:hAnsi="宋体" w:cs="仿宋"/>
                <w:color w:val="000000" w:themeColor="text1"/>
                <w:sz w:val="24"/>
              </w:rPr>
              <w:t>分，不提供不给分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default" w:ascii="宋体" w:eastAsia="宋体" w:cs="仿宋"/>
                <w:color w:val="000000" w:themeColor="text1"/>
                <w:sz w:val="24"/>
                <w:lang w:val="en-US" w:eastAsia="zh-CN"/>
              </w:rPr>
            </w:pPr>
            <w:r>
              <w:rPr>
                <w:rFonts w:hint="eastAsia" w:ascii="宋体" w:hAnsi="宋体" w:cs="仿宋"/>
                <w:color w:val="000000" w:themeColor="text1"/>
                <w:sz w:val="24"/>
                <w:lang w:val="en-US" w:eastAsia="zh-CN"/>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3"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6</w:t>
            </w:r>
          </w:p>
        </w:tc>
        <w:tc>
          <w:tcPr>
            <w:tcW w:w="1094" w:type="dxa"/>
            <w:gridSpan w:val="2"/>
            <w:vMerge w:val="continue"/>
            <w:tcBorders>
              <w:left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投标人提供国家认证认可监督管理委员会或相关国家机构官方网站可以查询到的相关售后服务质量证书，且证书在有效期内的得</w:t>
            </w:r>
            <w:r>
              <w:rPr>
                <w:rFonts w:hint="eastAsia" w:ascii="宋体" w:hAnsi="宋体" w:cs="仿宋"/>
                <w:color w:val="000000" w:themeColor="text1"/>
                <w:sz w:val="24"/>
                <w:lang w:val="en-US" w:eastAsia="zh-CN"/>
              </w:rPr>
              <w:t>3</w:t>
            </w:r>
            <w:r>
              <w:rPr>
                <w:rFonts w:hint="eastAsia" w:ascii="宋体" w:hAnsi="宋体" w:cs="仿宋"/>
                <w:color w:val="000000" w:themeColor="text1"/>
                <w:sz w:val="24"/>
              </w:rPr>
              <w:t>分，不提供不得分。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7</w:t>
            </w:r>
          </w:p>
        </w:tc>
        <w:tc>
          <w:tcPr>
            <w:tcW w:w="1094" w:type="dxa"/>
            <w:gridSpan w:val="2"/>
            <w:vMerge w:val="continue"/>
            <w:tcBorders>
              <w:left w:val="single" w:color="auto" w:sz="4" w:space="0"/>
              <w:right w:val="single" w:color="auto" w:sz="4" w:space="0"/>
            </w:tcBorders>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u w:val="single"/>
              </w:rPr>
            </w:pPr>
            <w:r>
              <w:rPr>
                <w:rFonts w:hint="eastAsia" w:ascii="宋体" w:hAnsi="宋体" w:cs="仿宋"/>
                <w:color w:val="000000" w:themeColor="text1"/>
                <w:sz w:val="24"/>
              </w:rPr>
              <w:t>投标人必须提供第三方检测机构出具的产品的货物运输条件鉴定书（普通货物），提供得</w:t>
            </w:r>
            <w:r>
              <w:rPr>
                <w:rFonts w:hint="eastAsia" w:ascii="宋体" w:hAnsi="宋体" w:cs="仿宋"/>
                <w:color w:val="000000" w:themeColor="text1"/>
                <w:sz w:val="24"/>
                <w:lang w:val="en-US" w:eastAsia="zh-CN"/>
              </w:rPr>
              <w:t>3</w:t>
            </w:r>
            <w:r>
              <w:rPr>
                <w:rFonts w:hint="eastAsia" w:ascii="宋体" w:hAnsi="宋体" w:cs="仿宋"/>
                <w:color w:val="000000" w:themeColor="text1"/>
                <w:sz w:val="24"/>
              </w:rPr>
              <w:t>分，不提供不得分。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8</w:t>
            </w:r>
          </w:p>
        </w:tc>
        <w:tc>
          <w:tcPr>
            <w:tcW w:w="1094" w:type="dxa"/>
            <w:gridSpan w:val="2"/>
            <w:vMerge w:val="continue"/>
            <w:tcBorders>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投标人在东阳当地有办事处或分支机构得</w:t>
            </w:r>
            <w:r>
              <w:rPr>
                <w:rFonts w:hint="eastAsia" w:ascii="宋体" w:hAnsi="宋体" w:cs="仿宋"/>
                <w:color w:val="000000" w:themeColor="text1"/>
                <w:sz w:val="24"/>
                <w:lang w:val="en-US" w:eastAsia="zh-CN"/>
              </w:rPr>
              <w:t>2</w:t>
            </w:r>
            <w:r>
              <w:rPr>
                <w:rFonts w:hint="eastAsia" w:ascii="宋体" w:hAnsi="宋体" w:cs="仿宋"/>
                <w:color w:val="000000" w:themeColor="text1"/>
                <w:sz w:val="24"/>
              </w:rPr>
              <w:t>分。须提供租房合同或营业执照复印件，原件备查。</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cs="仿宋"/>
                <w:color w:val="000000" w:themeColor="text1"/>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8"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hAnsi="宋体" w:eastAsia="宋体" w:cs="仿宋"/>
                <w:color w:val="000000" w:themeColor="text1"/>
                <w:sz w:val="24"/>
                <w:lang w:eastAsia="zh-CN"/>
              </w:rPr>
            </w:pPr>
            <w:r>
              <w:rPr>
                <w:rFonts w:hint="eastAsia" w:ascii="宋体" w:hAnsi="宋体" w:cs="仿宋"/>
                <w:color w:val="000000" w:themeColor="text1"/>
                <w:sz w:val="24"/>
                <w:lang w:val="en-US" w:eastAsia="zh-CN"/>
              </w:rPr>
              <w:t>9</w:t>
            </w:r>
          </w:p>
        </w:tc>
        <w:tc>
          <w:tcPr>
            <w:tcW w:w="1094" w:type="dxa"/>
            <w:gridSpan w:val="2"/>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hAnsi="宋体" w:cs="仿宋"/>
                <w:color w:val="000000" w:themeColor="text1"/>
                <w:sz w:val="24"/>
              </w:rPr>
            </w:pPr>
            <w:r>
              <w:rPr>
                <w:rFonts w:hint="eastAsia" w:ascii="宋体" w:hAnsi="宋体" w:cs="仿宋"/>
                <w:color w:val="000000" w:themeColor="text1"/>
                <w:sz w:val="24"/>
              </w:rPr>
              <w:t>标书质量</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hAnsi="宋体" w:cs="仿宋"/>
                <w:color w:val="000000" w:themeColor="text1"/>
                <w:sz w:val="24"/>
              </w:rPr>
            </w:pPr>
            <w:r>
              <w:rPr>
                <w:rFonts w:hint="eastAsia" w:ascii="宋体" w:hAnsi="宋体" w:cs="仿宋"/>
                <w:color w:val="000000" w:themeColor="text1"/>
                <w:sz w:val="24"/>
              </w:rPr>
              <w:t>根据投标文件编制完整性、格式是否规范、装订是否整齐、符合招标文件要求程度，得2分。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hAnsi="宋体" w:cs="仿宋"/>
                <w:color w:val="000000" w:themeColor="text1"/>
                <w:sz w:val="24"/>
              </w:rPr>
            </w:pPr>
            <w:r>
              <w:rPr>
                <w:rFonts w:hint="eastAsia" w:ascii="宋体" w:hAnsi="宋体" w:cs="仿宋"/>
                <w:color w:val="000000" w:themeColor="text1"/>
                <w:sz w:val="24"/>
              </w:rPr>
              <w:t>2</w:t>
            </w:r>
          </w:p>
        </w:tc>
      </w:tr>
    </w:tbl>
    <w:p>
      <w:pPr>
        <w:rPr>
          <w:color w:val="000000" w:themeColor="text1"/>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32"/>
          <w:szCs w:val="32"/>
        </w:rPr>
      </w:pPr>
    </w:p>
    <w:p>
      <w:pPr>
        <w:rPr>
          <w:rFonts w:hint="eastAsia"/>
          <w:sz w:val="32"/>
          <w:szCs w:val="32"/>
        </w:rPr>
      </w:pPr>
    </w:p>
    <w:p>
      <w:pPr>
        <w:rPr>
          <w:rFonts w:hint="eastAsia"/>
          <w:sz w:val="32"/>
          <w:szCs w:val="32"/>
          <w:lang w:eastAsia="zh-CN"/>
        </w:rPr>
      </w:pPr>
      <w:r>
        <w:rPr>
          <w:rFonts w:hint="eastAsia"/>
          <w:sz w:val="32"/>
          <w:szCs w:val="32"/>
        </w:rPr>
        <w:t>标</w:t>
      </w:r>
      <w:r>
        <w:rPr>
          <w:rFonts w:hint="eastAsia"/>
          <w:sz w:val="32"/>
          <w:szCs w:val="32"/>
          <w:lang w:eastAsia="zh-CN"/>
        </w:rPr>
        <w:t>三</w:t>
      </w:r>
      <w:r>
        <w:rPr>
          <w:rFonts w:hint="eastAsia"/>
          <w:sz w:val="32"/>
          <w:szCs w:val="32"/>
        </w:rPr>
        <w:t>：</w:t>
      </w:r>
      <w:r>
        <w:rPr>
          <w:rFonts w:hint="eastAsia"/>
          <w:sz w:val="32"/>
          <w:szCs w:val="32"/>
          <w:lang w:eastAsia="zh-CN"/>
        </w:rPr>
        <w:t>道路清洗除臭剂</w:t>
      </w:r>
    </w:p>
    <w:p>
      <w:pPr>
        <w:rPr>
          <w:rFonts w:hint="eastAsia"/>
          <w:sz w:val="32"/>
          <w:szCs w:val="32"/>
          <w:lang w:eastAsia="zh-CN"/>
        </w:rPr>
      </w:pPr>
    </w:p>
    <w:p>
      <w:pPr>
        <w:spacing w:beforeLines="50" w:afterLines="50"/>
        <w:ind w:firstLine="472" w:firstLineChars="196"/>
        <w:rPr>
          <w:rFonts w:ascii="宋体" w:hAnsi="宋体"/>
          <w:b/>
          <w:bCs/>
          <w:color w:val="000000"/>
          <w:sz w:val="24"/>
        </w:rPr>
      </w:pPr>
      <w:r>
        <w:rPr>
          <w:rFonts w:ascii="宋体" w:hAnsi="宋体"/>
          <w:b/>
          <w:bCs/>
          <w:color w:val="000000"/>
          <w:sz w:val="24"/>
        </w:rPr>
        <w:t>（</w:t>
      </w:r>
      <w:r>
        <w:rPr>
          <w:rFonts w:hint="eastAsia" w:ascii="宋体" w:hAnsi="宋体"/>
          <w:b/>
          <w:bCs/>
          <w:color w:val="000000"/>
          <w:sz w:val="24"/>
        </w:rPr>
        <w:t>一</w:t>
      </w:r>
      <w:r>
        <w:rPr>
          <w:rFonts w:ascii="宋体" w:hAnsi="宋体"/>
          <w:b/>
          <w:bCs/>
          <w:color w:val="000000"/>
          <w:sz w:val="24"/>
        </w:rPr>
        <w:t>）价格分（</w:t>
      </w:r>
      <w:r>
        <w:rPr>
          <w:rFonts w:hint="eastAsia" w:ascii="宋体" w:hAnsi="宋体"/>
          <w:b/>
          <w:bCs/>
          <w:color w:val="000000"/>
          <w:sz w:val="24"/>
          <w:lang w:val="en-US" w:eastAsia="zh-CN"/>
        </w:rPr>
        <w:t>50</w:t>
      </w:r>
      <w:r>
        <w:rPr>
          <w:rFonts w:ascii="宋体" w:hAnsi="宋体"/>
          <w:b/>
          <w:bCs/>
          <w:color w:val="000000"/>
          <w:sz w:val="24"/>
        </w:rPr>
        <w:t>分）</w:t>
      </w:r>
    </w:p>
    <w:p>
      <w:pPr>
        <w:pStyle w:val="7"/>
        <w:spacing w:beforeLines="50" w:afterLines="50" w:line="400" w:lineRule="exact"/>
        <w:ind w:firstLine="464" w:firstLineChars="200"/>
        <w:rPr>
          <w:rFonts w:hAnsi="宋体"/>
          <w:bCs/>
          <w:color w:val="000000"/>
          <w:sz w:val="24"/>
        </w:rPr>
      </w:pPr>
      <w:r>
        <w:rPr>
          <w:rFonts w:hint="eastAsia" w:hAnsi="宋体"/>
          <w:bCs/>
          <w:color w:val="000000"/>
          <w:sz w:val="24"/>
        </w:rPr>
        <w:t>1、价格分采用低价优先法计算，取所有进入报价评审的投标人中投标价格最低的投标报价为评标基准价，其他投标人的价格分按照下列公式计算：</w:t>
      </w:r>
    </w:p>
    <w:p>
      <w:pPr>
        <w:spacing w:beforeLines="50" w:afterLines="50"/>
        <w:ind w:firstLine="470" w:firstLineChars="196"/>
        <w:rPr>
          <w:rFonts w:ascii="宋体" w:hAnsi="宋体"/>
          <w:bCs/>
          <w:color w:val="000000"/>
          <w:spacing w:val="-4"/>
          <w:sz w:val="24"/>
          <w:szCs w:val="20"/>
        </w:rPr>
      </w:pPr>
      <w:r>
        <w:rPr>
          <w:rFonts w:hint="eastAsia" w:hAnsi="宋体"/>
          <w:bCs/>
          <w:color w:val="000000"/>
          <w:sz w:val="24"/>
        </w:rPr>
        <w:t>价格分=（评标基准价/投标报价</w:t>
      </w:r>
      <w:r>
        <w:rPr>
          <w:rFonts w:hint="eastAsia" w:ascii="宋体" w:hAnsi="宋体"/>
          <w:bCs/>
          <w:color w:val="000000"/>
          <w:spacing w:val="-4"/>
          <w:sz w:val="24"/>
          <w:szCs w:val="20"/>
        </w:rPr>
        <w:t>）×5</w:t>
      </w:r>
      <w:r>
        <w:rPr>
          <w:rFonts w:hint="eastAsia" w:ascii="宋体" w:hAnsi="宋体"/>
          <w:bCs/>
          <w:color w:val="000000"/>
          <w:spacing w:val="-4"/>
          <w:sz w:val="24"/>
          <w:szCs w:val="20"/>
          <w:lang w:val="en-US" w:eastAsia="zh-CN"/>
        </w:rPr>
        <w:t>0</w:t>
      </w:r>
      <w:r>
        <w:rPr>
          <w:rFonts w:hint="eastAsia" w:ascii="宋体" w:hAnsi="宋体"/>
          <w:bCs/>
          <w:color w:val="000000"/>
          <w:spacing w:val="-4"/>
          <w:sz w:val="24"/>
          <w:szCs w:val="20"/>
        </w:rPr>
        <w:t>分</w:t>
      </w:r>
    </w:p>
    <w:p>
      <w:pPr>
        <w:tabs>
          <w:tab w:val="left" w:pos="982"/>
        </w:tabs>
        <w:snapToGrid w:val="0"/>
        <w:ind w:left="-2" w:leftChars="-1" w:firstLine="512" w:firstLineChars="220"/>
        <w:rPr>
          <w:rFonts w:ascii="宋体" w:hAnsi="宋体"/>
          <w:b/>
          <w:spacing w:val="-4"/>
          <w:sz w:val="24"/>
        </w:rPr>
      </w:pPr>
      <w:r>
        <w:rPr>
          <w:rFonts w:hint="eastAsia" w:ascii="宋体" w:hAnsi="宋体"/>
          <w:b/>
          <w:spacing w:val="-4"/>
          <w:sz w:val="24"/>
        </w:rPr>
        <w:t>2、依据《政府采购促进中小企业发展暂行办法》（财库〔2011〕181号）文件、《财政部、司法部关于政府采购支持监狱企业发展有关问题的通知》（财库〔2014〕68号）文件及《财政部、民政部、中国残疾人联合会关于促进残疾人就业政府采购政策的通知》（财库〔2017〕 141号）的规定，对小型和微型企业、监狱企业、残疾人福利性单位生产的产品价格给予6%～10%的扣除，用扣除后的价格参与评审。本项目的扣除比例为6 %。小型和微型企业是指投标文件中提供了中小企业声明函且符合《政府采购促进中小企业发展暂行办法》（财库〔2011〕181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pStyle w:val="13"/>
        <w:spacing w:beforeLines="30" w:beforeAutospacing="0" w:afterLines="30" w:afterAutospacing="0" w:line="320" w:lineRule="exact"/>
        <w:ind w:firstLine="466" w:firstLineChars="200"/>
        <w:rPr>
          <w:bCs/>
        </w:rPr>
      </w:pPr>
      <w:r>
        <w:rPr>
          <w:rFonts w:hint="eastAsia"/>
          <w:b/>
          <w:color w:val="auto"/>
          <w:spacing w:val="-4"/>
          <w:kern w:val="2"/>
        </w:rPr>
        <w:t>小微企业的评审价格=小微企业的投标报价 － 小型、微型企业生产的产品</w:t>
      </w:r>
      <w:r>
        <w:rPr>
          <w:rFonts w:hint="eastAsia"/>
          <w:b/>
          <w:color w:val="auto"/>
          <w:spacing w:val="-4"/>
          <w:kern w:val="2"/>
          <w:lang w:val="en-GB"/>
        </w:rPr>
        <w:t>金额合计</w:t>
      </w:r>
      <w:r>
        <w:rPr>
          <w:rFonts w:hint="eastAsia"/>
          <w:b/>
          <w:color w:val="auto"/>
          <w:spacing w:val="-4"/>
          <w:kern w:val="2"/>
        </w:rPr>
        <w:t>×6%</w:t>
      </w:r>
    </w:p>
    <w:p>
      <w:pPr>
        <w:pStyle w:val="7"/>
        <w:spacing w:line="360" w:lineRule="auto"/>
        <w:ind w:firstLine="466" w:firstLineChars="200"/>
        <w:rPr>
          <w:rFonts w:hAnsi="宋体"/>
          <w:b/>
          <w:color w:val="000000"/>
          <w:sz w:val="24"/>
          <w:szCs w:val="24"/>
        </w:rPr>
      </w:pPr>
      <w:r>
        <w:rPr>
          <w:rFonts w:hint="eastAsia" w:hAnsi="宋体"/>
          <w:b/>
          <w:color w:val="000000"/>
          <w:sz w:val="24"/>
          <w:szCs w:val="24"/>
        </w:rPr>
        <w:t>（二）技术分、商务分、资信及其他分，共5</w:t>
      </w:r>
      <w:r>
        <w:rPr>
          <w:rFonts w:hint="eastAsia" w:hAnsi="宋体"/>
          <w:b/>
          <w:color w:val="000000"/>
          <w:sz w:val="24"/>
          <w:szCs w:val="24"/>
          <w:lang w:val="en-US" w:eastAsia="zh-CN"/>
        </w:rPr>
        <w:t>0</w:t>
      </w:r>
      <w:r>
        <w:rPr>
          <w:rFonts w:hint="eastAsia" w:hAnsi="宋体"/>
          <w:b/>
          <w:color w:val="000000"/>
          <w:sz w:val="24"/>
          <w:szCs w:val="24"/>
        </w:rPr>
        <w:t>分。</w:t>
      </w:r>
    </w:p>
    <w:p>
      <w:pPr>
        <w:pStyle w:val="7"/>
        <w:spacing w:beforeLines="50" w:afterLines="50" w:line="320" w:lineRule="exact"/>
        <w:ind w:firstLine="466" w:firstLineChars="200"/>
        <w:rPr>
          <w:rFonts w:hAnsi="宋体"/>
          <w:b/>
          <w:sz w:val="24"/>
          <w:szCs w:val="24"/>
        </w:rPr>
      </w:pPr>
      <w:r>
        <w:rPr>
          <w:rFonts w:hint="eastAsia" w:hAnsi="宋体"/>
          <w:b/>
          <w:sz w:val="24"/>
          <w:szCs w:val="24"/>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pPr>
        <w:spacing w:line="400" w:lineRule="exact"/>
        <w:ind w:firstLine="472" w:firstLineChars="196"/>
        <w:rPr>
          <w:rFonts w:ascii="宋体" w:hAnsi="宋体"/>
          <w:b/>
          <w:bCs/>
          <w:color w:val="000000"/>
          <w:sz w:val="24"/>
        </w:rPr>
      </w:pPr>
      <w:r>
        <w:rPr>
          <w:rFonts w:hint="eastAsia" w:ascii="宋体" w:hAnsi="宋体"/>
          <w:b/>
          <w:bCs/>
          <w:color w:val="000000"/>
          <w:sz w:val="24"/>
        </w:rPr>
        <w:t>（三）技术、商务、资信及其他分的计算</w:t>
      </w:r>
    </w:p>
    <w:p>
      <w:pPr>
        <w:spacing w:beforeLines="50" w:afterLines="50" w:line="276" w:lineRule="auto"/>
        <w:ind w:firstLine="480" w:firstLineChars="200"/>
        <w:rPr>
          <w:rFonts w:ascii="宋体" w:hAnsi="宋体"/>
          <w:color w:val="000000"/>
          <w:sz w:val="24"/>
        </w:rPr>
      </w:pPr>
      <w:r>
        <w:rPr>
          <w:rFonts w:hint="eastAsia" w:ascii="宋体" w:hAnsi="宋体"/>
          <w:color w:val="000000"/>
          <w:sz w:val="24"/>
        </w:rPr>
        <w:t>技术、商务及其它、资信分按照评标委员会成员的独立评分结果的算术平均分计算，计算公式为：</w:t>
      </w:r>
    </w:p>
    <w:p>
      <w:pPr>
        <w:spacing w:beforeLines="50" w:afterLines="50" w:line="276" w:lineRule="auto"/>
        <w:ind w:firstLine="495"/>
        <w:rPr>
          <w:rFonts w:hint="eastAsia" w:ascii="宋体" w:hAnsi="宋体"/>
          <w:color w:val="000000"/>
          <w:sz w:val="24"/>
        </w:rPr>
      </w:pPr>
      <w:r>
        <w:rPr>
          <w:rFonts w:hint="eastAsia" w:ascii="宋体" w:hAnsi="宋体"/>
          <w:color w:val="000000"/>
          <w:sz w:val="24"/>
        </w:rPr>
        <w:t>技术、商务及其它、资信分=评标委员会所有成员评分合计数/评标委员会组成人员数</w:t>
      </w:r>
    </w:p>
    <w:p>
      <w:pPr>
        <w:spacing w:beforeLines="50" w:afterLines="50" w:line="276" w:lineRule="auto"/>
        <w:ind w:firstLine="495"/>
        <w:rPr>
          <w:rFonts w:hint="eastAsia" w:ascii="宋体" w:hAnsi="宋体"/>
          <w:color w:val="000000"/>
          <w:sz w:val="24"/>
        </w:rPr>
      </w:pPr>
    </w:p>
    <w:p>
      <w:pPr>
        <w:spacing w:beforeLines="50" w:afterLines="50" w:line="276" w:lineRule="auto"/>
        <w:ind w:firstLine="495"/>
        <w:rPr>
          <w:rFonts w:hint="eastAsia" w:ascii="宋体" w:hAnsi="宋体"/>
          <w:color w:val="000000"/>
          <w:sz w:val="24"/>
        </w:rPr>
      </w:pPr>
    </w:p>
    <w:p>
      <w:pPr>
        <w:snapToGrid w:val="0"/>
        <w:spacing w:line="360" w:lineRule="auto"/>
        <w:rPr>
          <w:rFonts w:ascii="宋体" w:hAnsi="宋体"/>
          <w:b/>
          <w:sz w:val="24"/>
        </w:rPr>
      </w:pPr>
      <w:r>
        <w:rPr>
          <w:rFonts w:hint="eastAsia" w:ascii="宋体" w:hAnsi="宋体"/>
          <w:b/>
          <w:sz w:val="24"/>
        </w:rPr>
        <w:t>附件：评分表格式（技术、商务、资信及其他分，共50分）</w:t>
      </w:r>
    </w:p>
    <w:p>
      <w:pPr>
        <w:rPr>
          <w:sz w:val="28"/>
          <w:szCs w:val="28"/>
        </w:rPr>
      </w:pPr>
    </w:p>
    <w:tbl>
      <w:tblPr>
        <w:tblStyle w:val="15"/>
        <w:tblpPr w:leftFromText="180" w:rightFromText="180" w:vertAnchor="text" w:horzAnchor="page" w:tblpX="1462" w:tblpY="448"/>
        <w:tblOverlap w:val="never"/>
        <w:tblW w:w="93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5"/>
        <w:gridCol w:w="524"/>
        <w:gridCol w:w="570"/>
        <w:gridCol w:w="7084"/>
        <w:gridCol w:w="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序号</w:t>
            </w:r>
          </w:p>
        </w:tc>
        <w:tc>
          <w:tcPr>
            <w:tcW w:w="1094" w:type="dxa"/>
            <w:gridSpan w:val="2"/>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评审内容</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firstLine="2356" w:firstLineChars="978"/>
              <w:rPr>
                <w:rFonts w:ascii="宋体" w:cs="仿宋"/>
                <w:b/>
                <w:bCs/>
                <w:sz w:val="24"/>
              </w:rPr>
            </w:pPr>
            <w:r>
              <w:rPr>
                <w:rFonts w:hint="eastAsia" w:ascii="宋体" w:hAnsi="宋体" w:cs="仿宋"/>
                <w:b/>
                <w:bCs/>
                <w:sz w:val="24"/>
              </w:rPr>
              <w:t>评分标准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bCs/>
                <w:sz w:val="24"/>
              </w:rPr>
            </w:pPr>
            <w:r>
              <w:rPr>
                <w:rFonts w:hint="eastAsia" w:ascii="宋体" w:hAnsi="宋体" w:cs="仿宋"/>
                <w:b/>
                <w:bCs/>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bCs/>
                <w:sz w:val="24"/>
              </w:rPr>
            </w:pPr>
            <w:r>
              <w:rPr>
                <w:rFonts w:hint="eastAsia" w:ascii="宋体" w:hAnsi="宋体" w:cs="仿宋"/>
                <w:b/>
                <w:bCs/>
                <w:sz w:val="24"/>
              </w:rPr>
              <w:t>一</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b/>
                <w:bCs/>
                <w:sz w:val="24"/>
              </w:rPr>
            </w:pPr>
            <w:r>
              <w:rPr>
                <w:rFonts w:hint="eastAsia" w:ascii="宋体" w:hAnsi="宋体" w:cs="仿宋"/>
                <w:b/>
                <w:bCs/>
                <w:sz w:val="24"/>
              </w:rPr>
              <w:t>技术分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bCs/>
                <w:sz w:val="24"/>
              </w:rPr>
            </w:pPr>
            <w:r>
              <w:rPr>
                <w:rFonts w:hint="eastAsia" w:ascii="宋体" w:hAnsi="宋体" w:cs="仿宋"/>
                <w:b/>
                <w:bCs/>
                <w:sz w:val="24"/>
                <w:lang w:val="en-US" w:eastAsia="zh-CN"/>
              </w:rPr>
              <w:t>14</w:t>
            </w:r>
            <w:r>
              <w:rPr>
                <w:rFonts w:hint="eastAsia" w:ascii="宋体" w:hAnsi="宋体" w:cs="仿宋"/>
                <w:b/>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46" w:hRule="exact"/>
        </w:trPr>
        <w:tc>
          <w:tcPr>
            <w:tcW w:w="435" w:type="dxa"/>
            <w:tcBorders>
              <w:top w:val="single" w:color="auto" w:sz="4" w:space="0"/>
              <w:right w:val="single" w:color="auto" w:sz="4" w:space="0"/>
            </w:tcBorders>
            <w:noWrap/>
            <w:vAlign w:val="center"/>
          </w:tcPr>
          <w:p>
            <w:pPr>
              <w:numPr>
                <w:ilvl w:val="0"/>
                <w:numId w:val="0"/>
              </w:numPr>
              <w:ind w:leftChars="0" w:right="-105" w:rightChars="-50"/>
              <w:rPr>
                <w:rFonts w:hint="eastAsia" w:ascii="宋体" w:eastAsia="宋体" w:cs="仿宋"/>
                <w:sz w:val="24"/>
                <w:lang w:val="en-US" w:eastAsia="zh-CN"/>
              </w:rPr>
            </w:pPr>
            <w:r>
              <w:rPr>
                <w:rFonts w:hint="eastAsia" w:ascii="宋体" w:cs="仿宋"/>
                <w:sz w:val="24"/>
                <w:lang w:val="en-US" w:eastAsia="zh-CN"/>
              </w:rPr>
              <w:t>1</w:t>
            </w:r>
          </w:p>
        </w:tc>
        <w:tc>
          <w:tcPr>
            <w:tcW w:w="524" w:type="dxa"/>
            <w:tcBorders>
              <w:left w:val="single" w:color="auto" w:sz="4" w:space="0"/>
              <w:bottom w:val="single" w:color="auto" w:sz="4" w:space="0"/>
              <w:right w:val="single" w:color="auto" w:sz="4" w:space="0"/>
            </w:tcBorders>
            <w:noWrap/>
            <w:vAlign w:val="center"/>
          </w:tcPr>
          <w:p>
            <w:pPr>
              <w:ind w:right="-105" w:rightChars="-50"/>
              <w:rPr>
                <w:rFonts w:ascii="宋体" w:cs="仿宋"/>
                <w:sz w:val="24"/>
              </w:rPr>
            </w:pPr>
          </w:p>
        </w:tc>
        <w:tc>
          <w:tcPr>
            <w:tcW w:w="57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cs="仿宋"/>
                <w:sz w:val="24"/>
              </w:rPr>
            </w:pPr>
            <w:r>
              <w:rPr>
                <w:rFonts w:hint="eastAsia" w:ascii="宋体" w:hAnsi="宋体" w:cs="仿宋"/>
                <w:sz w:val="24"/>
              </w:rPr>
              <w:t>道路清洗除臭剂产品技术参数要求</w:t>
            </w:r>
          </w:p>
        </w:tc>
        <w:tc>
          <w:tcPr>
            <w:tcW w:w="7084" w:type="dxa"/>
            <w:tcBorders>
              <w:top w:val="single" w:color="auto" w:sz="4" w:space="0"/>
              <w:left w:val="single" w:color="auto" w:sz="4" w:space="0"/>
              <w:right w:val="single" w:color="auto" w:sz="4" w:space="0"/>
            </w:tcBorders>
            <w:noWrap/>
          </w:tcPr>
          <w:p>
            <w:pPr>
              <w:rPr>
                <w:rFonts w:ascii="宋体" w:cs="仿宋"/>
                <w:sz w:val="24"/>
              </w:rPr>
            </w:pPr>
            <w:r>
              <w:rPr>
                <w:rFonts w:hint="eastAsia" w:ascii="宋体" w:hAnsi="宋体" w:cs="仿宋"/>
                <w:sz w:val="24"/>
              </w:rPr>
              <w:t>该药剂</w:t>
            </w:r>
            <w:r>
              <w:rPr>
                <w:rFonts w:hint="eastAsia" w:ascii="宋体" w:hAnsi="宋体" w:cs="仿宋"/>
                <w:b/>
                <w:sz w:val="24"/>
              </w:rPr>
              <w:t>原液</w:t>
            </w:r>
            <w:r>
              <w:rPr>
                <w:rFonts w:hint="eastAsia" w:ascii="宋体" w:hAnsi="宋体" w:cs="仿宋"/>
                <w:sz w:val="24"/>
              </w:rPr>
              <w:t>对人体无毒无害，并提供</w:t>
            </w:r>
            <w:r>
              <w:rPr>
                <w:rFonts w:ascii="宋体" w:hAnsi="宋体" w:cs="仿宋"/>
                <w:sz w:val="24"/>
              </w:rPr>
              <w:t>2018</w:t>
            </w:r>
            <w:r>
              <w:rPr>
                <w:rFonts w:hint="eastAsia" w:ascii="宋体" w:hAnsi="宋体" w:cs="仿宋"/>
                <w:sz w:val="24"/>
              </w:rPr>
              <w:t>年后（包括</w:t>
            </w:r>
            <w:r>
              <w:rPr>
                <w:rFonts w:ascii="宋体" w:hAnsi="宋体" w:cs="仿宋"/>
                <w:sz w:val="24"/>
              </w:rPr>
              <w:t>2018</w:t>
            </w:r>
            <w:r>
              <w:rPr>
                <w:rFonts w:hint="eastAsia" w:ascii="宋体" w:hAnsi="宋体" w:cs="仿宋"/>
                <w:sz w:val="24"/>
              </w:rPr>
              <w:t>年）内国家或省级第三方检测机构出具的加盖</w:t>
            </w:r>
            <w:r>
              <w:rPr>
                <w:rFonts w:ascii="宋体" w:hAnsi="宋体" w:cs="仿宋"/>
                <w:sz w:val="24"/>
              </w:rPr>
              <w:t>CMA</w:t>
            </w:r>
            <w:r>
              <w:rPr>
                <w:rFonts w:hint="eastAsia" w:ascii="宋体" w:hAnsi="宋体" w:cs="仿宋"/>
                <w:sz w:val="24"/>
              </w:rPr>
              <w:t>章的</w:t>
            </w:r>
            <w:r>
              <w:rPr>
                <w:rFonts w:hint="eastAsia" w:ascii="宋体" w:hAnsi="宋体" w:cs="仿宋"/>
                <w:b/>
                <w:sz w:val="24"/>
              </w:rPr>
              <w:t>原液无毒无害</w:t>
            </w:r>
            <w:r>
              <w:rPr>
                <w:rFonts w:hint="eastAsia" w:ascii="宋体" w:hAnsi="宋体" w:cs="仿宋"/>
                <w:sz w:val="24"/>
              </w:rPr>
              <w:t>检测报告为依据：</w:t>
            </w:r>
            <w:r>
              <w:rPr>
                <w:rFonts w:ascii="宋体" w:hAnsi="宋体" w:cs="仿宋"/>
                <w:sz w:val="24"/>
              </w:rPr>
              <w:t>a</w:t>
            </w:r>
            <w:r>
              <w:rPr>
                <w:rFonts w:hint="eastAsia" w:ascii="宋体" w:hAnsi="宋体" w:cs="仿宋"/>
                <w:sz w:val="24"/>
              </w:rPr>
              <w:t>、提供急性口毒毒性检测报告；</w:t>
            </w:r>
            <w:r>
              <w:rPr>
                <w:rFonts w:ascii="宋体" w:hAnsi="宋体" w:cs="仿宋"/>
                <w:sz w:val="24"/>
              </w:rPr>
              <w:t>b</w:t>
            </w:r>
            <w:r>
              <w:rPr>
                <w:rFonts w:hint="eastAsia" w:ascii="宋体" w:hAnsi="宋体" w:cs="仿宋"/>
                <w:sz w:val="24"/>
              </w:rPr>
              <w:t>、提供皮肤刺激性毒性检测报告；</w:t>
            </w:r>
            <w:r>
              <w:rPr>
                <w:rFonts w:ascii="宋体" w:hAnsi="宋体" w:cs="仿宋"/>
                <w:sz w:val="24"/>
              </w:rPr>
              <w:t>c</w:t>
            </w:r>
            <w:r>
              <w:rPr>
                <w:rFonts w:hint="eastAsia" w:ascii="宋体" w:hAnsi="宋体" w:cs="仿宋"/>
                <w:sz w:val="24"/>
              </w:rPr>
              <w:t>、提供吸入性毒性检测报告；</w:t>
            </w:r>
            <w:r>
              <w:rPr>
                <w:rFonts w:ascii="宋体" w:hAnsi="宋体" w:cs="仿宋"/>
                <w:sz w:val="24"/>
              </w:rPr>
              <w:t>d</w:t>
            </w:r>
            <w:r>
              <w:rPr>
                <w:rFonts w:hint="eastAsia" w:ascii="宋体" w:hAnsi="宋体" w:cs="仿宋"/>
                <w:sz w:val="24"/>
              </w:rPr>
              <w:t>、提供眼刺激性检测报告；每提供</w:t>
            </w:r>
            <w:r>
              <w:rPr>
                <w:rFonts w:ascii="宋体" w:hAnsi="宋体" w:cs="仿宋"/>
                <w:sz w:val="24"/>
              </w:rPr>
              <w:t>1</w:t>
            </w:r>
            <w:r>
              <w:rPr>
                <w:rFonts w:hint="eastAsia" w:ascii="宋体" w:hAnsi="宋体" w:cs="仿宋"/>
                <w:sz w:val="24"/>
              </w:rPr>
              <w:t>份得</w:t>
            </w:r>
            <w:r>
              <w:rPr>
                <w:rFonts w:hint="eastAsia" w:ascii="宋体" w:hAnsi="宋体" w:cs="仿宋"/>
                <w:sz w:val="24"/>
                <w:lang w:val="en-US" w:eastAsia="zh-CN"/>
              </w:rPr>
              <w:t>1</w:t>
            </w:r>
            <w:r>
              <w:rPr>
                <w:rFonts w:hint="eastAsia" w:ascii="宋体" w:hAnsi="宋体" w:cs="仿宋"/>
                <w:sz w:val="24"/>
              </w:rPr>
              <w:t>分，总分</w:t>
            </w:r>
            <w:r>
              <w:rPr>
                <w:rFonts w:hint="eastAsia" w:ascii="宋体" w:hAnsi="宋体" w:cs="仿宋"/>
                <w:sz w:val="24"/>
                <w:lang w:val="en-US" w:eastAsia="zh-CN"/>
              </w:rPr>
              <w:t>4</w:t>
            </w:r>
            <w:r>
              <w:rPr>
                <w:rFonts w:hint="eastAsia" w:ascii="宋体" w:hAnsi="宋体" w:cs="仿宋"/>
                <w:sz w:val="24"/>
              </w:rPr>
              <w:t>分。</w:t>
            </w:r>
          </w:p>
        </w:tc>
        <w:tc>
          <w:tcPr>
            <w:tcW w:w="705" w:type="dxa"/>
            <w:tcBorders>
              <w:top w:val="single" w:color="auto" w:sz="4" w:space="0"/>
              <w:left w:val="single" w:color="auto" w:sz="4" w:space="0"/>
            </w:tcBorders>
            <w:noWrap/>
            <w:vAlign w:val="center"/>
          </w:tcPr>
          <w:p>
            <w:pPr>
              <w:jc w:val="center"/>
              <w:rPr>
                <w:rFonts w:hint="eastAsia" w:ascii="宋体" w:eastAsia="宋体" w:cs="仿宋"/>
                <w:sz w:val="24"/>
                <w:lang w:eastAsia="zh-CN"/>
              </w:rPr>
            </w:pPr>
            <w:r>
              <w:rPr>
                <w:rFonts w:hint="eastAsia" w:ascii="宋体" w:hAnsi="宋体" w:cs="仿宋"/>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51" w:hRule="exact"/>
        </w:trPr>
        <w:tc>
          <w:tcPr>
            <w:tcW w:w="435" w:type="dxa"/>
            <w:tcBorders>
              <w:top w:val="single" w:color="auto" w:sz="4" w:space="0"/>
              <w:right w:val="single" w:color="auto" w:sz="4" w:space="0"/>
            </w:tcBorders>
            <w:noWrap/>
            <w:vAlign w:val="center"/>
          </w:tcPr>
          <w:p>
            <w:pPr>
              <w:numPr>
                <w:ilvl w:val="0"/>
                <w:numId w:val="0"/>
              </w:numPr>
              <w:ind w:leftChars="0" w:right="-105" w:rightChars="-50"/>
              <w:rPr>
                <w:rFonts w:hint="default" w:ascii="宋体" w:cs="仿宋"/>
                <w:sz w:val="24"/>
                <w:lang w:val="en-US" w:eastAsia="zh-CN"/>
              </w:rPr>
            </w:pPr>
            <w:r>
              <w:rPr>
                <w:rFonts w:hint="eastAsia" w:ascii="宋体" w:cs="仿宋"/>
                <w:sz w:val="24"/>
                <w:lang w:val="en-US" w:eastAsia="zh-CN"/>
              </w:rPr>
              <w:t>2</w:t>
            </w:r>
          </w:p>
        </w:tc>
        <w:tc>
          <w:tcPr>
            <w:tcW w:w="524" w:type="dxa"/>
            <w:vMerge w:val="restart"/>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z w:val="24"/>
              </w:rPr>
            </w:pPr>
          </w:p>
        </w:tc>
        <w:tc>
          <w:tcPr>
            <w:tcW w:w="57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cs="仿宋"/>
                <w:sz w:val="24"/>
              </w:rPr>
            </w:pPr>
          </w:p>
        </w:tc>
        <w:tc>
          <w:tcPr>
            <w:tcW w:w="7084" w:type="dxa"/>
            <w:tcBorders>
              <w:top w:val="single" w:color="auto" w:sz="4" w:space="0"/>
              <w:left w:val="single" w:color="auto" w:sz="4" w:space="0"/>
              <w:right w:val="single" w:color="auto" w:sz="4" w:space="0"/>
            </w:tcBorders>
            <w:noWrap/>
            <w:vAlign w:val="center"/>
          </w:tcPr>
          <w:p>
            <w:pPr>
              <w:rPr>
                <w:rFonts w:ascii="宋体" w:hAnsi="宋体" w:cs="仿宋"/>
                <w:sz w:val="24"/>
              </w:rPr>
            </w:pPr>
            <w:r>
              <w:rPr>
                <w:rFonts w:hint="eastAsia" w:ascii="宋体" w:hAnsi="宋体" w:cs="仿宋"/>
                <w:sz w:val="24"/>
              </w:rPr>
              <w:t>提供该药剂</w:t>
            </w:r>
            <w:r>
              <w:rPr>
                <w:rFonts w:ascii="宋体" w:hAnsi="宋体" w:cs="仿宋"/>
                <w:sz w:val="24"/>
              </w:rPr>
              <w:t>2018</w:t>
            </w:r>
            <w:r>
              <w:rPr>
                <w:rFonts w:hint="eastAsia" w:ascii="宋体" w:hAnsi="宋体" w:cs="仿宋"/>
                <w:sz w:val="24"/>
              </w:rPr>
              <w:t>年后（包括</w:t>
            </w:r>
            <w:r>
              <w:rPr>
                <w:rFonts w:ascii="宋体" w:hAnsi="宋体" w:cs="仿宋"/>
                <w:sz w:val="24"/>
              </w:rPr>
              <w:t>2018</w:t>
            </w:r>
            <w:r>
              <w:rPr>
                <w:rFonts w:hint="eastAsia" w:ascii="宋体" w:hAnsi="宋体" w:cs="仿宋"/>
                <w:sz w:val="24"/>
              </w:rPr>
              <w:t>年）国家或省级第三方检测机构出具的加盖</w:t>
            </w:r>
            <w:r>
              <w:rPr>
                <w:rFonts w:ascii="宋体" w:hAnsi="宋体" w:cs="仿宋"/>
                <w:sz w:val="24"/>
              </w:rPr>
              <w:t>CMA</w:t>
            </w:r>
            <w:r>
              <w:rPr>
                <w:rFonts w:hint="eastAsia" w:ascii="宋体" w:hAnsi="宋体" w:cs="仿宋"/>
                <w:sz w:val="24"/>
              </w:rPr>
              <w:t>章的除臭效果报告：稀释喷洒</w:t>
            </w:r>
            <w:r>
              <w:rPr>
                <w:rFonts w:ascii="宋体" w:hAnsi="宋体" w:cs="仿宋"/>
                <w:sz w:val="24"/>
              </w:rPr>
              <w:t>20</w:t>
            </w:r>
            <w:r>
              <w:rPr>
                <w:rFonts w:hint="eastAsia" w:ascii="宋体" w:hAnsi="宋体" w:cs="仿宋"/>
                <w:sz w:val="24"/>
              </w:rPr>
              <w:t>分钟内，对氨气去除效果</w:t>
            </w:r>
            <w:r>
              <w:rPr>
                <w:rFonts w:ascii="宋体" w:hAnsi="宋体" w:cs="仿宋"/>
                <w:sz w:val="24"/>
              </w:rPr>
              <w:t>:90%</w:t>
            </w:r>
            <w:r>
              <w:rPr>
                <w:rFonts w:hint="eastAsia" w:ascii="宋体" w:hAnsi="宋体" w:cs="仿宋"/>
                <w:sz w:val="24"/>
              </w:rPr>
              <w:t>（含）</w:t>
            </w:r>
            <w:r>
              <w:rPr>
                <w:rFonts w:ascii="宋体" w:hAnsi="宋体" w:cs="仿宋"/>
                <w:sz w:val="24"/>
              </w:rPr>
              <w:t>-100%</w:t>
            </w:r>
            <w:r>
              <w:rPr>
                <w:rFonts w:hint="eastAsia" w:ascii="宋体" w:hAnsi="宋体" w:cs="仿宋"/>
                <w:sz w:val="24"/>
              </w:rPr>
              <w:t>的得</w:t>
            </w:r>
            <w:r>
              <w:rPr>
                <w:rFonts w:hint="eastAsia" w:ascii="宋体" w:hAnsi="宋体" w:cs="仿宋"/>
                <w:sz w:val="24"/>
                <w:lang w:val="en-US" w:eastAsia="zh-CN"/>
              </w:rPr>
              <w:t>2</w:t>
            </w:r>
            <w:r>
              <w:rPr>
                <w:rFonts w:hint="eastAsia" w:ascii="宋体" w:hAnsi="宋体" w:cs="仿宋"/>
                <w:sz w:val="24"/>
              </w:rPr>
              <w:t>分，＜</w:t>
            </w:r>
            <w:r>
              <w:rPr>
                <w:rFonts w:ascii="宋体" w:hAnsi="宋体" w:cs="仿宋"/>
                <w:sz w:val="24"/>
              </w:rPr>
              <w:t>90%</w:t>
            </w:r>
            <w:r>
              <w:rPr>
                <w:rFonts w:hint="eastAsia" w:ascii="宋体" w:hAnsi="宋体" w:cs="仿宋"/>
                <w:sz w:val="24"/>
              </w:rPr>
              <w:t>的不得分；</w:t>
            </w:r>
          </w:p>
          <w:p>
            <w:pPr>
              <w:rPr>
                <w:rFonts w:ascii="宋体" w:cs="仿宋"/>
                <w:sz w:val="24"/>
              </w:rPr>
            </w:pPr>
            <w:r>
              <w:rPr>
                <w:rFonts w:hint="eastAsia" w:ascii="宋体" w:hAnsi="宋体" w:cs="仿宋"/>
                <w:sz w:val="24"/>
              </w:rPr>
              <w:t>对臭气强度去除效果：</w:t>
            </w:r>
            <w:r>
              <w:rPr>
                <w:rFonts w:ascii="宋体" w:hAnsi="宋体" w:cs="仿宋"/>
                <w:sz w:val="24"/>
              </w:rPr>
              <w:t>90%</w:t>
            </w:r>
            <w:r>
              <w:rPr>
                <w:rFonts w:hint="eastAsia" w:ascii="宋体" w:hAnsi="宋体" w:cs="仿宋"/>
                <w:sz w:val="24"/>
              </w:rPr>
              <w:t>（含）</w:t>
            </w:r>
            <w:r>
              <w:rPr>
                <w:rFonts w:ascii="宋体" w:hAnsi="宋体" w:cs="仿宋"/>
                <w:sz w:val="24"/>
              </w:rPr>
              <w:t>-100%</w:t>
            </w:r>
            <w:r>
              <w:rPr>
                <w:rFonts w:hint="eastAsia" w:ascii="宋体" w:hAnsi="宋体" w:cs="仿宋"/>
                <w:sz w:val="24"/>
              </w:rPr>
              <w:t>的得</w:t>
            </w:r>
            <w:r>
              <w:rPr>
                <w:rFonts w:hint="eastAsia" w:ascii="宋体" w:hAnsi="宋体" w:cs="仿宋"/>
                <w:sz w:val="24"/>
                <w:lang w:val="en-US" w:eastAsia="zh-CN"/>
              </w:rPr>
              <w:t>2</w:t>
            </w:r>
            <w:r>
              <w:rPr>
                <w:rFonts w:hint="eastAsia" w:ascii="宋体" w:hAnsi="宋体" w:cs="仿宋"/>
                <w:sz w:val="24"/>
              </w:rPr>
              <w:t>分，＜</w:t>
            </w:r>
            <w:r>
              <w:rPr>
                <w:rFonts w:ascii="宋体" w:hAnsi="宋体" w:cs="仿宋"/>
                <w:sz w:val="24"/>
              </w:rPr>
              <w:t>90%</w:t>
            </w:r>
            <w:r>
              <w:rPr>
                <w:rFonts w:hint="eastAsia" w:ascii="宋体" w:hAnsi="宋体" w:cs="仿宋"/>
                <w:sz w:val="24"/>
              </w:rPr>
              <w:t>的不得分；使用比例：</w:t>
            </w:r>
            <w:r>
              <w:rPr>
                <w:rFonts w:hint="eastAsia" w:ascii="宋体" w:cs="仿宋"/>
                <w:sz w:val="24"/>
              </w:rPr>
              <w:t>≥</w:t>
            </w:r>
            <w:r>
              <w:rPr>
                <w:rFonts w:ascii="宋体" w:hAnsi="宋体" w:cs="仿宋"/>
                <w:sz w:val="24"/>
              </w:rPr>
              <w:t>1:50</w:t>
            </w:r>
            <w:r>
              <w:rPr>
                <w:rFonts w:hint="eastAsia" w:ascii="宋体" w:hAnsi="宋体" w:cs="仿宋"/>
                <w:sz w:val="24"/>
              </w:rPr>
              <w:t>的得</w:t>
            </w:r>
            <w:r>
              <w:rPr>
                <w:rFonts w:hint="eastAsia" w:ascii="宋体" w:hAnsi="宋体" w:cs="仿宋"/>
                <w:sz w:val="24"/>
                <w:lang w:val="en-US" w:eastAsia="zh-CN"/>
              </w:rPr>
              <w:t>2</w:t>
            </w:r>
            <w:r>
              <w:rPr>
                <w:rFonts w:hint="eastAsia" w:ascii="宋体" w:hAnsi="宋体" w:cs="仿宋"/>
                <w:sz w:val="24"/>
              </w:rPr>
              <w:t>分，</w:t>
            </w:r>
            <w:r>
              <w:rPr>
                <w:rFonts w:hint="eastAsia" w:ascii="宋体" w:cs="仿宋"/>
                <w:sz w:val="24"/>
              </w:rPr>
              <w:t>≥</w:t>
            </w:r>
            <w:r>
              <w:rPr>
                <w:rFonts w:ascii="宋体" w:hAnsi="宋体" w:cs="仿宋"/>
                <w:sz w:val="24"/>
              </w:rPr>
              <w:t>1:20</w:t>
            </w:r>
            <w:r>
              <w:rPr>
                <w:rFonts w:hint="eastAsia" w:ascii="宋体" w:hAnsi="宋体" w:cs="仿宋"/>
                <w:sz w:val="24"/>
              </w:rPr>
              <w:t>的得</w:t>
            </w:r>
            <w:r>
              <w:rPr>
                <w:rFonts w:hint="eastAsia" w:ascii="宋体" w:hAnsi="宋体" w:cs="仿宋"/>
                <w:sz w:val="24"/>
                <w:lang w:val="en-US" w:eastAsia="zh-CN"/>
              </w:rPr>
              <w:t>1</w:t>
            </w:r>
            <w:r>
              <w:rPr>
                <w:rFonts w:hint="eastAsia" w:ascii="宋体" w:hAnsi="宋体" w:cs="仿宋"/>
                <w:sz w:val="24"/>
              </w:rPr>
              <w:t>分，＜</w:t>
            </w:r>
            <w:r>
              <w:rPr>
                <w:rFonts w:ascii="宋体" w:hAnsi="宋体" w:cs="仿宋"/>
                <w:sz w:val="24"/>
              </w:rPr>
              <w:t>1</w:t>
            </w:r>
            <w:r>
              <w:rPr>
                <w:rFonts w:hint="eastAsia" w:ascii="宋体" w:hAnsi="宋体" w:cs="仿宋"/>
                <w:sz w:val="24"/>
              </w:rPr>
              <w:t>：</w:t>
            </w:r>
            <w:r>
              <w:rPr>
                <w:rFonts w:ascii="宋体" w:hAnsi="宋体" w:cs="仿宋"/>
                <w:sz w:val="24"/>
              </w:rPr>
              <w:t>20</w:t>
            </w:r>
            <w:r>
              <w:rPr>
                <w:rFonts w:hint="eastAsia" w:ascii="宋体" w:hAnsi="宋体" w:cs="仿宋"/>
                <w:sz w:val="24"/>
              </w:rPr>
              <w:t>的不得分</w:t>
            </w:r>
            <w:r>
              <w:rPr>
                <w:rFonts w:ascii="宋体" w:cs="仿宋"/>
                <w:sz w:val="24"/>
              </w:rPr>
              <w:t>.</w:t>
            </w:r>
            <w:r>
              <w:rPr>
                <w:rFonts w:hint="eastAsia" w:ascii="宋体" w:hAnsi="宋体" w:cs="仿宋"/>
                <w:sz w:val="24"/>
              </w:rPr>
              <w:t>不提供不得分。</w:t>
            </w:r>
          </w:p>
        </w:tc>
        <w:tc>
          <w:tcPr>
            <w:tcW w:w="705" w:type="dxa"/>
            <w:tcBorders>
              <w:top w:val="single" w:color="auto" w:sz="4" w:space="0"/>
              <w:left w:val="single" w:color="auto" w:sz="4" w:space="0"/>
            </w:tcBorders>
            <w:noWrap/>
            <w:vAlign w:val="center"/>
          </w:tcPr>
          <w:p>
            <w:pPr>
              <w:jc w:val="center"/>
              <w:rPr>
                <w:rFonts w:hint="eastAsia" w:ascii="宋体" w:eastAsia="宋体" w:cs="仿宋"/>
                <w:sz w:val="24"/>
                <w:lang w:eastAsia="zh-CN"/>
              </w:rPr>
            </w:pPr>
            <w:r>
              <w:rPr>
                <w:rFonts w:hint="eastAsia" w:ascii="宋体" w:hAnsi="宋体" w:cs="仿宋"/>
                <w:sz w:val="24"/>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3" w:hRule="exact"/>
        </w:trPr>
        <w:tc>
          <w:tcPr>
            <w:tcW w:w="435" w:type="dxa"/>
            <w:tcBorders>
              <w:top w:val="single" w:color="auto" w:sz="4" w:space="0"/>
              <w:bottom w:val="single" w:color="auto" w:sz="4" w:space="0"/>
              <w:right w:val="single" w:color="auto" w:sz="4" w:space="0"/>
            </w:tcBorders>
            <w:noWrap/>
            <w:vAlign w:val="center"/>
          </w:tcPr>
          <w:p>
            <w:pPr>
              <w:numPr>
                <w:ilvl w:val="0"/>
                <w:numId w:val="0"/>
              </w:numPr>
              <w:ind w:leftChars="0" w:right="-105" w:rightChars="-50"/>
              <w:rPr>
                <w:rFonts w:hint="eastAsia" w:ascii="宋体" w:eastAsia="宋体" w:cs="仿宋"/>
                <w:sz w:val="24"/>
                <w:lang w:val="en-US" w:eastAsia="zh-CN"/>
              </w:rPr>
            </w:pPr>
            <w:r>
              <w:rPr>
                <w:rFonts w:hint="eastAsia" w:ascii="宋体" w:cs="仿宋"/>
                <w:sz w:val="24"/>
                <w:lang w:val="en-US" w:eastAsia="zh-CN"/>
              </w:rPr>
              <w:t>3</w:t>
            </w:r>
          </w:p>
        </w:tc>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z w:val="24"/>
              </w:rPr>
            </w:pPr>
          </w:p>
        </w:tc>
        <w:tc>
          <w:tcPr>
            <w:tcW w:w="57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cs="仿宋"/>
                <w:sz w:val="24"/>
              </w:rPr>
            </w:pPr>
          </w:p>
        </w:tc>
        <w:tc>
          <w:tcPr>
            <w:tcW w:w="7084" w:type="dxa"/>
            <w:tcBorders>
              <w:top w:val="single" w:color="auto" w:sz="4" w:space="0"/>
              <w:left w:val="single" w:color="auto" w:sz="4" w:space="0"/>
              <w:bottom w:val="single" w:color="auto" w:sz="4" w:space="0"/>
              <w:right w:val="single" w:color="auto" w:sz="4" w:space="0"/>
            </w:tcBorders>
            <w:noWrap/>
          </w:tcPr>
          <w:p>
            <w:pPr>
              <w:rPr>
                <w:rFonts w:ascii="宋体" w:cs="仿宋"/>
                <w:sz w:val="24"/>
              </w:rPr>
            </w:pPr>
            <w:r>
              <w:rPr>
                <w:rFonts w:hint="eastAsia" w:ascii="宋体" w:hAnsi="宋体" w:cs="仿宋"/>
                <w:sz w:val="24"/>
              </w:rPr>
              <w:t>提供该药剂</w:t>
            </w:r>
            <w:r>
              <w:rPr>
                <w:rFonts w:ascii="宋体" w:hAnsi="宋体" w:cs="仿宋"/>
                <w:sz w:val="24"/>
              </w:rPr>
              <w:t>2018</w:t>
            </w:r>
            <w:r>
              <w:rPr>
                <w:rFonts w:hint="eastAsia" w:ascii="宋体" w:hAnsi="宋体" w:cs="仿宋"/>
                <w:sz w:val="24"/>
              </w:rPr>
              <w:t>年后（包括</w:t>
            </w:r>
            <w:r>
              <w:rPr>
                <w:rFonts w:ascii="宋体" w:hAnsi="宋体" w:cs="仿宋"/>
                <w:sz w:val="24"/>
              </w:rPr>
              <w:t>2018</w:t>
            </w:r>
            <w:r>
              <w:rPr>
                <w:rFonts w:hint="eastAsia" w:ascii="宋体" w:hAnsi="宋体" w:cs="仿宋"/>
                <w:sz w:val="24"/>
              </w:rPr>
              <w:t>年）国家或省级第三方检测机构出具的加盖</w:t>
            </w:r>
            <w:r>
              <w:rPr>
                <w:rFonts w:ascii="宋体" w:hAnsi="宋体" w:cs="仿宋"/>
                <w:sz w:val="24"/>
              </w:rPr>
              <w:t>CMA</w:t>
            </w:r>
            <w:r>
              <w:rPr>
                <w:rFonts w:hint="eastAsia" w:ascii="宋体" w:hAnsi="宋体" w:cs="仿宋"/>
                <w:sz w:val="24"/>
              </w:rPr>
              <w:t>章的油污去除率报告：稀释</w:t>
            </w:r>
            <w:r>
              <w:rPr>
                <w:rFonts w:ascii="宋体" w:hAnsi="宋体" w:cs="仿宋"/>
                <w:sz w:val="24"/>
              </w:rPr>
              <w:t>50</w:t>
            </w:r>
            <w:r>
              <w:rPr>
                <w:rFonts w:hint="eastAsia" w:ascii="宋体" w:hAnsi="宋体" w:cs="仿宋"/>
                <w:sz w:val="24"/>
              </w:rPr>
              <w:t>倍喷洒，</w:t>
            </w:r>
            <w:r>
              <w:rPr>
                <w:rFonts w:ascii="宋体" w:hAnsi="宋体" w:cs="仿宋"/>
                <w:sz w:val="24"/>
              </w:rPr>
              <w:t>20</w:t>
            </w:r>
            <w:r>
              <w:rPr>
                <w:rFonts w:hint="eastAsia" w:ascii="宋体" w:hAnsi="宋体" w:cs="仿宋"/>
                <w:sz w:val="24"/>
              </w:rPr>
              <w:t>分钟内对油污去除效果：</w:t>
            </w:r>
            <w:r>
              <w:rPr>
                <w:rFonts w:ascii="宋体" w:hAnsi="宋体" w:cs="仿宋"/>
                <w:sz w:val="24"/>
              </w:rPr>
              <w:t>80%</w:t>
            </w:r>
            <w:r>
              <w:rPr>
                <w:rFonts w:hint="eastAsia" w:ascii="宋体" w:hAnsi="宋体" w:cs="仿宋"/>
                <w:sz w:val="24"/>
              </w:rPr>
              <w:t>（含）</w:t>
            </w:r>
            <w:r>
              <w:rPr>
                <w:rFonts w:ascii="宋体" w:cs="仿宋"/>
                <w:sz w:val="24"/>
              </w:rPr>
              <w:t>-</w:t>
            </w:r>
            <w:r>
              <w:rPr>
                <w:rFonts w:ascii="宋体" w:hAnsi="宋体" w:cs="仿宋"/>
                <w:sz w:val="24"/>
              </w:rPr>
              <w:t>90%</w:t>
            </w:r>
            <w:r>
              <w:rPr>
                <w:rFonts w:hint="eastAsia" w:ascii="宋体" w:hAnsi="宋体" w:cs="仿宋"/>
                <w:sz w:val="24"/>
              </w:rPr>
              <w:t>得</w:t>
            </w:r>
            <w:r>
              <w:rPr>
                <w:rFonts w:hint="eastAsia" w:ascii="宋体" w:hAnsi="宋体" w:cs="仿宋"/>
                <w:sz w:val="24"/>
                <w:lang w:val="en-US" w:eastAsia="zh-CN"/>
              </w:rPr>
              <w:t>2</w:t>
            </w:r>
            <w:r>
              <w:rPr>
                <w:rFonts w:hint="eastAsia" w:ascii="宋体" w:hAnsi="宋体" w:cs="仿宋"/>
                <w:sz w:val="24"/>
              </w:rPr>
              <w:t>分，</w:t>
            </w:r>
            <w:r>
              <w:rPr>
                <w:rFonts w:ascii="宋体" w:hAnsi="宋体" w:cs="仿宋"/>
                <w:sz w:val="24"/>
              </w:rPr>
              <w:t>90%</w:t>
            </w:r>
            <w:r>
              <w:rPr>
                <w:rFonts w:hint="eastAsia" w:ascii="宋体" w:hAnsi="宋体" w:cs="仿宋"/>
                <w:sz w:val="24"/>
              </w:rPr>
              <w:t>（含）</w:t>
            </w:r>
            <w:r>
              <w:rPr>
                <w:rFonts w:ascii="宋体" w:cs="仿宋"/>
                <w:sz w:val="24"/>
              </w:rPr>
              <w:t>-</w:t>
            </w:r>
            <w:r>
              <w:rPr>
                <w:rFonts w:ascii="宋体" w:hAnsi="宋体" w:cs="仿宋"/>
                <w:sz w:val="24"/>
              </w:rPr>
              <w:t>100%</w:t>
            </w:r>
            <w:r>
              <w:rPr>
                <w:rFonts w:hint="eastAsia" w:ascii="宋体" w:hAnsi="宋体" w:cs="仿宋"/>
                <w:sz w:val="24"/>
              </w:rPr>
              <w:t>得</w:t>
            </w:r>
            <w:r>
              <w:rPr>
                <w:rFonts w:hint="eastAsia" w:ascii="宋体" w:hAnsi="宋体" w:cs="仿宋"/>
                <w:sz w:val="24"/>
                <w:lang w:val="en-US" w:eastAsia="zh-CN"/>
              </w:rPr>
              <w:t>4</w:t>
            </w:r>
            <w:r>
              <w:rPr>
                <w:rFonts w:hint="eastAsia" w:ascii="宋体" w:hAnsi="宋体" w:cs="仿宋"/>
                <w:sz w:val="24"/>
              </w:rPr>
              <w:t>分</w:t>
            </w:r>
            <w:r>
              <w:rPr>
                <w:rFonts w:hint="eastAsia" w:ascii="宋体" w:hAnsi="宋体" w:cs="仿宋"/>
                <w:sz w:val="24"/>
                <w:lang w:val="en-US" w:eastAsia="zh-CN"/>
              </w:rPr>
              <w:t>,</w:t>
            </w:r>
            <w:r>
              <w:rPr>
                <w:rFonts w:hint="eastAsia" w:ascii="宋体" w:hAnsi="宋体" w:cs="仿宋"/>
                <w:sz w:val="24"/>
              </w:rPr>
              <w:t>不提供不得分。</w:t>
            </w:r>
          </w:p>
        </w:tc>
        <w:tc>
          <w:tcPr>
            <w:tcW w:w="705" w:type="dxa"/>
            <w:tcBorders>
              <w:top w:val="single" w:color="auto" w:sz="4" w:space="0"/>
              <w:left w:val="single" w:color="auto" w:sz="4" w:space="0"/>
              <w:bottom w:val="single" w:color="auto" w:sz="4" w:space="0"/>
            </w:tcBorders>
            <w:noWrap/>
            <w:vAlign w:val="center"/>
          </w:tcPr>
          <w:p>
            <w:pPr>
              <w:jc w:val="center"/>
              <w:rPr>
                <w:rFonts w:hint="eastAsia" w:ascii="宋体" w:eastAsia="宋体" w:cs="仿宋"/>
                <w:sz w:val="24"/>
                <w:lang w:eastAsia="zh-CN"/>
              </w:rPr>
            </w:pPr>
            <w:r>
              <w:rPr>
                <w:rFonts w:hint="eastAsia" w:ascii="宋体" w:hAnsi="宋体" w:cs="仿宋"/>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sz w:val="24"/>
              </w:rPr>
            </w:pPr>
            <w:r>
              <w:rPr>
                <w:rFonts w:hint="eastAsia" w:ascii="宋体" w:hAnsi="宋体" w:cs="仿宋"/>
                <w:sz w:val="24"/>
              </w:rPr>
              <w:t>二</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sz w:val="24"/>
              </w:rPr>
            </w:pPr>
            <w:r>
              <w:rPr>
                <w:rFonts w:hint="eastAsia" w:ascii="宋体" w:hAnsi="宋体" w:cs="仿宋"/>
                <w:b/>
                <w:sz w:val="24"/>
              </w:rPr>
              <w:t>资信及其他分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b/>
                <w:color w:val="000000" w:themeColor="text1"/>
                <w:sz w:val="24"/>
              </w:rPr>
            </w:pPr>
            <w:r>
              <w:rPr>
                <w:rFonts w:hint="eastAsia" w:ascii="宋体" w:hAnsi="宋体" w:cs="仿宋"/>
                <w:b/>
                <w:color w:val="000000" w:themeColor="text1"/>
                <w:sz w:val="24"/>
              </w:rPr>
              <w:t>1</w:t>
            </w:r>
            <w:r>
              <w:rPr>
                <w:rFonts w:hint="eastAsia" w:ascii="宋体" w:hAnsi="宋体" w:cs="仿宋"/>
                <w:b/>
                <w:color w:val="000000" w:themeColor="text1"/>
                <w:sz w:val="24"/>
                <w:lang w:val="en-US" w:eastAsia="zh-CN"/>
              </w:rPr>
              <w:t>2</w:t>
            </w:r>
            <w:r>
              <w:rPr>
                <w:rFonts w:hint="eastAsia" w:ascii="宋体" w:hAnsi="宋体" w:cs="仿宋"/>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04" w:hRule="exact"/>
        </w:trPr>
        <w:tc>
          <w:tcPr>
            <w:tcW w:w="435" w:type="dxa"/>
            <w:tcBorders>
              <w:top w:val="nil"/>
              <w:bottom w:val="single" w:color="auto" w:sz="4" w:space="0"/>
              <w:right w:val="single" w:color="auto" w:sz="4" w:space="0"/>
            </w:tcBorders>
            <w:noWrap/>
            <w:vAlign w:val="center"/>
          </w:tcPr>
          <w:p>
            <w:pPr>
              <w:numPr>
                <w:ilvl w:val="0"/>
                <w:numId w:val="0"/>
              </w:numPr>
              <w:ind w:leftChars="0" w:right="-105" w:rightChars="-50"/>
              <w:rPr>
                <w:rFonts w:hint="eastAsia" w:ascii="宋体" w:eastAsia="宋体" w:cs="仿宋"/>
                <w:sz w:val="24"/>
                <w:lang w:val="en-US" w:eastAsia="zh-CN"/>
              </w:rPr>
            </w:pPr>
            <w:r>
              <w:rPr>
                <w:rFonts w:hint="eastAsia" w:ascii="宋体" w:cs="仿宋"/>
                <w:sz w:val="24"/>
                <w:lang w:val="en-US" w:eastAsia="zh-CN"/>
              </w:rPr>
              <w:t>4</w:t>
            </w:r>
          </w:p>
        </w:tc>
        <w:tc>
          <w:tcPr>
            <w:tcW w:w="524" w:type="dxa"/>
            <w:vMerge w:val="restart"/>
            <w:tcBorders>
              <w:top w:val="nil"/>
              <w:left w:val="single" w:color="auto" w:sz="4" w:space="0"/>
              <w:right w:val="single" w:color="auto" w:sz="4" w:space="0"/>
            </w:tcBorders>
            <w:noWrap/>
            <w:vAlign w:val="center"/>
          </w:tcPr>
          <w:p>
            <w:pPr>
              <w:ind w:right="-105" w:rightChars="-50"/>
              <w:rPr>
                <w:rFonts w:ascii="宋体" w:cs="仿宋"/>
                <w:sz w:val="24"/>
              </w:rPr>
            </w:pPr>
            <w:r>
              <w:rPr>
                <w:rFonts w:hint="eastAsia" w:ascii="宋体" w:hAnsi="宋体" w:cs="仿宋"/>
                <w:sz w:val="24"/>
              </w:rPr>
              <w:t>履约能力</w:t>
            </w:r>
          </w:p>
        </w:tc>
        <w:tc>
          <w:tcPr>
            <w:tcW w:w="570" w:type="dxa"/>
            <w:vMerge w:val="restart"/>
            <w:tcBorders>
              <w:top w:val="nil"/>
              <w:left w:val="single" w:color="auto" w:sz="4" w:space="0"/>
              <w:right w:val="single" w:color="auto" w:sz="4" w:space="0"/>
            </w:tcBorders>
            <w:noWrap/>
            <w:vAlign w:val="center"/>
          </w:tcPr>
          <w:p>
            <w:pPr>
              <w:ind w:right="-105" w:rightChars="-50"/>
              <w:rPr>
                <w:rFonts w:ascii="宋体" w:cs="仿宋"/>
                <w:sz w:val="24"/>
              </w:rPr>
            </w:pPr>
            <w:r>
              <w:rPr>
                <w:rFonts w:hint="eastAsia" w:ascii="宋体" w:hAnsi="宋体" w:cs="仿宋"/>
                <w:sz w:val="24"/>
              </w:rPr>
              <w:t>履约能力</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z w:val="24"/>
              </w:rPr>
            </w:pPr>
            <w:r>
              <w:rPr>
                <w:rFonts w:hint="eastAsia" w:ascii="宋体" w:hAnsi="宋体" w:cs="仿宋"/>
                <w:sz w:val="24"/>
              </w:rPr>
              <w:t>投标通过</w:t>
            </w:r>
            <w:r>
              <w:rPr>
                <w:rFonts w:ascii="宋体" w:hAnsi="宋体" w:cs="仿宋"/>
                <w:sz w:val="24"/>
              </w:rPr>
              <w:t>ISO9001</w:t>
            </w:r>
            <w:r>
              <w:rPr>
                <w:rFonts w:hint="eastAsia" w:ascii="宋体" w:hAnsi="宋体" w:cs="仿宋"/>
                <w:sz w:val="24"/>
              </w:rPr>
              <w:t>质量管理体系认证，</w:t>
            </w:r>
            <w:r>
              <w:rPr>
                <w:rFonts w:ascii="宋体" w:hAnsi="宋体" w:cs="仿宋"/>
                <w:sz w:val="24"/>
              </w:rPr>
              <w:t>ISO14001</w:t>
            </w:r>
            <w:r>
              <w:rPr>
                <w:rFonts w:hint="eastAsia" w:ascii="宋体" w:hAnsi="宋体" w:cs="仿宋"/>
                <w:sz w:val="24"/>
              </w:rPr>
              <w:t>环境管理体系认证及</w:t>
            </w:r>
            <w:r>
              <w:rPr>
                <w:rFonts w:ascii="宋体" w:hAnsi="宋体" w:cs="仿宋"/>
                <w:sz w:val="24"/>
              </w:rPr>
              <w:t>OHSAS 18001</w:t>
            </w:r>
            <w:r>
              <w:rPr>
                <w:rFonts w:hint="eastAsia" w:ascii="宋体" w:hAnsi="宋体" w:cs="仿宋"/>
                <w:sz w:val="24"/>
              </w:rPr>
              <w:t>职业健康安全管理体系认证的，并且所有认证证书都在有效期内；每一项得一分，最高得</w:t>
            </w:r>
            <w:r>
              <w:rPr>
                <w:rFonts w:ascii="宋体" w:hAnsi="宋体" w:cs="仿宋"/>
                <w:sz w:val="24"/>
              </w:rPr>
              <w:t>3</w:t>
            </w:r>
            <w:r>
              <w:rPr>
                <w:rFonts w:hint="eastAsia" w:ascii="宋体" w:hAnsi="宋体" w:cs="仿宋"/>
                <w:sz w:val="24"/>
              </w:rPr>
              <w:t>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color w:val="000000" w:themeColor="text1"/>
                <w:sz w:val="24"/>
              </w:rPr>
            </w:pPr>
            <w:r>
              <w:rPr>
                <w:rFonts w:ascii="宋体" w:hAnsi="宋体" w:cs="仿宋"/>
                <w:color w:val="000000" w:themeColor="text1"/>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83" w:hRule="exact"/>
        </w:trPr>
        <w:tc>
          <w:tcPr>
            <w:tcW w:w="435" w:type="dxa"/>
            <w:tcBorders>
              <w:top w:val="nil"/>
              <w:bottom w:val="single" w:color="auto" w:sz="4" w:space="0"/>
              <w:right w:val="single" w:color="auto" w:sz="4" w:space="0"/>
            </w:tcBorders>
            <w:noWrap/>
            <w:vAlign w:val="center"/>
          </w:tcPr>
          <w:p>
            <w:pPr>
              <w:numPr>
                <w:ilvl w:val="0"/>
                <w:numId w:val="0"/>
              </w:numPr>
              <w:ind w:leftChars="0" w:right="-105" w:rightChars="-50"/>
              <w:rPr>
                <w:rFonts w:hint="default" w:ascii="宋体" w:eastAsia="宋体" w:cs="仿宋"/>
                <w:sz w:val="24"/>
                <w:lang w:val="en-US" w:eastAsia="zh-CN"/>
              </w:rPr>
            </w:pPr>
            <w:r>
              <w:rPr>
                <w:rFonts w:hint="eastAsia" w:ascii="宋体" w:cs="仿宋"/>
                <w:sz w:val="24"/>
                <w:lang w:val="en-US" w:eastAsia="zh-CN"/>
              </w:rPr>
              <w:t>5</w:t>
            </w:r>
          </w:p>
        </w:tc>
        <w:tc>
          <w:tcPr>
            <w:tcW w:w="524" w:type="dxa"/>
            <w:vMerge w:val="continue"/>
            <w:tcBorders>
              <w:left w:val="single" w:color="auto" w:sz="4" w:space="0"/>
              <w:right w:val="single" w:color="auto" w:sz="4" w:space="0"/>
            </w:tcBorders>
            <w:noWrap/>
            <w:vAlign w:val="center"/>
          </w:tcPr>
          <w:p>
            <w:pPr>
              <w:ind w:right="-105" w:rightChars="-50"/>
              <w:jc w:val="center"/>
              <w:rPr>
                <w:rFonts w:ascii="宋体" w:cs="仿宋"/>
                <w:sz w:val="24"/>
              </w:rPr>
            </w:pPr>
          </w:p>
        </w:tc>
        <w:tc>
          <w:tcPr>
            <w:tcW w:w="570" w:type="dxa"/>
            <w:vMerge w:val="continue"/>
            <w:tcBorders>
              <w:left w:val="single" w:color="auto" w:sz="4" w:space="0"/>
              <w:right w:val="single" w:color="auto" w:sz="4" w:space="0"/>
            </w:tcBorders>
            <w:noWrap/>
            <w:vAlign w:val="center"/>
          </w:tcPr>
          <w:p>
            <w:pPr>
              <w:ind w:right="-105" w:rightChars="-50"/>
              <w:jc w:val="center"/>
              <w:rPr>
                <w:rFonts w:ascii="宋体" w:cs="仿宋"/>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z w:val="24"/>
                <w:highlight w:val="yellow"/>
              </w:rPr>
            </w:pPr>
            <w:r>
              <w:rPr>
                <w:rFonts w:hint="eastAsia" w:ascii="宋体" w:hAnsi="宋体" w:cs="仿宋"/>
                <w:sz w:val="24"/>
              </w:rPr>
              <w:t>企业具有城市管理专业或环境工程专业专业技术人员级别：正高级得</w:t>
            </w:r>
            <w:r>
              <w:rPr>
                <w:rFonts w:ascii="宋体" w:hAnsi="宋体" w:cs="仿宋"/>
                <w:sz w:val="24"/>
              </w:rPr>
              <w:t>3</w:t>
            </w:r>
            <w:r>
              <w:rPr>
                <w:rFonts w:hint="eastAsia" w:ascii="宋体" w:hAnsi="宋体" w:cs="仿宋"/>
                <w:sz w:val="24"/>
              </w:rPr>
              <w:t>分，副高级得</w:t>
            </w:r>
            <w:r>
              <w:rPr>
                <w:rFonts w:ascii="宋体" w:hAnsi="宋体" w:cs="仿宋"/>
                <w:sz w:val="24"/>
              </w:rPr>
              <w:t>2</w:t>
            </w:r>
            <w:r>
              <w:rPr>
                <w:rFonts w:hint="eastAsia" w:ascii="宋体" w:hAnsi="宋体" w:cs="仿宋"/>
                <w:sz w:val="24"/>
              </w:rPr>
              <w:t>分，中级得</w:t>
            </w:r>
            <w:r>
              <w:rPr>
                <w:rFonts w:ascii="宋体" w:hAnsi="宋体" w:cs="仿宋"/>
                <w:sz w:val="24"/>
              </w:rPr>
              <w:t>1</w:t>
            </w:r>
            <w:r>
              <w:rPr>
                <w:rFonts w:hint="eastAsia" w:ascii="宋体" w:hAnsi="宋体" w:cs="仿宋"/>
                <w:sz w:val="24"/>
              </w:rPr>
              <w:t>分，其他不得分，提供一名即可，就高原则。不提供不得分。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color w:val="000000" w:themeColor="text1"/>
                <w:sz w:val="24"/>
              </w:rPr>
            </w:pPr>
            <w:r>
              <w:rPr>
                <w:rFonts w:hint="eastAsia" w:ascii="宋体" w:cs="仿宋"/>
                <w:color w:val="000000" w:themeColor="text1"/>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78" w:hRule="exact"/>
        </w:trPr>
        <w:tc>
          <w:tcPr>
            <w:tcW w:w="435" w:type="dxa"/>
            <w:tcBorders>
              <w:top w:val="nil"/>
              <w:bottom w:val="single" w:color="auto" w:sz="4" w:space="0"/>
              <w:right w:val="single" w:color="auto" w:sz="4" w:space="0"/>
            </w:tcBorders>
            <w:noWrap/>
            <w:vAlign w:val="center"/>
          </w:tcPr>
          <w:p>
            <w:pPr>
              <w:numPr>
                <w:ilvl w:val="0"/>
                <w:numId w:val="0"/>
              </w:numPr>
              <w:ind w:leftChars="0" w:right="-105" w:rightChars="-50"/>
              <w:rPr>
                <w:rFonts w:hint="eastAsia" w:ascii="宋体" w:eastAsia="宋体" w:cs="仿宋"/>
                <w:sz w:val="24"/>
                <w:lang w:val="en-US" w:eastAsia="zh-CN"/>
              </w:rPr>
            </w:pPr>
            <w:r>
              <w:rPr>
                <w:rFonts w:hint="eastAsia" w:ascii="宋体" w:cs="仿宋"/>
                <w:sz w:val="24"/>
                <w:lang w:val="en-US" w:eastAsia="zh-CN"/>
              </w:rPr>
              <w:t>6</w:t>
            </w:r>
          </w:p>
        </w:tc>
        <w:tc>
          <w:tcPr>
            <w:tcW w:w="524" w:type="dxa"/>
            <w:vMerge w:val="continue"/>
            <w:tcBorders>
              <w:left w:val="single" w:color="auto" w:sz="4" w:space="0"/>
              <w:right w:val="single" w:color="auto" w:sz="4" w:space="0"/>
            </w:tcBorders>
            <w:noWrap/>
            <w:vAlign w:val="center"/>
          </w:tcPr>
          <w:p>
            <w:pPr>
              <w:ind w:right="-105" w:rightChars="-50"/>
              <w:jc w:val="center"/>
              <w:rPr>
                <w:rFonts w:ascii="宋体" w:cs="仿宋"/>
                <w:sz w:val="24"/>
              </w:rPr>
            </w:pPr>
          </w:p>
        </w:tc>
        <w:tc>
          <w:tcPr>
            <w:tcW w:w="570" w:type="dxa"/>
            <w:vMerge w:val="continue"/>
            <w:tcBorders>
              <w:left w:val="single" w:color="auto" w:sz="4" w:space="0"/>
              <w:bottom w:val="single" w:color="auto" w:sz="4" w:space="0"/>
              <w:right w:val="single" w:color="auto" w:sz="4" w:space="0"/>
            </w:tcBorders>
            <w:noWrap/>
            <w:vAlign w:val="center"/>
          </w:tcPr>
          <w:p>
            <w:pPr>
              <w:ind w:right="-105" w:rightChars="-50"/>
              <w:jc w:val="center"/>
              <w:rPr>
                <w:rFonts w:ascii="宋体" w:cs="仿宋"/>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FF0000"/>
                <w:sz w:val="24"/>
                <w:highlight w:val="yellow"/>
              </w:rPr>
            </w:pPr>
            <w:r>
              <w:rPr>
                <w:rFonts w:hint="eastAsia" w:ascii="宋体" w:hAnsi="宋体" w:cs="仿宋"/>
                <w:sz w:val="24"/>
              </w:rPr>
              <w:t>提供近三年所投药剂在生活垃圾填埋场的相应业绩，对参投供应商业绩横向对比，业绩良好打</w:t>
            </w:r>
            <w:r>
              <w:rPr>
                <w:rFonts w:hint="eastAsia" w:ascii="宋体" w:hAnsi="宋体" w:cs="仿宋"/>
                <w:sz w:val="24"/>
                <w:lang w:val="en-US" w:eastAsia="zh-CN"/>
              </w:rPr>
              <w:t>5</w:t>
            </w:r>
            <w:r>
              <w:rPr>
                <w:rFonts w:hint="eastAsia" w:ascii="宋体" w:hAnsi="宋体" w:cs="仿宋"/>
                <w:sz w:val="24"/>
              </w:rPr>
              <w:t>-</w:t>
            </w:r>
            <w:r>
              <w:rPr>
                <w:rFonts w:hint="eastAsia" w:ascii="宋体" w:hAnsi="宋体" w:cs="仿宋"/>
                <w:sz w:val="24"/>
                <w:lang w:val="en-US" w:eastAsia="zh-CN"/>
              </w:rPr>
              <w:t>6</w:t>
            </w:r>
            <w:r>
              <w:rPr>
                <w:rFonts w:hint="eastAsia" w:ascii="宋体" w:hAnsi="宋体" w:cs="仿宋"/>
                <w:sz w:val="24"/>
              </w:rPr>
              <w:t>分；业绩中等</w:t>
            </w:r>
            <w:r>
              <w:rPr>
                <w:rFonts w:hint="eastAsia" w:ascii="宋体" w:hAnsi="宋体" w:cs="仿宋"/>
                <w:sz w:val="24"/>
                <w:lang w:val="en-US" w:eastAsia="zh-CN"/>
              </w:rPr>
              <w:t>3</w:t>
            </w:r>
            <w:r>
              <w:rPr>
                <w:rFonts w:hint="eastAsia" w:ascii="宋体" w:hAnsi="宋体" w:cs="仿宋"/>
                <w:sz w:val="24"/>
              </w:rPr>
              <w:t>-</w:t>
            </w:r>
            <w:r>
              <w:rPr>
                <w:rFonts w:hint="eastAsia" w:ascii="宋体" w:hAnsi="宋体" w:cs="仿宋"/>
                <w:sz w:val="24"/>
                <w:lang w:val="en-US" w:eastAsia="zh-CN"/>
              </w:rPr>
              <w:t>4</w:t>
            </w:r>
            <w:r>
              <w:rPr>
                <w:rFonts w:hint="eastAsia" w:ascii="宋体" w:hAnsi="宋体" w:cs="仿宋"/>
                <w:sz w:val="24"/>
              </w:rPr>
              <w:t>分；业绩一般</w:t>
            </w:r>
            <w:r>
              <w:rPr>
                <w:rFonts w:hint="eastAsia" w:ascii="宋体" w:hAnsi="宋体" w:cs="仿宋"/>
                <w:sz w:val="24"/>
                <w:lang w:val="en-US" w:eastAsia="zh-CN"/>
              </w:rPr>
              <w:t>1</w:t>
            </w:r>
            <w:r>
              <w:rPr>
                <w:rFonts w:hint="eastAsia" w:ascii="宋体" w:hAnsi="宋体" w:cs="仿宋"/>
                <w:sz w:val="24"/>
              </w:rPr>
              <w:t>-</w:t>
            </w:r>
            <w:r>
              <w:rPr>
                <w:rFonts w:hint="eastAsia" w:ascii="宋体" w:hAnsi="宋体" w:cs="仿宋"/>
                <w:sz w:val="24"/>
                <w:lang w:val="en-US" w:eastAsia="zh-CN"/>
              </w:rPr>
              <w:t>2</w:t>
            </w:r>
            <w:r>
              <w:rPr>
                <w:rFonts w:hint="eastAsia" w:ascii="宋体" w:hAnsi="宋体" w:cs="仿宋"/>
                <w:sz w:val="24"/>
              </w:rPr>
              <w:t>分，不提供不得分。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sz w:val="24"/>
                <w:lang w:eastAsia="zh-CN"/>
              </w:rPr>
            </w:pPr>
            <w:r>
              <w:rPr>
                <w:rFonts w:hint="eastAsia" w:ascii="宋体" w:cs="仿宋"/>
                <w:sz w:val="24"/>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ascii="宋体" w:cs="仿宋"/>
                <w:b/>
                <w:sz w:val="24"/>
              </w:rPr>
            </w:pPr>
            <w:r>
              <w:rPr>
                <w:rFonts w:hint="eastAsia" w:ascii="宋体" w:hAnsi="宋体" w:cs="仿宋"/>
                <w:b/>
                <w:sz w:val="24"/>
              </w:rPr>
              <w:t>三</w:t>
            </w:r>
          </w:p>
        </w:tc>
        <w:tc>
          <w:tcPr>
            <w:tcW w:w="8178" w:type="dxa"/>
            <w:gridSpan w:val="3"/>
            <w:tcBorders>
              <w:top w:val="single" w:color="auto" w:sz="4" w:space="0"/>
              <w:left w:val="single" w:color="auto" w:sz="4" w:space="0"/>
              <w:bottom w:val="single" w:color="auto" w:sz="4" w:space="0"/>
              <w:right w:val="single" w:color="auto" w:sz="4" w:space="0"/>
            </w:tcBorders>
            <w:noWrap/>
            <w:vAlign w:val="center"/>
          </w:tcPr>
          <w:p>
            <w:pPr>
              <w:ind w:right="-105" w:rightChars="-50"/>
              <w:jc w:val="center"/>
              <w:rPr>
                <w:rFonts w:ascii="宋体" w:cs="仿宋"/>
                <w:b/>
                <w:sz w:val="24"/>
              </w:rPr>
            </w:pPr>
            <w:r>
              <w:rPr>
                <w:rFonts w:hint="eastAsia" w:ascii="宋体" w:hAnsi="宋体" w:cs="仿宋"/>
                <w:b/>
                <w:sz w:val="24"/>
              </w:rPr>
              <w:t>商务分</w:t>
            </w:r>
          </w:p>
        </w:tc>
        <w:tc>
          <w:tcPr>
            <w:tcW w:w="705" w:type="dxa"/>
            <w:tcBorders>
              <w:top w:val="single" w:color="auto" w:sz="4" w:space="0"/>
              <w:left w:val="single" w:color="auto" w:sz="4" w:space="0"/>
              <w:bottom w:val="single" w:color="auto" w:sz="4" w:space="0"/>
            </w:tcBorders>
            <w:noWrap/>
            <w:vAlign w:val="center"/>
          </w:tcPr>
          <w:p>
            <w:pPr>
              <w:ind w:right="-105" w:rightChars="-50"/>
              <w:rPr>
                <w:rFonts w:ascii="宋体" w:cs="仿宋"/>
                <w:b/>
                <w:sz w:val="24"/>
              </w:rPr>
            </w:pPr>
            <w:r>
              <w:rPr>
                <w:rFonts w:hint="eastAsia" w:ascii="宋体" w:hAnsi="宋体" w:cs="仿宋"/>
                <w:b/>
                <w:color w:val="000000" w:themeColor="text1"/>
                <w:sz w:val="24"/>
              </w:rPr>
              <w:t>2</w:t>
            </w:r>
            <w:r>
              <w:rPr>
                <w:rFonts w:hint="eastAsia" w:ascii="宋体" w:hAnsi="宋体" w:cs="仿宋"/>
                <w:b/>
                <w:color w:val="000000" w:themeColor="text1"/>
                <w:sz w:val="24"/>
                <w:lang w:val="en-US" w:eastAsia="zh-CN"/>
              </w:rPr>
              <w:t>4</w:t>
            </w:r>
            <w:r>
              <w:rPr>
                <w:rFonts w:hint="eastAsia" w:ascii="宋体" w:hAnsi="宋体" w:cs="仿宋"/>
                <w:b/>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3"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sz w:val="24"/>
                <w:lang w:val="en-US" w:eastAsia="zh-CN"/>
              </w:rPr>
            </w:pPr>
            <w:r>
              <w:rPr>
                <w:rFonts w:hint="eastAsia" w:ascii="宋体" w:cs="仿宋"/>
                <w:sz w:val="24"/>
                <w:lang w:val="en-US" w:eastAsia="zh-CN"/>
              </w:rPr>
              <w:t>7</w:t>
            </w:r>
          </w:p>
        </w:tc>
        <w:tc>
          <w:tcPr>
            <w:tcW w:w="1094" w:type="dxa"/>
            <w:gridSpan w:val="2"/>
            <w:vMerge w:val="restart"/>
            <w:tcBorders>
              <w:top w:val="single" w:color="auto" w:sz="4" w:space="0"/>
              <w:left w:val="single" w:color="auto" w:sz="4" w:space="0"/>
              <w:right w:val="single" w:color="auto" w:sz="4" w:space="0"/>
            </w:tcBorders>
            <w:noWrap/>
            <w:vAlign w:val="center"/>
          </w:tcPr>
          <w:p>
            <w:pPr>
              <w:ind w:right="-105" w:rightChars="-50"/>
              <w:jc w:val="center"/>
              <w:rPr>
                <w:rFonts w:ascii="宋体" w:cs="仿宋"/>
                <w:color w:val="000000" w:themeColor="text1"/>
                <w:sz w:val="24"/>
              </w:rPr>
            </w:pPr>
            <w:r>
              <w:rPr>
                <w:rFonts w:hint="eastAsia" w:ascii="宋体" w:hAnsi="宋体" w:cs="仿宋"/>
                <w:color w:val="000000" w:themeColor="text1"/>
                <w:sz w:val="24"/>
              </w:rPr>
              <w:t>售后服务</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hint="eastAsia" w:ascii="宋体" w:eastAsia="宋体" w:cs="仿宋"/>
                <w:color w:val="000000" w:themeColor="text1"/>
                <w:sz w:val="24"/>
                <w:lang w:eastAsia="zh-CN"/>
              </w:rPr>
            </w:pPr>
            <w:r>
              <w:rPr>
                <w:rFonts w:hint="eastAsia" w:ascii="宋体" w:hAnsi="宋体" w:cs="仿宋"/>
                <w:color w:val="000000" w:themeColor="text1"/>
                <w:sz w:val="24"/>
              </w:rPr>
              <w:t>提供填埋除臭服务方案，根据方案优劣度程度给分，好得13</w:t>
            </w:r>
            <w:r>
              <w:rPr>
                <w:rFonts w:ascii="宋体" w:hAnsi="宋体" w:cs="仿宋"/>
                <w:color w:val="000000" w:themeColor="text1"/>
                <w:sz w:val="24"/>
              </w:rPr>
              <w:t>-1</w:t>
            </w:r>
            <w:r>
              <w:rPr>
                <w:rFonts w:hint="eastAsia" w:ascii="宋体" w:hAnsi="宋体" w:cs="仿宋"/>
                <w:color w:val="000000" w:themeColor="text1"/>
                <w:sz w:val="24"/>
              </w:rPr>
              <w:t>6分，较好得9</w:t>
            </w:r>
            <w:r>
              <w:rPr>
                <w:rFonts w:ascii="宋体" w:hAnsi="宋体" w:cs="仿宋"/>
                <w:color w:val="000000" w:themeColor="text1"/>
                <w:sz w:val="24"/>
              </w:rPr>
              <w:t>-</w:t>
            </w:r>
            <w:r>
              <w:rPr>
                <w:rFonts w:hint="eastAsia" w:ascii="宋体" w:hAnsi="宋体" w:cs="仿宋"/>
                <w:color w:val="000000" w:themeColor="text1"/>
                <w:sz w:val="24"/>
              </w:rPr>
              <w:t>12分，一般得5</w:t>
            </w:r>
            <w:r>
              <w:rPr>
                <w:rFonts w:ascii="宋体" w:hAnsi="宋体" w:cs="仿宋"/>
                <w:color w:val="000000" w:themeColor="text1"/>
                <w:sz w:val="24"/>
              </w:rPr>
              <w:t>-</w:t>
            </w:r>
            <w:r>
              <w:rPr>
                <w:rFonts w:hint="eastAsia" w:ascii="宋体" w:hAnsi="宋体" w:cs="仿宋"/>
                <w:color w:val="000000" w:themeColor="text1"/>
                <w:sz w:val="24"/>
              </w:rPr>
              <w:t>8分，较差得1-4分，不提供不给分</w:t>
            </w:r>
            <w:r>
              <w:rPr>
                <w:rFonts w:hint="eastAsia" w:ascii="宋体" w:hAnsi="宋体" w:cs="仿宋"/>
                <w:color w:val="000000" w:themeColor="text1"/>
                <w:sz w:val="24"/>
                <w:lang w:eastAsia="zh-CN"/>
              </w:rPr>
              <w:t>。</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sz w:val="24"/>
              </w:rPr>
            </w:pPr>
            <w:r>
              <w:rPr>
                <w:rFonts w:hint="eastAsia" w:ascii="宋体" w:hAnsi="宋体" w:cs="仿宋"/>
                <w:sz w:val="24"/>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3" w:hRule="exac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sz w:val="24"/>
                <w:lang w:val="en-US" w:eastAsia="zh-CN"/>
              </w:rPr>
            </w:pPr>
            <w:r>
              <w:rPr>
                <w:rFonts w:hint="eastAsia" w:ascii="宋体" w:cs="仿宋"/>
                <w:sz w:val="24"/>
                <w:lang w:val="en-US" w:eastAsia="zh-CN"/>
              </w:rPr>
              <w:t>8</w:t>
            </w:r>
          </w:p>
        </w:tc>
        <w:tc>
          <w:tcPr>
            <w:tcW w:w="1094" w:type="dxa"/>
            <w:gridSpan w:val="2"/>
            <w:vMerge w:val="continue"/>
            <w:tcBorders>
              <w:left w:val="single" w:color="auto" w:sz="4" w:space="0"/>
              <w:right w:val="single" w:color="auto" w:sz="4" w:space="0"/>
            </w:tcBorders>
            <w:noWrap/>
            <w:vAlign w:val="center"/>
          </w:tcPr>
          <w:p>
            <w:pPr>
              <w:ind w:right="-105" w:rightChars="-50"/>
              <w:jc w:val="center"/>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投标人提供国家认证认可监督管理委员会或相关国家机构官方网站可以查询到的相关售后服务质量证书，且证书在有效期内的得</w:t>
            </w:r>
            <w:r>
              <w:rPr>
                <w:rFonts w:hint="eastAsia" w:ascii="宋体" w:hAnsi="宋体" w:cs="仿宋"/>
                <w:color w:val="000000" w:themeColor="text1"/>
                <w:sz w:val="24"/>
                <w:lang w:val="en-US" w:eastAsia="zh-CN"/>
              </w:rPr>
              <w:t>2</w:t>
            </w:r>
            <w:r>
              <w:rPr>
                <w:rFonts w:hint="eastAsia" w:ascii="宋体" w:hAnsi="宋体" w:cs="仿宋"/>
                <w:color w:val="000000" w:themeColor="text1"/>
                <w:sz w:val="24"/>
              </w:rPr>
              <w:t>分，不提供不得分。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sz w:val="24"/>
                <w:lang w:eastAsia="zh-CN"/>
              </w:rPr>
            </w:pPr>
            <w:r>
              <w:rPr>
                <w:rFonts w:hint="eastAsia" w:ascii="宋体" w:hAnsi="宋体"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eastAsia" w:ascii="宋体" w:eastAsia="宋体" w:cs="仿宋"/>
                <w:sz w:val="24"/>
                <w:lang w:val="en-US" w:eastAsia="zh-CN"/>
              </w:rPr>
            </w:pPr>
            <w:r>
              <w:rPr>
                <w:rFonts w:hint="eastAsia" w:ascii="宋体" w:cs="仿宋"/>
                <w:sz w:val="24"/>
                <w:lang w:val="en-US" w:eastAsia="zh-CN"/>
              </w:rPr>
              <w:t>9</w:t>
            </w:r>
          </w:p>
        </w:tc>
        <w:tc>
          <w:tcPr>
            <w:tcW w:w="1094" w:type="dxa"/>
            <w:gridSpan w:val="2"/>
            <w:vMerge w:val="continue"/>
            <w:tcBorders>
              <w:left w:val="single" w:color="auto" w:sz="4" w:space="0"/>
              <w:right w:val="single" w:color="auto" w:sz="4" w:space="0"/>
            </w:tcBorders>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u w:val="single"/>
              </w:rPr>
            </w:pPr>
            <w:r>
              <w:rPr>
                <w:rFonts w:hint="eastAsia" w:ascii="宋体" w:hAnsi="宋体" w:cs="仿宋"/>
                <w:color w:val="000000" w:themeColor="text1"/>
                <w:sz w:val="24"/>
              </w:rPr>
              <w:t>投标人必须提供第三方检测机构出具的三种产品的货物运输条件鉴定书（普通货物），全部提供得2分，不提供或不足三种的不得分。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sz w:val="24"/>
              </w:rPr>
            </w:pPr>
            <w:r>
              <w:rPr>
                <w:rFonts w:hint="eastAsia" w:ascii="宋体" w:hAnsi="宋体" w:cs="仿宋"/>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default" w:ascii="宋体" w:eastAsia="宋体" w:cs="仿宋"/>
                <w:color w:val="000000" w:themeColor="text1"/>
                <w:sz w:val="24"/>
                <w:lang w:val="en-US" w:eastAsia="zh-CN"/>
              </w:rPr>
            </w:pPr>
            <w:r>
              <w:rPr>
                <w:rFonts w:hint="eastAsia" w:ascii="宋体" w:cs="仿宋"/>
                <w:color w:val="000000" w:themeColor="text1"/>
                <w:sz w:val="24"/>
                <w:lang w:val="en-US" w:eastAsia="zh-CN"/>
              </w:rPr>
              <w:t>10</w:t>
            </w:r>
          </w:p>
        </w:tc>
        <w:tc>
          <w:tcPr>
            <w:tcW w:w="1094" w:type="dxa"/>
            <w:gridSpan w:val="2"/>
            <w:vMerge w:val="continue"/>
            <w:tcBorders>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color w:val="000000" w:themeColor="text1"/>
                <w:sz w:val="24"/>
              </w:rPr>
            </w:pPr>
            <w:r>
              <w:rPr>
                <w:rFonts w:hint="eastAsia" w:ascii="宋体" w:hAnsi="宋体" w:cs="仿宋"/>
                <w:color w:val="000000" w:themeColor="text1"/>
                <w:sz w:val="24"/>
              </w:rPr>
              <w:t>投标人在东阳当地有办事处或分支机构得</w:t>
            </w:r>
            <w:r>
              <w:rPr>
                <w:rFonts w:hint="eastAsia" w:ascii="宋体" w:hAnsi="宋体" w:cs="仿宋"/>
                <w:color w:val="000000" w:themeColor="text1"/>
                <w:sz w:val="24"/>
                <w:lang w:val="en-US" w:eastAsia="zh-CN"/>
              </w:rPr>
              <w:t>2</w:t>
            </w:r>
            <w:r>
              <w:rPr>
                <w:rFonts w:hint="eastAsia" w:ascii="宋体" w:hAnsi="宋体" w:cs="仿宋"/>
                <w:color w:val="000000" w:themeColor="text1"/>
                <w:sz w:val="24"/>
              </w:rPr>
              <w:t>分。须提供租房合同或营业执照复印件，原件备查。</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hint="eastAsia" w:ascii="宋体" w:eastAsia="宋体" w:cs="仿宋"/>
                <w:color w:val="000000" w:themeColor="text1"/>
                <w:sz w:val="24"/>
                <w:lang w:eastAsia="zh-CN"/>
              </w:rPr>
            </w:pPr>
            <w:r>
              <w:rPr>
                <w:rFonts w:hint="eastAsia" w:ascii="宋体" w:hAnsi="宋体" w:cs="仿宋"/>
                <w:color w:val="000000" w:themeColor="text1"/>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8" w:hRule="atLeast"/>
        </w:trPr>
        <w:tc>
          <w:tcPr>
            <w:tcW w:w="435" w:type="dxa"/>
            <w:tcBorders>
              <w:top w:val="single" w:color="auto" w:sz="4" w:space="0"/>
              <w:bottom w:val="single" w:color="auto" w:sz="4" w:space="0"/>
              <w:right w:val="single" w:color="auto" w:sz="4" w:space="0"/>
            </w:tcBorders>
            <w:noWrap/>
            <w:vAlign w:val="center"/>
          </w:tcPr>
          <w:p>
            <w:pPr>
              <w:ind w:right="-105" w:rightChars="-50"/>
              <w:rPr>
                <w:rFonts w:hint="default" w:ascii="宋体" w:cs="仿宋"/>
                <w:color w:val="000000" w:themeColor="text1"/>
                <w:sz w:val="24"/>
                <w:lang w:val="en-US" w:eastAsia="zh-CN"/>
              </w:rPr>
            </w:pPr>
            <w:r>
              <w:rPr>
                <w:rFonts w:hint="eastAsia" w:ascii="宋体" w:cs="仿宋"/>
                <w:color w:val="000000" w:themeColor="text1"/>
                <w:sz w:val="24"/>
                <w:lang w:val="en-US" w:eastAsia="zh-CN"/>
              </w:rPr>
              <w:t>11</w:t>
            </w:r>
          </w:p>
        </w:tc>
        <w:tc>
          <w:tcPr>
            <w:tcW w:w="1094" w:type="dxa"/>
            <w:gridSpan w:val="2"/>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trike/>
                <w:color w:val="000000" w:themeColor="text1"/>
                <w:sz w:val="24"/>
                <w:highlight w:val="yellow"/>
              </w:rPr>
            </w:pPr>
            <w:r>
              <w:rPr>
                <w:rFonts w:hint="eastAsia" w:ascii="宋体" w:hAnsi="宋体" w:cs="仿宋"/>
                <w:color w:val="000000" w:themeColor="text1"/>
                <w:sz w:val="24"/>
              </w:rPr>
              <w:t>标书质量</w:t>
            </w:r>
          </w:p>
        </w:tc>
        <w:tc>
          <w:tcPr>
            <w:tcW w:w="7084" w:type="dxa"/>
            <w:tcBorders>
              <w:top w:val="single" w:color="auto" w:sz="4" w:space="0"/>
              <w:left w:val="single" w:color="auto" w:sz="4" w:space="0"/>
              <w:bottom w:val="single" w:color="auto" w:sz="4" w:space="0"/>
              <w:right w:val="single" w:color="auto" w:sz="4" w:space="0"/>
            </w:tcBorders>
            <w:noWrap/>
            <w:vAlign w:val="center"/>
          </w:tcPr>
          <w:p>
            <w:pPr>
              <w:ind w:right="-105" w:rightChars="-50"/>
              <w:rPr>
                <w:rFonts w:ascii="宋体" w:cs="仿宋"/>
                <w:strike/>
                <w:color w:val="000000" w:themeColor="text1"/>
                <w:sz w:val="24"/>
                <w:highlight w:val="yellow"/>
              </w:rPr>
            </w:pPr>
            <w:r>
              <w:rPr>
                <w:rFonts w:hint="eastAsia" w:ascii="宋体" w:hAnsi="宋体" w:cs="仿宋"/>
                <w:color w:val="000000" w:themeColor="text1"/>
                <w:sz w:val="24"/>
              </w:rPr>
              <w:t>根据投标文件编制完整性、格式是否规范、装订是否整齐、符合招标文件要求程度，得2分。</w:t>
            </w:r>
          </w:p>
        </w:tc>
        <w:tc>
          <w:tcPr>
            <w:tcW w:w="705" w:type="dxa"/>
            <w:tcBorders>
              <w:top w:val="single" w:color="auto" w:sz="4" w:space="0"/>
              <w:left w:val="single" w:color="auto" w:sz="4" w:space="0"/>
              <w:bottom w:val="single" w:color="auto" w:sz="4" w:space="0"/>
            </w:tcBorders>
            <w:noWrap/>
            <w:vAlign w:val="center"/>
          </w:tcPr>
          <w:p>
            <w:pPr>
              <w:ind w:right="-105" w:rightChars="-50"/>
              <w:jc w:val="center"/>
              <w:rPr>
                <w:rFonts w:ascii="宋体" w:cs="仿宋"/>
                <w:strike/>
                <w:color w:val="000000" w:themeColor="text1"/>
                <w:sz w:val="24"/>
              </w:rPr>
            </w:pPr>
            <w:r>
              <w:rPr>
                <w:rFonts w:hint="eastAsia" w:ascii="宋体" w:cs="仿宋"/>
                <w:color w:val="000000" w:themeColor="text1"/>
                <w:sz w:val="24"/>
              </w:rPr>
              <w:t>2</w:t>
            </w:r>
          </w:p>
        </w:tc>
      </w:tr>
    </w:tbl>
    <w:p>
      <w:pPr>
        <w:rPr>
          <w:sz w:val="28"/>
          <w:szCs w:val="28"/>
        </w:rPr>
      </w:pPr>
    </w:p>
    <w:p>
      <w:pPr>
        <w:rPr>
          <w:sz w:val="28"/>
          <w:szCs w:val="28"/>
        </w:rPr>
      </w:pPr>
    </w:p>
    <w:p>
      <w:pPr>
        <w:rPr>
          <w:sz w:val="28"/>
          <w:szCs w:val="28"/>
        </w:rPr>
      </w:pPr>
    </w:p>
    <w:p>
      <w:pPr>
        <w:rPr>
          <w:sz w:val="32"/>
          <w:szCs w:val="32"/>
        </w:rPr>
      </w:pPr>
      <w:r>
        <w:rPr>
          <w:rFonts w:hint="eastAsia"/>
          <w:sz w:val="32"/>
          <w:szCs w:val="32"/>
        </w:rPr>
        <w:t>标</w:t>
      </w:r>
      <w:r>
        <w:rPr>
          <w:rFonts w:hint="eastAsia"/>
          <w:sz w:val="32"/>
          <w:szCs w:val="32"/>
          <w:lang w:eastAsia="zh-CN"/>
        </w:rPr>
        <w:t>四</w:t>
      </w:r>
      <w:r>
        <w:rPr>
          <w:rFonts w:hint="eastAsia"/>
          <w:sz w:val="32"/>
          <w:szCs w:val="32"/>
        </w:rPr>
        <w:t>：</w:t>
      </w:r>
      <w:r>
        <w:rPr>
          <w:rFonts w:hint="eastAsia"/>
          <w:sz w:val="32"/>
          <w:szCs w:val="32"/>
          <w:lang w:eastAsia="zh-CN"/>
        </w:rPr>
        <w:t>高射程雾炮器</w:t>
      </w:r>
    </w:p>
    <w:p>
      <w:pPr>
        <w:spacing w:beforeLines="50" w:afterLines="50"/>
        <w:ind w:firstLine="472" w:firstLineChars="196"/>
        <w:rPr>
          <w:rFonts w:ascii="宋体" w:hAnsi="宋体"/>
          <w:b/>
          <w:bCs/>
          <w:color w:val="000000"/>
          <w:sz w:val="24"/>
        </w:rPr>
      </w:pPr>
      <w:r>
        <w:rPr>
          <w:rFonts w:ascii="宋体" w:hAnsi="宋体"/>
          <w:b/>
          <w:bCs/>
          <w:color w:val="000000"/>
          <w:sz w:val="24"/>
        </w:rPr>
        <w:t>（</w:t>
      </w:r>
      <w:r>
        <w:rPr>
          <w:rFonts w:hint="eastAsia" w:ascii="宋体" w:hAnsi="宋体"/>
          <w:b/>
          <w:bCs/>
          <w:color w:val="000000"/>
          <w:sz w:val="24"/>
        </w:rPr>
        <w:t>一</w:t>
      </w:r>
      <w:r>
        <w:rPr>
          <w:rFonts w:ascii="宋体" w:hAnsi="宋体"/>
          <w:b/>
          <w:bCs/>
          <w:color w:val="000000"/>
          <w:sz w:val="24"/>
        </w:rPr>
        <w:t>）价格分（</w:t>
      </w:r>
      <w:r>
        <w:rPr>
          <w:rFonts w:hint="eastAsia" w:ascii="宋体" w:hAnsi="宋体"/>
          <w:b/>
          <w:bCs/>
          <w:color w:val="000000"/>
          <w:sz w:val="24"/>
          <w:lang w:val="en-US" w:eastAsia="zh-CN"/>
        </w:rPr>
        <w:t>50</w:t>
      </w:r>
      <w:r>
        <w:rPr>
          <w:rFonts w:ascii="宋体" w:hAnsi="宋体"/>
          <w:b/>
          <w:bCs/>
          <w:color w:val="000000"/>
          <w:sz w:val="24"/>
        </w:rPr>
        <w:t>分）</w:t>
      </w:r>
    </w:p>
    <w:p>
      <w:pPr>
        <w:pStyle w:val="7"/>
        <w:spacing w:beforeLines="50" w:afterLines="50" w:line="400" w:lineRule="exact"/>
        <w:ind w:firstLine="464" w:firstLineChars="200"/>
        <w:rPr>
          <w:rFonts w:hAnsi="宋体"/>
          <w:bCs/>
          <w:color w:val="000000"/>
          <w:sz w:val="24"/>
        </w:rPr>
      </w:pPr>
      <w:r>
        <w:rPr>
          <w:rFonts w:hint="eastAsia" w:hAnsi="宋体"/>
          <w:bCs/>
          <w:color w:val="000000"/>
          <w:sz w:val="24"/>
        </w:rPr>
        <w:t>1、价格分采用低价优先法计算，取所有进入报价评审的投标人中投标价格最低的投标报价为评标基准价，其他投标人的价格分按照下列公式计算：</w:t>
      </w:r>
    </w:p>
    <w:p>
      <w:pPr>
        <w:spacing w:beforeLines="50" w:afterLines="50"/>
        <w:ind w:firstLine="470" w:firstLineChars="196"/>
        <w:rPr>
          <w:rFonts w:ascii="宋体" w:hAnsi="宋体"/>
          <w:bCs/>
          <w:color w:val="000000"/>
          <w:spacing w:val="-4"/>
          <w:sz w:val="24"/>
          <w:szCs w:val="20"/>
        </w:rPr>
      </w:pPr>
      <w:r>
        <w:rPr>
          <w:rFonts w:hint="eastAsia" w:hAnsi="宋体"/>
          <w:bCs/>
          <w:color w:val="000000"/>
          <w:sz w:val="24"/>
        </w:rPr>
        <w:t>价格分=（评标基准价/投标报价</w:t>
      </w:r>
      <w:r>
        <w:rPr>
          <w:rFonts w:hint="eastAsia" w:ascii="宋体" w:hAnsi="宋体"/>
          <w:bCs/>
          <w:color w:val="000000"/>
          <w:spacing w:val="-4"/>
          <w:sz w:val="24"/>
          <w:szCs w:val="20"/>
        </w:rPr>
        <w:t>）×5</w:t>
      </w:r>
      <w:r>
        <w:rPr>
          <w:rFonts w:hint="eastAsia" w:ascii="宋体" w:hAnsi="宋体"/>
          <w:bCs/>
          <w:color w:val="000000"/>
          <w:spacing w:val="-4"/>
          <w:sz w:val="24"/>
          <w:szCs w:val="20"/>
          <w:lang w:val="en-US" w:eastAsia="zh-CN"/>
        </w:rPr>
        <w:t>0</w:t>
      </w:r>
      <w:r>
        <w:rPr>
          <w:rFonts w:hint="eastAsia" w:ascii="宋体" w:hAnsi="宋体"/>
          <w:bCs/>
          <w:color w:val="000000"/>
          <w:spacing w:val="-4"/>
          <w:sz w:val="24"/>
          <w:szCs w:val="20"/>
        </w:rPr>
        <w:t>分</w:t>
      </w:r>
    </w:p>
    <w:p>
      <w:pPr>
        <w:tabs>
          <w:tab w:val="left" w:pos="982"/>
        </w:tabs>
        <w:snapToGrid w:val="0"/>
        <w:ind w:left="-2" w:leftChars="-1" w:firstLine="512" w:firstLineChars="220"/>
        <w:rPr>
          <w:rFonts w:ascii="宋体" w:hAnsi="宋体"/>
          <w:b/>
          <w:spacing w:val="-4"/>
          <w:sz w:val="24"/>
        </w:rPr>
      </w:pPr>
      <w:r>
        <w:rPr>
          <w:rFonts w:hint="eastAsia" w:ascii="宋体" w:hAnsi="宋体"/>
          <w:b/>
          <w:spacing w:val="-4"/>
          <w:sz w:val="24"/>
        </w:rPr>
        <w:t>2、依据《政府采购促进中小企业发展暂行办法》（财库〔2011〕181号）文件、《财政部、司法部关于政府采购支持监狱企业发展有关问题的通知》（财库〔2014〕68号）文件及《财政部、民政部、中国残疾人联合会关于促进残疾人就业政府采购政策的通知》（财库〔2017〕 141号）的规定，对小型和微型企业、监狱企业、残疾人福利性单位生产的产品价格给予6%～10%的扣除，用扣除后的价格参与评审。本项目的扣除比例为6 %。小型和微型企业是指投标文件中提供了中小企业声明函且符合《政府采购促进中小企业发展暂行办法》（财库〔2011〕181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pStyle w:val="13"/>
        <w:spacing w:beforeLines="30" w:beforeAutospacing="0" w:afterLines="30" w:afterAutospacing="0" w:line="320" w:lineRule="exact"/>
        <w:ind w:firstLine="466" w:firstLineChars="200"/>
        <w:rPr>
          <w:bCs/>
        </w:rPr>
      </w:pPr>
      <w:r>
        <w:rPr>
          <w:rFonts w:hint="eastAsia"/>
          <w:b/>
          <w:color w:val="auto"/>
          <w:spacing w:val="-4"/>
          <w:kern w:val="2"/>
        </w:rPr>
        <w:t>小微企业的评审价格=小微企业的投标报价 － 小型、微型企业生产的产品</w:t>
      </w:r>
      <w:r>
        <w:rPr>
          <w:rFonts w:hint="eastAsia"/>
          <w:b/>
          <w:color w:val="auto"/>
          <w:spacing w:val="-4"/>
          <w:kern w:val="2"/>
          <w:lang w:val="en-GB"/>
        </w:rPr>
        <w:t>金额合计</w:t>
      </w:r>
      <w:r>
        <w:rPr>
          <w:rFonts w:hint="eastAsia"/>
          <w:b/>
          <w:color w:val="auto"/>
          <w:spacing w:val="-4"/>
          <w:kern w:val="2"/>
        </w:rPr>
        <w:t>×6%</w:t>
      </w:r>
    </w:p>
    <w:p>
      <w:pPr>
        <w:pStyle w:val="7"/>
        <w:spacing w:line="360" w:lineRule="auto"/>
        <w:ind w:firstLine="466" w:firstLineChars="200"/>
        <w:rPr>
          <w:rFonts w:hAnsi="宋体"/>
          <w:b/>
          <w:color w:val="000000"/>
          <w:sz w:val="24"/>
          <w:szCs w:val="24"/>
        </w:rPr>
      </w:pPr>
      <w:r>
        <w:rPr>
          <w:rFonts w:hint="eastAsia" w:hAnsi="宋体"/>
          <w:b/>
          <w:color w:val="000000"/>
          <w:sz w:val="24"/>
          <w:szCs w:val="24"/>
        </w:rPr>
        <w:t>（二）技术分、商务分、资信及其他分，共5</w:t>
      </w:r>
      <w:r>
        <w:rPr>
          <w:rFonts w:hint="eastAsia" w:hAnsi="宋体"/>
          <w:b/>
          <w:color w:val="000000"/>
          <w:sz w:val="24"/>
          <w:szCs w:val="24"/>
          <w:lang w:val="en-US" w:eastAsia="zh-CN"/>
        </w:rPr>
        <w:t>0</w:t>
      </w:r>
      <w:r>
        <w:rPr>
          <w:rFonts w:hint="eastAsia" w:hAnsi="宋体"/>
          <w:b/>
          <w:color w:val="000000"/>
          <w:sz w:val="24"/>
          <w:szCs w:val="24"/>
        </w:rPr>
        <w:t>分。</w:t>
      </w:r>
    </w:p>
    <w:p>
      <w:pPr>
        <w:pStyle w:val="7"/>
        <w:spacing w:beforeLines="50" w:afterLines="50" w:line="320" w:lineRule="exact"/>
        <w:ind w:firstLine="466" w:firstLineChars="200"/>
        <w:rPr>
          <w:rFonts w:hAnsi="宋体"/>
          <w:b/>
          <w:sz w:val="24"/>
          <w:szCs w:val="24"/>
        </w:rPr>
      </w:pPr>
      <w:r>
        <w:rPr>
          <w:rFonts w:hint="eastAsia" w:hAnsi="宋体"/>
          <w:b/>
          <w:sz w:val="24"/>
          <w:szCs w:val="24"/>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pPr>
        <w:spacing w:line="400" w:lineRule="exact"/>
        <w:ind w:firstLine="472" w:firstLineChars="196"/>
        <w:rPr>
          <w:rFonts w:ascii="宋体" w:hAnsi="宋体"/>
          <w:b/>
          <w:bCs/>
          <w:color w:val="000000"/>
          <w:sz w:val="24"/>
        </w:rPr>
      </w:pPr>
      <w:r>
        <w:rPr>
          <w:rFonts w:hint="eastAsia" w:ascii="宋体" w:hAnsi="宋体"/>
          <w:b/>
          <w:bCs/>
          <w:color w:val="000000"/>
          <w:sz w:val="24"/>
        </w:rPr>
        <w:t>（三）技术、商务、资信及其他分的计算</w:t>
      </w:r>
    </w:p>
    <w:p>
      <w:pPr>
        <w:spacing w:beforeLines="50" w:afterLines="50" w:line="276" w:lineRule="auto"/>
        <w:ind w:firstLine="480" w:firstLineChars="200"/>
        <w:rPr>
          <w:rFonts w:ascii="宋体" w:hAnsi="宋体"/>
          <w:color w:val="000000"/>
          <w:sz w:val="24"/>
        </w:rPr>
      </w:pPr>
      <w:r>
        <w:rPr>
          <w:rFonts w:hint="eastAsia" w:ascii="宋体" w:hAnsi="宋体"/>
          <w:color w:val="000000"/>
          <w:sz w:val="24"/>
        </w:rPr>
        <w:t>技术、商务及其它、资信分按照评标委员会成员的独立评分结果的算术平均分计算，计算公式为：</w:t>
      </w:r>
    </w:p>
    <w:p>
      <w:pPr>
        <w:spacing w:beforeLines="50" w:afterLines="50" w:line="276" w:lineRule="auto"/>
        <w:ind w:firstLine="495"/>
        <w:rPr>
          <w:rFonts w:ascii="宋体" w:hAnsi="宋体"/>
          <w:b/>
          <w:color w:val="000000"/>
          <w:sz w:val="24"/>
        </w:rPr>
      </w:pPr>
      <w:r>
        <w:rPr>
          <w:rFonts w:hint="eastAsia" w:ascii="宋体" w:hAnsi="宋体"/>
          <w:color w:val="000000"/>
          <w:sz w:val="24"/>
        </w:rPr>
        <w:t>技术、商务及其它、资信分=评标委员会所有成员评分合计数/评标委员会组成人员数</w:t>
      </w:r>
    </w:p>
    <w:p>
      <w:pPr>
        <w:snapToGrid w:val="0"/>
        <w:spacing w:line="360" w:lineRule="auto"/>
        <w:rPr>
          <w:rFonts w:hint="eastAsia" w:ascii="宋体" w:hAnsi="宋体"/>
          <w:b/>
          <w:sz w:val="24"/>
        </w:rPr>
      </w:pPr>
      <w:r>
        <w:rPr>
          <w:rFonts w:hint="eastAsia" w:ascii="宋体" w:hAnsi="宋体"/>
          <w:b/>
          <w:sz w:val="24"/>
        </w:rPr>
        <w:t>附件：评分表格式（技术、商务、资信及其他分，共5</w:t>
      </w:r>
      <w:r>
        <w:rPr>
          <w:rFonts w:hint="eastAsia" w:ascii="宋体" w:hAnsi="宋体"/>
          <w:b/>
          <w:sz w:val="24"/>
          <w:lang w:val="en-US" w:eastAsia="zh-CN"/>
        </w:rPr>
        <w:t>0</w:t>
      </w:r>
      <w:r>
        <w:rPr>
          <w:rFonts w:hint="eastAsia" w:ascii="宋体" w:hAnsi="宋体"/>
          <w:b/>
          <w:sz w:val="24"/>
        </w:rPr>
        <w:t>分）</w:t>
      </w:r>
    </w:p>
    <w:p>
      <w:pPr>
        <w:snapToGrid w:val="0"/>
        <w:spacing w:line="360" w:lineRule="auto"/>
        <w:rPr>
          <w:rFonts w:ascii="宋体" w:hAnsi="宋体"/>
          <w:b/>
          <w:sz w:val="24"/>
        </w:rPr>
      </w:pPr>
    </w:p>
    <w:tbl>
      <w:tblPr>
        <w:tblStyle w:val="15"/>
        <w:tblW w:w="9316"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05"/>
        <w:gridCol w:w="7020"/>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widowControl/>
              <w:jc w:val="center"/>
              <w:rPr>
                <w:rFonts w:ascii="宋体" w:hAnsi="宋体"/>
                <w:kern w:val="0"/>
                <w:sz w:val="24"/>
              </w:rPr>
            </w:pPr>
            <w:r>
              <w:rPr>
                <w:rFonts w:hint="eastAsia" w:ascii="宋体" w:hAnsi="宋体"/>
                <w:kern w:val="0"/>
                <w:sz w:val="24"/>
              </w:rPr>
              <w:t>序号</w:t>
            </w:r>
          </w:p>
        </w:tc>
        <w:tc>
          <w:tcPr>
            <w:tcW w:w="1005" w:type="dxa"/>
            <w:vAlign w:val="center"/>
          </w:tcPr>
          <w:p>
            <w:pPr>
              <w:widowControl/>
              <w:jc w:val="center"/>
              <w:rPr>
                <w:rFonts w:ascii="宋体" w:hAnsi="宋体"/>
                <w:kern w:val="0"/>
                <w:sz w:val="24"/>
              </w:rPr>
            </w:pPr>
            <w:r>
              <w:rPr>
                <w:rFonts w:hint="eastAsia" w:ascii="宋体" w:hAnsi="宋体"/>
                <w:kern w:val="0"/>
                <w:sz w:val="24"/>
              </w:rPr>
              <w:t>评分因素</w:t>
            </w:r>
          </w:p>
        </w:tc>
        <w:tc>
          <w:tcPr>
            <w:tcW w:w="7020" w:type="dxa"/>
            <w:vAlign w:val="center"/>
          </w:tcPr>
          <w:p>
            <w:pPr>
              <w:widowControl/>
              <w:jc w:val="center"/>
              <w:rPr>
                <w:rFonts w:ascii="宋体" w:hAnsi="宋体"/>
                <w:kern w:val="0"/>
                <w:sz w:val="24"/>
              </w:rPr>
            </w:pPr>
            <w:r>
              <w:rPr>
                <w:rFonts w:hint="eastAsia" w:ascii="宋体" w:hAnsi="宋体"/>
                <w:kern w:val="0"/>
                <w:sz w:val="24"/>
              </w:rPr>
              <w:t>评分细则</w:t>
            </w:r>
          </w:p>
        </w:tc>
        <w:tc>
          <w:tcPr>
            <w:tcW w:w="631" w:type="dxa"/>
          </w:tcPr>
          <w:p>
            <w:pPr>
              <w:widowControl/>
              <w:jc w:val="center"/>
              <w:rPr>
                <w:rFonts w:ascii="宋体" w:hAnsi="宋体"/>
                <w:kern w:val="0"/>
                <w:sz w:val="24"/>
              </w:rPr>
            </w:pPr>
            <w:r>
              <w:rPr>
                <w:rFonts w:hint="eastAsia" w:ascii="宋体" w:hAnsi="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widowControl/>
              <w:jc w:val="center"/>
              <w:rPr>
                <w:rFonts w:ascii="宋体" w:hAnsi="宋体"/>
                <w:kern w:val="0"/>
                <w:sz w:val="24"/>
              </w:rPr>
            </w:pPr>
            <w:r>
              <w:rPr>
                <w:rFonts w:hint="eastAsia" w:ascii="宋体" w:hAnsi="宋体"/>
                <w:kern w:val="0"/>
                <w:sz w:val="24"/>
              </w:rPr>
              <w:t>1</w:t>
            </w:r>
          </w:p>
        </w:tc>
        <w:tc>
          <w:tcPr>
            <w:tcW w:w="1005" w:type="dxa"/>
            <w:vMerge w:val="restart"/>
            <w:vAlign w:val="center"/>
          </w:tcPr>
          <w:p>
            <w:pPr>
              <w:widowControl/>
              <w:jc w:val="center"/>
              <w:rPr>
                <w:rFonts w:ascii="宋体" w:hAnsi="宋体" w:cs="宋体"/>
                <w:sz w:val="24"/>
              </w:rPr>
            </w:pPr>
            <w:r>
              <w:rPr>
                <w:rFonts w:hint="eastAsia" w:ascii="宋体" w:hAnsi="宋体" w:cs="宋体"/>
                <w:sz w:val="24"/>
              </w:rPr>
              <w:t>商务及资信</w:t>
            </w:r>
          </w:p>
          <w:p>
            <w:pPr>
              <w:widowControl/>
              <w:jc w:val="center"/>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分</w:t>
            </w:r>
          </w:p>
        </w:tc>
        <w:tc>
          <w:tcPr>
            <w:tcW w:w="7020" w:type="dxa"/>
          </w:tcPr>
          <w:p>
            <w:pPr>
              <w:widowControl/>
              <w:jc w:val="left"/>
              <w:rPr>
                <w:rFonts w:ascii="宋体" w:hAnsi="宋体" w:cs="宋体"/>
                <w:kern w:val="0"/>
                <w:sz w:val="24"/>
              </w:rPr>
            </w:pPr>
            <w:r>
              <w:rPr>
                <w:rFonts w:hint="eastAsia" w:ascii="宋体" w:hAnsi="宋体"/>
                <w:b/>
                <w:bCs/>
                <w:kern w:val="0"/>
                <w:sz w:val="24"/>
              </w:rPr>
              <w:t>认证证书：</w:t>
            </w:r>
            <w:r>
              <w:rPr>
                <w:rFonts w:hint="eastAsia" w:ascii="宋体" w:hAnsi="宋体" w:cs="仿宋"/>
                <w:sz w:val="24"/>
              </w:rPr>
              <w:t>喷雾机生产厂家具有ISO质量管理体系认证证书的得1分，具有职业健康安全管理体系认证证书加1分，具有ISO环境管理体系认证证书加1分，此项满分3分。</w:t>
            </w:r>
            <w:r>
              <w:rPr>
                <w:rFonts w:hint="eastAsia"/>
                <w:b/>
                <w:sz w:val="24"/>
              </w:rPr>
              <w:t>（投标时需提供认证证书复印件加盖厂家公章，否则不得分</w:t>
            </w:r>
          </w:p>
        </w:tc>
        <w:tc>
          <w:tcPr>
            <w:tcW w:w="631" w:type="dxa"/>
            <w:vAlign w:val="center"/>
          </w:tcPr>
          <w:p>
            <w:pPr>
              <w:widowControl/>
              <w:jc w:val="center"/>
              <w:rPr>
                <w:rFonts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660" w:type="dxa"/>
            <w:vAlign w:val="center"/>
          </w:tcPr>
          <w:p>
            <w:pPr>
              <w:widowControl/>
              <w:jc w:val="center"/>
              <w:rPr>
                <w:rFonts w:ascii="宋体" w:hAnsi="宋体"/>
                <w:kern w:val="0"/>
                <w:sz w:val="24"/>
              </w:rPr>
            </w:pPr>
            <w:r>
              <w:rPr>
                <w:rFonts w:hint="eastAsia" w:ascii="宋体" w:hAnsi="宋体"/>
                <w:kern w:val="0"/>
                <w:sz w:val="24"/>
              </w:rPr>
              <w:t>2</w:t>
            </w:r>
          </w:p>
        </w:tc>
        <w:tc>
          <w:tcPr>
            <w:tcW w:w="1005" w:type="dxa"/>
            <w:vMerge w:val="continue"/>
            <w:vAlign w:val="center"/>
          </w:tcPr>
          <w:p>
            <w:pPr>
              <w:widowControl/>
              <w:jc w:val="center"/>
              <w:rPr>
                <w:rFonts w:ascii="宋体" w:hAnsi="宋体" w:cs="宋体"/>
                <w:sz w:val="24"/>
              </w:rPr>
            </w:pPr>
          </w:p>
        </w:tc>
        <w:tc>
          <w:tcPr>
            <w:tcW w:w="7020" w:type="dxa"/>
          </w:tcPr>
          <w:p>
            <w:pPr>
              <w:widowControl/>
              <w:rPr>
                <w:rFonts w:ascii="宋体" w:hAnsi="宋体"/>
                <w:b/>
                <w:bCs/>
                <w:kern w:val="0"/>
                <w:sz w:val="24"/>
              </w:rPr>
            </w:pPr>
            <w:r>
              <w:rPr>
                <w:rFonts w:hint="eastAsia" w:ascii="宋体" w:hAnsi="宋体" w:cs="宋体"/>
                <w:b/>
                <w:bCs/>
                <w:sz w:val="24"/>
              </w:rPr>
              <w:t>同类项目业绩：</w:t>
            </w:r>
            <w:r>
              <w:rPr>
                <w:rFonts w:hint="eastAsia" w:ascii="宋体" w:hAnsi="宋体" w:cs="宋体"/>
                <w:sz w:val="24"/>
              </w:rPr>
              <w:t>（2015年1月1日至投标截止时间前）供应商具有同类产品业绩的，每提供一个合同得1分，最多得6分</w:t>
            </w:r>
            <w:r>
              <w:rPr>
                <w:rFonts w:hint="eastAsia" w:ascii="宋体" w:hAnsi="宋体" w:cs="宋体"/>
                <w:b/>
                <w:bCs/>
                <w:sz w:val="24"/>
              </w:rPr>
              <w:t>（以投标文件中提供的中标通知书或合同复印件为准）</w:t>
            </w:r>
          </w:p>
        </w:tc>
        <w:tc>
          <w:tcPr>
            <w:tcW w:w="631" w:type="dxa"/>
            <w:vAlign w:val="center"/>
          </w:tcPr>
          <w:p>
            <w:pPr>
              <w:widowControl/>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widowControl/>
              <w:jc w:val="center"/>
              <w:rPr>
                <w:rFonts w:ascii="宋体" w:hAnsi="宋体"/>
                <w:kern w:val="0"/>
                <w:sz w:val="24"/>
              </w:rPr>
            </w:pPr>
            <w:r>
              <w:rPr>
                <w:rFonts w:hint="eastAsia" w:ascii="宋体" w:hAnsi="宋体"/>
                <w:kern w:val="0"/>
                <w:sz w:val="24"/>
              </w:rPr>
              <w:t>3</w:t>
            </w:r>
          </w:p>
        </w:tc>
        <w:tc>
          <w:tcPr>
            <w:tcW w:w="1005" w:type="dxa"/>
            <w:vMerge w:val="continue"/>
            <w:vAlign w:val="center"/>
          </w:tcPr>
          <w:p>
            <w:pPr>
              <w:widowControl/>
              <w:jc w:val="center"/>
              <w:rPr>
                <w:rFonts w:ascii="宋体" w:hAnsi="宋体" w:cs="宋体"/>
                <w:sz w:val="24"/>
              </w:rPr>
            </w:pPr>
          </w:p>
        </w:tc>
        <w:tc>
          <w:tcPr>
            <w:tcW w:w="7020" w:type="dxa"/>
          </w:tcPr>
          <w:p>
            <w:pPr>
              <w:jc w:val="left"/>
              <w:rPr>
                <w:rFonts w:ascii="宋体" w:hAnsi="宋体" w:cs="宋体"/>
                <w:b/>
                <w:bCs/>
                <w:sz w:val="24"/>
              </w:rPr>
            </w:pPr>
            <w:r>
              <w:rPr>
                <w:rFonts w:hint="eastAsia" w:ascii="宋体" w:hAnsi="宋体" w:cs="宋体"/>
                <w:b/>
                <w:bCs/>
                <w:sz w:val="24"/>
              </w:rPr>
              <w:t>其他资信文件：</w:t>
            </w:r>
            <w:r>
              <w:rPr>
                <w:rFonts w:hint="eastAsia" w:ascii="宋体" w:hAnsi="宋体" w:cs="宋体"/>
                <w:sz w:val="24"/>
              </w:rPr>
              <w:t>提供国家级科技奖证书，得1分;提供所投产品专利证书，1个证书1分，最多3分；</w:t>
            </w:r>
            <w:r>
              <w:rPr>
                <w:rFonts w:hint="eastAsia" w:ascii="宋体" w:hAnsi="宋体" w:cs="宋体"/>
                <w:b/>
                <w:bCs/>
                <w:sz w:val="24"/>
              </w:rPr>
              <w:t>（须提供复印件加盖公章作为证明材料）</w:t>
            </w:r>
          </w:p>
        </w:tc>
        <w:tc>
          <w:tcPr>
            <w:tcW w:w="631" w:type="dxa"/>
            <w:vAlign w:val="center"/>
          </w:tcPr>
          <w:p>
            <w:pPr>
              <w:widowControl/>
              <w:jc w:val="center"/>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660" w:type="dxa"/>
            <w:vAlign w:val="center"/>
          </w:tcPr>
          <w:p>
            <w:pPr>
              <w:widowControl/>
              <w:jc w:val="center"/>
              <w:rPr>
                <w:rFonts w:ascii="宋体" w:hAnsi="宋体"/>
                <w:kern w:val="0"/>
                <w:sz w:val="24"/>
              </w:rPr>
            </w:pPr>
            <w:r>
              <w:rPr>
                <w:rFonts w:hint="eastAsia" w:ascii="宋体" w:hAnsi="宋体"/>
                <w:kern w:val="0"/>
                <w:sz w:val="24"/>
              </w:rPr>
              <w:t>4</w:t>
            </w:r>
          </w:p>
        </w:tc>
        <w:tc>
          <w:tcPr>
            <w:tcW w:w="1005" w:type="dxa"/>
            <w:vMerge w:val="restart"/>
            <w:vAlign w:val="center"/>
          </w:tcPr>
          <w:p>
            <w:pPr>
              <w:widowControl/>
              <w:jc w:val="center"/>
              <w:rPr>
                <w:rFonts w:ascii="宋体" w:hAnsi="宋体" w:cs="宋体"/>
                <w:sz w:val="24"/>
              </w:rPr>
            </w:pPr>
            <w:r>
              <w:rPr>
                <w:rFonts w:hint="eastAsia" w:ascii="宋体" w:hAnsi="宋体" w:cs="宋体"/>
                <w:sz w:val="24"/>
              </w:rPr>
              <w:t>技术方案</w:t>
            </w:r>
          </w:p>
          <w:p>
            <w:pPr>
              <w:widowControl/>
              <w:jc w:val="center"/>
              <w:rPr>
                <w:rFonts w:ascii="宋体" w:hAnsi="宋体" w:cs="宋体"/>
                <w:sz w:val="24"/>
              </w:rPr>
            </w:pPr>
            <w:r>
              <w:rPr>
                <w:rFonts w:hint="eastAsia" w:ascii="宋体" w:hAnsi="宋体" w:cs="宋体"/>
                <w:sz w:val="24"/>
              </w:rPr>
              <w:t>3</w:t>
            </w:r>
            <w:r>
              <w:rPr>
                <w:rFonts w:hint="eastAsia" w:ascii="宋体" w:hAnsi="宋体" w:cs="宋体"/>
                <w:sz w:val="24"/>
                <w:lang w:val="en-US" w:eastAsia="zh-CN"/>
              </w:rPr>
              <w:t>7</w:t>
            </w:r>
            <w:bookmarkStart w:id="11" w:name="_GoBack"/>
            <w:bookmarkEnd w:id="11"/>
            <w:r>
              <w:rPr>
                <w:rFonts w:hint="eastAsia" w:ascii="宋体" w:hAnsi="宋体" w:cs="宋体"/>
                <w:sz w:val="24"/>
              </w:rPr>
              <w:t>分</w:t>
            </w:r>
          </w:p>
        </w:tc>
        <w:tc>
          <w:tcPr>
            <w:tcW w:w="7020" w:type="dxa"/>
          </w:tcPr>
          <w:p>
            <w:pPr>
              <w:widowControl/>
              <w:rPr>
                <w:rFonts w:hint="eastAsia" w:ascii="宋体" w:hAnsi="宋体" w:eastAsia="宋体" w:cs="宋体"/>
                <w:sz w:val="24"/>
                <w:lang w:eastAsia="zh-CN"/>
              </w:rPr>
            </w:pPr>
            <w:r>
              <w:rPr>
                <w:rFonts w:hint="eastAsia" w:ascii="宋体" w:hAnsi="宋体" w:cs="宋体"/>
                <w:b/>
                <w:bCs/>
                <w:sz w:val="24"/>
              </w:rPr>
              <w:t>技术参数及要求的响应情况：</w:t>
            </w:r>
            <w:r>
              <w:rPr>
                <w:rFonts w:hint="eastAsia" w:ascii="宋体" w:hAnsi="宋体" w:cs="宋体"/>
                <w:sz w:val="24"/>
              </w:rPr>
              <w:t>技术参数及要求全部响应得20分，每有一条正偏离加0.5-1分，最高加5分；非▲条款技术参数如不满足要求，每有一条负偏离扣0.5-1分，扣完为止</w:t>
            </w:r>
            <w:r>
              <w:rPr>
                <w:rFonts w:hint="eastAsia" w:ascii="宋体" w:hAnsi="宋体" w:cs="宋体"/>
                <w:sz w:val="24"/>
                <w:lang w:val="en-US" w:eastAsia="zh-CN"/>
              </w:rPr>
              <w:t>.</w:t>
            </w:r>
          </w:p>
        </w:tc>
        <w:tc>
          <w:tcPr>
            <w:tcW w:w="631" w:type="dxa"/>
            <w:vAlign w:val="center"/>
          </w:tcPr>
          <w:p>
            <w:pPr>
              <w:widowControl/>
              <w:jc w:val="center"/>
              <w:rPr>
                <w:rFonts w:hint="eastAsia" w:ascii="宋体" w:hAnsi="宋体"/>
                <w:kern w:val="0"/>
                <w:sz w:val="24"/>
              </w:rPr>
            </w:pPr>
            <w:r>
              <w:rPr>
                <w:rFonts w:hint="eastAsia" w:ascii="宋体" w:hAnsi="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widowControl/>
              <w:jc w:val="center"/>
              <w:rPr>
                <w:rFonts w:ascii="宋体" w:hAnsi="宋体"/>
                <w:kern w:val="0"/>
                <w:sz w:val="24"/>
              </w:rPr>
            </w:pPr>
            <w:r>
              <w:rPr>
                <w:rFonts w:hint="eastAsia" w:ascii="宋体" w:hAnsi="宋体"/>
                <w:kern w:val="0"/>
                <w:sz w:val="24"/>
              </w:rPr>
              <w:t>5</w:t>
            </w:r>
          </w:p>
        </w:tc>
        <w:tc>
          <w:tcPr>
            <w:tcW w:w="1005" w:type="dxa"/>
            <w:vMerge w:val="continue"/>
            <w:vAlign w:val="center"/>
          </w:tcPr>
          <w:p>
            <w:pPr>
              <w:widowControl/>
              <w:jc w:val="center"/>
              <w:rPr>
                <w:rFonts w:ascii="宋体" w:hAnsi="宋体" w:cs="宋体"/>
                <w:sz w:val="24"/>
              </w:rPr>
            </w:pPr>
          </w:p>
        </w:tc>
        <w:tc>
          <w:tcPr>
            <w:tcW w:w="7020" w:type="dxa"/>
          </w:tcPr>
          <w:p>
            <w:pPr>
              <w:widowControl/>
              <w:rPr>
                <w:rFonts w:ascii="宋体" w:hAnsi="宋体" w:cs="宋体"/>
                <w:sz w:val="24"/>
              </w:rPr>
            </w:pPr>
            <w:r>
              <w:rPr>
                <w:rFonts w:hint="eastAsia" w:ascii="宋体" w:hAnsi="宋体" w:cs="宋体"/>
                <w:b/>
                <w:bCs/>
                <w:sz w:val="24"/>
              </w:rPr>
              <w:t>产品质量保证措施：</w:t>
            </w:r>
            <w:r>
              <w:rPr>
                <w:rFonts w:hint="eastAsia" w:ascii="宋体" w:hAnsi="宋体" w:cs="宋体"/>
                <w:sz w:val="24"/>
              </w:rPr>
              <w:t>根据供应商编制的措施详尽，可行情况，进行综合评比，非常详细的得</w:t>
            </w:r>
            <w:r>
              <w:rPr>
                <w:rFonts w:hint="eastAsia" w:hAnsi="宋体"/>
                <w:sz w:val="24"/>
              </w:rPr>
              <w:t>3</w:t>
            </w:r>
            <w:r>
              <w:rPr>
                <w:rFonts w:hint="eastAsia" w:ascii="宋体" w:hAnsi="宋体" w:cs="宋体"/>
                <w:sz w:val="24"/>
              </w:rPr>
              <w:t>分；</w:t>
            </w:r>
          </w:p>
          <w:p>
            <w:pPr>
              <w:widowControl/>
              <w:rPr>
                <w:rFonts w:ascii="宋体" w:hAnsi="宋体" w:cs="宋体"/>
                <w:sz w:val="24"/>
              </w:rPr>
            </w:pPr>
            <w:r>
              <w:rPr>
                <w:rFonts w:hint="eastAsia" w:ascii="宋体" w:hAnsi="宋体" w:cs="宋体"/>
                <w:sz w:val="24"/>
              </w:rPr>
              <w:t>编制的措施详细的得</w:t>
            </w:r>
            <w:r>
              <w:rPr>
                <w:rFonts w:hint="eastAsia" w:hAnsi="宋体"/>
                <w:sz w:val="24"/>
              </w:rPr>
              <w:t>2</w:t>
            </w:r>
            <w:r>
              <w:rPr>
                <w:rFonts w:hint="eastAsia" w:ascii="宋体" w:hAnsi="宋体" w:cs="宋体"/>
                <w:sz w:val="24"/>
              </w:rPr>
              <w:t>分；</w:t>
            </w:r>
          </w:p>
          <w:p>
            <w:pPr>
              <w:widowControl/>
              <w:rPr>
                <w:rFonts w:ascii="宋体" w:hAnsi="宋体" w:cs="宋体"/>
                <w:sz w:val="24"/>
              </w:rPr>
            </w:pPr>
            <w:r>
              <w:rPr>
                <w:rFonts w:hint="eastAsia" w:ascii="宋体" w:hAnsi="宋体" w:cs="宋体"/>
                <w:sz w:val="24"/>
              </w:rPr>
              <w:t>编制的措施不太详细的得</w:t>
            </w:r>
            <w:r>
              <w:rPr>
                <w:rFonts w:hint="eastAsia" w:hAnsi="宋体"/>
                <w:sz w:val="24"/>
              </w:rPr>
              <w:t>1</w:t>
            </w:r>
            <w:r>
              <w:rPr>
                <w:rFonts w:hint="eastAsia" w:ascii="宋体" w:hAnsi="宋体" w:cs="宋体"/>
                <w:sz w:val="24"/>
              </w:rPr>
              <w:t>分。</w:t>
            </w:r>
          </w:p>
        </w:tc>
        <w:tc>
          <w:tcPr>
            <w:tcW w:w="631" w:type="dxa"/>
            <w:vAlign w:val="center"/>
          </w:tcPr>
          <w:p>
            <w:pPr>
              <w:widowControl/>
              <w:jc w:val="center"/>
              <w:rPr>
                <w:rFonts w:hint="eastAsia"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widowControl/>
              <w:jc w:val="center"/>
              <w:rPr>
                <w:rFonts w:ascii="宋体" w:hAnsi="宋体"/>
                <w:kern w:val="0"/>
                <w:sz w:val="24"/>
              </w:rPr>
            </w:pPr>
            <w:r>
              <w:rPr>
                <w:rFonts w:hint="eastAsia" w:ascii="宋体" w:hAnsi="宋体"/>
                <w:kern w:val="0"/>
                <w:sz w:val="24"/>
              </w:rPr>
              <w:t>6</w:t>
            </w:r>
          </w:p>
        </w:tc>
        <w:tc>
          <w:tcPr>
            <w:tcW w:w="1005" w:type="dxa"/>
            <w:vMerge w:val="continue"/>
            <w:vAlign w:val="center"/>
          </w:tcPr>
          <w:p>
            <w:pPr>
              <w:widowControl/>
              <w:jc w:val="center"/>
              <w:rPr>
                <w:rFonts w:ascii="宋体" w:hAnsi="宋体" w:cs="宋体"/>
                <w:sz w:val="24"/>
              </w:rPr>
            </w:pPr>
          </w:p>
        </w:tc>
        <w:tc>
          <w:tcPr>
            <w:tcW w:w="7020" w:type="dxa"/>
          </w:tcPr>
          <w:p>
            <w:pPr>
              <w:widowControl/>
              <w:rPr>
                <w:rFonts w:ascii="宋体" w:hAnsi="宋体" w:cs="宋体"/>
                <w:sz w:val="24"/>
              </w:rPr>
            </w:pPr>
            <w:r>
              <w:rPr>
                <w:rFonts w:hint="eastAsia" w:ascii="宋体" w:hAnsi="宋体" w:cs="宋体"/>
                <w:b/>
                <w:bCs/>
                <w:sz w:val="24"/>
              </w:rPr>
              <w:t>保证按时供货的措施：</w:t>
            </w:r>
            <w:r>
              <w:rPr>
                <w:rFonts w:hint="eastAsia" w:ascii="宋体" w:hAnsi="宋体" w:cs="宋体"/>
                <w:sz w:val="24"/>
              </w:rPr>
              <w:t>根据供应商编制的措施详尽，可行情况，进行综合评比，非常详细的得</w:t>
            </w:r>
            <w:r>
              <w:rPr>
                <w:rFonts w:hint="eastAsia" w:hAnsi="宋体"/>
                <w:sz w:val="24"/>
              </w:rPr>
              <w:t>3</w:t>
            </w:r>
            <w:r>
              <w:rPr>
                <w:rFonts w:hint="eastAsia" w:ascii="宋体" w:hAnsi="宋体" w:cs="宋体"/>
                <w:sz w:val="24"/>
              </w:rPr>
              <w:t>分；</w:t>
            </w:r>
          </w:p>
          <w:p>
            <w:pPr>
              <w:widowControl/>
              <w:rPr>
                <w:rFonts w:ascii="宋体" w:hAnsi="宋体" w:cs="宋体"/>
                <w:sz w:val="24"/>
              </w:rPr>
            </w:pPr>
            <w:r>
              <w:rPr>
                <w:rFonts w:hint="eastAsia" w:ascii="宋体" w:hAnsi="宋体" w:cs="宋体"/>
                <w:sz w:val="24"/>
              </w:rPr>
              <w:t>编制的措施详细的得</w:t>
            </w:r>
            <w:r>
              <w:rPr>
                <w:rFonts w:hint="eastAsia" w:hAnsi="宋体"/>
                <w:sz w:val="24"/>
              </w:rPr>
              <w:t>2</w:t>
            </w:r>
            <w:r>
              <w:rPr>
                <w:rFonts w:hint="eastAsia" w:ascii="宋体" w:hAnsi="宋体" w:cs="宋体"/>
                <w:sz w:val="24"/>
              </w:rPr>
              <w:t>分；</w:t>
            </w:r>
          </w:p>
          <w:p>
            <w:pPr>
              <w:widowControl/>
              <w:rPr>
                <w:rFonts w:ascii="宋体" w:hAnsi="宋体" w:cs="宋体"/>
                <w:sz w:val="24"/>
              </w:rPr>
            </w:pPr>
            <w:r>
              <w:rPr>
                <w:rFonts w:hint="eastAsia" w:ascii="宋体" w:hAnsi="宋体" w:cs="宋体"/>
                <w:sz w:val="24"/>
              </w:rPr>
              <w:t>编制的措施不太详细的得</w:t>
            </w:r>
            <w:r>
              <w:rPr>
                <w:rFonts w:hint="eastAsia" w:hAnsi="宋体"/>
                <w:sz w:val="24"/>
              </w:rPr>
              <w:t>1</w:t>
            </w:r>
            <w:r>
              <w:rPr>
                <w:rFonts w:hint="eastAsia" w:ascii="宋体" w:hAnsi="宋体" w:cs="宋体"/>
                <w:sz w:val="24"/>
              </w:rPr>
              <w:t>分。</w:t>
            </w:r>
          </w:p>
        </w:tc>
        <w:tc>
          <w:tcPr>
            <w:tcW w:w="631" w:type="dxa"/>
            <w:vAlign w:val="center"/>
          </w:tcPr>
          <w:p>
            <w:pPr>
              <w:widowControl/>
              <w:jc w:val="center"/>
              <w:rPr>
                <w:rFonts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widowControl/>
              <w:jc w:val="center"/>
              <w:rPr>
                <w:rFonts w:ascii="宋体" w:hAnsi="宋体"/>
                <w:kern w:val="0"/>
                <w:sz w:val="24"/>
              </w:rPr>
            </w:pPr>
            <w:r>
              <w:rPr>
                <w:rFonts w:hint="eastAsia" w:ascii="宋体" w:hAnsi="宋体"/>
                <w:kern w:val="0"/>
                <w:sz w:val="24"/>
              </w:rPr>
              <w:t>7</w:t>
            </w:r>
          </w:p>
        </w:tc>
        <w:tc>
          <w:tcPr>
            <w:tcW w:w="1005" w:type="dxa"/>
            <w:vMerge w:val="continue"/>
            <w:vAlign w:val="center"/>
          </w:tcPr>
          <w:p>
            <w:pPr>
              <w:widowControl/>
              <w:jc w:val="center"/>
              <w:rPr>
                <w:rFonts w:ascii="宋体" w:hAnsi="宋体" w:cs="宋体"/>
                <w:sz w:val="24"/>
              </w:rPr>
            </w:pPr>
          </w:p>
        </w:tc>
        <w:tc>
          <w:tcPr>
            <w:tcW w:w="7020" w:type="dxa"/>
          </w:tcPr>
          <w:p>
            <w:pPr>
              <w:widowControl/>
              <w:rPr>
                <w:rFonts w:ascii="宋体" w:hAnsi="宋体" w:cs="宋体"/>
                <w:sz w:val="24"/>
              </w:rPr>
            </w:pPr>
            <w:r>
              <w:rPr>
                <w:rFonts w:hint="eastAsia" w:ascii="宋体" w:hAnsi="宋体" w:cs="宋体"/>
                <w:b/>
                <w:bCs/>
                <w:sz w:val="24"/>
              </w:rPr>
              <w:t>售后服务方案和承诺：</w:t>
            </w:r>
            <w:r>
              <w:rPr>
                <w:rFonts w:hint="eastAsia" w:ascii="宋体" w:hAnsi="宋体" w:cs="宋体"/>
                <w:sz w:val="24"/>
              </w:rPr>
              <w:t>提供完善的售后服务计划和技术支持，培训方案可操作性强，且有针对不同培训对象有具体针对性的解决措施，提供详尽的售后维护计划、方案和承诺。</w:t>
            </w:r>
          </w:p>
          <w:p>
            <w:pPr>
              <w:widowControl/>
              <w:rPr>
                <w:rFonts w:ascii="宋体" w:hAnsi="宋体" w:cs="宋体"/>
                <w:sz w:val="24"/>
              </w:rPr>
            </w:pPr>
            <w:r>
              <w:rPr>
                <w:rFonts w:hint="eastAsia" w:ascii="宋体" w:hAnsi="宋体" w:cs="宋体"/>
                <w:sz w:val="24"/>
              </w:rPr>
              <w:t>非常详细的得</w:t>
            </w:r>
            <w:r>
              <w:rPr>
                <w:rFonts w:hint="eastAsia" w:hAnsi="宋体"/>
                <w:sz w:val="24"/>
              </w:rPr>
              <w:t>4</w:t>
            </w:r>
            <w:r>
              <w:rPr>
                <w:rFonts w:hint="eastAsia" w:ascii="宋体" w:hAnsi="宋体" w:cs="宋体"/>
                <w:sz w:val="24"/>
              </w:rPr>
              <w:t>分；编制的措施详细的得</w:t>
            </w:r>
            <w:r>
              <w:rPr>
                <w:rFonts w:hint="eastAsia" w:hAnsi="宋体"/>
                <w:sz w:val="24"/>
              </w:rPr>
              <w:t>2</w:t>
            </w:r>
            <w:r>
              <w:rPr>
                <w:rFonts w:hint="eastAsia" w:ascii="宋体" w:hAnsi="宋体" w:cs="宋体"/>
                <w:sz w:val="24"/>
              </w:rPr>
              <w:t>分；</w:t>
            </w:r>
          </w:p>
          <w:p>
            <w:pPr>
              <w:widowControl/>
              <w:rPr>
                <w:rFonts w:ascii="宋体" w:hAnsi="宋体" w:cs="宋体"/>
                <w:sz w:val="24"/>
              </w:rPr>
            </w:pPr>
            <w:r>
              <w:rPr>
                <w:rFonts w:hint="eastAsia" w:ascii="宋体" w:hAnsi="宋体" w:cs="宋体"/>
                <w:sz w:val="24"/>
              </w:rPr>
              <w:t>编制的措施不太详细的得</w:t>
            </w:r>
            <w:r>
              <w:rPr>
                <w:rFonts w:hint="eastAsia" w:hAnsi="宋体"/>
                <w:sz w:val="24"/>
              </w:rPr>
              <w:t>1</w:t>
            </w:r>
            <w:r>
              <w:rPr>
                <w:rFonts w:hint="eastAsia" w:ascii="宋体" w:hAnsi="宋体" w:cs="宋体"/>
                <w:sz w:val="24"/>
              </w:rPr>
              <w:t>分。</w:t>
            </w:r>
          </w:p>
        </w:tc>
        <w:tc>
          <w:tcPr>
            <w:tcW w:w="631" w:type="dxa"/>
            <w:vAlign w:val="center"/>
          </w:tcPr>
          <w:p>
            <w:pPr>
              <w:widowControl/>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center"/>
          </w:tcPr>
          <w:p>
            <w:pPr>
              <w:widowControl/>
              <w:jc w:val="center"/>
              <w:rPr>
                <w:rFonts w:ascii="宋体" w:hAnsi="宋体"/>
                <w:kern w:val="0"/>
                <w:sz w:val="24"/>
              </w:rPr>
            </w:pPr>
            <w:r>
              <w:rPr>
                <w:rFonts w:hint="eastAsia" w:ascii="宋体" w:hAnsi="宋体"/>
                <w:kern w:val="0"/>
                <w:sz w:val="24"/>
              </w:rPr>
              <w:t>8</w:t>
            </w:r>
          </w:p>
        </w:tc>
        <w:tc>
          <w:tcPr>
            <w:tcW w:w="1005" w:type="dxa"/>
            <w:vMerge w:val="continue"/>
            <w:vAlign w:val="center"/>
          </w:tcPr>
          <w:p>
            <w:pPr>
              <w:widowControl/>
              <w:jc w:val="center"/>
              <w:rPr>
                <w:rFonts w:ascii="宋体" w:hAnsi="宋体" w:cs="宋体"/>
                <w:sz w:val="24"/>
              </w:rPr>
            </w:pPr>
          </w:p>
        </w:tc>
        <w:tc>
          <w:tcPr>
            <w:tcW w:w="7020" w:type="dxa"/>
          </w:tcPr>
          <w:p>
            <w:pPr>
              <w:widowControl/>
              <w:rPr>
                <w:rFonts w:ascii="宋体" w:hAnsi="宋体" w:cs="宋体"/>
                <w:b/>
                <w:bCs/>
                <w:sz w:val="24"/>
              </w:rPr>
            </w:pPr>
            <w:r>
              <w:rPr>
                <w:rFonts w:hint="eastAsia" w:ascii="宋体" w:hAnsi="宋体" w:cs="宋体"/>
                <w:b/>
                <w:bCs/>
                <w:sz w:val="24"/>
              </w:rPr>
              <w:t>质量反馈：</w:t>
            </w:r>
            <w:r>
              <w:rPr>
                <w:rFonts w:hint="eastAsia" w:ascii="宋体" w:hAnsi="宋体" w:cs="宋体"/>
                <w:sz w:val="24"/>
              </w:rPr>
              <w:t>由投标单位服务过的单位出具质量反馈需加盖服务单位公章，每提供1个得1分，最高2分，没有不得分。</w:t>
            </w:r>
          </w:p>
        </w:tc>
        <w:tc>
          <w:tcPr>
            <w:tcW w:w="631" w:type="dxa"/>
            <w:vAlign w:val="center"/>
          </w:tcPr>
          <w:p>
            <w:pPr>
              <w:widowControl/>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60" w:type="dxa"/>
            <w:vAlign w:val="center"/>
          </w:tcPr>
          <w:p>
            <w:pPr>
              <w:widowControl/>
              <w:jc w:val="center"/>
              <w:rPr>
                <w:rFonts w:ascii="宋体" w:hAnsi="宋体"/>
                <w:kern w:val="0"/>
                <w:sz w:val="24"/>
              </w:rPr>
            </w:pPr>
            <w:r>
              <w:rPr>
                <w:rFonts w:hint="eastAsia" w:ascii="宋体" w:hAnsi="宋体"/>
                <w:kern w:val="0"/>
                <w:sz w:val="24"/>
              </w:rPr>
              <w:t>9</w:t>
            </w:r>
          </w:p>
        </w:tc>
        <w:tc>
          <w:tcPr>
            <w:tcW w:w="8025" w:type="dxa"/>
            <w:gridSpan w:val="2"/>
            <w:vAlign w:val="center"/>
          </w:tcPr>
          <w:p>
            <w:pPr>
              <w:widowControl/>
              <w:rPr>
                <w:rFonts w:ascii="宋体" w:hAnsi="宋体" w:cs="宋体"/>
                <w:b/>
                <w:bCs/>
                <w:sz w:val="24"/>
              </w:rPr>
            </w:pPr>
            <w:r>
              <w:rPr>
                <w:rFonts w:hint="eastAsia" w:ascii="宋体" w:hAnsi="宋体" w:cs="宋体"/>
                <w:b/>
                <w:bCs/>
                <w:sz w:val="24"/>
              </w:rPr>
              <w:t>合计</w:t>
            </w:r>
          </w:p>
        </w:tc>
        <w:tc>
          <w:tcPr>
            <w:tcW w:w="631" w:type="dxa"/>
            <w:vAlign w:val="center"/>
          </w:tcPr>
          <w:p>
            <w:pPr>
              <w:widowControl/>
              <w:jc w:val="center"/>
              <w:rPr>
                <w:rFonts w:ascii="宋体" w:hAnsi="宋体"/>
                <w:kern w:val="0"/>
                <w:sz w:val="24"/>
              </w:rPr>
            </w:pPr>
            <w:r>
              <w:rPr>
                <w:rFonts w:hint="eastAsia" w:ascii="宋体" w:hAnsi="宋体"/>
                <w:kern w:val="0"/>
                <w:sz w:val="24"/>
                <w:highlight w:val="none"/>
              </w:rPr>
              <w:t>50</w:t>
            </w:r>
          </w:p>
        </w:tc>
      </w:tr>
    </w:tbl>
    <w:p>
      <w:pPr>
        <w:pStyle w:val="8"/>
        <w:snapToGrid w:val="0"/>
        <w:spacing w:before="120" w:after="120" w:line="240" w:lineRule="auto"/>
        <w:rPr>
          <w:rFonts w:ascii="黑体" w:hAnsi="宋体" w:eastAsia="黑体"/>
          <w:b/>
          <w:color w:val="000000"/>
          <w:sz w:val="30"/>
          <w:szCs w:val="30"/>
        </w:rPr>
      </w:pPr>
    </w:p>
    <w:p>
      <w:pPr>
        <w:pStyle w:val="8"/>
        <w:snapToGrid w:val="0"/>
        <w:spacing w:before="120" w:after="120" w:line="240" w:lineRule="auto"/>
        <w:rPr>
          <w:rFonts w:ascii="黑体" w:hAnsi="宋体" w:eastAsia="黑体"/>
          <w:b/>
          <w:color w:val="000000"/>
          <w:sz w:val="30"/>
          <w:szCs w:val="30"/>
        </w:rPr>
      </w:pPr>
    </w:p>
    <w:p>
      <w:pPr>
        <w:pStyle w:val="8"/>
        <w:snapToGrid w:val="0"/>
        <w:spacing w:before="120" w:after="120" w:line="240" w:lineRule="auto"/>
        <w:rPr>
          <w:rFonts w:ascii="黑体" w:hAnsi="宋体" w:eastAsia="黑体"/>
          <w:b/>
          <w:color w:val="000000"/>
          <w:sz w:val="30"/>
          <w:szCs w:val="30"/>
        </w:rPr>
      </w:pPr>
    </w:p>
    <w:p>
      <w:pPr>
        <w:pStyle w:val="8"/>
        <w:snapToGrid w:val="0"/>
        <w:spacing w:before="120" w:after="120" w:line="240" w:lineRule="auto"/>
        <w:rPr>
          <w:rFonts w:ascii="黑体" w:hAnsi="宋体" w:eastAsia="黑体"/>
          <w:b/>
          <w:color w:val="000000"/>
          <w:sz w:val="30"/>
          <w:szCs w:val="30"/>
        </w:rPr>
      </w:pPr>
    </w:p>
    <w:p>
      <w:pPr>
        <w:pStyle w:val="8"/>
        <w:snapToGrid w:val="0"/>
        <w:spacing w:before="120" w:after="120" w:line="240" w:lineRule="auto"/>
        <w:rPr>
          <w:rFonts w:ascii="黑体" w:hAnsi="宋体" w:eastAsia="黑体"/>
          <w:b/>
          <w:color w:val="000000"/>
          <w:sz w:val="30"/>
          <w:szCs w:val="30"/>
        </w:rPr>
      </w:pPr>
    </w:p>
    <w:p>
      <w:pPr>
        <w:pStyle w:val="8"/>
        <w:snapToGrid w:val="0"/>
        <w:spacing w:before="120" w:after="120" w:line="240" w:lineRule="auto"/>
        <w:rPr>
          <w:rFonts w:ascii="黑体" w:hAnsi="宋体" w:eastAsia="黑体"/>
          <w:b/>
          <w:color w:val="000000"/>
          <w:sz w:val="30"/>
          <w:szCs w:val="30"/>
        </w:rPr>
      </w:pPr>
    </w:p>
    <w:p>
      <w:pPr>
        <w:pStyle w:val="8"/>
        <w:snapToGrid w:val="0"/>
        <w:spacing w:before="120" w:after="120" w:line="240" w:lineRule="auto"/>
        <w:rPr>
          <w:rFonts w:ascii="黑体" w:hAnsi="宋体" w:eastAsia="黑体"/>
          <w:b/>
          <w:color w:val="000000"/>
          <w:sz w:val="30"/>
          <w:szCs w:val="30"/>
        </w:rPr>
      </w:pPr>
    </w:p>
    <w:p>
      <w:pPr>
        <w:pStyle w:val="8"/>
        <w:snapToGrid w:val="0"/>
        <w:spacing w:before="120" w:after="120" w:line="240" w:lineRule="auto"/>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r>
        <w:rPr>
          <w:rFonts w:hint="eastAsia" w:ascii="黑体" w:hAnsi="宋体" w:eastAsia="黑体"/>
          <w:b/>
          <w:color w:val="000000"/>
          <w:sz w:val="30"/>
          <w:szCs w:val="30"/>
        </w:rPr>
        <w:t>第五章  合同主要条款</w:t>
      </w:r>
    </w:p>
    <w:p>
      <w:pPr>
        <w:pStyle w:val="14"/>
        <w:spacing w:before="156" w:after="156" w:line="360" w:lineRule="auto"/>
        <w:ind w:left="720" w:hanging="720"/>
      </w:pPr>
      <w:r>
        <w:rPr>
          <w:rFonts w:hint="eastAsia"/>
          <w:color w:val="000000"/>
          <w:sz w:val="30"/>
          <w:szCs w:val="30"/>
        </w:rPr>
        <w:t>东阳市政府采购合同（样本）</w:t>
      </w:r>
    </w:p>
    <w:p>
      <w:pPr>
        <w:pStyle w:val="8"/>
        <w:snapToGrid w:val="0"/>
        <w:spacing w:before="120" w:after="120" w:line="360" w:lineRule="exact"/>
        <w:rPr>
          <w:rFonts w:hAnsi="宋体" w:cs="宋体"/>
        </w:rPr>
      </w:pPr>
      <w:r>
        <w:rPr>
          <w:rFonts w:hAnsi="宋体" w:cs="宋体"/>
        </w:rPr>
        <w:t>项目名称：                   项目编号：               合同号：</w:t>
      </w:r>
    </w:p>
    <w:p>
      <w:pPr>
        <w:pStyle w:val="8"/>
        <w:snapToGrid w:val="0"/>
        <w:spacing w:before="120" w:after="120" w:line="360" w:lineRule="exact"/>
        <w:rPr>
          <w:rFonts w:hAnsi="宋体" w:cs="宋体"/>
        </w:rPr>
      </w:pPr>
      <w:r>
        <w:rPr>
          <w:rFonts w:hAnsi="宋体" w:cs="宋体"/>
        </w:rPr>
        <w:t>甲方（买方）：</w:t>
      </w:r>
    </w:p>
    <w:p>
      <w:pPr>
        <w:pStyle w:val="8"/>
        <w:snapToGrid w:val="0"/>
        <w:spacing w:before="120" w:after="120" w:line="360" w:lineRule="exact"/>
        <w:rPr>
          <w:rFonts w:hAnsi="宋体" w:cs="宋体"/>
        </w:rPr>
      </w:pPr>
      <w:r>
        <w:rPr>
          <w:rFonts w:hAnsi="宋体" w:cs="宋体"/>
        </w:rPr>
        <w:t>乙方（卖方）：</w:t>
      </w:r>
    </w:p>
    <w:p>
      <w:pPr>
        <w:pStyle w:val="8"/>
        <w:snapToGrid w:val="0"/>
        <w:spacing w:before="120" w:after="120" w:line="360" w:lineRule="exact"/>
        <w:rPr>
          <w:rFonts w:hAnsi="宋体" w:cs="宋体"/>
          <w:b/>
        </w:rPr>
      </w:pPr>
      <w:r>
        <w:rPr>
          <w:rFonts w:hAnsi="宋体" w:cs="宋体"/>
        </w:rPr>
        <w:t>甲、乙双方根据金华市公共资源交易中心东阳分中心201</w:t>
      </w:r>
      <w:r>
        <w:rPr>
          <w:rFonts w:hint="eastAsia" w:hAnsi="宋体" w:cs="宋体"/>
        </w:rPr>
        <w:t>9</w:t>
      </w:r>
      <w:r>
        <w:rPr>
          <w:rFonts w:hAnsi="宋体" w:cs="宋体"/>
        </w:rPr>
        <w:t>年月日关于项目采购公开招标的结果，签署本合同。</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一、货物内容</w:t>
      </w:r>
    </w:p>
    <w:p>
      <w:pPr>
        <w:pStyle w:val="8"/>
        <w:snapToGrid w:val="0"/>
        <w:spacing w:beforeLines="0" w:afterLines="0" w:line="360" w:lineRule="exact"/>
        <w:ind w:firstLine="480" w:firstLineChars="200"/>
        <w:rPr>
          <w:rFonts w:hAnsi="宋体" w:cs="宋体"/>
          <w:color w:val="000000"/>
        </w:rPr>
      </w:pPr>
      <w:r>
        <w:rPr>
          <w:rFonts w:hAnsi="宋体" w:cs="宋体"/>
          <w:color w:val="000000"/>
        </w:rPr>
        <w:t>1. 货物名称：</w:t>
      </w:r>
    </w:p>
    <w:p>
      <w:pPr>
        <w:pStyle w:val="8"/>
        <w:snapToGrid w:val="0"/>
        <w:spacing w:beforeLines="0" w:afterLines="0" w:line="360" w:lineRule="exact"/>
        <w:ind w:firstLine="480" w:firstLineChars="200"/>
        <w:rPr>
          <w:rFonts w:hAnsi="宋体" w:cs="宋体"/>
          <w:color w:val="000000"/>
        </w:rPr>
      </w:pPr>
      <w:r>
        <w:rPr>
          <w:rFonts w:hAnsi="宋体" w:cs="宋体"/>
          <w:color w:val="000000"/>
        </w:rPr>
        <w:t>2. 型号规格：</w:t>
      </w:r>
    </w:p>
    <w:p>
      <w:pPr>
        <w:pStyle w:val="8"/>
        <w:snapToGrid w:val="0"/>
        <w:spacing w:beforeLines="0" w:afterLines="0" w:line="360" w:lineRule="exact"/>
        <w:ind w:firstLine="480" w:firstLineChars="200"/>
        <w:rPr>
          <w:rFonts w:hAnsi="宋体" w:cs="宋体"/>
          <w:color w:val="000000"/>
        </w:rPr>
      </w:pPr>
      <w:r>
        <w:rPr>
          <w:rFonts w:hAnsi="宋体" w:cs="宋体"/>
          <w:color w:val="000000"/>
        </w:rPr>
        <w:t>3. 技术参数：</w:t>
      </w:r>
    </w:p>
    <w:p>
      <w:pPr>
        <w:pStyle w:val="8"/>
        <w:snapToGrid w:val="0"/>
        <w:spacing w:beforeLines="0" w:afterLines="0" w:line="360" w:lineRule="exact"/>
        <w:ind w:firstLine="480" w:firstLineChars="200"/>
        <w:rPr>
          <w:rFonts w:hAnsi="宋体" w:cs="宋体"/>
          <w:color w:val="000000"/>
        </w:rPr>
      </w:pPr>
      <w:r>
        <w:rPr>
          <w:rFonts w:hAnsi="宋体" w:cs="宋体"/>
          <w:color w:val="000000"/>
        </w:rPr>
        <w:t>4. 数量（单位）：</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二、合同金额</w:t>
      </w:r>
    </w:p>
    <w:p>
      <w:pPr>
        <w:pStyle w:val="8"/>
        <w:snapToGrid w:val="0"/>
        <w:spacing w:beforeLines="0" w:afterLines="0" w:line="360" w:lineRule="exact"/>
        <w:ind w:firstLine="480" w:firstLineChars="200"/>
        <w:rPr>
          <w:rFonts w:hAnsi="宋体" w:cs="宋体"/>
          <w:color w:val="000000"/>
        </w:rPr>
      </w:pPr>
      <w:r>
        <w:rPr>
          <w:rFonts w:hAnsi="宋体" w:cs="宋体"/>
          <w:color w:val="000000"/>
        </w:rPr>
        <w:t>本合同金额为（大写）：______________元（￥__________元）人民币。</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三、技术资料</w:t>
      </w:r>
    </w:p>
    <w:p>
      <w:pPr>
        <w:pStyle w:val="8"/>
        <w:snapToGrid w:val="0"/>
        <w:spacing w:beforeLines="0" w:afterLines="0" w:line="360" w:lineRule="exact"/>
        <w:ind w:firstLine="480" w:firstLineChars="200"/>
        <w:rPr>
          <w:rFonts w:hAnsi="宋体" w:cs="宋体"/>
          <w:color w:val="000000"/>
        </w:rPr>
      </w:pPr>
      <w:r>
        <w:rPr>
          <w:rFonts w:hAnsi="宋体" w:cs="宋体"/>
          <w:color w:val="000000"/>
        </w:rPr>
        <w:t>1.乙方应按招标文件规定的时间向甲方提供使用货物的有关技术资料。</w:t>
      </w:r>
    </w:p>
    <w:p>
      <w:pPr>
        <w:pStyle w:val="8"/>
        <w:snapToGrid w:val="0"/>
        <w:spacing w:beforeLines="0" w:afterLines="0" w:line="360" w:lineRule="exact"/>
        <w:ind w:firstLine="480" w:firstLineChars="200"/>
        <w:rPr>
          <w:rFonts w:hAnsi="宋体" w:cs="宋体"/>
          <w:color w:val="000000"/>
        </w:rPr>
      </w:pPr>
      <w:r>
        <w:rPr>
          <w:rFonts w:hAnsi="宋体" w:cs="宋体"/>
          <w:color w:val="00000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四、知识产权</w:t>
      </w:r>
    </w:p>
    <w:p>
      <w:pPr>
        <w:pStyle w:val="8"/>
        <w:snapToGrid w:val="0"/>
        <w:spacing w:beforeLines="0" w:afterLines="0" w:line="360" w:lineRule="exact"/>
        <w:ind w:firstLine="480" w:firstLineChars="200"/>
        <w:rPr>
          <w:rFonts w:hAnsi="宋体" w:cs="宋体"/>
          <w:bCs/>
          <w:color w:val="000000"/>
        </w:rPr>
      </w:pPr>
      <w:r>
        <w:rPr>
          <w:rFonts w:hAnsi="宋体" w:cs="宋体"/>
          <w:color w:val="000000"/>
        </w:rPr>
        <w:t>乙方应保证所提供的货物或其任何一部分均不会侵犯任何第三方的知识产权</w:t>
      </w:r>
      <w:r>
        <w:rPr>
          <w:rFonts w:hAnsi="宋体" w:cs="宋体"/>
          <w:bCs/>
          <w:color w:val="000000"/>
        </w:rPr>
        <w:t>。</w:t>
      </w:r>
    </w:p>
    <w:p>
      <w:pPr>
        <w:pStyle w:val="8"/>
        <w:snapToGrid w:val="0"/>
        <w:spacing w:beforeLines="0" w:afterLines="0" w:line="360" w:lineRule="exact"/>
        <w:ind w:firstLine="472" w:firstLineChars="196"/>
        <w:rPr>
          <w:rFonts w:hAnsi="宋体" w:cs="宋体"/>
          <w:color w:val="000000"/>
          <w:u w:val="single"/>
        </w:rPr>
      </w:pPr>
      <w:r>
        <w:rPr>
          <w:rFonts w:hAnsi="宋体" w:cs="宋体"/>
          <w:b/>
          <w:color w:val="000000"/>
        </w:rPr>
        <w:t>五、产权担保</w:t>
      </w:r>
    </w:p>
    <w:p>
      <w:pPr>
        <w:pStyle w:val="8"/>
        <w:snapToGrid w:val="0"/>
        <w:spacing w:beforeLines="0" w:afterLines="0" w:line="360" w:lineRule="exact"/>
        <w:ind w:firstLine="480" w:firstLineChars="200"/>
        <w:rPr>
          <w:rFonts w:hAnsi="宋体" w:cs="宋体"/>
          <w:color w:val="000000"/>
          <w:u w:val="single"/>
        </w:rPr>
      </w:pPr>
      <w:r>
        <w:rPr>
          <w:rFonts w:hAnsi="宋体" w:cs="宋体"/>
          <w:color w:val="000000"/>
        </w:rPr>
        <w:t>乙方保证所交付的货物的所有权完全属于乙方且无任何抵押、查封等产权瑕疵。</w:t>
      </w:r>
    </w:p>
    <w:p>
      <w:pPr>
        <w:pStyle w:val="8"/>
        <w:snapToGrid w:val="0"/>
        <w:spacing w:beforeLines="0" w:afterLines="0" w:line="360" w:lineRule="exact"/>
        <w:ind w:firstLine="472" w:firstLineChars="196"/>
        <w:rPr>
          <w:rFonts w:hAnsi="宋体" w:cs="宋体"/>
          <w:b/>
          <w:color w:val="000000"/>
        </w:rPr>
      </w:pPr>
      <w:r>
        <w:rPr>
          <w:rFonts w:hint="eastAsia" w:hAnsi="宋体" w:cs="宋体"/>
          <w:b/>
          <w:color w:val="000000"/>
        </w:rPr>
        <w:t>六</w:t>
      </w:r>
      <w:r>
        <w:rPr>
          <w:rFonts w:hAnsi="宋体" w:cs="宋体"/>
          <w:b/>
          <w:color w:val="000000"/>
        </w:rPr>
        <w:t>、转包或分包</w:t>
      </w:r>
    </w:p>
    <w:p>
      <w:pPr>
        <w:snapToGrid w:val="0"/>
        <w:spacing w:before="120" w:after="120" w:line="360" w:lineRule="exact"/>
        <w:ind w:firstLine="480" w:firstLineChars="200"/>
        <w:rPr>
          <w:rFonts w:ascii="宋体" w:hAnsi="宋体" w:cs="宋体"/>
          <w:color w:val="000000"/>
          <w:sz w:val="24"/>
        </w:rPr>
      </w:pPr>
      <w:r>
        <w:rPr>
          <w:rFonts w:hint="eastAsia" w:ascii="宋体" w:hAnsi="宋体" w:cs="宋体"/>
          <w:color w:val="000000"/>
          <w:sz w:val="24"/>
        </w:rPr>
        <w:t>1.本合同范围的货物，应由乙方直接供应，不得转让他人供应；</w:t>
      </w:r>
    </w:p>
    <w:p>
      <w:pPr>
        <w:snapToGrid w:val="0"/>
        <w:spacing w:before="120" w:after="120" w:line="360" w:lineRule="exact"/>
        <w:ind w:firstLine="480" w:firstLineChars="200"/>
        <w:rPr>
          <w:rFonts w:ascii="宋体" w:hAnsi="宋体" w:cs="宋体"/>
          <w:color w:val="000000"/>
          <w:sz w:val="24"/>
        </w:rPr>
      </w:pPr>
      <w:r>
        <w:rPr>
          <w:rFonts w:hint="eastAsia" w:ascii="宋体" w:hAnsi="宋体" w:cs="宋体"/>
          <w:color w:val="000000"/>
          <w:sz w:val="24"/>
        </w:rPr>
        <w:t>2.除非得到甲方的书面同意，乙方不得将本合同范围的货物全部或部分分包给他人供应；</w:t>
      </w:r>
    </w:p>
    <w:p>
      <w:pPr>
        <w:snapToGrid w:val="0"/>
        <w:spacing w:before="120" w:after="120" w:line="360" w:lineRule="exact"/>
        <w:ind w:firstLine="480" w:firstLineChars="200"/>
        <w:rPr>
          <w:rFonts w:ascii="宋体" w:hAnsi="宋体" w:cs="宋体"/>
          <w:color w:val="000000"/>
          <w:sz w:val="24"/>
        </w:rPr>
      </w:pPr>
      <w:r>
        <w:rPr>
          <w:rFonts w:hint="eastAsia" w:ascii="宋体" w:hAnsi="宋体" w:cs="宋体"/>
          <w:color w:val="000000"/>
          <w:sz w:val="24"/>
        </w:rPr>
        <w:t>3.如有转让和未经甲方同意的分包行为，甲方有权解除合同，追究乙方的违约责任。</w:t>
      </w:r>
    </w:p>
    <w:p>
      <w:pPr>
        <w:pStyle w:val="8"/>
        <w:snapToGrid w:val="0"/>
        <w:spacing w:beforeLines="0" w:afterLines="0" w:line="360" w:lineRule="exact"/>
        <w:ind w:firstLine="472" w:firstLineChars="196"/>
        <w:rPr>
          <w:rFonts w:hint="eastAsia" w:hAnsi="宋体" w:eastAsia="宋体" w:cs="宋体"/>
          <w:color w:val="000000"/>
          <w:lang w:eastAsia="zh-CN"/>
        </w:rPr>
      </w:pPr>
      <w:r>
        <w:rPr>
          <w:rFonts w:hint="eastAsia" w:hAnsi="宋体" w:cs="宋体"/>
          <w:b/>
          <w:color w:val="000000"/>
        </w:rPr>
        <w:t>七</w:t>
      </w:r>
      <w:r>
        <w:rPr>
          <w:rFonts w:hAnsi="宋体" w:cs="宋体"/>
          <w:b/>
          <w:color w:val="000000"/>
        </w:rPr>
        <w:t>、质保期和</w:t>
      </w:r>
      <w:r>
        <w:rPr>
          <w:rFonts w:hint="eastAsia" w:hAnsi="宋体" w:cs="宋体"/>
          <w:b/>
          <w:color w:val="000000"/>
          <w:lang w:eastAsia="zh-CN"/>
        </w:rPr>
        <w:t>履约保证金</w:t>
      </w:r>
    </w:p>
    <w:p>
      <w:pPr>
        <w:pStyle w:val="8"/>
        <w:snapToGrid w:val="0"/>
        <w:spacing w:beforeLines="0" w:afterLines="0" w:line="360" w:lineRule="exact"/>
        <w:ind w:firstLine="480" w:firstLineChars="200"/>
        <w:rPr>
          <w:rFonts w:hAnsi="宋体" w:cs="宋体"/>
          <w:color w:val="000000"/>
        </w:rPr>
      </w:pPr>
      <w:r>
        <w:rPr>
          <w:rFonts w:hAnsi="宋体" w:cs="宋体"/>
          <w:color w:val="000000"/>
        </w:rPr>
        <w:t>1. 质保期年。（自交货验收合格之日起计）</w:t>
      </w:r>
    </w:p>
    <w:p>
      <w:pPr>
        <w:pStyle w:val="8"/>
        <w:snapToGrid w:val="0"/>
        <w:spacing w:beforeLines="0" w:afterLines="0" w:line="360" w:lineRule="exact"/>
        <w:ind w:firstLine="480" w:firstLineChars="200"/>
        <w:rPr>
          <w:rFonts w:hAnsi="宋体" w:cs="宋体"/>
          <w:color w:val="000000"/>
        </w:rPr>
      </w:pPr>
      <w:r>
        <w:rPr>
          <w:rFonts w:hAnsi="宋体" w:cs="宋体"/>
          <w:color w:val="000000"/>
        </w:rPr>
        <w:t>2. 质保金元。</w:t>
      </w:r>
    </w:p>
    <w:p>
      <w:pPr>
        <w:pStyle w:val="8"/>
        <w:snapToGrid w:val="0"/>
        <w:spacing w:beforeLines="0" w:afterLines="0" w:line="360" w:lineRule="exact"/>
        <w:ind w:firstLine="472" w:firstLineChars="196"/>
        <w:rPr>
          <w:rFonts w:hAnsi="宋体" w:cs="宋体"/>
          <w:b/>
          <w:color w:val="000000"/>
        </w:rPr>
      </w:pPr>
      <w:r>
        <w:rPr>
          <w:rFonts w:hint="eastAsia" w:hAnsi="宋体" w:cs="宋体"/>
          <w:b/>
          <w:color w:val="000000"/>
        </w:rPr>
        <w:t>八</w:t>
      </w:r>
      <w:r>
        <w:rPr>
          <w:rFonts w:hAnsi="宋体" w:cs="宋体"/>
          <w:b/>
          <w:color w:val="000000"/>
        </w:rPr>
        <w:t>、交货期、交货方式及交货地点</w:t>
      </w:r>
    </w:p>
    <w:p>
      <w:pPr>
        <w:pStyle w:val="8"/>
        <w:snapToGrid w:val="0"/>
        <w:spacing w:beforeLines="0" w:afterLines="0" w:line="360" w:lineRule="exact"/>
        <w:ind w:firstLine="480" w:firstLineChars="200"/>
        <w:rPr>
          <w:rFonts w:hAnsi="宋体" w:cs="宋体"/>
          <w:bCs/>
          <w:color w:val="000000"/>
        </w:rPr>
      </w:pPr>
      <w:r>
        <w:rPr>
          <w:rFonts w:hAnsi="宋体" w:cs="宋体"/>
          <w:bCs/>
          <w:color w:val="000000"/>
        </w:rPr>
        <w:t>1. 交货期：</w:t>
      </w:r>
    </w:p>
    <w:p>
      <w:pPr>
        <w:pStyle w:val="8"/>
        <w:snapToGrid w:val="0"/>
        <w:spacing w:beforeLines="0" w:afterLines="0" w:line="360" w:lineRule="exact"/>
        <w:ind w:firstLine="480" w:firstLineChars="200"/>
        <w:rPr>
          <w:rFonts w:hAnsi="宋体" w:cs="宋体"/>
          <w:b/>
          <w:color w:val="000000"/>
        </w:rPr>
      </w:pPr>
      <w:r>
        <w:rPr>
          <w:rFonts w:hint="eastAsia" w:hAnsi="宋体" w:cs="宋体"/>
          <w:bCs/>
          <w:color w:val="000000"/>
        </w:rPr>
        <w:t>2</w:t>
      </w:r>
      <w:r>
        <w:rPr>
          <w:rFonts w:hAnsi="宋体" w:cs="宋体"/>
          <w:bCs/>
          <w:color w:val="000000"/>
        </w:rPr>
        <w:t>. 交货地点：</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十、货款支付</w:t>
      </w:r>
    </w:p>
    <w:p>
      <w:pPr>
        <w:snapToGrid w:val="0"/>
        <w:spacing w:beforeLines="50" w:afterLines="50" w:line="360" w:lineRule="exact"/>
        <w:ind w:firstLine="472" w:firstLineChars="196"/>
        <w:rPr>
          <w:rFonts w:ascii="宋体" w:hAnsi="宋体" w:cs="宋体"/>
          <w:sz w:val="24"/>
        </w:rPr>
      </w:pPr>
      <w:r>
        <w:rPr>
          <w:rFonts w:hint="eastAsia" w:ascii="宋体" w:hAnsi="宋体" w:cs="宋体"/>
          <w:b/>
          <w:color w:val="000000"/>
          <w:sz w:val="24"/>
        </w:rPr>
        <w:t>1.</w:t>
      </w:r>
      <w:r>
        <w:rPr>
          <w:rFonts w:hint="eastAsia"/>
          <w:sz w:val="28"/>
          <w:szCs w:val="28"/>
        </w:rPr>
        <w:t>每月使用结束并验收合格后，15天内由采购方向供货商支付上月使用量的货款（以收到供货商开具的正式发票之日起为准）。</w:t>
      </w:r>
    </w:p>
    <w:p>
      <w:pPr>
        <w:snapToGrid w:val="0"/>
        <w:spacing w:beforeLines="50" w:afterLines="50" w:line="360" w:lineRule="exact"/>
        <w:ind w:firstLine="472" w:firstLineChars="196"/>
        <w:rPr>
          <w:rFonts w:ascii="宋体" w:hAnsi="宋体" w:cs="宋体"/>
          <w:b/>
          <w:color w:val="000000"/>
          <w:sz w:val="24"/>
        </w:rPr>
      </w:pPr>
      <w:r>
        <w:rPr>
          <w:rFonts w:hint="eastAsia" w:ascii="宋体" w:hAnsi="宋体" w:cs="宋体"/>
          <w:b/>
          <w:color w:val="000000"/>
          <w:sz w:val="24"/>
        </w:rPr>
        <w:t>十一、税费</w:t>
      </w:r>
    </w:p>
    <w:p>
      <w:pPr>
        <w:snapToGrid w:val="0"/>
        <w:spacing w:beforeLines="50" w:afterLines="50" w:line="360" w:lineRule="exact"/>
        <w:ind w:firstLine="480" w:firstLineChars="200"/>
        <w:rPr>
          <w:rFonts w:ascii="宋体" w:hAnsi="宋体" w:cs="宋体"/>
          <w:color w:val="000000"/>
          <w:sz w:val="24"/>
        </w:rPr>
      </w:pPr>
      <w:r>
        <w:rPr>
          <w:rFonts w:hint="eastAsia" w:ascii="宋体" w:hAnsi="宋体" w:cs="宋体"/>
          <w:sz w:val="24"/>
        </w:rPr>
        <w:t>本合同执行中相关的一切税费均由乙方负担。</w:t>
      </w:r>
    </w:p>
    <w:p>
      <w:pPr>
        <w:pStyle w:val="8"/>
        <w:snapToGrid w:val="0"/>
        <w:spacing w:beforeLines="0" w:afterLines="0" w:line="360" w:lineRule="exact"/>
        <w:ind w:firstLine="472" w:firstLineChars="196"/>
        <w:rPr>
          <w:rFonts w:hAnsi="宋体" w:cs="宋体"/>
          <w:color w:val="000000"/>
        </w:rPr>
      </w:pPr>
      <w:r>
        <w:rPr>
          <w:rFonts w:hAnsi="宋体" w:cs="宋体"/>
          <w:b/>
          <w:color w:val="000000"/>
        </w:rPr>
        <w:t>十二、质量保证及售后服务</w:t>
      </w:r>
    </w:p>
    <w:p>
      <w:pPr>
        <w:pStyle w:val="8"/>
        <w:snapToGrid w:val="0"/>
        <w:spacing w:beforeLines="0" w:afterLines="0" w:line="360" w:lineRule="exact"/>
        <w:ind w:firstLine="480" w:firstLineChars="200"/>
        <w:rPr>
          <w:rFonts w:hAnsi="宋体" w:cs="宋体"/>
          <w:color w:val="000000"/>
        </w:rPr>
      </w:pPr>
      <w:r>
        <w:rPr>
          <w:rFonts w:hAnsi="宋体" w:cs="宋体"/>
          <w:color w:val="000000"/>
        </w:rPr>
        <w:t>1. 乙方应按招标文件规定的货物性能、技术要求、质量标准向甲方提供未经使用的全新产品。</w:t>
      </w:r>
    </w:p>
    <w:p>
      <w:pPr>
        <w:pStyle w:val="8"/>
        <w:snapToGrid w:val="0"/>
        <w:spacing w:beforeLines="0" w:afterLines="0" w:line="360" w:lineRule="exact"/>
        <w:ind w:firstLine="480" w:firstLineChars="200"/>
        <w:rPr>
          <w:rFonts w:hAnsi="宋体" w:cs="宋体"/>
          <w:color w:val="000000"/>
        </w:rPr>
      </w:pPr>
      <w:r>
        <w:rPr>
          <w:rFonts w:hAnsi="宋体" w:cs="宋体"/>
          <w:color w:val="000000"/>
        </w:rPr>
        <w:t>2. 乙方提供的货物在质保期内因货物本身的质量问题发生故障，乙方应负责免费更换。对达不到技术要求者，根据实际情况，经双方协商，可按以下办法处理：</w:t>
      </w:r>
    </w:p>
    <w:p>
      <w:pPr>
        <w:pStyle w:val="8"/>
        <w:snapToGrid w:val="0"/>
        <w:spacing w:beforeLines="0" w:afterLines="0" w:line="360" w:lineRule="exact"/>
        <w:ind w:firstLine="480" w:firstLineChars="200"/>
        <w:rPr>
          <w:rFonts w:hAnsi="宋体" w:cs="宋体"/>
          <w:color w:val="000000"/>
        </w:rPr>
      </w:pPr>
      <w:r>
        <w:rPr>
          <w:rFonts w:hAnsi="宋体" w:cs="宋体"/>
          <w:color w:val="000000"/>
        </w:rPr>
        <w:t>⑴更换：由乙方承担所发生的全部费用。</w:t>
      </w:r>
    </w:p>
    <w:p>
      <w:pPr>
        <w:pStyle w:val="8"/>
        <w:snapToGrid w:val="0"/>
        <w:spacing w:beforeLines="0" w:afterLines="0" w:line="360" w:lineRule="exact"/>
        <w:ind w:left="420" w:leftChars="200"/>
        <w:rPr>
          <w:rFonts w:hAnsi="宋体" w:cs="宋体"/>
          <w:color w:val="000000"/>
        </w:rPr>
      </w:pPr>
      <w:bookmarkStart w:id="6" w:name="OLE_LINK3"/>
      <w:r>
        <w:rPr>
          <w:rFonts w:hAnsi="宋体" w:cs="宋体"/>
          <w:color w:val="000000"/>
        </w:rPr>
        <w:t>⑵退货处理：乙方应退还甲方支付的合同款，同时应承担该货物的直接费用（运输、</w:t>
      </w:r>
    </w:p>
    <w:p>
      <w:pPr>
        <w:pStyle w:val="8"/>
        <w:snapToGrid w:val="0"/>
        <w:spacing w:beforeLines="0" w:afterLines="0" w:line="360" w:lineRule="exact"/>
        <w:rPr>
          <w:rFonts w:hAnsi="宋体" w:cs="宋体"/>
          <w:color w:val="000000"/>
        </w:rPr>
      </w:pPr>
      <w:r>
        <w:rPr>
          <w:rFonts w:hAnsi="宋体" w:cs="宋体"/>
          <w:color w:val="000000"/>
        </w:rPr>
        <w:t>保险、检验、货款利息及银行手续费等）。</w:t>
      </w:r>
    </w:p>
    <w:p>
      <w:pPr>
        <w:pStyle w:val="8"/>
        <w:snapToGrid w:val="0"/>
        <w:spacing w:beforeLines="0" w:afterLines="0" w:line="360" w:lineRule="exact"/>
        <w:ind w:firstLine="480" w:firstLineChars="200"/>
        <w:rPr>
          <w:rFonts w:hAnsi="宋体" w:cs="宋体"/>
          <w:color w:val="000000"/>
        </w:rPr>
      </w:pPr>
      <w:r>
        <w:rPr>
          <w:rFonts w:hAnsi="宋体" w:cs="宋体"/>
          <w:color w:val="000000"/>
        </w:rPr>
        <w:t>3. 如在使用过程中发生质量问题，乙方在接到甲方通知后在小时内到达甲方现场。</w:t>
      </w:r>
    </w:p>
    <w:p>
      <w:pPr>
        <w:pStyle w:val="8"/>
        <w:snapToGrid w:val="0"/>
        <w:spacing w:beforeLines="0" w:afterLines="0" w:line="360" w:lineRule="exact"/>
        <w:ind w:firstLine="480" w:firstLineChars="200"/>
        <w:rPr>
          <w:rFonts w:hAnsi="宋体" w:cs="宋体"/>
          <w:color w:val="000000"/>
        </w:rPr>
      </w:pPr>
      <w:r>
        <w:rPr>
          <w:rFonts w:hAnsi="宋体" w:cs="宋体"/>
          <w:color w:val="000000"/>
        </w:rPr>
        <w:t>4. 在质保期内，乙方应对货物出现的质量及安全问题负责处理解决并承担一切费用。</w:t>
      </w:r>
    </w:p>
    <w:p>
      <w:pPr>
        <w:pStyle w:val="8"/>
        <w:snapToGrid w:val="0"/>
        <w:spacing w:beforeLines="0" w:afterLines="0" w:line="360" w:lineRule="exact"/>
        <w:ind w:firstLine="480" w:firstLineChars="200"/>
        <w:rPr>
          <w:rFonts w:hAnsi="宋体" w:cs="宋体"/>
          <w:color w:val="000000"/>
        </w:rPr>
      </w:pPr>
      <w:r>
        <w:rPr>
          <w:rFonts w:hAnsi="宋体" w:cs="宋体"/>
          <w:color w:val="000000"/>
        </w:rPr>
        <w:t>5.上述的货物免费保修期为年，因人为因素出现的故障不在免费保修范围内。超过保修期的机器设备，终生维修，维修时只收部件成本费。</w:t>
      </w:r>
    </w:p>
    <w:bookmarkEnd w:id="6"/>
    <w:p>
      <w:pPr>
        <w:pStyle w:val="8"/>
        <w:snapToGrid w:val="0"/>
        <w:spacing w:beforeLines="0" w:afterLines="0" w:line="360" w:lineRule="exact"/>
        <w:ind w:firstLine="482" w:firstLineChars="200"/>
        <w:rPr>
          <w:rFonts w:hAnsi="宋体" w:cs="宋体"/>
          <w:color w:val="000000"/>
        </w:rPr>
      </w:pPr>
      <w:r>
        <w:rPr>
          <w:rFonts w:hAnsi="宋体" w:cs="宋体"/>
          <w:b/>
          <w:color w:val="000000"/>
        </w:rPr>
        <w:t>十三、调试和验收</w:t>
      </w:r>
    </w:p>
    <w:p>
      <w:pPr>
        <w:pStyle w:val="8"/>
        <w:snapToGrid w:val="0"/>
        <w:spacing w:beforeLines="0" w:afterLines="0" w:line="360" w:lineRule="exact"/>
        <w:ind w:firstLine="480" w:firstLineChars="200"/>
        <w:jc w:val="left"/>
        <w:rPr>
          <w:rFonts w:hAnsi="宋体" w:cs="宋体"/>
          <w:color w:val="000000"/>
        </w:rPr>
      </w:pPr>
      <w:r>
        <w:rPr>
          <w:rFonts w:hAnsi="宋体" w:cs="宋体"/>
          <w:color w:val="000000"/>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8"/>
        <w:snapToGrid w:val="0"/>
        <w:spacing w:beforeLines="0" w:afterLines="0" w:line="360" w:lineRule="exact"/>
        <w:ind w:firstLine="480" w:firstLineChars="200"/>
        <w:rPr>
          <w:rFonts w:hAnsi="宋体" w:cs="宋体"/>
          <w:color w:val="000000"/>
        </w:rPr>
      </w:pPr>
      <w:r>
        <w:rPr>
          <w:rFonts w:hAnsi="宋体" w:cs="宋体"/>
          <w:color w:val="000000"/>
        </w:rPr>
        <w:t>2. 乙方交货前应对产品作出全面检查和对验收文件进行整理，并列出清单，作为甲方收货验收和使用的技术条件依据，检验的结果应随货物交甲方。</w:t>
      </w:r>
    </w:p>
    <w:p>
      <w:pPr>
        <w:pStyle w:val="8"/>
        <w:snapToGrid w:val="0"/>
        <w:spacing w:beforeLines="0" w:afterLines="0" w:line="360" w:lineRule="exact"/>
        <w:ind w:firstLine="480" w:firstLineChars="200"/>
        <w:rPr>
          <w:rFonts w:hAnsi="宋体" w:cs="宋体"/>
          <w:color w:val="000000"/>
          <w:u w:val="single"/>
        </w:rPr>
      </w:pPr>
      <w:r>
        <w:rPr>
          <w:rFonts w:hAnsi="宋体" w:cs="宋体"/>
          <w:color w:val="000000"/>
        </w:rPr>
        <w:t>3. 甲方对乙方提供的货物在使用前进行调试时，乙方需负责安装并培训甲方的使用操作人员，并协助甲方一起调试，直到符合技术要求，甲方才做最终验收。</w:t>
      </w:r>
    </w:p>
    <w:p>
      <w:pPr>
        <w:pStyle w:val="8"/>
        <w:snapToGrid w:val="0"/>
        <w:spacing w:beforeLines="0" w:afterLines="0" w:line="360" w:lineRule="exact"/>
        <w:ind w:firstLine="480" w:firstLineChars="200"/>
        <w:rPr>
          <w:rFonts w:hAnsi="宋体" w:cs="宋体"/>
          <w:color w:val="000000"/>
        </w:rPr>
      </w:pPr>
      <w:r>
        <w:rPr>
          <w:rFonts w:hAnsi="宋体" w:cs="宋体"/>
          <w:color w:val="000000"/>
        </w:rPr>
        <w:t>4. 对技术复杂的货物，甲方应请国家认可的专业检测机构参与初步验收及最终验收，并由其出具质量检测报告。</w:t>
      </w:r>
    </w:p>
    <w:p>
      <w:pPr>
        <w:pStyle w:val="8"/>
        <w:snapToGrid w:val="0"/>
        <w:spacing w:beforeLines="0" w:afterLines="0" w:line="360" w:lineRule="exact"/>
        <w:ind w:firstLine="480" w:firstLineChars="200"/>
        <w:rPr>
          <w:rFonts w:hAnsi="宋体" w:cs="宋体"/>
          <w:color w:val="000000"/>
        </w:rPr>
      </w:pPr>
      <w:r>
        <w:rPr>
          <w:rFonts w:hAnsi="宋体" w:cs="宋体"/>
          <w:color w:val="000000"/>
        </w:rPr>
        <w:t>5. 验收时乙方必须在现场，验收完毕后作出验收结果报告；验收费用由乙方负责。</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十四、货物包装、发运及运输</w:t>
      </w:r>
    </w:p>
    <w:p>
      <w:pPr>
        <w:pStyle w:val="8"/>
        <w:snapToGrid w:val="0"/>
        <w:spacing w:beforeLines="0" w:afterLines="0" w:line="360" w:lineRule="exact"/>
        <w:ind w:firstLine="480" w:firstLineChars="200"/>
        <w:rPr>
          <w:rFonts w:hAnsi="宋体" w:cs="宋体"/>
          <w:color w:val="000000"/>
        </w:rPr>
      </w:pPr>
      <w:r>
        <w:rPr>
          <w:rFonts w:hAnsi="宋体" w:cs="宋体"/>
          <w:color w:val="000000"/>
        </w:rPr>
        <w:t>1. 乙方应在货物发运前对其进行满足运输距离、防潮、防震、防锈和防破损装卸等要求包装，以保证货物安全运达甲方指定地点。</w:t>
      </w:r>
    </w:p>
    <w:p>
      <w:pPr>
        <w:pStyle w:val="8"/>
        <w:snapToGrid w:val="0"/>
        <w:spacing w:beforeLines="0" w:afterLines="0" w:line="360" w:lineRule="exact"/>
        <w:ind w:firstLine="480" w:firstLineChars="200"/>
        <w:rPr>
          <w:rFonts w:hAnsi="宋体" w:cs="宋体"/>
          <w:color w:val="000000"/>
        </w:rPr>
      </w:pPr>
      <w:r>
        <w:rPr>
          <w:rFonts w:hAnsi="宋体" w:cs="宋体"/>
          <w:color w:val="000000"/>
        </w:rPr>
        <w:t>2. 使用说明书、质量检验证明书、随配附件和工具以及清单一并附于货物内。</w:t>
      </w:r>
    </w:p>
    <w:p>
      <w:pPr>
        <w:pStyle w:val="8"/>
        <w:snapToGrid w:val="0"/>
        <w:spacing w:beforeLines="0" w:afterLines="0" w:line="360" w:lineRule="exact"/>
        <w:ind w:firstLine="480" w:firstLineChars="200"/>
        <w:rPr>
          <w:rFonts w:hAnsi="宋体" w:cs="宋体"/>
          <w:color w:val="000000"/>
        </w:rPr>
      </w:pPr>
      <w:r>
        <w:rPr>
          <w:rFonts w:hAnsi="宋体" w:cs="宋体"/>
          <w:color w:val="000000"/>
        </w:rPr>
        <w:t>3. 乙方在货物发运手续办理完毕后24小时内或货到甲方48小时前通知甲方，以准备接货。</w:t>
      </w:r>
    </w:p>
    <w:p>
      <w:pPr>
        <w:pStyle w:val="8"/>
        <w:snapToGrid w:val="0"/>
        <w:spacing w:beforeLines="0" w:afterLines="0" w:line="360" w:lineRule="exact"/>
        <w:ind w:firstLine="480" w:firstLineChars="200"/>
        <w:rPr>
          <w:rFonts w:hAnsi="宋体" w:cs="宋体"/>
          <w:color w:val="000000"/>
        </w:rPr>
      </w:pPr>
      <w:r>
        <w:rPr>
          <w:rFonts w:hAnsi="宋体" w:cs="宋体"/>
          <w:color w:val="000000"/>
        </w:rPr>
        <w:t>4. 货物在交付甲方前发生的风险均由乙方负责。</w:t>
      </w:r>
    </w:p>
    <w:p>
      <w:pPr>
        <w:pStyle w:val="8"/>
        <w:snapToGrid w:val="0"/>
        <w:spacing w:before="120" w:after="120" w:line="360" w:lineRule="exact"/>
        <w:ind w:right="26" w:firstLine="480" w:firstLineChars="200"/>
        <w:rPr>
          <w:rFonts w:hAnsi="宋体" w:cs="宋体"/>
          <w:color w:val="000000"/>
        </w:rPr>
      </w:pPr>
      <w:r>
        <w:rPr>
          <w:rFonts w:hAnsi="宋体" w:cs="宋体"/>
          <w:color w:val="000000"/>
        </w:rPr>
        <w:t>5. 货物在规定的交付期限内由乙方送达甲方指定的地点视为交付，乙方同时需通知甲方货物已送达。</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十五、违约责任</w:t>
      </w:r>
    </w:p>
    <w:p>
      <w:pPr>
        <w:pStyle w:val="8"/>
        <w:snapToGrid w:val="0"/>
        <w:spacing w:beforeLines="0" w:afterLines="0" w:line="360" w:lineRule="exact"/>
        <w:ind w:firstLine="480" w:firstLineChars="200"/>
        <w:rPr>
          <w:rFonts w:hAnsi="宋体" w:cs="宋体"/>
          <w:color w:val="000000"/>
        </w:rPr>
      </w:pPr>
      <w:r>
        <w:rPr>
          <w:rFonts w:hAnsi="宋体" w:cs="宋体"/>
          <w:color w:val="000000"/>
        </w:rPr>
        <w:t>1. 甲方无正当理由拒收货物的，甲方向乙方偿付拒收货款总值的百分之五违约金。</w:t>
      </w:r>
    </w:p>
    <w:p>
      <w:pPr>
        <w:pStyle w:val="8"/>
        <w:snapToGrid w:val="0"/>
        <w:spacing w:beforeLines="0" w:afterLines="0" w:line="360" w:lineRule="exact"/>
        <w:ind w:firstLine="480" w:firstLineChars="200"/>
        <w:rPr>
          <w:rFonts w:hAnsi="宋体" w:cs="宋体"/>
          <w:color w:val="000000"/>
        </w:rPr>
      </w:pPr>
      <w:r>
        <w:rPr>
          <w:rFonts w:hAnsi="宋体" w:cs="宋体"/>
          <w:color w:val="000000"/>
        </w:rPr>
        <w:t>2. 甲方无故逾期验收和办理货款支付手续的,甲方应按逾期付款总额每日千分之一向乙方支付违约金。</w:t>
      </w:r>
    </w:p>
    <w:p>
      <w:pPr>
        <w:pStyle w:val="8"/>
        <w:snapToGrid w:val="0"/>
        <w:spacing w:beforeLines="0" w:afterLines="0" w:line="360" w:lineRule="exact"/>
        <w:ind w:firstLine="480" w:firstLineChars="200"/>
        <w:rPr>
          <w:rFonts w:hAnsi="宋体" w:cs="宋体"/>
          <w:color w:val="FF0000"/>
        </w:rPr>
      </w:pPr>
      <w:r>
        <w:rPr>
          <w:rFonts w:hAnsi="宋体" w:cs="宋体"/>
          <w:color w:val="FF0000"/>
        </w:rPr>
        <w:t>3. 乙方逾期交付货物的，乙方应按逾期交货总额每日</w:t>
      </w:r>
      <w:r>
        <w:rPr>
          <w:rFonts w:hint="eastAsia" w:hAnsi="宋体" w:cs="宋体"/>
          <w:color w:val="FF0000"/>
        </w:rPr>
        <w:t>千</w:t>
      </w:r>
      <w:r>
        <w:rPr>
          <w:rFonts w:hAnsi="宋体" w:cs="宋体"/>
          <w:color w:val="FF0000"/>
        </w:rPr>
        <w:t>分之一向甲方支付违约金，由甲方从待付货款中扣除。逾期超过约定日期10个工作日不能交货的，第11个工作日开始，乙方应按逾期交货总额每日</w:t>
      </w:r>
      <w:r>
        <w:rPr>
          <w:rFonts w:hint="eastAsia" w:hAnsi="宋体" w:cs="宋体"/>
          <w:color w:val="FF0000"/>
        </w:rPr>
        <w:t>千</w:t>
      </w:r>
      <w:r>
        <w:rPr>
          <w:rFonts w:hAnsi="宋体" w:cs="宋体"/>
          <w:color w:val="FF0000"/>
        </w:rPr>
        <w:t>分之一点</w:t>
      </w:r>
      <w:r>
        <w:rPr>
          <w:rFonts w:hint="eastAsia" w:hAnsi="宋体" w:cs="宋体"/>
          <w:color w:val="FF0000"/>
        </w:rPr>
        <w:t>五</w:t>
      </w:r>
      <w:r>
        <w:rPr>
          <w:rFonts w:hAnsi="宋体" w:cs="宋体"/>
          <w:color w:val="FF0000"/>
        </w:rPr>
        <w:t xml:space="preserve">向甲方支付违约金，逾期超过约定日期20个工作日不能交货的，甲方可解除本合同或向另外的中标供应商要求供货。乙方因逾期交货或因其他违约行为导致甲方解除合同的，乙方应向甲方支付合同总值30%的违约金，如造成甲方损失超过违约金的，超出部分由乙方继续承担赔偿责任。 </w:t>
      </w:r>
    </w:p>
    <w:p>
      <w:pPr>
        <w:pStyle w:val="8"/>
        <w:snapToGrid w:val="0"/>
        <w:spacing w:beforeLines="0" w:afterLines="0" w:line="360" w:lineRule="exact"/>
        <w:ind w:firstLine="480" w:firstLineChars="200"/>
        <w:rPr>
          <w:rFonts w:hAnsi="宋体" w:cs="宋体"/>
          <w:color w:val="FF0000"/>
        </w:rPr>
      </w:pPr>
      <w:r>
        <w:rPr>
          <w:rFonts w:hint="eastAsia" w:hAnsi="宋体" w:cs="宋体"/>
          <w:color w:val="FF0000"/>
        </w:rPr>
        <w:t>4.</w:t>
      </w:r>
      <w:r>
        <w:rPr>
          <w:rFonts w:hint="eastAsia" w:hAnsi="宋体"/>
        </w:rPr>
        <w:t>产品发生问题时，供方在接到需方的通知后（书面或电话）之日起24小时内赶赴现场进行维修。需方如遇紧急情况，供方应在12小时内赶赴现场进行维修，如果供方没有在规定的时间内赶赴现场进行维修，则甲方有权组织其他单位进行维修，维修费用从供方的违约保证金中扣除，同时</w:t>
      </w:r>
      <w:r>
        <w:rPr>
          <w:rFonts w:hint="eastAsia" w:hAnsi="宋体"/>
          <w:color w:val="FF0000"/>
        </w:rPr>
        <w:t>每迟到一次罚款（扣保证金）300元</w:t>
      </w:r>
      <w:r>
        <w:rPr>
          <w:rFonts w:hint="eastAsia" w:hAnsi="宋体"/>
        </w:rPr>
        <w:t>。</w:t>
      </w:r>
    </w:p>
    <w:p>
      <w:pPr>
        <w:pStyle w:val="8"/>
        <w:snapToGrid w:val="0"/>
        <w:spacing w:beforeLines="0" w:afterLines="0" w:line="360" w:lineRule="exact"/>
        <w:ind w:firstLine="480" w:firstLineChars="200"/>
        <w:rPr>
          <w:rFonts w:hAnsi="宋体" w:cs="宋体"/>
          <w:color w:val="000000"/>
        </w:rPr>
      </w:pPr>
      <w:r>
        <w:rPr>
          <w:rFonts w:hint="eastAsia" w:hAnsi="宋体" w:cs="宋体"/>
          <w:color w:val="000000"/>
        </w:rPr>
        <w:t>5</w:t>
      </w:r>
      <w:r>
        <w:rPr>
          <w:rFonts w:hAnsi="宋体" w:cs="宋体"/>
          <w:color w:val="000000"/>
        </w:rPr>
        <w:t>.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十六、不可抗力事件处理</w:t>
      </w:r>
    </w:p>
    <w:p>
      <w:pPr>
        <w:pStyle w:val="8"/>
        <w:snapToGrid w:val="0"/>
        <w:spacing w:beforeLines="0" w:afterLines="0" w:line="360" w:lineRule="exact"/>
        <w:ind w:firstLine="480" w:firstLineChars="200"/>
        <w:rPr>
          <w:rFonts w:hAnsi="宋体" w:cs="宋体"/>
          <w:color w:val="000000"/>
        </w:rPr>
      </w:pPr>
      <w:r>
        <w:rPr>
          <w:rFonts w:hAnsi="宋体" w:cs="宋体"/>
          <w:color w:val="000000"/>
        </w:rPr>
        <w:t>1. 在合同有效期内，任何一方因不可抗力事件导致不能履行合同，则合同履行期可延长，其延长期与不可抗力影响期相同。</w:t>
      </w:r>
    </w:p>
    <w:p>
      <w:pPr>
        <w:pStyle w:val="8"/>
        <w:snapToGrid w:val="0"/>
        <w:spacing w:beforeLines="0" w:afterLines="0" w:line="360" w:lineRule="exact"/>
        <w:ind w:firstLine="480" w:firstLineChars="200"/>
        <w:rPr>
          <w:rFonts w:hAnsi="宋体" w:cs="宋体"/>
          <w:color w:val="000000"/>
        </w:rPr>
      </w:pPr>
      <w:r>
        <w:rPr>
          <w:rFonts w:hAnsi="宋体" w:cs="宋体"/>
          <w:color w:val="000000"/>
        </w:rPr>
        <w:t>2. 不可抗力事件发生后，应立即通知对方，并寄送有关权威机构出具的证明。</w:t>
      </w:r>
    </w:p>
    <w:p>
      <w:pPr>
        <w:pStyle w:val="8"/>
        <w:snapToGrid w:val="0"/>
        <w:spacing w:beforeLines="0" w:afterLines="0" w:line="360" w:lineRule="exact"/>
        <w:ind w:firstLine="480" w:firstLineChars="200"/>
        <w:rPr>
          <w:rFonts w:hAnsi="宋体" w:cs="宋体"/>
          <w:color w:val="000000"/>
        </w:rPr>
      </w:pPr>
      <w:r>
        <w:rPr>
          <w:rFonts w:hAnsi="宋体" w:cs="宋体"/>
          <w:color w:val="000000"/>
        </w:rPr>
        <w:t>3. 不可抗力事件延续120天以上，双方应通过友好协商，确定是否继续履行合同。</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十七、诉讼</w:t>
      </w:r>
    </w:p>
    <w:p>
      <w:pPr>
        <w:pStyle w:val="8"/>
        <w:snapToGrid w:val="0"/>
        <w:spacing w:beforeLines="0" w:afterLines="0" w:line="360" w:lineRule="exact"/>
        <w:ind w:firstLine="480" w:firstLineChars="200"/>
        <w:rPr>
          <w:rFonts w:hAnsi="宋体" w:cs="宋体"/>
          <w:color w:val="000000"/>
        </w:rPr>
      </w:pPr>
      <w:r>
        <w:rPr>
          <w:rFonts w:hAnsi="宋体" w:cs="宋体"/>
          <w:color w:val="000000"/>
        </w:rPr>
        <w:t>双方在执行合同中所发生的一切争议，应通过协商解决。如协商不成，可向甲方所在地法院起诉。</w:t>
      </w:r>
    </w:p>
    <w:p>
      <w:pPr>
        <w:pStyle w:val="8"/>
        <w:snapToGrid w:val="0"/>
        <w:spacing w:beforeLines="0" w:afterLines="0" w:line="360" w:lineRule="exact"/>
        <w:ind w:firstLine="472" w:firstLineChars="196"/>
        <w:rPr>
          <w:rFonts w:hAnsi="宋体" w:cs="宋体"/>
          <w:b/>
          <w:color w:val="000000"/>
        </w:rPr>
      </w:pPr>
      <w:r>
        <w:rPr>
          <w:rFonts w:hAnsi="宋体" w:cs="宋体"/>
          <w:b/>
          <w:color w:val="000000"/>
        </w:rPr>
        <w:t>十八、合同生效及其它</w:t>
      </w:r>
    </w:p>
    <w:p>
      <w:pPr>
        <w:pStyle w:val="8"/>
        <w:snapToGrid w:val="0"/>
        <w:spacing w:beforeLines="0" w:afterLines="0" w:line="360" w:lineRule="exact"/>
        <w:ind w:firstLine="480" w:firstLineChars="200"/>
        <w:rPr>
          <w:rFonts w:hAnsi="宋体" w:cs="宋体"/>
          <w:color w:val="000000"/>
        </w:rPr>
      </w:pPr>
      <w:r>
        <w:rPr>
          <w:rFonts w:hAnsi="宋体" w:cs="宋体"/>
          <w:color w:val="000000"/>
        </w:rPr>
        <w:t>1. 合同经双方法定代表人或授权代表签字并加盖单位公章后生效。</w:t>
      </w:r>
    </w:p>
    <w:p>
      <w:pPr>
        <w:pStyle w:val="8"/>
        <w:snapToGrid w:val="0"/>
        <w:spacing w:beforeLines="0" w:afterLines="0" w:line="360" w:lineRule="exact"/>
        <w:ind w:firstLine="480" w:firstLineChars="200"/>
        <w:rPr>
          <w:rFonts w:hAnsi="宋体" w:cs="宋体"/>
          <w:color w:val="000000"/>
        </w:rPr>
      </w:pPr>
      <w:r>
        <w:rPr>
          <w:rFonts w:hAnsi="宋体" w:cs="宋体"/>
          <w:color w:val="000000"/>
        </w:rPr>
        <w:t>2.合同执行中涉及采购资金和采购内容修改或补充的，须经财政部门审批，并签书面补充协议报政府采购监督管理部门备案，方可作为主合同不可分割的一部分。</w:t>
      </w:r>
    </w:p>
    <w:p>
      <w:pPr>
        <w:pStyle w:val="8"/>
        <w:snapToGrid w:val="0"/>
        <w:spacing w:beforeLines="0" w:afterLines="0" w:line="360" w:lineRule="exact"/>
        <w:ind w:firstLine="480" w:firstLineChars="200"/>
        <w:rPr>
          <w:rFonts w:hAnsi="宋体" w:cs="宋体"/>
          <w:color w:val="000000"/>
        </w:rPr>
      </w:pPr>
      <w:r>
        <w:rPr>
          <w:rFonts w:hAnsi="宋体" w:cs="宋体"/>
          <w:color w:val="000000"/>
        </w:rPr>
        <w:t>3.本合同未尽事宜，遵照《合同法》有关条文执行。</w:t>
      </w:r>
    </w:p>
    <w:p>
      <w:pPr>
        <w:pStyle w:val="8"/>
        <w:snapToGrid w:val="0"/>
        <w:spacing w:beforeLines="0" w:afterLines="0" w:line="360" w:lineRule="exact"/>
        <w:ind w:firstLine="480" w:firstLineChars="200"/>
        <w:rPr>
          <w:rFonts w:hAnsi="宋体" w:cs="宋体"/>
          <w:color w:val="000000"/>
        </w:rPr>
      </w:pPr>
      <w:r>
        <w:rPr>
          <w:rFonts w:hAnsi="宋体" w:cs="宋体"/>
          <w:color w:val="000000"/>
        </w:rPr>
        <w:t>4.本合同正本一式五份，具有同等法律效力，甲乙双方各执一份；东阳市机关事务管理局、采购代理机构各存档一份，政府采购管理部门备案一份。</w:t>
      </w:r>
    </w:p>
    <w:p>
      <w:pPr>
        <w:snapToGrid w:val="0"/>
        <w:spacing w:line="360" w:lineRule="auto"/>
        <w:rPr>
          <w:rFonts w:ascii="宋体" w:hAnsi="宋体"/>
          <w:color w:val="000000"/>
          <w:sz w:val="24"/>
        </w:rPr>
      </w:pPr>
      <w:r>
        <w:rPr>
          <w:rFonts w:hint="eastAsia" w:ascii="宋体" w:hAnsi="宋体"/>
          <w:b/>
          <w:color w:val="000000"/>
          <w:sz w:val="24"/>
        </w:rPr>
        <w:t>甲方（公章）：        乙方（公章）：</w:t>
      </w:r>
    </w:p>
    <w:p>
      <w:pPr>
        <w:snapToGrid w:val="0"/>
        <w:spacing w:line="360" w:lineRule="auto"/>
        <w:rPr>
          <w:rFonts w:ascii="宋体" w:hAnsi="宋体"/>
          <w:color w:val="000000"/>
          <w:sz w:val="24"/>
        </w:rPr>
      </w:pPr>
      <w:r>
        <w:rPr>
          <w:rFonts w:hint="eastAsia" w:ascii="宋体" w:hAnsi="宋体"/>
          <w:color w:val="000000"/>
          <w:sz w:val="24"/>
        </w:rPr>
        <w:t>法定代表人或受委托人               法定代表人或受委托人</w:t>
      </w:r>
    </w:p>
    <w:p>
      <w:pPr>
        <w:snapToGrid w:val="0"/>
        <w:spacing w:line="360" w:lineRule="auto"/>
        <w:rPr>
          <w:rFonts w:ascii="宋体" w:hAnsi="宋体"/>
          <w:color w:val="000000"/>
          <w:sz w:val="24"/>
        </w:rPr>
      </w:pPr>
      <w:r>
        <w:rPr>
          <w:rFonts w:hint="eastAsia" w:ascii="宋体" w:hAnsi="宋体"/>
          <w:color w:val="000000"/>
          <w:sz w:val="24"/>
        </w:rPr>
        <w:t>（签字）                            （签字）</w:t>
      </w:r>
    </w:p>
    <w:p>
      <w:pPr>
        <w:snapToGrid w:val="0"/>
        <w:spacing w:line="360" w:lineRule="auto"/>
        <w:rPr>
          <w:rFonts w:ascii="宋体" w:hAnsi="宋体"/>
          <w:color w:val="000000"/>
          <w:sz w:val="24"/>
        </w:rPr>
      </w:pPr>
      <w:r>
        <w:rPr>
          <w:rFonts w:hint="eastAsia" w:ascii="宋体" w:hAnsi="宋体"/>
          <w:color w:val="000000"/>
          <w:sz w:val="24"/>
        </w:rPr>
        <w:t>地址：                             地址：</w:t>
      </w:r>
    </w:p>
    <w:p>
      <w:pPr>
        <w:snapToGrid w:val="0"/>
        <w:spacing w:line="360" w:lineRule="auto"/>
        <w:rPr>
          <w:rFonts w:ascii="宋体" w:hAnsi="宋体"/>
          <w:color w:val="000000"/>
          <w:sz w:val="24"/>
        </w:rPr>
      </w:pPr>
      <w:r>
        <w:rPr>
          <w:rFonts w:hint="eastAsia" w:ascii="宋体" w:hAnsi="宋体"/>
          <w:color w:val="000000"/>
          <w:sz w:val="24"/>
        </w:rPr>
        <w:t>邮编：                             邮编：</w:t>
      </w:r>
    </w:p>
    <w:p>
      <w:pPr>
        <w:snapToGrid w:val="0"/>
        <w:spacing w:line="360" w:lineRule="auto"/>
        <w:rPr>
          <w:rFonts w:ascii="宋体" w:hAnsi="宋体"/>
          <w:color w:val="000000"/>
          <w:sz w:val="24"/>
        </w:rPr>
      </w:pPr>
      <w:r>
        <w:rPr>
          <w:rFonts w:hint="eastAsia" w:ascii="宋体" w:hAnsi="宋体"/>
          <w:color w:val="000000"/>
          <w:sz w:val="24"/>
        </w:rPr>
        <w:t>电话：                             电话：</w:t>
      </w:r>
    </w:p>
    <w:p>
      <w:pPr>
        <w:snapToGrid w:val="0"/>
        <w:spacing w:line="360" w:lineRule="auto"/>
        <w:rPr>
          <w:rFonts w:ascii="宋体" w:hAnsi="宋体"/>
          <w:color w:val="000000"/>
          <w:sz w:val="24"/>
        </w:rPr>
      </w:pPr>
      <w:r>
        <w:rPr>
          <w:rFonts w:hint="eastAsia" w:ascii="宋体" w:hAnsi="宋体"/>
          <w:color w:val="000000"/>
          <w:sz w:val="24"/>
        </w:rPr>
        <w:t>传真：                             传真：</w:t>
      </w:r>
    </w:p>
    <w:p>
      <w:pPr>
        <w:snapToGrid w:val="0"/>
        <w:spacing w:line="360" w:lineRule="auto"/>
        <w:rPr>
          <w:rFonts w:ascii="宋体" w:hAnsi="宋体"/>
          <w:b/>
          <w:bCs/>
          <w:color w:val="000000"/>
          <w:szCs w:val="21"/>
        </w:rPr>
      </w:pPr>
      <w:r>
        <w:rPr>
          <w:rFonts w:hint="eastAsia" w:ascii="宋体" w:hAnsi="宋体"/>
          <w:color w:val="000000"/>
          <w:sz w:val="24"/>
        </w:rPr>
        <w:t>户名：                             户名：</w:t>
      </w:r>
    </w:p>
    <w:p>
      <w:pPr>
        <w:snapToGrid w:val="0"/>
        <w:spacing w:line="360" w:lineRule="auto"/>
        <w:rPr>
          <w:rFonts w:ascii="宋体" w:hAnsi="宋体"/>
          <w:color w:val="000000"/>
          <w:sz w:val="24"/>
        </w:rPr>
      </w:pPr>
      <w:r>
        <w:rPr>
          <w:rFonts w:hint="eastAsia" w:ascii="宋体" w:hAnsi="宋体"/>
          <w:color w:val="000000"/>
          <w:sz w:val="24"/>
        </w:rPr>
        <w:t>开户银行：                         开户银行：</w:t>
      </w:r>
    </w:p>
    <w:p>
      <w:pPr>
        <w:snapToGrid w:val="0"/>
        <w:spacing w:line="360" w:lineRule="auto"/>
        <w:rPr>
          <w:rFonts w:hAnsi="宋体" w:cs="宋体"/>
        </w:rPr>
      </w:pPr>
      <w:r>
        <w:rPr>
          <w:rFonts w:hint="eastAsia" w:ascii="宋体" w:hAnsi="宋体"/>
          <w:color w:val="000000"/>
          <w:sz w:val="24"/>
        </w:rPr>
        <w:t>帐号：                             帐号：</w:t>
      </w:r>
    </w:p>
    <w:p>
      <w:pPr>
        <w:snapToGrid w:val="0"/>
        <w:spacing w:line="276" w:lineRule="auto"/>
        <w:rPr>
          <w:rFonts w:ascii="宋体" w:hAnsi="宋体"/>
          <w:b/>
          <w:bCs/>
          <w:sz w:val="24"/>
        </w:rPr>
      </w:pPr>
      <w:r>
        <w:rPr>
          <w:rFonts w:hint="eastAsia" w:ascii="宋体" w:hAnsi="宋体"/>
          <w:b/>
          <w:bCs/>
          <w:sz w:val="24"/>
        </w:rPr>
        <w:t>鉴证方:</w:t>
      </w:r>
    </w:p>
    <w:p>
      <w:pPr>
        <w:snapToGrid w:val="0"/>
        <w:spacing w:line="276" w:lineRule="auto"/>
        <w:rPr>
          <w:rFonts w:ascii="宋体" w:hAnsi="宋体"/>
          <w:sz w:val="24"/>
        </w:rPr>
      </w:pPr>
      <w:r>
        <w:rPr>
          <w:rFonts w:hint="eastAsia" w:ascii="宋体" w:hAnsi="宋体"/>
          <w:sz w:val="24"/>
        </w:rPr>
        <w:t>项目经办人:</w:t>
      </w:r>
    </w:p>
    <w:p>
      <w:pPr>
        <w:snapToGrid w:val="0"/>
        <w:spacing w:line="276" w:lineRule="auto"/>
        <w:rPr>
          <w:rFonts w:ascii="宋体" w:hAnsi="宋体"/>
          <w:sz w:val="24"/>
        </w:rPr>
      </w:pPr>
    </w:p>
    <w:p>
      <w:pPr>
        <w:snapToGrid w:val="0"/>
        <w:spacing w:line="276" w:lineRule="auto"/>
        <w:rPr>
          <w:rFonts w:ascii="宋体" w:hAnsi="宋体"/>
          <w:sz w:val="24"/>
        </w:rPr>
      </w:pPr>
      <w:r>
        <w:rPr>
          <w:rFonts w:hint="eastAsia" w:ascii="宋体" w:hAnsi="宋体"/>
          <w:sz w:val="24"/>
        </w:rPr>
        <w:t xml:space="preserve">   签约地点：                            签约时间：</w:t>
      </w:r>
    </w:p>
    <w:p>
      <w:pPr>
        <w:snapToGrid w:val="0"/>
        <w:spacing w:line="276" w:lineRule="auto"/>
        <w:rPr>
          <w:rFonts w:ascii="宋体" w:hAnsi="宋体"/>
          <w:sz w:val="24"/>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p>
    <w:p>
      <w:pPr>
        <w:pStyle w:val="8"/>
        <w:snapToGrid w:val="0"/>
        <w:spacing w:before="120" w:after="120" w:line="240" w:lineRule="auto"/>
        <w:jc w:val="center"/>
        <w:rPr>
          <w:rFonts w:ascii="黑体" w:hAnsi="宋体" w:eastAsia="黑体"/>
          <w:b/>
          <w:color w:val="000000"/>
          <w:sz w:val="30"/>
          <w:szCs w:val="30"/>
        </w:rPr>
      </w:pPr>
      <w:r>
        <w:rPr>
          <w:rFonts w:hint="eastAsia" w:ascii="黑体" w:hAnsi="宋体" w:eastAsia="黑体"/>
          <w:b/>
          <w:color w:val="000000"/>
          <w:sz w:val="30"/>
          <w:szCs w:val="30"/>
        </w:rPr>
        <w:t>第六章　投标文件格式</w:t>
      </w:r>
    </w:p>
    <w:p>
      <w:pPr>
        <w:pStyle w:val="8"/>
        <w:tabs>
          <w:tab w:val="left" w:pos="2472"/>
        </w:tabs>
        <w:snapToGrid w:val="0"/>
        <w:spacing w:beforeLines="0" w:afterLines="0" w:line="240" w:lineRule="auto"/>
        <w:rPr>
          <w:rFonts w:hAnsi="宋体"/>
          <w:b/>
          <w:color w:val="000000"/>
        </w:rPr>
      </w:pPr>
      <w:r>
        <w:rPr>
          <w:rFonts w:hint="eastAsia" w:hAnsi="宋体"/>
          <w:b/>
          <w:color w:val="000000"/>
        </w:rPr>
        <w:t>附件一：</w:t>
      </w:r>
    </w:p>
    <w:p>
      <w:pPr>
        <w:snapToGrid w:val="0"/>
        <w:spacing w:beforeLines="50" w:after="50"/>
        <w:rPr>
          <w:rFonts w:ascii="宋体" w:hAnsi="宋体"/>
          <w:b/>
          <w:color w:val="000000"/>
          <w:sz w:val="24"/>
        </w:rPr>
      </w:pPr>
      <w:r>
        <w:rPr>
          <w:rFonts w:ascii="宋体" w:hAnsi="宋体"/>
          <w:b/>
          <w:color w:val="000000"/>
          <w:sz w:val="24"/>
        </w:rPr>
        <w:t>1</w:t>
      </w:r>
      <w:r>
        <w:rPr>
          <w:rFonts w:hint="eastAsia" w:ascii="宋体" w:hAnsi="宋体"/>
          <w:b/>
          <w:color w:val="000000"/>
          <w:sz w:val="24"/>
        </w:rPr>
        <w:t>.所有投标文件的外包装封面格式：</w:t>
      </w:r>
    </w:p>
    <w:p>
      <w:pPr>
        <w:snapToGrid w:val="0"/>
        <w:spacing w:beforeLines="50" w:after="50"/>
        <w:jc w:val="center"/>
        <w:rPr>
          <w:rFonts w:ascii="宋体" w:hAnsi="宋体"/>
          <w:bCs/>
          <w:color w:val="000000"/>
          <w:sz w:val="24"/>
        </w:rPr>
      </w:pPr>
    </w:p>
    <w:p>
      <w:pPr>
        <w:snapToGrid w:val="0"/>
        <w:spacing w:beforeLines="50" w:after="50"/>
        <w:jc w:val="center"/>
        <w:rPr>
          <w:rFonts w:ascii="宋体" w:hAnsi="宋体"/>
          <w:b/>
          <w:bCs/>
          <w:color w:val="000000"/>
          <w:sz w:val="24"/>
        </w:rPr>
      </w:pPr>
      <w:r>
        <w:rPr>
          <w:rFonts w:hint="eastAsia" w:ascii="宋体" w:hAnsi="宋体"/>
          <w:b/>
          <w:bCs/>
          <w:color w:val="000000"/>
          <w:sz w:val="24"/>
        </w:rPr>
        <w:t>投标文件</w:t>
      </w:r>
    </w:p>
    <w:p>
      <w:pPr>
        <w:snapToGrid w:val="0"/>
        <w:spacing w:beforeLines="50" w:after="50"/>
        <w:jc w:val="center"/>
        <w:rPr>
          <w:rFonts w:ascii="宋体" w:hAnsi="宋体"/>
          <w:bCs/>
          <w:color w:val="000000"/>
          <w:sz w:val="24"/>
        </w:rPr>
      </w:pPr>
    </w:p>
    <w:p>
      <w:pPr>
        <w:ind w:left="1293" w:leftChars="513" w:hanging="216" w:hangingChars="90"/>
        <w:rPr>
          <w:rFonts w:ascii="宋体" w:hAnsi="宋体"/>
          <w:bCs/>
          <w:color w:val="000000"/>
          <w:sz w:val="24"/>
          <w:u w:val="single"/>
        </w:rPr>
      </w:pPr>
      <w:r>
        <w:rPr>
          <w:rFonts w:hint="eastAsia" w:ascii="宋体" w:hAnsi="宋体"/>
          <w:bCs/>
          <w:color w:val="000000"/>
          <w:sz w:val="24"/>
        </w:rPr>
        <w:t>项目名称：</w:t>
      </w:r>
    </w:p>
    <w:p>
      <w:pPr>
        <w:snapToGrid w:val="0"/>
        <w:spacing w:beforeLines="50" w:after="50"/>
        <w:ind w:left="2267" w:leftChars="508" w:hanging="1200" w:hangingChars="500"/>
        <w:rPr>
          <w:rFonts w:ascii="宋体" w:hAnsi="宋体"/>
          <w:bCs/>
          <w:color w:val="000000"/>
          <w:sz w:val="24"/>
        </w:rPr>
      </w:pPr>
      <w:r>
        <w:rPr>
          <w:rFonts w:hint="eastAsia" w:ascii="宋体" w:hAnsi="宋体"/>
          <w:bCs/>
          <w:color w:val="000000"/>
          <w:sz w:val="24"/>
        </w:rPr>
        <w:t>项目编号：</w:t>
      </w:r>
      <w:r>
        <w:rPr>
          <w:rFonts w:hint="eastAsia" w:ascii="宋体" w:hAnsi="宋体"/>
          <w:bCs/>
          <w:color w:val="000000"/>
          <w:sz w:val="24"/>
          <w:u w:val="single"/>
        </w:rPr>
        <w:t xml:space="preserve">DYCG2019-   </w:t>
      </w:r>
    </w:p>
    <w:p>
      <w:pPr>
        <w:snapToGrid w:val="0"/>
        <w:spacing w:beforeLines="50" w:after="50"/>
        <w:ind w:left="2267" w:leftChars="508" w:hanging="1200" w:hangingChars="500"/>
        <w:rPr>
          <w:rFonts w:ascii="宋体" w:hAnsi="宋体"/>
          <w:bCs/>
          <w:color w:val="000000"/>
          <w:sz w:val="24"/>
        </w:rPr>
      </w:pPr>
      <w:r>
        <w:rPr>
          <w:rFonts w:hint="eastAsia" w:ascii="宋体" w:hAnsi="宋体"/>
          <w:bCs/>
          <w:color w:val="000000"/>
          <w:sz w:val="24"/>
        </w:rPr>
        <w:t>标项：</w:t>
      </w:r>
    </w:p>
    <w:p>
      <w:pPr>
        <w:snapToGrid w:val="0"/>
        <w:spacing w:beforeLines="50" w:after="50"/>
        <w:ind w:firstLine="1068" w:firstLineChars="445"/>
        <w:rPr>
          <w:rFonts w:ascii="宋体" w:hAnsi="宋体"/>
          <w:bCs/>
          <w:color w:val="000000"/>
          <w:sz w:val="24"/>
        </w:rPr>
      </w:pPr>
      <w:r>
        <w:rPr>
          <w:rFonts w:hint="eastAsia" w:ascii="宋体" w:hAnsi="宋体"/>
          <w:bCs/>
          <w:color w:val="000000"/>
          <w:sz w:val="24"/>
        </w:rPr>
        <w:t>投标文件名称：资信/商务文件、技术文件、报价文件</w:t>
      </w:r>
    </w:p>
    <w:p>
      <w:pPr>
        <w:snapToGrid w:val="0"/>
        <w:spacing w:beforeLines="50" w:after="50"/>
        <w:ind w:firstLine="1068" w:firstLineChars="445"/>
        <w:rPr>
          <w:rFonts w:ascii="宋体" w:hAnsi="宋体"/>
          <w:bCs/>
          <w:color w:val="000000"/>
          <w:sz w:val="24"/>
        </w:rPr>
      </w:pPr>
      <w:r>
        <w:rPr>
          <w:rFonts w:hint="eastAsia" w:ascii="宋体" w:hAnsi="宋体"/>
          <w:bCs/>
          <w:color w:val="000000"/>
          <w:sz w:val="24"/>
        </w:rPr>
        <w:t>投标人名称：</w:t>
      </w:r>
    </w:p>
    <w:p>
      <w:pPr>
        <w:snapToGrid w:val="0"/>
        <w:spacing w:beforeLines="50" w:after="50"/>
        <w:ind w:firstLine="1068" w:firstLineChars="445"/>
        <w:rPr>
          <w:rFonts w:ascii="宋体" w:hAnsi="宋体"/>
          <w:bCs/>
          <w:color w:val="000000"/>
          <w:sz w:val="24"/>
        </w:rPr>
      </w:pPr>
      <w:r>
        <w:rPr>
          <w:rFonts w:hint="eastAsia" w:ascii="宋体" w:hAnsi="宋体"/>
          <w:bCs/>
          <w:color w:val="000000"/>
          <w:sz w:val="24"/>
        </w:rPr>
        <w:t>投标人地址：</w:t>
      </w:r>
    </w:p>
    <w:p>
      <w:pPr>
        <w:snapToGrid w:val="0"/>
        <w:spacing w:beforeLines="50" w:after="50"/>
        <w:ind w:firstLine="1068" w:firstLineChars="445"/>
        <w:rPr>
          <w:rFonts w:ascii="宋体" w:hAnsi="宋体"/>
          <w:bCs/>
          <w:color w:val="000000"/>
          <w:sz w:val="24"/>
        </w:rPr>
      </w:pPr>
      <w:r>
        <w:rPr>
          <w:rFonts w:hint="eastAsia" w:ascii="宋体" w:hAnsi="宋体"/>
          <w:bCs/>
          <w:color w:val="000000"/>
          <w:sz w:val="24"/>
        </w:rPr>
        <w:t>在年月日时分之前不得启封</w:t>
      </w:r>
    </w:p>
    <w:p>
      <w:pPr>
        <w:snapToGrid w:val="0"/>
        <w:spacing w:beforeLines="50" w:after="50"/>
        <w:ind w:firstLine="4080" w:firstLineChars="1700"/>
        <w:rPr>
          <w:rFonts w:ascii="宋体" w:hAnsi="宋体"/>
          <w:bCs/>
          <w:color w:val="000000"/>
          <w:sz w:val="24"/>
          <w:szCs w:val="20"/>
        </w:rPr>
      </w:pPr>
    </w:p>
    <w:p>
      <w:pPr>
        <w:snapToGrid w:val="0"/>
        <w:spacing w:beforeLines="50" w:after="50"/>
        <w:ind w:firstLine="645"/>
        <w:jc w:val="center"/>
        <w:rPr>
          <w:rFonts w:ascii="宋体" w:hAnsi="宋体"/>
          <w:bCs/>
          <w:color w:val="000000"/>
          <w:sz w:val="24"/>
          <w:szCs w:val="20"/>
        </w:rPr>
      </w:pPr>
      <w:r>
        <w:rPr>
          <w:rFonts w:hint="eastAsia" w:ascii="宋体" w:hAnsi="宋体"/>
          <w:bCs/>
          <w:color w:val="000000"/>
          <w:sz w:val="24"/>
        </w:rPr>
        <w:t>年  月  日</w:t>
      </w:r>
    </w:p>
    <w:p>
      <w:pPr>
        <w:snapToGrid w:val="0"/>
        <w:spacing w:beforeLines="50" w:after="50"/>
        <w:jc w:val="center"/>
        <w:outlineLvl w:val="1"/>
        <w:rPr>
          <w:rFonts w:ascii="宋体" w:hAnsi="宋体"/>
          <w:color w:val="000000"/>
        </w:rPr>
      </w:pPr>
    </w:p>
    <w:p>
      <w:pPr>
        <w:snapToGrid w:val="0"/>
        <w:spacing w:beforeLines="50" w:after="50"/>
        <w:rPr>
          <w:rFonts w:ascii="宋体" w:hAnsi="宋体"/>
          <w:b/>
          <w:color w:val="000000"/>
          <w:sz w:val="24"/>
        </w:rPr>
      </w:pPr>
    </w:p>
    <w:p>
      <w:pPr>
        <w:snapToGrid w:val="0"/>
        <w:spacing w:beforeLines="50" w:after="50"/>
        <w:rPr>
          <w:rFonts w:ascii="宋体" w:hAnsi="宋体"/>
          <w:b/>
          <w:color w:val="000000"/>
          <w:sz w:val="24"/>
          <w:szCs w:val="20"/>
        </w:rPr>
      </w:pPr>
      <w:r>
        <w:rPr>
          <w:rFonts w:hint="eastAsia" w:ascii="宋体" w:hAnsi="宋体"/>
          <w:b/>
          <w:color w:val="000000"/>
          <w:sz w:val="24"/>
        </w:rPr>
        <w:t>2.所有投标文件封面格式：</w:t>
      </w:r>
    </w:p>
    <w:p>
      <w:pPr>
        <w:snapToGrid w:val="0"/>
        <w:spacing w:beforeLines="50" w:after="50"/>
        <w:rPr>
          <w:rFonts w:ascii="宋体" w:hAnsi="宋体"/>
          <w:b/>
          <w:bCs/>
          <w:color w:val="000000"/>
          <w:sz w:val="32"/>
          <w:szCs w:val="20"/>
        </w:rPr>
      </w:pPr>
      <w:r>
        <w:rPr>
          <w:rFonts w:hint="eastAsia" w:ascii="宋体" w:hAnsi="宋体"/>
          <w:b/>
          <w:bCs/>
          <w:color w:val="000000"/>
        </w:rPr>
        <w:t>正本</w:t>
      </w:r>
      <w:r>
        <w:rPr>
          <w:rFonts w:ascii="宋体" w:hAnsi="宋体"/>
          <w:b/>
          <w:bCs/>
          <w:color w:val="000000"/>
        </w:rPr>
        <w:t>/</w:t>
      </w:r>
      <w:r>
        <w:rPr>
          <w:rFonts w:hint="eastAsia" w:ascii="宋体" w:hAnsi="宋体"/>
          <w:b/>
          <w:bCs/>
          <w:color w:val="000000"/>
        </w:rPr>
        <w:t>或副本</w:t>
      </w:r>
    </w:p>
    <w:p>
      <w:pPr>
        <w:snapToGrid w:val="0"/>
        <w:spacing w:beforeLines="50" w:after="50"/>
        <w:rPr>
          <w:rFonts w:ascii="宋体" w:hAnsi="宋体"/>
          <w:color w:val="000000"/>
          <w:sz w:val="24"/>
          <w:szCs w:val="20"/>
        </w:rPr>
      </w:pPr>
    </w:p>
    <w:p>
      <w:pPr>
        <w:snapToGrid w:val="0"/>
        <w:spacing w:beforeLines="50" w:after="50"/>
        <w:jc w:val="center"/>
        <w:rPr>
          <w:rFonts w:ascii="宋体" w:hAnsi="宋体"/>
          <w:bCs/>
          <w:color w:val="000000"/>
          <w:sz w:val="24"/>
          <w:szCs w:val="20"/>
        </w:rPr>
      </w:pPr>
    </w:p>
    <w:p>
      <w:pPr>
        <w:snapToGrid w:val="0"/>
        <w:spacing w:beforeLines="50" w:after="50"/>
        <w:jc w:val="center"/>
        <w:rPr>
          <w:rFonts w:ascii="宋体" w:hAnsi="宋体"/>
          <w:b/>
          <w:bCs/>
          <w:color w:val="000000"/>
          <w:sz w:val="24"/>
          <w:szCs w:val="20"/>
        </w:rPr>
      </w:pPr>
      <w:r>
        <w:rPr>
          <w:rFonts w:hint="eastAsia" w:ascii="宋体" w:hAnsi="宋体"/>
          <w:b/>
          <w:bCs/>
          <w:color w:val="000000"/>
          <w:sz w:val="24"/>
        </w:rPr>
        <w:t>资信</w:t>
      </w:r>
      <w:r>
        <w:rPr>
          <w:rFonts w:ascii="宋体" w:hAnsi="宋体"/>
          <w:b/>
          <w:bCs/>
          <w:color w:val="000000"/>
          <w:sz w:val="24"/>
        </w:rPr>
        <w:t>/</w:t>
      </w:r>
      <w:r>
        <w:rPr>
          <w:rFonts w:hint="eastAsia" w:ascii="宋体" w:hAnsi="宋体"/>
          <w:b/>
          <w:bCs/>
          <w:color w:val="000000"/>
          <w:sz w:val="24"/>
        </w:rPr>
        <w:t>商务、技术、报价文件</w:t>
      </w:r>
    </w:p>
    <w:p>
      <w:pPr>
        <w:snapToGrid w:val="0"/>
        <w:spacing w:beforeLines="50" w:after="50"/>
        <w:rPr>
          <w:rFonts w:ascii="宋体" w:hAnsi="宋体"/>
          <w:bCs/>
          <w:color w:val="000000"/>
          <w:sz w:val="24"/>
          <w:szCs w:val="20"/>
        </w:rPr>
      </w:pPr>
    </w:p>
    <w:p>
      <w:pPr>
        <w:snapToGrid w:val="0"/>
        <w:spacing w:beforeLines="50" w:after="50"/>
        <w:ind w:left="2267" w:leftChars="508" w:hanging="1200" w:hangingChars="500"/>
        <w:rPr>
          <w:rFonts w:ascii="宋体" w:hAnsi="宋体"/>
          <w:bCs/>
          <w:color w:val="000000"/>
          <w:sz w:val="24"/>
          <w:u w:val="single"/>
        </w:rPr>
      </w:pPr>
      <w:r>
        <w:rPr>
          <w:rFonts w:hint="eastAsia" w:ascii="宋体" w:hAnsi="宋体"/>
          <w:bCs/>
          <w:color w:val="000000"/>
          <w:sz w:val="24"/>
        </w:rPr>
        <w:t>项目名称：</w:t>
      </w:r>
    </w:p>
    <w:p>
      <w:pPr>
        <w:snapToGrid w:val="0"/>
        <w:spacing w:beforeLines="50" w:after="50"/>
        <w:ind w:left="2267" w:leftChars="508" w:hanging="1200" w:hangingChars="500"/>
        <w:rPr>
          <w:rFonts w:ascii="宋体" w:hAnsi="宋体"/>
          <w:bCs/>
          <w:color w:val="000000"/>
          <w:sz w:val="24"/>
        </w:rPr>
      </w:pPr>
      <w:r>
        <w:rPr>
          <w:rFonts w:hint="eastAsia" w:ascii="宋体" w:hAnsi="宋体"/>
          <w:bCs/>
          <w:color w:val="000000"/>
          <w:sz w:val="24"/>
        </w:rPr>
        <w:t>项目编号：</w:t>
      </w:r>
      <w:r>
        <w:rPr>
          <w:rFonts w:hint="eastAsia" w:ascii="宋体" w:hAnsi="宋体"/>
          <w:bCs/>
          <w:color w:val="000000"/>
          <w:sz w:val="24"/>
          <w:u w:val="single"/>
        </w:rPr>
        <w:t xml:space="preserve">DYCG2019-     </w:t>
      </w:r>
    </w:p>
    <w:p>
      <w:pPr>
        <w:snapToGrid w:val="0"/>
        <w:spacing w:beforeLines="50" w:after="50"/>
        <w:ind w:firstLine="1068" w:firstLineChars="445"/>
        <w:rPr>
          <w:rFonts w:ascii="宋体" w:hAnsi="宋体"/>
          <w:bCs/>
          <w:color w:val="000000"/>
          <w:sz w:val="24"/>
        </w:rPr>
      </w:pPr>
      <w:r>
        <w:rPr>
          <w:rFonts w:hint="eastAsia" w:ascii="宋体" w:hAnsi="宋体"/>
          <w:bCs/>
          <w:color w:val="000000"/>
          <w:sz w:val="24"/>
        </w:rPr>
        <w:t>标项：</w:t>
      </w:r>
    </w:p>
    <w:p>
      <w:pPr>
        <w:snapToGrid w:val="0"/>
        <w:spacing w:beforeLines="50" w:after="50"/>
        <w:ind w:firstLine="1068" w:firstLineChars="445"/>
        <w:rPr>
          <w:rFonts w:ascii="宋体" w:hAnsi="宋体"/>
          <w:bCs/>
          <w:color w:val="000000"/>
          <w:sz w:val="24"/>
        </w:rPr>
      </w:pPr>
      <w:r>
        <w:rPr>
          <w:rFonts w:hint="eastAsia" w:ascii="宋体" w:hAnsi="宋体"/>
          <w:bCs/>
          <w:color w:val="000000"/>
          <w:sz w:val="24"/>
        </w:rPr>
        <w:t>投标人名称：</w:t>
      </w:r>
    </w:p>
    <w:p>
      <w:pPr>
        <w:snapToGrid w:val="0"/>
        <w:spacing w:beforeLines="50" w:after="50"/>
        <w:ind w:firstLine="1068" w:firstLineChars="445"/>
        <w:rPr>
          <w:rFonts w:ascii="宋体" w:hAnsi="宋体"/>
          <w:bCs/>
          <w:color w:val="000000"/>
          <w:sz w:val="24"/>
        </w:rPr>
      </w:pPr>
      <w:r>
        <w:rPr>
          <w:rFonts w:hint="eastAsia" w:ascii="宋体" w:hAnsi="宋体"/>
          <w:bCs/>
          <w:color w:val="000000"/>
          <w:sz w:val="24"/>
        </w:rPr>
        <w:t>投标人地址：</w:t>
      </w:r>
    </w:p>
    <w:p>
      <w:pPr>
        <w:snapToGrid w:val="0"/>
        <w:spacing w:beforeLines="50" w:after="50"/>
        <w:rPr>
          <w:rFonts w:ascii="宋体" w:hAnsi="宋体"/>
          <w:color w:val="000000"/>
          <w:sz w:val="24"/>
          <w:szCs w:val="20"/>
        </w:rPr>
      </w:pPr>
    </w:p>
    <w:p>
      <w:pPr>
        <w:snapToGrid w:val="0"/>
        <w:spacing w:beforeLines="50" w:after="50"/>
        <w:ind w:firstLine="645"/>
        <w:jc w:val="center"/>
        <w:rPr>
          <w:rFonts w:ascii="宋体" w:hAnsi="宋体"/>
          <w:color w:val="000000"/>
          <w:sz w:val="24"/>
          <w:szCs w:val="20"/>
        </w:rPr>
      </w:pPr>
      <w:r>
        <w:rPr>
          <w:rFonts w:hint="eastAsia" w:ascii="宋体" w:hAnsi="宋体"/>
          <w:color w:val="000000"/>
          <w:sz w:val="24"/>
        </w:rPr>
        <w:t>年  月  日</w:t>
      </w:r>
    </w:p>
    <w:p>
      <w:pPr>
        <w:numPr>
          <w:ilvl w:val="0"/>
          <w:numId w:val="7"/>
        </w:numPr>
        <w:snapToGrid w:val="0"/>
        <w:spacing w:beforeLines="50"/>
        <w:ind w:firstLine="411" w:firstLineChars="196"/>
        <w:jc w:val="left"/>
        <w:rPr>
          <w:rFonts w:ascii="宋体" w:hAnsi="宋体"/>
          <w:b/>
          <w:sz w:val="24"/>
        </w:rPr>
      </w:pPr>
      <w:r>
        <w:rPr>
          <w:rFonts w:ascii="宋体" w:hAnsi="宋体"/>
          <w:color w:val="000000"/>
        </w:rPr>
        <w:br w:type="page"/>
      </w:r>
      <w:r>
        <w:rPr>
          <w:rFonts w:ascii="宋体" w:hAnsi="宋体"/>
          <w:b/>
          <w:sz w:val="24"/>
        </w:rPr>
        <w:t>资信及商务文件：</w:t>
      </w:r>
    </w:p>
    <w:p>
      <w:pPr>
        <w:snapToGrid w:val="0"/>
        <w:ind w:left="540"/>
        <w:jc w:val="left"/>
        <w:rPr>
          <w:rFonts w:ascii="宋体" w:hAnsi="宋体"/>
          <w:color w:val="000000"/>
        </w:rPr>
      </w:pPr>
    </w:p>
    <w:p>
      <w:pPr>
        <w:numPr>
          <w:ilvl w:val="0"/>
          <w:numId w:val="8"/>
        </w:numPr>
        <w:snapToGrid w:val="0"/>
        <w:jc w:val="left"/>
        <w:rPr>
          <w:rFonts w:ascii="宋体" w:hAnsi="宋体"/>
          <w:sz w:val="24"/>
        </w:rPr>
      </w:pPr>
      <w:r>
        <w:rPr>
          <w:rFonts w:hint="eastAsia" w:ascii="宋体" w:hAnsi="宋体"/>
          <w:sz w:val="24"/>
        </w:rPr>
        <w:t>投标单位情况表（格式见附件）；</w:t>
      </w:r>
    </w:p>
    <w:p>
      <w:pPr>
        <w:numPr>
          <w:ilvl w:val="0"/>
          <w:numId w:val="8"/>
        </w:numPr>
        <w:snapToGrid w:val="0"/>
        <w:jc w:val="left"/>
        <w:rPr>
          <w:rFonts w:ascii="宋体" w:hAnsi="宋体"/>
          <w:sz w:val="24"/>
        </w:rPr>
      </w:pPr>
      <w:r>
        <w:rPr>
          <w:rFonts w:hint="eastAsia" w:ascii="宋体" w:hAnsi="宋体"/>
          <w:sz w:val="24"/>
        </w:rPr>
        <w:t>投标声明书（格式见附件）；</w:t>
      </w:r>
    </w:p>
    <w:p>
      <w:pPr>
        <w:numPr>
          <w:ilvl w:val="0"/>
          <w:numId w:val="8"/>
        </w:numPr>
        <w:snapToGrid w:val="0"/>
        <w:jc w:val="left"/>
        <w:rPr>
          <w:rFonts w:ascii="宋体" w:hAnsi="宋体"/>
          <w:sz w:val="24"/>
        </w:rPr>
      </w:pPr>
      <w:r>
        <w:rPr>
          <w:rFonts w:hint="eastAsia" w:ascii="宋体" w:hAnsi="宋体"/>
          <w:sz w:val="24"/>
        </w:rPr>
        <w:t>法定代表人授权委托书（格式见附件）；</w:t>
      </w:r>
    </w:p>
    <w:p>
      <w:pPr>
        <w:numPr>
          <w:ilvl w:val="0"/>
          <w:numId w:val="8"/>
        </w:numPr>
        <w:snapToGrid w:val="0"/>
        <w:jc w:val="left"/>
        <w:rPr>
          <w:rFonts w:ascii="宋体" w:hAnsi="宋体"/>
          <w:sz w:val="24"/>
        </w:rPr>
      </w:pPr>
      <w:r>
        <w:rPr>
          <w:rFonts w:hint="eastAsia" w:ascii="宋体" w:hAnsi="宋体"/>
          <w:sz w:val="24"/>
        </w:rPr>
        <w:t>法定代表人身份证复印件或被授权人身份证复印件；</w:t>
      </w:r>
    </w:p>
    <w:p>
      <w:pPr>
        <w:numPr>
          <w:ilvl w:val="0"/>
          <w:numId w:val="8"/>
        </w:numPr>
        <w:snapToGrid w:val="0"/>
        <w:jc w:val="left"/>
        <w:rPr>
          <w:rFonts w:ascii="宋体" w:hAnsi="宋体"/>
          <w:sz w:val="24"/>
        </w:rPr>
      </w:pPr>
      <w:r>
        <w:rPr>
          <w:rFonts w:hint="eastAsia" w:ascii="宋体" w:hAnsi="宋体"/>
          <w:sz w:val="24"/>
        </w:rPr>
        <w:t>2018年第四季度的财务会计报表；</w:t>
      </w:r>
    </w:p>
    <w:p>
      <w:pPr>
        <w:numPr>
          <w:ilvl w:val="0"/>
          <w:numId w:val="8"/>
        </w:numPr>
        <w:snapToGrid w:val="0"/>
        <w:jc w:val="left"/>
        <w:rPr>
          <w:rFonts w:ascii="宋体" w:hAnsi="宋体"/>
          <w:sz w:val="24"/>
        </w:rPr>
      </w:pPr>
      <w:r>
        <w:rPr>
          <w:rFonts w:hint="eastAsia" w:ascii="宋体" w:hAnsi="宋体"/>
          <w:sz w:val="24"/>
        </w:rPr>
        <w:t>最近一个季度依法缴纳税收[税费缴纳凭证复印件，或依法免缴税费的证明（复印件，原件备查并一年内有效，格式自拟）] ，及最近一个季度依法缴纳社保费的缴纳凭证复印件或网站上拉具的社保缴纳清单（须附社保参保人员花名册）；</w:t>
      </w:r>
    </w:p>
    <w:p>
      <w:pPr>
        <w:numPr>
          <w:ilvl w:val="0"/>
          <w:numId w:val="8"/>
        </w:numPr>
        <w:snapToGrid w:val="0"/>
        <w:jc w:val="left"/>
        <w:rPr>
          <w:rFonts w:ascii="宋体" w:hAnsi="宋体"/>
          <w:sz w:val="24"/>
        </w:rPr>
      </w:pPr>
      <w:r>
        <w:rPr>
          <w:rFonts w:hint="eastAsia" w:ascii="宋体" w:hAnsi="宋体"/>
          <w:sz w:val="24"/>
        </w:rPr>
        <w:t>营业执照副本复印件；</w:t>
      </w:r>
    </w:p>
    <w:p>
      <w:pPr>
        <w:numPr>
          <w:ilvl w:val="0"/>
          <w:numId w:val="8"/>
        </w:numPr>
        <w:snapToGrid w:val="0"/>
        <w:jc w:val="left"/>
        <w:rPr>
          <w:rFonts w:ascii="宋体" w:hAnsi="宋体"/>
          <w:sz w:val="24"/>
        </w:rPr>
      </w:pPr>
      <w:r>
        <w:rPr>
          <w:rFonts w:hint="eastAsia" w:ascii="宋体" w:hAnsi="宋体"/>
          <w:sz w:val="24"/>
        </w:rPr>
        <w:t>政府采购供应商诚信承诺书（格式见附件）；</w:t>
      </w:r>
    </w:p>
    <w:p>
      <w:pPr>
        <w:numPr>
          <w:ilvl w:val="0"/>
          <w:numId w:val="8"/>
        </w:numPr>
        <w:snapToGrid w:val="0"/>
        <w:jc w:val="left"/>
        <w:rPr>
          <w:rFonts w:ascii="宋体" w:hAnsi="宋体"/>
          <w:sz w:val="24"/>
        </w:rPr>
      </w:pPr>
      <w:r>
        <w:rPr>
          <w:rFonts w:hint="eastAsia" w:ascii="宋体" w:hAnsi="宋体"/>
          <w:sz w:val="24"/>
        </w:rPr>
        <w:t>截至公告发布日止，相关主体在“信用中国”网站(</w:t>
      </w:r>
      <w:r>
        <w:fldChar w:fldCharType="begin"/>
      </w:r>
      <w:r>
        <w:instrText xml:space="preserve"> HYPERLINK "http://www.creditchina.gov.cn" </w:instrText>
      </w:r>
      <w:r>
        <w:fldChar w:fldCharType="separate"/>
      </w:r>
      <w:r>
        <w:rPr>
          <w:rFonts w:hint="eastAsia" w:ascii="宋体" w:hAnsi="宋体"/>
          <w:sz w:val="24"/>
        </w:rPr>
        <w:t>www.creditchina.gov.cn</w:t>
      </w:r>
      <w:r>
        <w:rPr>
          <w:rFonts w:hint="eastAsia" w:ascii="宋体" w:hAnsi="宋体"/>
          <w:sz w:val="24"/>
        </w:rPr>
        <w:fldChar w:fldCharType="end"/>
      </w:r>
      <w:r>
        <w:rPr>
          <w:rFonts w:hint="eastAsia" w:ascii="宋体" w:hAnsi="宋体"/>
          <w:sz w:val="24"/>
        </w:rPr>
        <w:t>)及中国政府采购网(</w:t>
      </w:r>
      <w:r>
        <w:fldChar w:fldCharType="begin"/>
      </w:r>
      <w:r>
        <w:instrText xml:space="preserve"> HYPERLINK "http://www.ccgp.gov.cn" </w:instrText>
      </w:r>
      <w:r>
        <w:fldChar w:fldCharType="separate"/>
      </w:r>
      <w:r>
        <w:rPr>
          <w:rFonts w:hint="eastAsia" w:ascii="宋体" w:hAnsi="宋体"/>
          <w:sz w:val="24"/>
        </w:rPr>
        <w:t>www.ccgp.gov.cn</w:t>
      </w:r>
      <w:r>
        <w:rPr>
          <w:rFonts w:hint="eastAsia" w:ascii="宋体" w:hAnsi="宋体"/>
          <w:sz w:val="24"/>
        </w:rPr>
        <w:fldChar w:fldCharType="end"/>
      </w:r>
      <w:r>
        <w:rPr>
          <w:rFonts w:hint="eastAsia" w:ascii="宋体" w:hAnsi="宋体"/>
          <w:sz w:val="24"/>
        </w:rPr>
        <w:t>)是否有失信行为的查询结果截图；</w:t>
      </w:r>
    </w:p>
    <w:p>
      <w:pPr>
        <w:numPr>
          <w:ilvl w:val="0"/>
          <w:numId w:val="8"/>
        </w:numPr>
        <w:snapToGrid w:val="0"/>
        <w:jc w:val="left"/>
        <w:rPr>
          <w:rFonts w:ascii="宋体" w:hAnsi="宋体"/>
          <w:sz w:val="24"/>
        </w:rPr>
      </w:pPr>
      <w:r>
        <w:rPr>
          <w:rFonts w:hint="eastAsia" w:ascii="宋体" w:hAnsi="宋体"/>
          <w:sz w:val="24"/>
        </w:rPr>
        <w:t>2016年以来同类产品销售业绩；（格式见附件）</w:t>
      </w:r>
    </w:p>
    <w:p>
      <w:pPr>
        <w:numPr>
          <w:ilvl w:val="0"/>
          <w:numId w:val="8"/>
        </w:numPr>
        <w:snapToGrid w:val="0"/>
        <w:jc w:val="left"/>
        <w:rPr>
          <w:rFonts w:ascii="宋体" w:hAnsi="宋体"/>
          <w:sz w:val="24"/>
        </w:rPr>
      </w:pPr>
      <w:r>
        <w:rPr>
          <w:rFonts w:hint="eastAsia" w:ascii="宋体" w:hAnsi="宋体"/>
          <w:sz w:val="24"/>
        </w:rPr>
        <w:t>投标产品服务计划表（格式见附件）；</w:t>
      </w:r>
    </w:p>
    <w:p>
      <w:pPr>
        <w:numPr>
          <w:ilvl w:val="0"/>
          <w:numId w:val="8"/>
        </w:numPr>
        <w:snapToGrid w:val="0"/>
        <w:jc w:val="left"/>
        <w:rPr>
          <w:rFonts w:ascii="宋体" w:hAnsi="宋体"/>
          <w:sz w:val="24"/>
        </w:rPr>
      </w:pPr>
      <w:r>
        <w:rPr>
          <w:rFonts w:hint="eastAsia" w:ascii="宋体" w:hAnsi="宋体"/>
          <w:sz w:val="24"/>
        </w:rPr>
        <w:t>投标人认为有必要提供的其它文件。</w:t>
      </w: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jc w:val="left"/>
        <w:rPr>
          <w:rFonts w:ascii="宋体" w:hAnsi="宋体"/>
          <w:b/>
          <w:color w:val="000000"/>
          <w:sz w:val="24"/>
        </w:rPr>
      </w:pPr>
    </w:p>
    <w:p>
      <w:pPr>
        <w:snapToGrid w:val="0"/>
        <w:spacing w:line="360" w:lineRule="auto"/>
        <w:ind w:firstLine="472" w:firstLineChars="196"/>
        <w:jc w:val="left"/>
        <w:rPr>
          <w:rFonts w:ascii="宋体" w:hAnsi="宋体"/>
          <w:b/>
          <w:color w:val="000000"/>
          <w:sz w:val="24"/>
        </w:rPr>
      </w:pPr>
      <w:r>
        <w:rPr>
          <w:rFonts w:hint="eastAsia" w:ascii="宋体" w:hAnsi="宋体"/>
          <w:b/>
          <w:color w:val="000000"/>
          <w:sz w:val="24"/>
        </w:rPr>
        <w:t>3.1投标声明书格式：</w:t>
      </w:r>
    </w:p>
    <w:p>
      <w:pPr>
        <w:snapToGrid w:val="0"/>
        <w:spacing w:line="360" w:lineRule="auto"/>
        <w:ind w:firstLine="472" w:firstLineChars="196"/>
        <w:jc w:val="center"/>
        <w:rPr>
          <w:rFonts w:ascii="宋体" w:hAnsi="宋体"/>
          <w:b/>
          <w:color w:val="000000"/>
          <w:sz w:val="24"/>
        </w:rPr>
      </w:pPr>
      <w:r>
        <w:rPr>
          <w:rFonts w:hint="eastAsia" w:ascii="宋体" w:hAnsi="宋体"/>
          <w:b/>
          <w:color w:val="000000"/>
          <w:sz w:val="24"/>
        </w:rPr>
        <w:t>投标声明书</w:t>
      </w:r>
    </w:p>
    <w:p>
      <w:pPr>
        <w:snapToGrid w:val="0"/>
        <w:spacing w:line="360" w:lineRule="auto"/>
        <w:jc w:val="left"/>
        <w:rPr>
          <w:rFonts w:ascii="宋体" w:hAnsi="宋体"/>
          <w:color w:val="000000"/>
          <w:sz w:val="24"/>
        </w:rPr>
      </w:pPr>
    </w:p>
    <w:p>
      <w:pPr>
        <w:snapToGrid w:val="0"/>
        <w:spacing w:line="400" w:lineRule="exact"/>
        <w:jc w:val="left"/>
        <w:rPr>
          <w:rFonts w:ascii="宋体" w:hAnsi="宋体"/>
          <w:color w:val="000000"/>
          <w:sz w:val="24"/>
        </w:rPr>
      </w:pPr>
      <w:r>
        <w:rPr>
          <w:rFonts w:hint="eastAsia" w:ascii="宋体" w:hAnsi="宋体"/>
          <w:color w:val="000000"/>
          <w:sz w:val="24"/>
        </w:rPr>
        <w:t>致：（招标采购单位名称）：</w:t>
      </w:r>
    </w:p>
    <w:p>
      <w:pPr>
        <w:snapToGrid w:val="0"/>
        <w:spacing w:line="400" w:lineRule="exact"/>
        <w:jc w:val="left"/>
        <w:rPr>
          <w:rFonts w:ascii="宋体" w:hAnsi="宋体"/>
          <w:color w:val="000000"/>
          <w:sz w:val="24"/>
        </w:rPr>
      </w:pPr>
      <w:r>
        <w:rPr>
          <w:rFonts w:hint="eastAsia" w:ascii="宋体" w:hAnsi="宋体"/>
          <w:color w:val="000000"/>
          <w:sz w:val="24"/>
        </w:rPr>
        <w:t>（投标人名称）系中华人民共和国合法企业，经营地址。</w:t>
      </w:r>
    </w:p>
    <w:p>
      <w:pPr>
        <w:snapToGrid w:val="0"/>
        <w:spacing w:line="400" w:lineRule="exact"/>
        <w:ind w:firstLine="480"/>
        <w:jc w:val="left"/>
        <w:rPr>
          <w:rFonts w:ascii="宋体" w:hAnsi="宋体"/>
          <w:color w:val="000000"/>
          <w:sz w:val="24"/>
        </w:rPr>
      </w:pPr>
      <w:r>
        <w:rPr>
          <w:rFonts w:hint="eastAsia" w:ascii="宋体" w:hAnsi="宋体"/>
          <w:color w:val="000000"/>
          <w:sz w:val="24"/>
        </w:rPr>
        <w:t>我（姓名）系（投标人名称）的法定代表人，我方愿意参加贵方组织的项目的投标，为便于贵方公正、择优地确定中标人及其投标产品和服务，我方就本次投标有关事项郑重声明如下：</w:t>
      </w:r>
    </w:p>
    <w:p>
      <w:pPr>
        <w:snapToGrid w:val="0"/>
        <w:spacing w:line="400" w:lineRule="exact"/>
        <w:ind w:firstLine="480"/>
        <w:jc w:val="left"/>
        <w:rPr>
          <w:rFonts w:ascii="宋体" w:hAnsi="宋体"/>
          <w:color w:val="000000"/>
          <w:sz w:val="24"/>
        </w:rPr>
      </w:pPr>
      <w:r>
        <w:rPr>
          <w:rFonts w:hint="eastAsia" w:ascii="宋体" w:hAnsi="宋体"/>
          <w:color w:val="000000"/>
          <w:sz w:val="24"/>
        </w:rPr>
        <w:t>1、我方向贵方提交的所有投标文件、资料都是准确的和真实的。</w:t>
      </w:r>
    </w:p>
    <w:p>
      <w:pPr>
        <w:snapToGrid w:val="0"/>
        <w:spacing w:line="400" w:lineRule="exact"/>
        <w:ind w:firstLine="480"/>
        <w:jc w:val="left"/>
        <w:rPr>
          <w:rFonts w:ascii="宋体" w:hAnsi="宋体"/>
          <w:color w:val="000000"/>
          <w:sz w:val="24"/>
        </w:rPr>
      </w:pPr>
      <w:r>
        <w:rPr>
          <w:rFonts w:hint="eastAsia" w:ascii="宋体" w:hAnsi="宋体"/>
          <w:color w:val="000000"/>
          <w:sz w:val="24"/>
        </w:rPr>
        <w:t>2、我方不是采购人的附属机构；在获知本项目采购信息后，与采购人聘请的为此项目提供咨询服务的公司及其附属机构没有任何联系。</w:t>
      </w:r>
    </w:p>
    <w:p>
      <w:pPr>
        <w:snapToGrid w:val="0"/>
        <w:spacing w:line="400" w:lineRule="exact"/>
        <w:ind w:firstLine="480"/>
        <w:jc w:val="left"/>
        <w:rPr>
          <w:rFonts w:ascii="宋体" w:hAnsi="宋体"/>
          <w:color w:val="000000"/>
          <w:sz w:val="24"/>
        </w:rPr>
      </w:pPr>
      <w:r>
        <w:rPr>
          <w:rFonts w:hint="eastAsia" w:ascii="宋体" w:hAnsi="宋体"/>
          <w:color w:val="000000"/>
          <w:sz w:val="24"/>
        </w:rPr>
        <w:t>3、我方此次向贵方提供的产品名称为：；规格型号：；该型号产品我方有现货可供，并已于年月生产完工或向（制造商名称）购进〔或需在中标后向订购〕。</w:t>
      </w:r>
    </w:p>
    <w:p>
      <w:pPr>
        <w:snapToGrid w:val="0"/>
        <w:spacing w:line="400" w:lineRule="exact"/>
        <w:ind w:firstLine="480"/>
        <w:jc w:val="left"/>
        <w:rPr>
          <w:rFonts w:ascii="宋体" w:hAnsi="宋体"/>
          <w:color w:val="000000"/>
          <w:sz w:val="24"/>
        </w:rPr>
      </w:pPr>
      <w:r>
        <w:rPr>
          <w:rFonts w:hint="eastAsia" w:ascii="宋体" w:hAnsi="宋体"/>
          <w:color w:val="000000"/>
          <w:sz w:val="24"/>
        </w:rPr>
        <w:t>4、我方诚意提请贵方关注：近期有关该型号产品的生产、供货、售后服务以及性能等方面的重大决策和事项有：</w:t>
      </w:r>
    </w:p>
    <w:p>
      <w:pPr>
        <w:snapToGrid w:val="0"/>
        <w:spacing w:line="400" w:lineRule="exact"/>
        <w:ind w:firstLine="480"/>
        <w:jc w:val="left"/>
        <w:rPr>
          <w:rFonts w:ascii="宋体" w:hAnsi="宋体"/>
          <w:color w:val="000000"/>
          <w:sz w:val="24"/>
        </w:rPr>
      </w:pPr>
    </w:p>
    <w:p>
      <w:pPr>
        <w:snapToGrid w:val="0"/>
        <w:spacing w:line="400" w:lineRule="exact"/>
        <w:ind w:firstLine="480"/>
        <w:jc w:val="left"/>
        <w:rPr>
          <w:rFonts w:ascii="宋体" w:hAnsi="宋体"/>
          <w:color w:val="000000"/>
          <w:sz w:val="24"/>
        </w:rPr>
      </w:pPr>
    </w:p>
    <w:p>
      <w:pPr>
        <w:snapToGrid w:val="0"/>
        <w:spacing w:line="400" w:lineRule="exact"/>
        <w:ind w:firstLine="480"/>
        <w:jc w:val="left"/>
        <w:rPr>
          <w:rFonts w:ascii="宋体" w:hAnsi="宋体"/>
          <w:color w:val="000000"/>
          <w:sz w:val="24"/>
        </w:rPr>
      </w:pPr>
      <w:r>
        <w:rPr>
          <w:rFonts w:hint="eastAsia" w:ascii="宋体" w:hAnsi="宋体"/>
          <w:color w:val="000000"/>
          <w:sz w:val="24"/>
        </w:rPr>
        <w:t>5、我方及由本人担任法定代表人的其他机构最近三年内被通报或者被处罚的违法行为有：</w:t>
      </w:r>
    </w:p>
    <w:p>
      <w:pPr>
        <w:snapToGrid w:val="0"/>
        <w:spacing w:line="400" w:lineRule="exact"/>
        <w:ind w:firstLine="480"/>
        <w:jc w:val="left"/>
        <w:rPr>
          <w:rFonts w:ascii="宋体" w:hAnsi="宋体"/>
          <w:color w:val="000000"/>
          <w:sz w:val="24"/>
        </w:rPr>
      </w:pPr>
    </w:p>
    <w:p>
      <w:pPr>
        <w:snapToGrid w:val="0"/>
        <w:spacing w:line="400" w:lineRule="exact"/>
        <w:ind w:firstLine="480"/>
        <w:jc w:val="left"/>
        <w:rPr>
          <w:rFonts w:ascii="宋体" w:hAnsi="宋体"/>
          <w:color w:val="000000"/>
          <w:sz w:val="24"/>
        </w:rPr>
      </w:pPr>
    </w:p>
    <w:p>
      <w:pPr>
        <w:snapToGrid w:val="0"/>
        <w:spacing w:line="400" w:lineRule="exact"/>
        <w:ind w:firstLine="480"/>
        <w:jc w:val="left"/>
        <w:rPr>
          <w:rFonts w:ascii="宋体" w:hAnsi="宋体"/>
          <w:color w:val="000000"/>
          <w:sz w:val="24"/>
        </w:rPr>
      </w:pPr>
      <w:r>
        <w:rPr>
          <w:rFonts w:hint="eastAsia" w:ascii="宋体" w:hAnsi="宋体"/>
          <w:color w:val="000000"/>
          <w:sz w:val="24"/>
        </w:rPr>
        <w:t>6、以上事项如有虚假或隐瞒，我方愿意承担一切后果，并不再寻求任何旨在减轻或免除法律责任的辩解。</w:t>
      </w:r>
    </w:p>
    <w:p>
      <w:pPr>
        <w:snapToGrid w:val="0"/>
        <w:spacing w:line="400" w:lineRule="exact"/>
        <w:ind w:firstLine="480"/>
        <w:jc w:val="left"/>
        <w:rPr>
          <w:rFonts w:ascii="宋体" w:hAnsi="宋体"/>
          <w:color w:val="000000"/>
          <w:sz w:val="24"/>
        </w:rPr>
      </w:pPr>
    </w:p>
    <w:p>
      <w:pPr>
        <w:snapToGrid w:val="0"/>
        <w:spacing w:line="400" w:lineRule="exact"/>
        <w:ind w:firstLine="480"/>
        <w:jc w:val="left"/>
        <w:rPr>
          <w:rFonts w:ascii="宋体" w:hAnsi="宋体"/>
          <w:color w:val="000000"/>
          <w:sz w:val="24"/>
        </w:rPr>
      </w:pPr>
    </w:p>
    <w:p>
      <w:pPr>
        <w:snapToGrid w:val="0"/>
        <w:spacing w:line="400" w:lineRule="exact"/>
        <w:ind w:firstLine="480"/>
        <w:jc w:val="left"/>
        <w:rPr>
          <w:rFonts w:ascii="宋体" w:hAnsi="宋体"/>
          <w:color w:val="000000"/>
          <w:sz w:val="24"/>
        </w:rPr>
      </w:pPr>
      <w:r>
        <w:rPr>
          <w:rFonts w:hint="eastAsia" w:ascii="宋体" w:hAnsi="宋体"/>
          <w:color w:val="000000"/>
          <w:sz w:val="24"/>
        </w:rPr>
        <w:t>法定代表人或授权代表签名：</w:t>
      </w:r>
    </w:p>
    <w:p>
      <w:pPr>
        <w:snapToGrid w:val="0"/>
        <w:spacing w:line="400" w:lineRule="exact"/>
        <w:ind w:firstLine="480"/>
        <w:jc w:val="left"/>
        <w:rPr>
          <w:rFonts w:ascii="宋体" w:hAnsi="宋体"/>
          <w:color w:val="000000"/>
          <w:sz w:val="24"/>
        </w:rPr>
      </w:pPr>
      <w:r>
        <w:rPr>
          <w:rFonts w:hint="eastAsia" w:ascii="宋体" w:hAnsi="宋体"/>
          <w:color w:val="000000"/>
          <w:sz w:val="24"/>
        </w:rPr>
        <w:t>投标人公章：</w:t>
      </w:r>
    </w:p>
    <w:p>
      <w:pPr>
        <w:snapToGrid w:val="0"/>
        <w:spacing w:line="360" w:lineRule="auto"/>
        <w:ind w:firstLine="480"/>
        <w:jc w:val="left"/>
        <w:rPr>
          <w:rFonts w:ascii="宋体" w:hAnsi="宋体"/>
          <w:color w:val="000000"/>
          <w:sz w:val="24"/>
        </w:rPr>
      </w:pPr>
    </w:p>
    <w:p>
      <w:pPr>
        <w:snapToGrid w:val="0"/>
        <w:spacing w:line="360" w:lineRule="auto"/>
        <w:ind w:firstLine="6108" w:firstLineChars="2545"/>
        <w:jc w:val="left"/>
        <w:rPr>
          <w:rFonts w:ascii="宋体" w:hAnsi="宋体"/>
          <w:color w:val="000000"/>
          <w:sz w:val="24"/>
        </w:rPr>
      </w:pPr>
      <w:r>
        <w:rPr>
          <w:rFonts w:hint="eastAsia" w:ascii="宋体" w:hAnsi="宋体"/>
          <w:color w:val="000000"/>
          <w:sz w:val="24"/>
        </w:rPr>
        <w:t xml:space="preserve">年   月   日     </w:t>
      </w:r>
    </w:p>
    <w:p>
      <w:pPr>
        <w:snapToGrid w:val="0"/>
        <w:spacing w:before="50" w:afterLines="50"/>
        <w:jc w:val="left"/>
        <w:rPr>
          <w:rFonts w:ascii="宋体" w:hAnsi="宋体"/>
          <w:b/>
          <w:color w:val="000000"/>
          <w:sz w:val="24"/>
        </w:rPr>
      </w:pPr>
      <w:r>
        <w:rPr>
          <w:rFonts w:hint="eastAsia" w:ascii="宋体" w:hAnsi="宋体"/>
          <w:color w:val="000000"/>
        </w:rPr>
        <w:br w:type="page"/>
      </w:r>
      <w:r>
        <w:rPr>
          <w:rFonts w:hint="eastAsia" w:ascii="宋体" w:hAnsi="宋体"/>
          <w:b/>
          <w:color w:val="000000"/>
          <w:sz w:val="24"/>
        </w:rPr>
        <w:t>3.2法定代表人授权委托书格式：</w:t>
      </w:r>
    </w:p>
    <w:p>
      <w:pPr>
        <w:snapToGrid w:val="0"/>
        <w:spacing w:beforeLines="50" w:after="50"/>
        <w:jc w:val="center"/>
        <w:rPr>
          <w:rFonts w:ascii="宋体" w:hAnsi="宋体"/>
          <w:color w:val="000000"/>
          <w:sz w:val="30"/>
          <w:szCs w:val="20"/>
        </w:rPr>
      </w:pPr>
    </w:p>
    <w:p>
      <w:pPr>
        <w:snapToGrid w:val="0"/>
        <w:spacing w:beforeLines="50" w:after="50"/>
        <w:jc w:val="center"/>
        <w:rPr>
          <w:rFonts w:ascii="宋体" w:hAnsi="宋体"/>
          <w:b/>
          <w:color w:val="000000"/>
          <w:sz w:val="24"/>
          <w:szCs w:val="20"/>
        </w:rPr>
      </w:pPr>
      <w:r>
        <w:rPr>
          <w:rFonts w:hint="eastAsia" w:ascii="宋体" w:hAnsi="宋体"/>
          <w:b/>
          <w:color w:val="000000"/>
          <w:sz w:val="24"/>
        </w:rPr>
        <w:t>法定代表人授权委托书</w:t>
      </w:r>
    </w:p>
    <w:p>
      <w:pPr>
        <w:snapToGrid w:val="0"/>
        <w:spacing w:beforeLines="50" w:after="50"/>
        <w:rPr>
          <w:rFonts w:ascii="宋体" w:hAnsi="宋体"/>
          <w:bCs/>
          <w:color w:val="000000"/>
          <w:sz w:val="24"/>
        </w:rPr>
      </w:pPr>
    </w:p>
    <w:p>
      <w:pPr>
        <w:snapToGrid w:val="0"/>
        <w:spacing w:beforeLines="50" w:after="50"/>
        <w:rPr>
          <w:rFonts w:ascii="宋体" w:hAnsi="宋体"/>
          <w:b/>
          <w:bCs/>
          <w:color w:val="000000"/>
          <w:sz w:val="24"/>
          <w:szCs w:val="20"/>
        </w:rPr>
      </w:pPr>
      <w:r>
        <w:rPr>
          <w:rFonts w:hint="eastAsia" w:ascii="宋体" w:hAnsi="宋体"/>
          <w:bCs/>
          <w:color w:val="000000"/>
          <w:sz w:val="24"/>
        </w:rPr>
        <w:t>致：</w:t>
      </w:r>
      <w:r>
        <w:rPr>
          <w:rFonts w:ascii="宋体" w:hAnsi="宋体"/>
          <w:color w:val="000000"/>
          <w:sz w:val="24"/>
        </w:rPr>
        <w:t>______</w:t>
      </w:r>
      <w:r>
        <w:rPr>
          <w:rFonts w:ascii="宋体" w:hAnsi="宋体"/>
          <w:color w:val="000000"/>
          <w:sz w:val="24"/>
          <w:u w:val="single"/>
        </w:rPr>
        <w:t>_     _</w:t>
      </w:r>
      <w:r>
        <w:rPr>
          <w:rFonts w:ascii="宋体" w:hAnsi="宋体"/>
          <w:color w:val="000000"/>
          <w:sz w:val="24"/>
        </w:rPr>
        <w:t>_</w:t>
      </w:r>
      <w:r>
        <w:rPr>
          <w:rFonts w:hint="eastAsia" w:ascii="宋体" w:hAnsi="宋体"/>
          <w:color w:val="000000"/>
          <w:sz w:val="24"/>
        </w:rPr>
        <w:t>（招标采购单位名称）：</w:t>
      </w:r>
    </w:p>
    <w:p>
      <w:pPr>
        <w:snapToGrid w:val="0"/>
        <w:spacing w:beforeLines="50" w:after="50" w:line="360" w:lineRule="auto"/>
        <w:ind w:firstLine="720" w:firstLineChars="300"/>
        <w:rPr>
          <w:rFonts w:ascii="宋体" w:hAnsi="宋体"/>
          <w:color w:val="000000"/>
          <w:sz w:val="24"/>
        </w:rPr>
      </w:pPr>
      <w:r>
        <w:rPr>
          <w:rFonts w:hint="eastAsia" w:ascii="宋体" w:hAnsi="宋体"/>
          <w:color w:val="000000"/>
          <w:sz w:val="24"/>
        </w:rPr>
        <w:t>我</w:t>
      </w:r>
      <w:r>
        <w:rPr>
          <w:rFonts w:ascii="宋体" w:hAnsi="宋体"/>
          <w:color w:val="000000"/>
          <w:sz w:val="24"/>
        </w:rPr>
        <w:t>______</w:t>
      </w:r>
      <w:r>
        <w:rPr>
          <w:rFonts w:ascii="宋体" w:hAnsi="宋体"/>
          <w:color w:val="000000"/>
          <w:sz w:val="24"/>
          <w:u w:val="single"/>
        </w:rPr>
        <w:t>_     _</w:t>
      </w:r>
      <w:r>
        <w:rPr>
          <w:rFonts w:ascii="宋体" w:hAnsi="宋体"/>
          <w:color w:val="000000"/>
          <w:sz w:val="24"/>
        </w:rPr>
        <w:t>_</w:t>
      </w:r>
      <w:r>
        <w:rPr>
          <w:rFonts w:hint="eastAsia" w:ascii="宋体" w:hAnsi="宋体"/>
          <w:color w:val="000000"/>
          <w:sz w:val="24"/>
        </w:rPr>
        <w:t>（姓名）系</w:t>
      </w:r>
      <w:r>
        <w:rPr>
          <w:rFonts w:ascii="宋体" w:hAnsi="宋体"/>
          <w:color w:val="000000"/>
          <w:sz w:val="24"/>
        </w:rPr>
        <w:t>______</w:t>
      </w:r>
      <w:r>
        <w:rPr>
          <w:rFonts w:ascii="宋体" w:hAnsi="宋体"/>
          <w:color w:val="000000"/>
          <w:sz w:val="24"/>
          <w:u w:val="single"/>
        </w:rPr>
        <w:t>_     _</w:t>
      </w:r>
      <w:r>
        <w:rPr>
          <w:rFonts w:ascii="宋体" w:hAnsi="宋体"/>
          <w:color w:val="000000"/>
          <w:sz w:val="24"/>
        </w:rPr>
        <w:t>_</w:t>
      </w:r>
      <w:r>
        <w:rPr>
          <w:rFonts w:hint="eastAsia" w:ascii="宋体" w:hAnsi="宋体"/>
          <w:color w:val="000000"/>
          <w:sz w:val="24"/>
        </w:rPr>
        <w:t>（投标人名称）的法定代表人，现授权委托本单位在职职工（姓名）以我方的名义参加项目的投标活动，并代表我方全权办理针对上述项目的投标、开标、评标、签约等具体事务和签署相关文件。</w:t>
      </w:r>
    </w:p>
    <w:p>
      <w:pPr>
        <w:snapToGrid w:val="0"/>
        <w:spacing w:beforeLines="50" w:after="50" w:line="360" w:lineRule="auto"/>
        <w:rPr>
          <w:rFonts w:ascii="宋体" w:hAnsi="宋体"/>
          <w:color w:val="000000"/>
          <w:sz w:val="24"/>
        </w:rPr>
      </w:pPr>
      <w:r>
        <w:rPr>
          <w:rFonts w:hint="eastAsia" w:ascii="宋体" w:hAnsi="宋体"/>
          <w:color w:val="000000"/>
          <w:sz w:val="24"/>
        </w:rPr>
        <w:t>我方对被授权人的签名事项负全部责任。</w:t>
      </w:r>
    </w:p>
    <w:p>
      <w:pPr>
        <w:snapToGrid w:val="0"/>
        <w:spacing w:beforeLines="50" w:after="50" w:line="360" w:lineRule="auto"/>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Lines="50" w:after="50"/>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Lines="50" w:after="50"/>
        <w:rPr>
          <w:rFonts w:ascii="宋体" w:hAnsi="宋体"/>
          <w:color w:val="000000"/>
          <w:sz w:val="24"/>
          <w:szCs w:val="20"/>
        </w:rPr>
      </w:pPr>
    </w:p>
    <w:p>
      <w:pPr>
        <w:snapToGrid w:val="0"/>
        <w:spacing w:beforeLines="50" w:after="50"/>
        <w:rPr>
          <w:rFonts w:ascii="宋体" w:hAnsi="宋体"/>
          <w:color w:val="000000"/>
          <w:sz w:val="24"/>
          <w:szCs w:val="20"/>
          <w:u w:val="single"/>
        </w:rPr>
      </w:pPr>
      <w:r>
        <w:rPr>
          <w:rFonts w:hint="eastAsia" w:ascii="宋体" w:hAnsi="宋体"/>
          <w:color w:val="000000"/>
          <w:sz w:val="24"/>
        </w:rPr>
        <w:t>被授权人签名：法定代表人签名：</w:t>
      </w:r>
    </w:p>
    <w:p>
      <w:pPr>
        <w:snapToGrid w:val="0"/>
        <w:spacing w:beforeLines="50" w:after="50"/>
        <w:ind w:firstLine="960" w:firstLineChars="400"/>
        <w:rPr>
          <w:rFonts w:ascii="宋体" w:hAnsi="宋体"/>
          <w:color w:val="000000"/>
          <w:sz w:val="24"/>
          <w:szCs w:val="20"/>
        </w:rPr>
      </w:pPr>
      <w:r>
        <w:rPr>
          <w:rFonts w:hint="eastAsia" w:ascii="宋体" w:hAnsi="宋体"/>
          <w:color w:val="000000"/>
          <w:sz w:val="24"/>
        </w:rPr>
        <w:t>职务：职务：</w:t>
      </w:r>
    </w:p>
    <w:p>
      <w:pPr>
        <w:snapToGrid w:val="0"/>
        <w:spacing w:beforeLines="50" w:after="50"/>
        <w:rPr>
          <w:rFonts w:ascii="宋体" w:hAnsi="宋体"/>
          <w:color w:val="000000"/>
          <w:sz w:val="24"/>
        </w:rPr>
      </w:pPr>
      <w:r>
        <w:rPr>
          <w:rFonts w:hint="eastAsia" w:ascii="宋体" w:hAnsi="宋体"/>
          <w:color w:val="000000"/>
          <w:sz w:val="24"/>
        </w:rPr>
        <w:t>被授权人身份证复印件：</w:t>
      </w: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szCs w:val="20"/>
        </w:rPr>
      </w:pPr>
    </w:p>
    <w:p>
      <w:pPr>
        <w:snapToGrid w:val="0"/>
        <w:spacing w:beforeLines="50" w:after="50"/>
        <w:rPr>
          <w:rFonts w:ascii="宋体" w:hAnsi="宋体"/>
          <w:color w:val="000000"/>
          <w:sz w:val="24"/>
          <w:szCs w:val="20"/>
        </w:rPr>
      </w:pPr>
      <w:r>
        <w:rPr>
          <w:rFonts w:hint="eastAsia" w:ascii="宋体" w:hAnsi="宋体"/>
          <w:color w:val="000000"/>
          <w:sz w:val="24"/>
        </w:rPr>
        <w:t>投标人公章：</w:t>
      </w:r>
    </w:p>
    <w:p>
      <w:pPr>
        <w:snapToGrid w:val="0"/>
        <w:spacing w:beforeLines="50" w:after="50"/>
        <w:jc w:val="center"/>
        <w:rPr>
          <w:rFonts w:ascii="宋体" w:hAnsi="宋体"/>
          <w:color w:val="000000"/>
          <w:sz w:val="24"/>
        </w:rPr>
      </w:pPr>
      <w:r>
        <w:rPr>
          <w:rFonts w:hint="eastAsia" w:ascii="宋体" w:hAnsi="宋体"/>
          <w:color w:val="000000"/>
          <w:sz w:val="24"/>
        </w:rPr>
        <w:t>年  月  日</w:t>
      </w: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sectPr>
          <w:headerReference r:id="rId4" w:type="first"/>
          <w:headerReference r:id="rId3" w:type="default"/>
          <w:footerReference r:id="rId5" w:type="default"/>
          <w:footerReference r:id="rId6" w:type="even"/>
          <w:pgSz w:w="11906" w:h="16838"/>
          <w:pgMar w:top="1474" w:right="1466" w:bottom="1247" w:left="1620" w:header="851" w:footer="851" w:gutter="0"/>
          <w:pgNumType w:start="0"/>
          <w:cols w:space="720" w:num="1"/>
          <w:titlePg/>
          <w:docGrid w:linePitch="312" w:charSpace="0"/>
        </w:sectPr>
      </w:pPr>
    </w:p>
    <w:p>
      <w:pPr>
        <w:snapToGrid w:val="0"/>
        <w:spacing w:before="50" w:afterLines="50"/>
        <w:jc w:val="left"/>
        <w:rPr>
          <w:rFonts w:ascii="宋体" w:hAnsi="宋体"/>
          <w:b/>
          <w:color w:val="000000"/>
          <w:sz w:val="24"/>
        </w:rPr>
      </w:pPr>
      <w:r>
        <w:rPr>
          <w:rFonts w:hint="eastAsia" w:ascii="宋体" w:hAnsi="宋体"/>
          <w:b/>
          <w:color w:val="000000"/>
          <w:sz w:val="24"/>
        </w:rPr>
        <w:t>3.3投标单位情况表：</w:t>
      </w:r>
    </w:p>
    <w:p>
      <w:pPr>
        <w:snapToGrid w:val="0"/>
        <w:spacing w:beforeLines="50" w:after="50"/>
        <w:jc w:val="center"/>
        <w:rPr>
          <w:rFonts w:ascii="宋体" w:hAnsi="宋体"/>
          <w:b/>
          <w:color w:val="000000"/>
          <w:sz w:val="24"/>
        </w:rPr>
      </w:pPr>
      <w:r>
        <w:rPr>
          <w:rFonts w:hint="eastAsia" w:ascii="宋体" w:hAnsi="宋体"/>
          <w:b/>
          <w:color w:val="000000"/>
          <w:sz w:val="24"/>
        </w:rPr>
        <w:t>投标单位情况表</w:t>
      </w:r>
    </w:p>
    <w:p>
      <w:pPr>
        <w:pStyle w:val="8"/>
        <w:spacing w:before="156" w:after="156" w:line="240" w:lineRule="auto"/>
        <w:rPr>
          <w:rFonts w:ascii="Times New Roman" w:hAnsi="Times New Roman"/>
          <w:color w:val="000000"/>
        </w:rPr>
      </w:pPr>
      <w:r>
        <w:rPr>
          <w:rFonts w:hint="eastAsia" w:ascii="Times New Roman" w:hAnsi="Times New Roman"/>
          <w:color w:val="000000"/>
        </w:rPr>
        <w:t>投标单位：                                        填表日期：</w:t>
      </w:r>
    </w:p>
    <w:tbl>
      <w:tblPr>
        <w:tblStyle w:val="15"/>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72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单位名称</w:t>
            </w:r>
          </w:p>
        </w:tc>
        <w:tc>
          <w:tcPr>
            <w:tcW w:w="3263" w:type="dxa"/>
            <w:noWrap/>
            <w:vAlign w:val="center"/>
          </w:tcPr>
          <w:p>
            <w:pPr>
              <w:widowControl/>
              <w:jc w:val="center"/>
              <w:rPr>
                <w:color w:val="000000"/>
                <w:sz w:val="24"/>
              </w:rPr>
            </w:pPr>
          </w:p>
        </w:tc>
        <w:tc>
          <w:tcPr>
            <w:tcW w:w="138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电话</w:t>
            </w:r>
          </w:p>
        </w:tc>
        <w:tc>
          <w:tcPr>
            <w:tcW w:w="2534" w:type="dxa"/>
            <w:noWrap/>
            <w:vAlign w:val="center"/>
          </w:tcPr>
          <w:p>
            <w:pPr>
              <w:pStyle w:val="8"/>
              <w:spacing w:before="156" w:after="156"/>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72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地址</w:t>
            </w:r>
          </w:p>
        </w:tc>
        <w:tc>
          <w:tcPr>
            <w:tcW w:w="3263" w:type="dxa"/>
            <w:noWrap/>
            <w:vAlign w:val="center"/>
          </w:tcPr>
          <w:p>
            <w:pPr>
              <w:pStyle w:val="8"/>
              <w:spacing w:before="156" w:after="156"/>
              <w:jc w:val="center"/>
              <w:rPr>
                <w:rFonts w:ascii="Times New Roman" w:hAnsi="Times New Roman"/>
                <w:color w:val="000000"/>
              </w:rPr>
            </w:pPr>
          </w:p>
        </w:tc>
        <w:tc>
          <w:tcPr>
            <w:tcW w:w="138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传真</w:t>
            </w:r>
          </w:p>
        </w:tc>
        <w:tc>
          <w:tcPr>
            <w:tcW w:w="2534" w:type="dxa"/>
            <w:noWrap/>
            <w:vAlign w:val="center"/>
          </w:tcPr>
          <w:p>
            <w:pPr>
              <w:pStyle w:val="8"/>
              <w:spacing w:before="156" w:after="156"/>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72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主管部门</w:t>
            </w:r>
          </w:p>
        </w:tc>
        <w:tc>
          <w:tcPr>
            <w:tcW w:w="3263" w:type="dxa"/>
            <w:noWrap/>
            <w:vAlign w:val="center"/>
          </w:tcPr>
          <w:p>
            <w:pPr>
              <w:pStyle w:val="8"/>
              <w:spacing w:before="156" w:after="156"/>
              <w:jc w:val="center"/>
              <w:rPr>
                <w:rFonts w:ascii="Times New Roman" w:hAnsi="Times New Roman"/>
                <w:color w:val="000000"/>
              </w:rPr>
            </w:pPr>
          </w:p>
        </w:tc>
        <w:tc>
          <w:tcPr>
            <w:tcW w:w="138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企业性质</w:t>
            </w:r>
          </w:p>
        </w:tc>
        <w:tc>
          <w:tcPr>
            <w:tcW w:w="2534" w:type="dxa"/>
            <w:noWrap/>
            <w:vAlign w:val="center"/>
          </w:tcPr>
          <w:p>
            <w:pPr>
              <w:pStyle w:val="8"/>
              <w:spacing w:before="156" w:after="156"/>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2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企业法人</w:t>
            </w:r>
          </w:p>
        </w:tc>
        <w:tc>
          <w:tcPr>
            <w:tcW w:w="3263" w:type="dxa"/>
            <w:noWrap/>
            <w:vAlign w:val="center"/>
          </w:tcPr>
          <w:p>
            <w:pPr>
              <w:pStyle w:val="8"/>
              <w:spacing w:before="156" w:after="156"/>
              <w:jc w:val="center"/>
              <w:rPr>
                <w:rFonts w:ascii="Times New Roman" w:hAnsi="Times New Roman"/>
                <w:color w:val="000000"/>
              </w:rPr>
            </w:pPr>
          </w:p>
        </w:tc>
        <w:tc>
          <w:tcPr>
            <w:tcW w:w="1388" w:type="dxa"/>
            <w:gridSpan w:val="2"/>
            <w:noWrap/>
            <w:vAlign w:val="center"/>
          </w:tcPr>
          <w:p>
            <w:pPr>
              <w:pStyle w:val="8"/>
              <w:spacing w:before="156" w:after="156"/>
              <w:rPr>
                <w:rFonts w:ascii="Times New Roman" w:hAnsi="Times New Roman"/>
                <w:color w:val="000000"/>
              </w:rPr>
            </w:pPr>
            <w:r>
              <w:rPr>
                <w:rFonts w:hint="eastAsia"/>
                <w:color w:val="000000"/>
              </w:rPr>
              <w:t>资质等级</w:t>
            </w:r>
          </w:p>
        </w:tc>
        <w:tc>
          <w:tcPr>
            <w:tcW w:w="2534" w:type="dxa"/>
            <w:noWrap/>
            <w:vAlign w:val="center"/>
          </w:tcPr>
          <w:p>
            <w:pPr>
              <w:pStyle w:val="8"/>
              <w:spacing w:before="156" w:after="156"/>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72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授权代表</w:t>
            </w:r>
          </w:p>
        </w:tc>
        <w:tc>
          <w:tcPr>
            <w:tcW w:w="3263" w:type="dxa"/>
            <w:noWrap/>
            <w:vAlign w:val="center"/>
          </w:tcPr>
          <w:p>
            <w:pPr>
              <w:pStyle w:val="8"/>
              <w:spacing w:before="156" w:after="156"/>
              <w:jc w:val="center"/>
              <w:rPr>
                <w:rFonts w:ascii="Times New Roman" w:hAnsi="Times New Roman"/>
                <w:color w:val="000000"/>
              </w:rPr>
            </w:pPr>
          </w:p>
        </w:tc>
        <w:tc>
          <w:tcPr>
            <w:tcW w:w="1388" w:type="dxa"/>
            <w:gridSpan w:val="2"/>
            <w:noWrap/>
            <w:vAlign w:val="center"/>
          </w:tcPr>
          <w:p>
            <w:pPr>
              <w:pStyle w:val="8"/>
              <w:spacing w:before="156" w:after="156"/>
              <w:rPr>
                <w:rFonts w:ascii="Times New Roman" w:hAnsi="Times New Roman"/>
                <w:color w:val="000000"/>
              </w:rPr>
            </w:pPr>
            <w:r>
              <w:rPr>
                <w:rFonts w:hint="eastAsia" w:ascii="Times New Roman" w:hAnsi="Times New Roman"/>
                <w:color w:val="000000"/>
              </w:rPr>
              <w:t>职务</w:t>
            </w:r>
          </w:p>
        </w:tc>
        <w:tc>
          <w:tcPr>
            <w:tcW w:w="2534" w:type="dxa"/>
            <w:noWrap/>
            <w:vAlign w:val="center"/>
          </w:tcPr>
          <w:p>
            <w:pPr>
              <w:pStyle w:val="8"/>
              <w:spacing w:before="156" w:after="156"/>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68" w:type="dxa"/>
            <w:vMerge w:val="restart"/>
            <w:noWrap/>
            <w:vAlign w:val="center"/>
          </w:tcPr>
          <w:p>
            <w:pPr>
              <w:pStyle w:val="8"/>
              <w:spacing w:before="156" w:after="156"/>
              <w:ind w:firstLine="720" w:firstLineChars="300"/>
              <w:jc w:val="center"/>
              <w:rPr>
                <w:rFonts w:ascii="Times New Roman" w:hAnsi="Times New Roman"/>
                <w:color w:val="000000"/>
              </w:rPr>
            </w:pPr>
          </w:p>
          <w:p>
            <w:pPr>
              <w:pStyle w:val="8"/>
              <w:spacing w:before="156" w:after="156"/>
              <w:jc w:val="center"/>
              <w:rPr>
                <w:rFonts w:ascii="Times New Roman" w:hAnsi="Times New Roman"/>
                <w:color w:val="000000"/>
              </w:rPr>
            </w:pPr>
            <w:r>
              <w:rPr>
                <w:rFonts w:hint="eastAsia" w:ascii="Times New Roman" w:hAnsi="Times New Roman"/>
                <w:color w:val="000000"/>
              </w:rPr>
              <w:t>单位概况</w:t>
            </w:r>
          </w:p>
          <w:p>
            <w:pPr>
              <w:pStyle w:val="8"/>
              <w:spacing w:before="156" w:after="156"/>
              <w:ind w:firstLine="720" w:firstLineChars="300"/>
              <w:jc w:val="center"/>
              <w:rPr>
                <w:rFonts w:ascii="Times New Roman" w:hAnsi="Times New Roman"/>
                <w:color w:val="000000"/>
              </w:rPr>
            </w:pPr>
          </w:p>
          <w:p>
            <w:pPr>
              <w:pStyle w:val="8"/>
              <w:spacing w:before="156" w:after="156"/>
              <w:ind w:firstLine="720" w:firstLineChars="300"/>
              <w:jc w:val="center"/>
              <w:rPr>
                <w:rFonts w:ascii="Times New Roman" w:hAnsi="Times New Roman"/>
                <w:color w:val="000000"/>
              </w:rPr>
            </w:pPr>
          </w:p>
          <w:p>
            <w:pPr>
              <w:pStyle w:val="8"/>
              <w:spacing w:before="156" w:after="156"/>
              <w:ind w:firstLine="720" w:firstLineChars="300"/>
              <w:jc w:val="center"/>
              <w:rPr>
                <w:rFonts w:ascii="Times New Roman" w:hAnsi="Times New Roman"/>
                <w:color w:val="000000"/>
              </w:rPr>
            </w:pPr>
          </w:p>
          <w:p>
            <w:pPr>
              <w:pStyle w:val="8"/>
              <w:spacing w:before="156" w:after="156"/>
              <w:ind w:firstLine="720" w:firstLineChars="300"/>
              <w:jc w:val="center"/>
              <w:rPr>
                <w:rFonts w:ascii="Times New Roman" w:hAnsi="Times New Roman"/>
                <w:color w:val="000000"/>
              </w:rPr>
            </w:pPr>
          </w:p>
        </w:tc>
        <w:tc>
          <w:tcPr>
            <w:tcW w:w="1260" w:type="dxa"/>
            <w:vMerge w:val="restart"/>
            <w:noWrap/>
            <w:vAlign w:val="center"/>
          </w:tcPr>
          <w:p>
            <w:pPr>
              <w:jc w:val="center"/>
              <w:rPr>
                <w:color w:val="000000"/>
                <w:sz w:val="24"/>
              </w:rPr>
            </w:pPr>
            <w:r>
              <w:rPr>
                <w:rFonts w:hint="eastAsia"/>
                <w:color w:val="000000"/>
                <w:sz w:val="24"/>
              </w:rPr>
              <w:t>职工总数</w:t>
            </w:r>
          </w:p>
        </w:tc>
        <w:tc>
          <w:tcPr>
            <w:tcW w:w="3263" w:type="dxa"/>
            <w:noWrap/>
            <w:vAlign w:val="center"/>
          </w:tcPr>
          <w:p>
            <w:pPr>
              <w:pStyle w:val="8"/>
              <w:spacing w:before="156" w:after="156"/>
              <w:rPr>
                <w:rFonts w:ascii="Times New Roman" w:hAnsi="Times New Roman"/>
                <w:color w:val="000000"/>
              </w:rPr>
            </w:pPr>
            <w:r>
              <w:rPr>
                <w:rFonts w:hint="eastAsia" w:ascii="Times New Roman" w:hAnsi="Times New Roman"/>
                <w:color w:val="000000"/>
              </w:rPr>
              <w:t>员工：           人</w:t>
            </w:r>
          </w:p>
        </w:tc>
        <w:tc>
          <w:tcPr>
            <w:tcW w:w="3922" w:type="dxa"/>
            <w:gridSpan w:val="3"/>
            <w:noWrap/>
            <w:vAlign w:val="center"/>
          </w:tcPr>
          <w:p>
            <w:pPr>
              <w:pStyle w:val="8"/>
              <w:spacing w:before="156" w:after="156"/>
              <w:rPr>
                <w:rFonts w:ascii="Times New Roman" w:hAnsi="Times New Roman"/>
                <w:color w:val="000000"/>
              </w:rPr>
            </w:pPr>
            <w:r>
              <w:rPr>
                <w:rFonts w:hint="eastAsia" w:ascii="Times New Roman" w:hAnsi="Times New Roman"/>
                <w:color w:val="000000"/>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468" w:type="dxa"/>
            <w:vMerge w:val="continue"/>
            <w:noWrap/>
            <w:vAlign w:val="center"/>
          </w:tcPr>
          <w:p>
            <w:pPr>
              <w:pStyle w:val="8"/>
              <w:spacing w:before="156" w:after="156"/>
              <w:ind w:firstLine="720" w:firstLineChars="300"/>
              <w:jc w:val="center"/>
              <w:rPr>
                <w:rFonts w:ascii="Times New Roman" w:hAnsi="Times New Roman"/>
                <w:color w:val="000000"/>
              </w:rPr>
            </w:pPr>
          </w:p>
        </w:tc>
        <w:tc>
          <w:tcPr>
            <w:tcW w:w="1260" w:type="dxa"/>
            <w:vMerge w:val="continue"/>
            <w:noWrap/>
            <w:vAlign w:val="center"/>
          </w:tcPr>
          <w:p>
            <w:pPr>
              <w:widowControl/>
              <w:jc w:val="center"/>
              <w:rPr>
                <w:color w:val="000000"/>
                <w:sz w:val="24"/>
              </w:rPr>
            </w:pPr>
          </w:p>
        </w:tc>
        <w:tc>
          <w:tcPr>
            <w:tcW w:w="3263" w:type="dxa"/>
            <w:noWrap/>
            <w:vAlign w:val="center"/>
          </w:tcPr>
          <w:p>
            <w:pPr>
              <w:pStyle w:val="8"/>
              <w:spacing w:before="156" w:after="156"/>
              <w:rPr>
                <w:color w:val="000000"/>
              </w:rPr>
            </w:pPr>
            <w:r>
              <w:rPr>
                <w:rFonts w:hint="eastAsia"/>
                <w:color w:val="000000"/>
              </w:rPr>
              <w:t>高级技师：       人</w:t>
            </w:r>
          </w:p>
        </w:tc>
        <w:tc>
          <w:tcPr>
            <w:tcW w:w="3922" w:type="dxa"/>
            <w:gridSpan w:val="3"/>
            <w:noWrap/>
            <w:vAlign w:val="center"/>
          </w:tcPr>
          <w:p>
            <w:pPr>
              <w:pStyle w:val="8"/>
              <w:spacing w:before="156" w:after="156"/>
              <w:rPr>
                <w:color w:val="000000"/>
              </w:rPr>
            </w:pPr>
            <w:r>
              <w:rPr>
                <w:rFonts w:hint="eastAsia"/>
                <w:color w:val="000000"/>
              </w:rPr>
              <w:t>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468" w:type="dxa"/>
            <w:vMerge w:val="continue"/>
            <w:noWrap/>
            <w:vAlign w:val="center"/>
          </w:tcPr>
          <w:p>
            <w:pPr>
              <w:pStyle w:val="8"/>
              <w:spacing w:before="156" w:after="156"/>
              <w:ind w:firstLine="720" w:firstLineChars="300"/>
              <w:jc w:val="center"/>
              <w:rPr>
                <w:rFonts w:ascii="Times New Roman" w:hAnsi="Times New Roman"/>
                <w:color w:val="000000"/>
              </w:rPr>
            </w:pPr>
          </w:p>
        </w:tc>
        <w:tc>
          <w:tcPr>
            <w:tcW w:w="1260" w:type="dxa"/>
            <w:noWrap/>
            <w:vAlign w:val="center"/>
          </w:tcPr>
          <w:p>
            <w:pPr>
              <w:pStyle w:val="8"/>
              <w:spacing w:before="156" w:after="156"/>
              <w:jc w:val="center"/>
              <w:rPr>
                <w:color w:val="000000"/>
              </w:rPr>
            </w:pPr>
            <w:r>
              <w:rPr>
                <w:rFonts w:hint="eastAsia"/>
                <w:color w:val="000000"/>
              </w:rPr>
              <w:t>流动资金</w:t>
            </w:r>
          </w:p>
        </w:tc>
        <w:tc>
          <w:tcPr>
            <w:tcW w:w="3263" w:type="dxa"/>
            <w:noWrap/>
            <w:vAlign w:val="center"/>
          </w:tcPr>
          <w:p>
            <w:pPr>
              <w:pStyle w:val="8"/>
              <w:spacing w:before="156" w:after="156"/>
              <w:jc w:val="center"/>
              <w:rPr>
                <w:color w:val="000000"/>
              </w:rPr>
            </w:pPr>
          </w:p>
        </w:tc>
        <w:tc>
          <w:tcPr>
            <w:tcW w:w="1222" w:type="dxa"/>
            <w:noWrap/>
            <w:vAlign w:val="center"/>
          </w:tcPr>
          <w:p>
            <w:pPr>
              <w:pStyle w:val="8"/>
              <w:spacing w:before="156" w:after="156"/>
              <w:jc w:val="center"/>
              <w:rPr>
                <w:color w:val="000000"/>
              </w:rPr>
            </w:pPr>
            <w:r>
              <w:rPr>
                <w:rFonts w:hint="eastAsia"/>
                <w:color w:val="000000"/>
              </w:rPr>
              <w:t>营业面积</w:t>
            </w:r>
          </w:p>
        </w:tc>
        <w:tc>
          <w:tcPr>
            <w:tcW w:w="2700" w:type="dxa"/>
            <w:gridSpan w:val="2"/>
            <w:noWrap/>
            <w:vAlign w:val="center"/>
          </w:tcPr>
          <w:p>
            <w:pPr>
              <w:pStyle w:val="8"/>
              <w:spacing w:before="156" w:after="15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 w:hRule="exact"/>
          <w:jc w:val="center"/>
        </w:trPr>
        <w:tc>
          <w:tcPr>
            <w:tcW w:w="468" w:type="dxa"/>
            <w:vMerge w:val="continue"/>
            <w:noWrap/>
            <w:vAlign w:val="center"/>
          </w:tcPr>
          <w:p>
            <w:pPr>
              <w:pStyle w:val="8"/>
              <w:spacing w:before="156" w:after="156"/>
              <w:ind w:firstLine="720" w:firstLineChars="300"/>
              <w:jc w:val="center"/>
              <w:rPr>
                <w:rFonts w:ascii="Times New Roman" w:hAnsi="Times New Roman"/>
                <w:color w:val="000000"/>
              </w:rPr>
            </w:pPr>
          </w:p>
        </w:tc>
        <w:tc>
          <w:tcPr>
            <w:tcW w:w="1260" w:type="dxa"/>
            <w:noWrap/>
            <w:vAlign w:val="center"/>
          </w:tcPr>
          <w:p>
            <w:pPr>
              <w:pStyle w:val="8"/>
              <w:spacing w:before="156" w:after="156"/>
              <w:jc w:val="center"/>
              <w:rPr>
                <w:color w:val="000000"/>
              </w:rPr>
            </w:pPr>
            <w:r>
              <w:rPr>
                <w:rFonts w:hint="eastAsia"/>
                <w:color w:val="000000"/>
              </w:rPr>
              <w:t>固定资金</w:t>
            </w:r>
          </w:p>
        </w:tc>
        <w:tc>
          <w:tcPr>
            <w:tcW w:w="3263" w:type="dxa"/>
            <w:noWrap/>
            <w:vAlign w:val="center"/>
          </w:tcPr>
          <w:p>
            <w:pPr>
              <w:widowControl/>
              <w:jc w:val="center"/>
              <w:rPr>
                <w:color w:val="000000"/>
                <w:sz w:val="24"/>
              </w:rPr>
            </w:pPr>
          </w:p>
        </w:tc>
        <w:tc>
          <w:tcPr>
            <w:tcW w:w="1222" w:type="dxa"/>
            <w:noWrap/>
            <w:vAlign w:val="center"/>
          </w:tcPr>
          <w:p>
            <w:pPr>
              <w:pStyle w:val="8"/>
              <w:spacing w:before="156" w:after="156"/>
              <w:jc w:val="center"/>
              <w:rPr>
                <w:color w:val="000000"/>
              </w:rPr>
            </w:pPr>
            <w:r>
              <w:rPr>
                <w:rFonts w:hint="eastAsia"/>
                <w:color w:val="000000"/>
              </w:rPr>
              <w:t>维修网点</w:t>
            </w:r>
          </w:p>
        </w:tc>
        <w:tc>
          <w:tcPr>
            <w:tcW w:w="2700" w:type="dxa"/>
            <w:gridSpan w:val="2"/>
            <w:noWrap/>
            <w:vAlign w:val="center"/>
          </w:tcPr>
          <w:p>
            <w:pPr>
              <w:widowControl/>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jc w:val="center"/>
        </w:trPr>
        <w:tc>
          <w:tcPr>
            <w:tcW w:w="468" w:type="dxa"/>
            <w:noWrap/>
            <w:vAlign w:val="center"/>
          </w:tcPr>
          <w:p>
            <w:pPr>
              <w:pStyle w:val="8"/>
              <w:spacing w:before="156" w:after="156"/>
              <w:jc w:val="center"/>
              <w:rPr>
                <w:rFonts w:ascii="Times New Roman" w:hAnsi="Times New Roman"/>
                <w:color w:val="000000"/>
              </w:rPr>
            </w:pPr>
            <w:r>
              <w:rPr>
                <w:rFonts w:hint="eastAsia" w:ascii="Times New Roman" w:hAnsi="Times New Roman"/>
                <w:color w:val="000000"/>
              </w:rPr>
              <w:t>单位简历</w:t>
            </w:r>
          </w:p>
        </w:tc>
        <w:tc>
          <w:tcPr>
            <w:tcW w:w="8445" w:type="dxa"/>
            <w:gridSpan w:val="5"/>
            <w:noWrap/>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2" w:hRule="atLeast"/>
          <w:jc w:val="center"/>
        </w:trPr>
        <w:tc>
          <w:tcPr>
            <w:tcW w:w="468" w:type="dxa"/>
            <w:noWrap/>
            <w:vAlign w:val="center"/>
          </w:tcPr>
          <w:p>
            <w:pPr>
              <w:pStyle w:val="8"/>
              <w:spacing w:before="156" w:after="156"/>
              <w:jc w:val="center"/>
              <w:rPr>
                <w:rFonts w:ascii="Times New Roman" w:hAnsi="Times New Roman"/>
                <w:color w:val="000000"/>
              </w:rPr>
            </w:pPr>
            <w:r>
              <w:rPr>
                <w:rFonts w:hint="eastAsia" w:ascii="Times New Roman" w:hAnsi="Times New Roman"/>
                <w:color w:val="000000"/>
              </w:rPr>
              <w:t>优势及特长</w:t>
            </w:r>
          </w:p>
        </w:tc>
        <w:tc>
          <w:tcPr>
            <w:tcW w:w="8445" w:type="dxa"/>
            <w:gridSpan w:val="5"/>
            <w:noWrap/>
          </w:tcPr>
          <w:p>
            <w:pPr>
              <w:jc w:val="left"/>
              <w:rPr>
                <w:color w:val="000000"/>
                <w:sz w:val="24"/>
              </w:rPr>
            </w:pPr>
          </w:p>
        </w:tc>
      </w:tr>
    </w:tbl>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r>
        <w:rPr>
          <w:rFonts w:hint="eastAsia" w:ascii="宋体" w:hAnsi="宋体"/>
          <w:b/>
          <w:color w:val="000000"/>
          <w:sz w:val="24"/>
        </w:rPr>
        <w:t>3.4投标产品服务计划表：</w:t>
      </w:r>
    </w:p>
    <w:p>
      <w:pPr>
        <w:snapToGrid w:val="0"/>
        <w:spacing w:beforeLines="50" w:after="50"/>
        <w:jc w:val="center"/>
        <w:rPr>
          <w:rFonts w:ascii="宋体" w:hAnsi="宋体"/>
          <w:b/>
          <w:color w:val="000000"/>
          <w:sz w:val="24"/>
        </w:rPr>
      </w:pPr>
      <w:r>
        <w:rPr>
          <w:rFonts w:hint="eastAsia" w:ascii="宋体" w:hAnsi="宋体"/>
          <w:b/>
          <w:color w:val="000000"/>
          <w:sz w:val="24"/>
        </w:rPr>
        <w:t>投标产品服务计划表</w:t>
      </w:r>
    </w:p>
    <w:p>
      <w:pPr>
        <w:snapToGrid w:val="0"/>
        <w:spacing w:beforeLines="50" w:after="50"/>
        <w:rPr>
          <w:rFonts w:ascii="宋体" w:hAnsi="宋体"/>
          <w:b/>
          <w:color w:val="000000"/>
          <w:sz w:val="24"/>
        </w:rPr>
      </w:pPr>
      <w:r>
        <w:rPr>
          <w:rFonts w:hint="eastAsia" w:ascii="宋体" w:hAnsi="宋体"/>
          <w:b/>
          <w:color w:val="000000"/>
          <w:sz w:val="24"/>
        </w:rPr>
        <w:t>标项：</w:t>
      </w:r>
    </w:p>
    <w:tbl>
      <w:tblPr>
        <w:tblStyle w:val="1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703"/>
        <w:gridCol w:w="186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序号</w:t>
            </w:r>
          </w:p>
        </w:tc>
        <w:tc>
          <w:tcPr>
            <w:tcW w:w="4703" w:type="dxa"/>
            <w:noWrap/>
            <w:vAlign w:val="center"/>
          </w:tcPr>
          <w:p>
            <w:pPr>
              <w:pStyle w:val="8"/>
              <w:spacing w:before="156" w:after="156"/>
              <w:jc w:val="center"/>
              <w:rPr>
                <w:rFonts w:hAnsi="宋体"/>
                <w:color w:val="000000"/>
              </w:rPr>
            </w:pPr>
            <w:r>
              <w:rPr>
                <w:rFonts w:hint="eastAsia" w:hAnsi="宋体"/>
                <w:color w:val="000000"/>
              </w:rPr>
              <w:t>质量保障措施及服务内容</w:t>
            </w:r>
          </w:p>
        </w:tc>
        <w:tc>
          <w:tcPr>
            <w:tcW w:w="1861" w:type="dxa"/>
            <w:noWrap/>
            <w:vAlign w:val="center"/>
          </w:tcPr>
          <w:p>
            <w:pPr>
              <w:pStyle w:val="8"/>
              <w:spacing w:before="156" w:after="156"/>
              <w:jc w:val="center"/>
              <w:rPr>
                <w:rFonts w:hAnsi="宋体"/>
                <w:color w:val="000000"/>
              </w:rPr>
            </w:pPr>
            <w:r>
              <w:rPr>
                <w:rFonts w:hint="eastAsia" w:hAnsi="宋体"/>
                <w:color w:val="000000"/>
              </w:rPr>
              <w:t>承诺</w:t>
            </w:r>
          </w:p>
        </w:tc>
        <w:tc>
          <w:tcPr>
            <w:tcW w:w="1896" w:type="dxa"/>
            <w:noWrap/>
            <w:vAlign w:val="center"/>
          </w:tcPr>
          <w:p>
            <w:pPr>
              <w:pStyle w:val="8"/>
              <w:spacing w:before="156" w:after="156"/>
              <w:jc w:val="center"/>
              <w:rPr>
                <w:rFonts w:hAnsi="宋体"/>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1</w:t>
            </w:r>
          </w:p>
        </w:tc>
        <w:tc>
          <w:tcPr>
            <w:tcW w:w="4703" w:type="dxa"/>
            <w:noWrap/>
            <w:vAlign w:val="center"/>
          </w:tcPr>
          <w:p>
            <w:pPr>
              <w:pStyle w:val="8"/>
              <w:spacing w:before="156" w:after="156"/>
              <w:rPr>
                <w:rFonts w:hAnsi="宋体"/>
                <w:color w:val="000000"/>
              </w:rPr>
            </w:pPr>
            <w:r>
              <w:rPr>
                <w:rFonts w:hint="eastAsia" w:hAnsi="宋体"/>
                <w:color w:val="000000"/>
              </w:rPr>
              <w:t>整体保修</w:t>
            </w:r>
          </w:p>
        </w:tc>
        <w:tc>
          <w:tcPr>
            <w:tcW w:w="1861" w:type="dxa"/>
            <w:noWrap/>
          </w:tcPr>
          <w:p>
            <w:pPr>
              <w:pStyle w:val="8"/>
              <w:spacing w:before="156" w:after="156"/>
              <w:rPr>
                <w:rFonts w:hAnsi="宋体"/>
                <w:color w:val="000000"/>
              </w:rPr>
            </w:pPr>
          </w:p>
        </w:tc>
        <w:tc>
          <w:tcPr>
            <w:tcW w:w="1896" w:type="dxa"/>
            <w:noWrap/>
          </w:tcPr>
          <w:p>
            <w:pPr>
              <w:pStyle w:val="8"/>
              <w:spacing w:before="156" w:after="156"/>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2</w:t>
            </w:r>
          </w:p>
        </w:tc>
        <w:tc>
          <w:tcPr>
            <w:tcW w:w="4703" w:type="dxa"/>
            <w:noWrap/>
            <w:vAlign w:val="center"/>
          </w:tcPr>
          <w:p>
            <w:pPr>
              <w:pStyle w:val="8"/>
              <w:spacing w:before="156" w:after="156"/>
              <w:rPr>
                <w:rFonts w:hAnsi="宋体"/>
                <w:color w:val="000000"/>
              </w:rPr>
            </w:pPr>
            <w:r>
              <w:rPr>
                <w:rFonts w:hint="eastAsia" w:hAnsi="宋体"/>
                <w:color w:val="000000"/>
              </w:rPr>
              <w:t>有关技术人员现场免费提供安装、调试服务</w:t>
            </w:r>
          </w:p>
        </w:tc>
        <w:tc>
          <w:tcPr>
            <w:tcW w:w="1861" w:type="dxa"/>
            <w:noWrap/>
          </w:tcPr>
          <w:p>
            <w:pPr>
              <w:pStyle w:val="8"/>
              <w:spacing w:before="156" w:after="156"/>
              <w:rPr>
                <w:rFonts w:hAnsi="宋体"/>
                <w:color w:val="000000"/>
              </w:rPr>
            </w:pPr>
          </w:p>
        </w:tc>
        <w:tc>
          <w:tcPr>
            <w:tcW w:w="1896" w:type="dxa"/>
            <w:noWrap/>
          </w:tcPr>
          <w:p>
            <w:pPr>
              <w:pStyle w:val="8"/>
              <w:spacing w:before="156" w:after="156"/>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3</w:t>
            </w:r>
          </w:p>
        </w:tc>
        <w:tc>
          <w:tcPr>
            <w:tcW w:w="4703" w:type="dxa"/>
            <w:noWrap/>
            <w:vAlign w:val="center"/>
          </w:tcPr>
          <w:p>
            <w:pPr>
              <w:pStyle w:val="8"/>
              <w:spacing w:before="156" w:after="156"/>
              <w:rPr>
                <w:rFonts w:hAnsi="宋体"/>
                <w:color w:val="000000"/>
              </w:rPr>
            </w:pPr>
            <w:r>
              <w:rPr>
                <w:rFonts w:hint="eastAsia" w:hAnsi="宋体"/>
                <w:color w:val="000000"/>
              </w:rPr>
              <w:t>整体免费换货期限</w:t>
            </w:r>
          </w:p>
        </w:tc>
        <w:tc>
          <w:tcPr>
            <w:tcW w:w="1861" w:type="dxa"/>
            <w:noWrap/>
          </w:tcPr>
          <w:p>
            <w:pPr>
              <w:pStyle w:val="8"/>
              <w:spacing w:before="156" w:after="156"/>
              <w:rPr>
                <w:rFonts w:hAnsi="宋体"/>
                <w:color w:val="000000"/>
              </w:rPr>
            </w:pPr>
          </w:p>
        </w:tc>
        <w:tc>
          <w:tcPr>
            <w:tcW w:w="1896" w:type="dxa"/>
            <w:noWrap/>
          </w:tcPr>
          <w:p>
            <w:pPr>
              <w:pStyle w:val="8"/>
              <w:spacing w:before="156" w:after="156"/>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4</w:t>
            </w:r>
          </w:p>
        </w:tc>
        <w:tc>
          <w:tcPr>
            <w:tcW w:w="4703" w:type="dxa"/>
            <w:noWrap/>
            <w:vAlign w:val="center"/>
          </w:tcPr>
          <w:p>
            <w:pPr>
              <w:pStyle w:val="8"/>
              <w:spacing w:before="156" w:after="156"/>
              <w:rPr>
                <w:rFonts w:hAnsi="宋体"/>
                <w:color w:val="000000"/>
              </w:rPr>
            </w:pPr>
            <w:r>
              <w:rPr>
                <w:rFonts w:hint="eastAsia" w:hAnsi="宋体"/>
                <w:color w:val="000000"/>
              </w:rPr>
              <w:t>免费上门服务期限</w:t>
            </w:r>
          </w:p>
        </w:tc>
        <w:tc>
          <w:tcPr>
            <w:tcW w:w="1861" w:type="dxa"/>
            <w:noWrap/>
          </w:tcPr>
          <w:p>
            <w:pPr>
              <w:pStyle w:val="8"/>
              <w:spacing w:before="156" w:after="156"/>
              <w:rPr>
                <w:rFonts w:hAnsi="宋体"/>
                <w:color w:val="000000"/>
              </w:rPr>
            </w:pPr>
          </w:p>
        </w:tc>
        <w:tc>
          <w:tcPr>
            <w:tcW w:w="1896" w:type="dxa"/>
            <w:noWrap/>
          </w:tcPr>
          <w:p>
            <w:pPr>
              <w:pStyle w:val="8"/>
              <w:spacing w:before="156" w:after="156"/>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5</w:t>
            </w:r>
          </w:p>
        </w:tc>
        <w:tc>
          <w:tcPr>
            <w:tcW w:w="4703" w:type="dxa"/>
            <w:noWrap/>
            <w:vAlign w:val="center"/>
          </w:tcPr>
          <w:p>
            <w:pPr>
              <w:pStyle w:val="8"/>
              <w:spacing w:before="156" w:after="156"/>
              <w:rPr>
                <w:rFonts w:hAnsi="宋体"/>
                <w:color w:val="000000"/>
              </w:rPr>
            </w:pPr>
            <w:r>
              <w:rPr>
                <w:rFonts w:hint="eastAsia" w:hAnsi="宋体"/>
                <w:color w:val="000000"/>
              </w:rPr>
              <w:t>质保期内产品故障服务响应时限</w:t>
            </w:r>
          </w:p>
        </w:tc>
        <w:tc>
          <w:tcPr>
            <w:tcW w:w="1861" w:type="dxa"/>
            <w:noWrap/>
          </w:tcPr>
          <w:p>
            <w:pPr>
              <w:pStyle w:val="8"/>
              <w:spacing w:before="156" w:after="156"/>
              <w:rPr>
                <w:rFonts w:hAnsi="宋体"/>
                <w:color w:val="000000"/>
              </w:rPr>
            </w:pPr>
          </w:p>
        </w:tc>
        <w:tc>
          <w:tcPr>
            <w:tcW w:w="1896" w:type="dxa"/>
            <w:noWrap/>
          </w:tcPr>
          <w:p>
            <w:pPr>
              <w:pStyle w:val="8"/>
              <w:spacing w:before="156" w:after="156"/>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6</w:t>
            </w:r>
          </w:p>
        </w:tc>
        <w:tc>
          <w:tcPr>
            <w:tcW w:w="4703" w:type="dxa"/>
            <w:noWrap/>
            <w:vAlign w:val="center"/>
          </w:tcPr>
          <w:p>
            <w:pPr>
              <w:pStyle w:val="8"/>
              <w:spacing w:before="156" w:after="156"/>
              <w:rPr>
                <w:rFonts w:hAnsi="宋体"/>
                <w:color w:val="000000"/>
              </w:rPr>
            </w:pPr>
            <w:r>
              <w:rPr>
                <w:rFonts w:hint="eastAsia" w:hAnsi="宋体"/>
                <w:color w:val="000000"/>
              </w:rPr>
              <w:t>服务时间响应</w:t>
            </w:r>
          </w:p>
        </w:tc>
        <w:tc>
          <w:tcPr>
            <w:tcW w:w="1861" w:type="dxa"/>
            <w:noWrap/>
          </w:tcPr>
          <w:p>
            <w:pPr>
              <w:pStyle w:val="8"/>
              <w:spacing w:before="156" w:after="156"/>
              <w:rPr>
                <w:rFonts w:hAnsi="宋体"/>
                <w:color w:val="000000"/>
              </w:rPr>
            </w:pPr>
          </w:p>
        </w:tc>
        <w:tc>
          <w:tcPr>
            <w:tcW w:w="1896" w:type="dxa"/>
            <w:noWrap/>
          </w:tcPr>
          <w:p>
            <w:pPr>
              <w:pStyle w:val="8"/>
              <w:spacing w:before="156" w:after="156"/>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7</w:t>
            </w:r>
          </w:p>
        </w:tc>
        <w:tc>
          <w:tcPr>
            <w:tcW w:w="4703" w:type="dxa"/>
            <w:noWrap/>
            <w:vAlign w:val="center"/>
          </w:tcPr>
          <w:p>
            <w:pPr>
              <w:pStyle w:val="8"/>
              <w:spacing w:before="156" w:after="156"/>
              <w:rPr>
                <w:rFonts w:hAnsi="宋体"/>
                <w:color w:val="000000"/>
              </w:rPr>
            </w:pPr>
            <w:r>
              <w:rPr>
                <w:rFonts w:hint="eastAsia" w:hAnsi="宋体"/>
                <w:color w:val="000000"/>
              </w:rPr>
              <w:t>质保期满的保修服务费用</w:t>
            </w:r>
          </w:p>
        </w:tc>
        <w:tc>
          <w:tcPr>
            <w:tcW w:w="1861" w:type="dxa"/>
            <w:noWrap/>
          </w:tcPr>
          <w:p>
            <w:pPr>
              <w:pStyle w:val="8"/>
              <w:spacing w:before="156" w:after="156"/>
              <w:rPr>
                <w:rFonts w:hAnsi="宋体"/>
                <w:color w:val="000000"/>
              </w:rPr>
            </w:pPr>
          </w:p>
        </w:tc>
        <w:tc>
          <w:tcPr>
            <w:tcW w:w="1896" w:type="dxa"/>
            <w:noWrap/>
          </w:tcPr>
          <w:p>
            <w:pPr>
              <w:pStyle w:val="8"/>
              <w:spacing w:before="156" w:after="156"/>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noWrap/>
            <w:vAlign w:val="center"/>
          </w:tcPr>
          <w:p>
            <w:pPr>
              <w:pStyle w:val="8"/>
              <w:spacing w:before="156" w:after="156"/>
              <w:jc w:val="center"/>
              <w:rPr>
                <w:rFonts w:hAnsi="宋体"/>
                <w:color w:val="000000"/>
              </w:rPr>
            </w:pPr>
            <w:r>
              <w:rPr>
                <w:rFonts w:hint="eastAsia" w:hAnsi="宋体"/>
                <w:color w:val="000000"/>
              </w:rPr>
              <w:t>8</w:t>
            </w:r>
          </w:p>
        </w:tc>
        <w:tc>
          <w:tcPr>
            <w:tcW w:w="4703" w:type="dxa"/>
            <w:noWrap/>
            <w:vAlign w:val="center"/>
          </w:tcPr>
          <w:p>
            <w:pPr>
              <w:pStyle w:val="8"/>
              <w:spacing w:before="156" w:after="156"/>
              <w:rPr>
                <w:rFonts w:hAnsi="宋体"/>
                <w:color w:val="000000"/>
              </w:rPr>
            </w:pPr>
            <w:r>
              <w:rPr>
                <w:rFonts w:hint="eastAsia" w:hAnsi="宋体"/>
                <w:color w:val="000000"/>
              </w:rPr>
              <w:t>交货时间</w:t>
            </w:r>
          </w:p>
        </w:tc>
        <w:tc>
          <w:tcPr>
            <w:tcW w:w="1861" w:type="dxa"/>
            <w:noWrap/>
          </w:tcPr>
          <w:p>
            <w:pPr>
              <w:pStyle w:val="8"/>
              <w:spacing w:before="156" w:after="156"/>
              <w:rPr>
                <w:rFonts w:hAnsi="宋体"/>
                <w:color w:val="000000"/>
              </w:rPr>
            </w:pPr>
          </w:p>
        </w:tc>
        <w:tc>
          <w:tcPr>
            <w:tcW w:w="1896" w:type="dxa"/>
            <w:noWrap/>
          </w:tcPr>
          <w:p>
            <w:pPr>
              <w:pStyle w:val="8"/>
              <w:spacing w:before="156" w:after="156"/>
              <w:rPr>
                <w:rFonts w:hAnsi="宋体"/>
                <w:color w:val="000000"/>
              </w:rPr>
            </w:pPr>
          </w:p>
        </w:tc>
      </w:tr>
    </w:tbl>
    <w:p>
      <w:pPr>
        <w:pStyle w:val="8"/>
        <w:spacing w:before="156" w:after="156"/>
        <w:ind w:firstLine="720" w:firstLineChars="300"/>
        <w:rPr>
          <w:rFonts w:ascii="Times New Roman" w:hAnsi="Times New Roman"/>
          <w:color w:val="000000"/>
        </w:rPr>
      </w:pPr>
    </w:p>
    <w:p>
      <w:pPr>
        <w:pStyle w:val="8"/>
        <w:spacing w:before="156" w:after="156"/>
        <w:ind w:firstLine="720" w:firstLineChars="300"/>
        <w:rPr>
          <w:rFonts w:ascii="Times New Roman" w:hAnsi="Times New Roman"/>
          <w:color w:val="000000"/>
        </w:rPr>
      </w:pPr>
    </w:p>
    <w:p>
      <w:pPr>
        <w:pStyle w:val="8"/>
        <w:spacing w:before="156" w:after="156"/>
        <w:ind w:firstLine="3960" w:firstLineChars="1650"/>
        <w:rPr>
          <w:rFonts w:ascii="Times New Roman" w:hAnsi="Times New Roman"/>
          <w:color w:val="000000"/>
        </w:rPr>
      </w:pPr>
      <w:r>
        <w:rPr>
          <w:rFonts w:hint="eastAsia" w:ascii="Times New Roman" w:hAnsi="Times New Roman"/>
          <w:color w:val="000000"/>
        </w:rPr>
        <w:t>投标方（公章）：</w:t>
      </w:r>
    </w:p>
    <w:p>
      <w:pPr>
        <w:pStyle w:val="8"/>
        <w:spacing w:before="156" w:after="156"/>
        <w:ind w:firstLine="720" w:firstLineChars="300"/>
        <w:jc w:val="center"/>
        <w:rPr>
          <w:rFonts w:ascii="Times New Roman" w:hAnsi="Times New Roman"/>
          <w:color w:val="000000"/>
        </w:rPr>
      </w:pPr>
      <w:r>
        <w:rPr>
          <w:rFonts w:hint="eastAsia" w:ascii="Times New Roman" w:hAnsi="Times New Roman"/>
          <w:color w:val="000000"/>
        </w:rPr>
        <w:t>投标方授权代表签字：</w:t>
      </w:r>
    </w:p>
    <w:p>
      <w:pPr>
        <w:pStyle w:val="8"/>
        <w:spacing w:before="156" w:after="156"/>
        <w:ind w:firstLine="4200" w:firstLineChars="1750"/>
        <w:rPr>
          <w:rFonts w:ascii="Times New Roman" w:hAnsi="Times New Roman"/>
          <w:color w:val="000000"/>
        </w:rPr>
      </w:pPr>
    </w:p>
    <w:p>
      <w:pPr>
        <w:pStyle w:val="8"/>
        <w:spacing w:before="156" w:after="156"/>
        <w:ind w:firstLine="4680" w:firstLineChars="1950"/>
        <w:rPr>
          <w:rFonts w:ascii="Times New Roman" w:hAnsi="Times New Roman"/>
          <w:color w:val="000000"/>
        </w:rPr>
      </w:pPr>
      <w:r>
        <w:rPr>
          <w:rFonts w:hint="eastAsia" w:ascii="Times New Roman" w:hAnsi="Times New Roman"/>
          <w:color w:val="000000"/>
        </w:rPr>
        <w:t>日   期：</w:t>
      </w: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r>
        <w:rPr>
          <w:rFonts w:hint="eastAsia" w:ascii="宋体" w:hAnsi="宋体"/>
          <w:b/>
          <w:color w:val="000000"/>
          <w:sz w:val="24"/>
        </w:rPr>
        <w:t>3.5销售业绩情况一览表</w:t>
      </w:r>
    </w:p>
    <w:p>
      <w:pPr>
        <w:spacing w:line="600" w:lineRule="exact"/>
        <w:ind w:firstLine="480" w:firstLineChars="200"/>
        <w:rPr>
          <w:rFonts w:ascii="宋体" w:hAnsi="宋体"/>
          <w:color w:val="000000"/>
          <w:sz w:val="24"/>
        </w:rPr>
      </w:pPr>
      <w:r>
        <w:rPr>
          <w:rFonts w:ascii="宋体" w:hAnsi="宋体"/>
          <w:color w:val="000000"/>
          <w:sz w:val="24"/>
        </w:rPr>
        <w:t>投标人</w:t>
      </w:r>
      <w:r>
        <w:rPr>
          <w:rFonts w:hint="eastAsia" w:ascii="宋体" w:hAnsi="宋体"/>
          <w:color w:val="000000"/>
          <w:sz w:val="24"/>
        </w:rPr>
        <w:t>自2016年1月1日（含）至今销售业绩</w:t>
      </w:r>
      <w:r>
        <w:rPr>
          <w:rFonts w:ascii="宋体" w:hAnsi="宋体"/>
          <w:color w:val="000000"/>
          <w:sz w:val="24"/>
        </w:rPr>
        <w:t>情况一览表格式：</w:t>
      </w:r>
      <w:r>
        <w:rPr>
          <w:rFonts w:hint="eastAsia" w:ascii="宋体" w:hAnsi="宋体"/>
          <w:color w:val="000000"/>
          <w:sz w:val="24"/>
        </w:rPr>
        <w:t xml:space="preserve">（表格可按同格式扩张） </w:t>
      </w:r>
    </w:p>
    <w:tbl>
      <w:tblPr>
        <w:tblStyle w:val="15"/>
        <w:tblW w:w="88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1440"/>
        <w:gridCol w:w="1080"/>
        <w:gridCol w:w="1591"/>
        <w:gridCol w:w="1260"/>
        <w:gridCol w:w="1260"/>
        <w:gridCol w:w="8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jc w:val="center"/>
        </w:trPr>
        <w:tc>
          <w:tcPr>
            <w:tcW w:w="13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olor w:val="000000"/>
                <w:sz w:val="24"/>
              </w:rPr>
            </w:pPr>
            <w:r>
              <w:rPr>
                <w:rFonts w:hint="eastAsia" w:ascii="宋体" w:hAnsi="宋体"/>
                <w:color w:val="000000"/>
                <w:sz w:val="24"/>
              </w:rPr>
              <w:t>采购单位名称</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olor w:val="000000"/>
                <w:sz w:val="24"/>
              </w:rPr>
            </w:pPr>
            <w:r>
              <w:rPr>
                <w:rFonts w:hint="eastAsia" w:ascii="宋体" w:hAnsi="宋体"/>
                <w:color w:val="000000"/>
                <w:sz w:val="24"/>
              </w:rPr>
              <w:t>设备名称</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olor w:val="000000"/>
                <w:sz w:val="24"/>
              </w:rPr>
            </w:pPr>
            <w:r>
              <w:rPr>
                <w:rFonts w:hint="eastAsia" w:ascii="宋体" w:hAnsi="宋体"/>
                <w:color w:val="000000"/>
                <w:sz w:val="24"/>
              </w:rPr>
              <w:t>品牌及产地</w:t>
            </w:r>
          </w:p>
        </w:tc>
        <w:tc>
          <w:tcPr>
            <w:tcW w:w="159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olor w:val="000000"/>
                <w:sz w:val="24"/>
              </w:rPr>
            </w:pPr>
            <w:r>
              <w:rPr>
                <w:rFonts w:hint="eastAsia" w:ascii="宋体" w:hAnsi="宋体"/>
                <w:color w:val="000000"/>
                <w:sz w:val="24"/>
              </w:rPr>
              <w:t>规格型号及配置</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olor w:val="000000"/>
                <w:sz w:val="24"/>
              </w:rPr>
            </w:pPr>
            <w:r>
              <w:rPr>
                <w:rFonts w:hint="eastAsia" w:ascii="宋体" w:hAnsi="宋体"/>
                <w:color w:val="000000"/>
                <w:sz w:val="24"/>
              </w:rPr>
              <w:t>采购数量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olor w:val="000000"/>
                <w:sz w:val="24"/>
              </w:rPr>
            </w:pPr>
            <w:r>
              <w:rPr>
                <w:rFonts w:hint="eastAsia" w:ascii="宋体" w:hAnsi="宋体"/>
                <w:color w:val="000000"/>
                <w:sz w:val="24"/>
              </w:rPr>
              <w:t>采购单位联系电话</w:t>
            </w:r>
          </w:p>
        </w:tc>
        <w:tc>
          <w:tcPr>
            <w:tcW w:w="818" w:type="dxa"/>
            <w:tcBorders>
              <w:top w:val="single" w:color="auto" w:sz="4" w:space="0"/>
              <w:left w:val="single" w:color="auto" w:sz="4" w:space="0"/>
              <w:right w:val="single" w:color="auto" w:sz="4" w:space="0"/>
            </w:tcBorders>
            <w:noWrap/>
            <w:vAlign w:val="center"/>
          </w:tcPr>
          <w:p>
            <w:pPr>
              <w:snapToGrid w:val="0"/>
              <w:spacing w:line="36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91"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8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bl>
    <w:p>
      <w:pPr>
        <w:spacing w:line="360" w:lineRule="auto"/>
        <w:rPr>
          <w:rFonts w:ascii="宋体" w:hAnsi="宋体" w:cs="宋体"/>
          <w:color w:val="000000"/>
          <w:kern w:val="0"/>
          <w:sz w:val="24"/>
        </w:rPr>
      </w:pPr>
      <w:r>
        <w:rPr>
          <w:rFonts w:hint="eastAsia" w:ascii="宋体" w:hAnsi="宋体" w:cs="宋体"/>
          <w:color w:val="000000"/>
          <w:kern w:val="0"/>
          <w:sz w:val="24"/>
        </w:rPr>
        <w:t>附：合同复印件，原件备查。</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投标人名称(盖章)：</w:t>
      </w:r>
    </w:p>
    <w:p>
      <w:pPr>
        <w:spacing w:line="360" w:lineRule="auto"/>
        <w:rPr>
          <w:rFonts w:ascii="宋体" w:hAnsi="宋体"/>
          <w:color w:val="000000"/>
          <w:sz w:val="24"/>
        </w:rPr>
      </w:pPr>
      <w:r>
        <w:rPr>
          <w:rFonts w:hint="eastAsia" w:ascii="宋体" w:hAnsi="宋体"/>
          <w:color w:val="000000"/>
          <w:sz w:val="24"/>
        </w:rPr>
        <w:t>投标人法定代表人或其授权代表（签字</w:t>
      </w:r>
      <w:r>
        <w:rPr>
          <w:rFonts w:ascii="宋体" w:hAnsi="宋体"/>
          <w:color w:val="000000"/>
          <w:sz w:val="24"/>
        </w:rPr>
        <w:t>）</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日期：</w:t>
      </w: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Lines="50" w:after="50"/>
        <w:rPr>
          <w:rFonts w:ascii="宋体" w:hAnsi="宋体"/>
          <w:b/>
          <w:sz w:val="24"/>
        </w:rPr>
      </w:pPr>
      <w:r>
        <w:rPr>
          <w:rFonts w:hint="eastAsia" w:ascii="宋体" w:hAnsi="宋体"/>
          <w:b/>
          <w:sz w:val="24"/>
        </w:rPr>
        <w:t xml:space="preserve">3.6 </w:t>
      </w:r>
      <w:r>
        <w:rPr>
          <w:rFonts w:ascii="宋体" w:hAnsi="宋体"/>
          <w:b/>
          <w:sz w:val="24"/>
        </w:rPr>
        <w:t>政府采购供应商诚信承诺书</w:t>
      </w:r>
      <w:r>
        <w:rPr>
          <w:rFonts w:hint="eastAsia" w:ascii="宋体" w:hAnsi="宋体"/>
          <w:b/>
          <w:sz w:val="24"/>
        </w:rPr>
        <w:t>：</w:t>
      </w:r>
    </w:p>
    <w:p>
      <w:pPr>
        <w:widowControl/>
        <w:spacing w:before="100" w:beforeAutospacing="1" w:after="190"/>
        <w:ind w:firstLine="480"/>
        <w:jc w:val="center"/>
        <w:rPr>
          <w:rFonts w:ascii="Arial" w:hAnsi="Arial" w:cs="Arial"/>
          <w:kern w:val="0"/>
          <w:sz w:val="30"/>
          <w:szCs w:val="30"/>
        </w:rPr>
      </w:pPr>
      <w:r>
        <w:rPr>
          <w:rFonts w:ascii="Arial" w:hAnsi="Arial" w:cs="Arial"/>
          <w:b/>
          <w:bCs/>
          <w:kern w:val="0"/>
          <w:sz w:val="30"/>
          <w:szCs w:val="30"/>
        </w:rPr>
        <w:t>政府采购供应商诚信承诺书</w:t>
      </w:r>
    </w:p>
    <w:p>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pPr>
        <w:ind w:firstLine="480" w:firstLineChars="200"/>
        <w:rPr>
          <w:sz w:val="24"/>
        </w:rPr>
      </w:pPr>
      <w:r>
        <w:rPr>
          <w:kern w:val="0"/>
          <w:sz w:val="24"/>
        </w:rPr>
        <w:t>我公司自愿参与贵中心组织的</w:t>
      </w:r>
      <w:r>
        <w:rPr>
          <w:b/>
          <w:kern w:val="0"/>
          <w:sz w:val="24"/>
          <w:u w:val="single"/>
        </w:rPr>
        <w:t>项目</w:t>
      </w:r>
      <w:r>
        <w:rPr>
          <w:rFonts w:hint="eastAsia"/>
          <w:b/>
          <w:kern w:val="0"/>
          <w:sz w:val="24"/>
          <w:u w:val="single"/>
        </w:rPr>
        <w:t>（招标编号：DYCG2019-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288" w:lineRule="auto"/>
        <w:ind w:firstLine="480" w:firstLineChars="200"/>
        <w:rPr>
          <w:sz w:val="24"/>
        </w:rPr>
      </w:pPr>
      <w:r>
        <w:rPr>
          <w:sz w:val="24"/>
        </w:rPr>
        <w:t>（一）提供虚假材料谋取中标的；</w:t>
      </w:r>
    </w:p>
    <w:p>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19"/>
          <w:color w:val="auto"/>
          <w:sz w:val="24"/>
        </w:rPr>
        <w:t>其他</w:t>
      </w:r>
      <w:r>
        <w:rPr>
          <w:rStyle w:val="19"/>
          <w:color w:val="auto"/>
          <w:sz w:val="24"/>
        </w:rPr>
        <w:fldChar w:fldCharType="end"/>
      </w:r>
      <w:r>
        <w:rPr>
          <w:sz w:val="24"/>
        </w:rPr>
        <w:t>供应商的；</w:t>
      </w:r>
    </w:p>
    <w:p>
      <w:pPr>
        <w:spacing w:line="288" w:lineRule="auto"/>
        <w:ind w:firstLine="480" w:firstLineChars="200"/>
        <w:rPr>
          <w:sz w:val="24"/>
        </w:rPr>
      </w:pPr>
      <w:r>
        <w:rPr>
          <w:sz w:val="24"/>
        </w:rPr>
        <w:t>（三）与招标采购单位、其他投标人恶意串通的；</w:t>
      </w:r>
    </w:p>
    <w:p>
      <w:pPr>
        <w:spacing w:line="288" w:lineRule="auto"/>
        <w:ind w:firstLine="480" w:firstLineChars="200"/>
        <w:rPr>
          <w:sz w:val="24"/>
        </w:rPr>
      </w:pPr>
      <w:r>
        <w:rPr>
          <w:sz w:val="24"/>
        </w:rPr>
        <w:t>（四）向招标采购单位行贿或提供其他不正当利益的；</w:t>
      </w:r>
    </w:p>
    <w:p>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pPr>
        <w:spacing w:line="288" w:lineRule="auto"/>
        <w:ind w:firstLine="600" w:firstLineChars="250"/>
        <w:rPr>
          <w:sz w:val="24"/>
        </w:rPr>
      </w:pPr>
      <w:r>
        <w:rPr>
          <w:sz w:val="24"/>
        </w:rPr>
        <w:t>（</w:t>
      </w:r>
      <w:r>
        <w:rPr>
          <w:rFonts w:hint="eastAsia"/>
          <w:sz w:val="24"/>
          <w:lang w:eastAsia="zh-CN"/>
        </w:rPr>
        <w:t>六</w:t>
      </w:r>
      <w:r>
        <w:rPr>
          <w:sz w:val="24"/>
        </w:rPr>
        <w:t>）中标后无正当理由，在规定时间内不与采购单位签订合同的；</w:t>
      </w:r>
    </w:p>
    <w:p>
      <w:pPr>
        <w:spacing w:line="288" w:lineRule="auto"/>
        <w:ind w:firstLine="600" w:firstLineChars="250"/>
        <w:rPr>
          <w:sz w:val="24"/>
        </w:rPr>
      </w:pPr>
      <w:r>
        <w:rPr>
          <w:sz w:val="24"/>
        </w:rPr>
        <w:t>（</w:t>
      </w:r>
      <w:r>
        <w:rPr>
          <w:rFonts w:hint="eastAsia"/>
          <w:sz w:val="24"/>
          <w:lang w:eastAsia="zh-CN"/>
        </w:rPr>
        <w:t>七</w:t>
      </w:r>
      <w:r>
        <w:rPr>
          <w:sz w:val="24"/>
        </w:rPr>
        <w:t>）将中标项目转让给他人或非法分包他人的；</w:t>
      </w:r>
    </w:p>
    <w:p>
      <w:pPr>
        <w:spacing w:line="288" w:lineRule="auto"/>
        <w:ind w:firstLine="600" w:firstLineChars="250"/>
        <w:rPr>
          <w:sz w:val="24"/>
        </w:rPr>
      </w:pPr>
      <w:r>
        <w:rPr>
          <w:sz w:val="24"/>
        </w:rPr>
        <w:t>（</w:t>
      </w:r>
      <w:r>
        <w:rPr>
          <w:rFonts w:hint="eastAsia"/>
          <w:sz w:val="24"/>
          <w:lang w:eastAsia="zh-CN"/>
        </w:rPr>
        <w:t>八</w:t>
      </w:r>
      <w:r>
        <w:rPr>
          <w:sz w:val="24"/>
        </w:rPr>
        <w:t>）无正当理由，拒绝履行合同义务的；</w:t>
      </w:r>
    </w:p>
    <w:p>
      <w:pPr>
        <w:spacing w:line="288" w:lineRule="auto"/>
        <w:ind w:firstLine="600" w:firstLineChars="250"/>
        <w:rPr>
          <w:sz w:val="24"/>
        </w:rPr>
      </w:pPr>
      <w:r>
        <w:rPr>
          <w:sz w:val="24"/>
        </w:rPr>
        <w:t>（</w:t>
      </w:r>
      <w:r>
        <w:rPr>
          <w:rFonts w:hint="eastAsia"/>
          <w:sz w:val="24"/>
          <w:lang w:eastAsia="zh-CN"/>
        </w:rPr>
        <w:t>九</w:t>
      </w:r>
      <w:r>
        <w:rPr>
          <w:sz w:val="24"/>
        </w:rPr>
        <w:t>）无正当理由放弃中标（成交）项目的；</w:t>
      </w:r>
    </w:p>
    <w:p>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pPr>
        <w:spacing w:line="288" w:lineRule="auto"/>
        <w:ind w:firstLine="480" w:firstLineChars="200"/>
        <w:rPr>
          <w:sz w:val="24"/>
        </w:rPr>
      </w:pPr>
      <w:r>
        <w:rPr>
          <w:sz w:val="24"/>
        </w:rPr>
        <w:t>（十</w:t>
      </w:r>
      <w:r>
        <w:rPr>
          <w:rFonts w:hint="eastAsia"/>
          <w:sz w:val="24"/>
          <w:lang w:eastAsia="zh-CN"/>
        </w:rPr>
        <w:t>一</w:t>
      </w:r>
      <w:r>
        <w:rPr>
          <w:sz w:val="24"/>
        </w:rPr>
        <w:t>）与采购人串通，对尚未履约完毕的采购项目出具虚假验收报告的；</w:t>
      </w:r>
    </w:p>
    <w:p>
      <w:pPr>
        <w:spacing w:line="288" w:lineRule="auto"/>
        <w:ind w:firstLine="480" w:firstLineChars="200"/>
        <w:rPr>
          <w:sz w:val="24"/>
        </w:rPr>
      </w:pPr>
      <w:r>
        <w:rPr>
          <w:sz w:val="24"/>
        </w:rPr>
        <w:t>（十</w:t>
      </w:r>
      <w:r>
        <w:rPr>
          <w:rFonts w:hint="eastAsia"/>
          <w:sz w:val="24"/>
          <w:lang w:eastAsia="zh-CN"/>
        </w:rPr>
        <w:t>二</w:t>
      </w:r>
      <w:r>
        <w:rPr>
          <w:sz w:val="24"/>
        </w:rPr>
        <w:t>）无不可抗力因素，拒绝提供售后服务、售后服务态度恶劣、故意提高维修配件价格（高于市场平均价）的；</w:t>
      </w:r>
    </w:p>
    <w:p>
      <w:pPr>
        <w:spacing w:line="288" w:lineRule="auto"/>
        <w:ind w:firstLine="480" w:firstLineChars="200"/>
        <w:rPr>
          <w:sz w:val="24"/>
        </w:rPr>
      </w:pPr>
      <w:r>
        <w:rPr>
          <w:sz w:val="24"/>
        </w:rPr>
        <w:t>（十</w:t>
      </w:r>
      <w:r>
        <w:rPr>
          <w:rFonts w:hint="eastAsia"/>
          <w:sz w:val="24"/>
          <w:lang w:eastAsia="zh-CN"/>
        </w:rPr>
        <w:t>三</w:t>
      </w:r>
      <w:r>
        <w:rPr>
          <w:sz w:val="24"/>
        </w:rPr>
        <w:t>）开标后对招标文件的相关内容再进行质疑的；</w:t>
      </w:r>
    </w:p>
    <w:p>
      <w:pPr>
        <w:spacing w:line="288" w:lineRule="auto"/>
        <w:ind w:firstLine="480" w:firstLineChars="200"/>
        <w:rPr>
          <w:sz w:val="24"/>
        </w:rPr>
      </w:pPr>
      <w:r>
        <w:rPr>
          <w:sz w:val="24"/>
        </w:rPr>
        <w:t>（十</w:t>
      </w:r>
      <w:r>
        <w:rPr>
          <w:rFonts w:hint="eastAsia"/>
          <w:sz w:val="24"/>
          <w:lang w:eastAsia="zh-CN"/>
        </w:rPr>
        <w:t>四</w:t>
      </w:r>
      <w:r>
        <w:rPr>
          <w:sz w:val="24"/>
        </w:rPr>
        <w:t>）恶意投诉的行为：投诉经查无实据的、捏造事实或者提供虚假投诉材料的；</w:t>
      </w:r>
    </w:p>
    <w:p>
      <w:pPr>
        <w:spacing w:line="288" w:lineRule="auto"/>
        <w:ind w:firstLine="480" w:firstLineChars="200"/>
        <w:rPr>
          <w:sz w:val="24"/>
        </w:rPr>
      </w:pPr>
      <w:r>
        <w:rPr>
          <w:sz w:val="24"/>
        </w:rPr>
        <w:t>（十</w:t>
      </w:r>
      <w:r>
        <w:rPr>
          <w:rFonts w:hint="eastAsia"/>
          <w:sz w:val="24"/>
          <w:lang w:eastAsia="zh-CN"/>
        </w:rPr>
        <w:t>五</w:t>
      </w:r>
      <w:r>
        <w:rPr>
          <w:sz w:val="24"/>
        </w:rPr>
        <w:t>）拒绝有关部门监督检查或者提供虚假情况的；</w:t>
      </w:r>
    </w:p>
    <w:p>
      <w:pPr>
        <w:spacing w:line="288" w:lineRule="auto"/>
        <w:ind w:firstLine="480" w:firstLineChars="200"/>
        <w:rPr>
          <w:sz w:val="24"/>
        </w:rPr>
      </w:pPr>
      <w:r>
        <w:rPr>
          <w:sz w:val="24"/>
        </w:rPr>
        <w:t>（十</w:t>
      </w:r>
      <w:r>
        <w:rPr>
          <w:rFonts w:hint="eastAsia"/>
          <w:sz w:val="24"/>
          <w:lang w:eastAsia="zh-CN"/>
        </w:rPr>
        <w:t>六</w:t>
      </w:r>
      <w:r>
        <w:rPr>
          <w:sz w:val="24"/>
        </w:rPr>
        <w:t>）财政、监察部门认定的其他不诚信行为。</w:t>
      </w:r>
    </w:p>
    <w:p>
      <w:pPr>
        <w:spacing w:line="288" w:lineRule="auto"/>
        <w:ind w:firstLine="480" w:firstLineChars="200"/>
        <w:rPr>
          <w:sz w:val="24"/>
        </w:rPr>
      </w:pPr>
      <w:r>
        <w:rPr>
          <w:rFonts w:hint="eastAsia"/>
          <w:sz w:val="24"/>
        </w:rPr>
        <w:t>（十</w:t>
      </w:r>
      <w:r>
        <w:rPr>
          <w:rFonts w:hint="eastAsia"/>
          <w:sz w:val="24"/>
          <w:lang w:eastAsia="zh-CN"/>
        </w:rPr>
        <w:t>七</w:t>
      </w:r>
      <w:r>
        <w:rPr>
          <w:rFonts w:hint="eastAsia"/>
          <w:sz w:val="24"/>
        </w:rPr>
        <w:t>）招标文件规定的其他不诚信行为。</w:t>
      </w:r>
    </w:p>
    <w:p>
      <w:pPr>
        <w:spacing w:line="288" w:lineRule="auto"/>
        <w:ind w:firstLine="5760" w:firstLineChars="2400"/>
        <w:rPr>
          <w:sz w:val="24"/>
        </w:rPr>
      </w:pPr>
      <w:r>
        <w:rPr>
          <w:sz w:val="24"/>
        </w:rPr>
        <w:t>公司名称</w:t>
      </w:r>
      <w:r>
        <w:rPr>
          <w:rFonts w:hint="eastAsia"/>
          <w:sz w:val="24"/>
        </w:rPr>
        <w:t>：</w:t>
      </w:r>
      <w:r>
        <w:rPr>
          <w:sz w:val="24"/>
        </w:rPr>
        <w:t>（盖章）</w:t>
      </w:r>
    </w:p>
    <w:p>
      <w:pPr>
        <w:spacing w:line="288" w:lineRule="auto"/>
        <w:ind w:firstLine="4560" w:firstLineChars="1900"/>
        <w:rPr>
          <w:sz w:val="24"/>
        </w:rPr>
      </w:pPr>
      <w:r>
        <w:rPr>
          <w:sz w:val="24"/>
        </w:rPr>
        <w:t>法人代表或授权委托人签字：</w:t>
      </w:r>
    </w:p>
    <w:p>
      <w:pPr>
        <w:spacing w:line="288" w:lineRule="auto"/>
        <w:ind w:firstLine="5760" w:firstLineChars="2400"/>
        <w:rPr>
          <w:rFonts w:ascii="宋体" w:hAnsi="宋体"/>
          <w:b/>
          <w:color w:val="000000"/>
          <w:sz w:val="24"/>
        </w:rPr>
      </w:pPr>
      <w:r>
        <w:rPr>
          <w:sz w:val="24"/>
        </w:rPr>
        <w:t>年 月 日</w:t>
      </w: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r>
        <w:rPr>
          <w:rFonts w:hint="eastAsia" w:ascii="宋体" w:hAnsi="宋体"/>
          <w:b/>
          <w:color w:val="000000"/>
          <w:sz w:val="24"/>
        </w:rPr>
        <w:t>4.技术文件目录</w:t>
      </w:r>
    </w:p>
    <w:p>
      <w:pPr>
        <w:spacing w:line="288" w:lineRule="auto"/>
        <w:ind w:firstLine="480" w:firstLineChars="200"/>
        <w:rPr>
          <w:sz w:val="24"/>
        </w:rPr>
      </w:pPr>
      <w:r>
        <w:rPr>
          <w:sz w:val="24"/>
        </w:rPr>
        <w:t>投标人应提交证明文件，证明其拟供的合同项下的货物和服务的合格性符合招标文件规定。该证明文件是投标文件的一部分。证明文件可以是文字资料、图纸和数据，它包括：</w:t>
      </w:r>
    </w:p>
    <w:p>
      <w:pPr>
        <w:spacing w:line="288" w:lineRule="auto"/>
        <w:ind w:firstLine="480" w:firstLineChars="200"/>
        <w:rPr>
          <w:sz w:val="24"/>
        </w:rPr>
      </w:pPr>
      <w:r>
        <w:rPr>
          <w:rFonts w:hint="eastAsia"/>
          <w:sz w:val="24"/>
        </w:rPr>
        <w:t>（1）</w:t>
      </w:r>
      <w:r>
        <w:rPr>
          <w:sz w:val="24"/>
        </w:rPr>
        <w:t>投标货物和服务数量、规格、品牌、交货期说明表</w:t>
      </w:r>
      <w:r>
        <w:rPr>
          <w:rFonts w:hint="eastAsia"/>
          <w:sz w:val="24"/>
        </w:rPr>
        <w:t>（格式见附件</w:t>
      </w:r>
      <w:r>
        <w:rPr>
          <w:sz w:val="24"/>
        </w:rPr>
        <w:t>）</w:t>
      </w:r>
      <w:r>
        <w:rPr>
          <w:rFonts w:hint="eastAsia"/>
          <w:sz w:val="24"/>
        </w:rPr>
        <w:t>；</w:t>
      </w:r>
    </w:p>
    <w:p>
      <w:pPr>
        <w:spacing w:line="288" w:lineRule="auto"/>
        <w:ind w:firstLine="480" w:firstLineChars="200"/>
        <w:rPr>
          <w:sz w:val="24"/>
        </w:rPr>
      </w:pPr>
      <w:r>
        <w:rPr>
          <w:rFonts w:hint="eastAsia"/>
          <w:sz w:val="24"/>
        </w:rPr>
        <w:t>（2）产品的主要技术、特点和质量水平的详细描述；</w:t>
      </w:r>
    </w:p>
    <w:p>
      <w:pPr>
        <w:spacing w:line="288" w:lineRule="auto"/>
        <w:ind w:firstLine="480" w:firstLineChars="200"/>
        <w:rPr>
          <w:sz w:val="24"/>
        </w:rPr>
      </w:pPr>
      <w:r>
        <w:rPr>
          <w:rFonts w:hint="eastAsia"/>
          <w:sz w:val="24"/>
        </w:rPr>
        <w:t>（3）</w:t>
      </w:r>
      <w:r>
        <w:rPr>
          <w:sz w:val="24"/>
        </w:rPr>
        <w:t>主要材料、结构明细表(包括名称、规格型号、需用量、生产厂名)</w:t>
      </w:r>
      <w:r>
        <w:rPr>
          <w:rFonts w:hint="eastAsia"/>
          <w:sz w:val="24"/>
        </w:rPr>
        <w:t xml:space="preserve"> （格式见附件</w:t>
      </w:r>
      <w:r>
        <w:rPr>
          <w:sz w:val="24"/>
        </w:rPr>
        <w:t>）；</w:t>
      </w:r>
    </w:p>
    <w:p>
      <w:pPr>
        <w:spacing w:line="288" w:lineRule="auto"/>
        <w:ind w:firstLine="480" w:firstLineChars="200"/>
        <w:rPr>
          <w:sz w:val="24"/>
        </w:rPr>
      </w:pPr>
      <w:r>
        <w:rPr>
          <w:rFonts w:hint="eastAsia"/>
          <w:sz w:val="24"/>
        </w:rPr>
        <w:t>（4）技术响应表（格式见附件）；</w:t>
      </w:r>
    </w:p>
    <w:p>
      <w:pPr>
        <w:spacing w:line="288" w:lineRule="auto"/>
        <w:ind w:firstLine="480" w:firstLineChars="200"/>
        <w:rPr>
          <w:sz w:val="24"/>
        </w:rPr>
      </w:pPr>
      <w:r>
        <w:rPr>
          <w:rFonts w:hint="eastAsia"/>
          <w:sz w:val="24"/>
        </w:rPr>
        <w:t>（5）设计、制造、检验方面的主要标准；</w:t>
      </w:r>
    </w:p>
    <w:p>
      <w:pPr>
        <w:spacing w:line="288" w:lineRule="auto"/>
        <w:ind w:firstLine="480" w:firstLineChars="200"/>
        <w:rPr>
          <w:sz w:val="24"/>
        </w:rPr>
      </w:pPr>
      <w:r>
        <w:rPr>
          <w:rFonts w:hint="eastAsia"/>
          <w:sz w:val="24"/>
        </w:rPr>
        <w:t>（6）列出按照制造工序和运输要求的制造期、检验期、交货期；</w:t>
      </w:r>
    </w:p>
    <w:p>
      <w:pPr>
        <w:spacing w:line="288" w:lineRule="auto"/>
        <w:ind w:firstLine="480" w:firstLineChars="200"/>
        <w:rPr>
          <w:sz w:val="24"/>
        </w:rPr>
      </w:pPr>
      <w:r>
        <w:rPr>
          <w:rFonts w:hint="eastAsia"/>
          <w:sz w:val="24"/>
        </w:rPr>
        <w:t>（7) 检验报告（一年内）；</w:t>
      </w:r>
    </w:p>
    <w:p>
      <w:pPr>
        <w:spacing w:line="288" w:lineRule="auto"/>
        <w:ind w:firstLine="480" w:firstLineChars="200"/>
        <w:rPr>
          <w:sz w:val="24"/>
        </w:rPr>
      </w:pPr>
      <w:r>
        <w:rPr>
          <w:rFonts w:hint="eastAsia"/>
          <w:sz w:val="24"/>
        </w:rPr>
        <w:t>（8) 其他优惠条件；</w:t>
      </w:r>
    </w:p>
    <w:p>
      <w:pPr>
        <w:spacing w:line="288" w:lineRule="auto"/>
        <w:ind w:firstLine="480" w:firstLineChars="200"/>
        <w:rPr>
          <w:sz w:val="24"/>
        </w:rPr>
      </w:pPr>
      <w:r>
        <w:rPr>
          <w:rFonts w:hint="eastAsia"/>
          <w:sz w:val="24"/>
        </w:rPr>
        <w:t>（9</w:t>
      </w:r>
      <w:r>
        <w:rPr>
          <w:sz w:val="24"/>
        </w:rPr>
        <w:t>）技术服务、售后服务的内容和措施；</w:t>
      </w:r>
    </w:p>
    <w:p>
      <w:pPr>
        <w:spacing w:line="288" w:lineRule="auto"/>
        <w:ind w:firstLine="480" w:firstLineChars="200"/>
        <w:rPr>
          <w:sz w:val="24"/>
        </w:rPr>
      </w:pPr>
      <w:r>
        <w:rPr>
          <w:rFonts w:hint="eastAsia"/>
          <w:sz w:val="24"/>
        </w:rPr>
        <w:t>（10) 其它按照评标办法可加分的内容说明、证明文件；</w:t>
      </w:r>
    </w:p>
    <w:p>
      <w:pPr>
        <w:spacing w:line="288" w:lineRule="auto"/>
        <w:ind w:firstLine="480" w:firstLineChars="200"/>
        <w:rPr>
          <w:sz w:val="24"/>
        </w:rPr>
      </w:pPr>
      <w:r>
        <w:rPr>
          <w:rFonts w:hint="eastAsia"/>
          <w:sz w:val="24"/>
        </w:rPr>
        <w:t>（11</w:t>
      </w:r>
      <w:r>
        <w:rPr>
          <w:sz w:val="24"/>
        </w:rPr>
        <w:t>）投标人需要说明的其他文件和说明。</w:t>
      </w:r>
    </w:p>
    <w:p>
      <w:pPr>
        <w:spacing w:line="288" w:lineRule="auto"/>
        <w:ind w:firstLine="480" w:firstLineChars="200"/>
        <w:rPr>
          <w:sz w:val="24"/>
        </w:rPr>
      </w:pPr>
    </w:p>
    <w:p>
      <w:pPr>
        <w:spacing w:line="288" w:lineRule="auto"/>
        <w:ind w:firstLine="480" w:firstLineChars="200"/>
        <w:rPr>
          <w:sz w:val="24"/>
        </w:rPr>
      </w:pPr>
    </w:p>
    <w:p>
      <w:pPr>
        <w:spacing w:line="288" w:lineRule="auto"/>
        <w:ind w:firstLine="480" w:firstLineChars="200"/>
        <w:rPr>
          <w:sz w:val="24"/>
        </w:rPr>
      </w:pPr>
    </w:p>
    <w:p>
      <w:pPr>
        <w:spacing w:line="288" w:lineRule="auto"/>
        <w:ind w:firstLine="480" w:firstLineChars="200"/>
        <w:rPr>
          <w:sz w:val="24"/>
        </w:rPr>
      </w:pPr>
    </w:p>
    <w:p>
      <w:pPr>
        <w:spacing w:line="288" w:lineRule="auto"/>
        <w:ind w:firstLine="480" w:firstLineChars="200"/>
        <w:rPr>
          <w:sz w:val="24"/>
        </w:rPr>
      </w:pPr>
    </w:p>
    <w:p>
      <w:pPr>
        <w:spacing w:line="288" w:lineRule="auto"/>
        <w:ind w:firstLine="480" w:firstLineChars="200"/>
        <w:rPr>
          <w:sz w:val="24"/>
        </w:rPr>
      </w:pPr>
    </w:p>
    <w:p>
      <w:pPr>
        <w:spacing w:line="288" w:lineRule="auto"/>
        <w:ind w:firstLine="480" w:firstLineChars="200"/>
        <w:rPr>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r>
        <w:rPr>
          <w:rFonts w:hint="eastAsia" w:ascii="宋体" w:hAnsi="宋体"/>
          <w:b/>
          <w:color w:val="000000"/>
          <w:sz w:val="24"/>
        </w:rPr>
        <w:t>4.1评分响应表格式：</w:t>
      </w:r>
    </w:p>
    <w:p>
      <w:pPr>
        <w:snapToGrid w:val="0"/>
        <w:spacing w:beforeLines="50" w:after="50"/>
        <w:rPr>
          <w:rFonts w:ascii="宋体" w:hAnsi="宋体"/>
          <w:b/>
          <w:color w:val="000000"/>
          <w:sz w:val="24"/>
        </w:rPr>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评分响应表</w:t>
      </w:r>
    </w:p>
    <w:p>
      <w:pPr>
        <w:snapToGrid w:val="0"/>
        <w:spacing w:before="50" w:after="50"/>
        <w:rPr>
          <w:rFonts w:ascii="宋体" w:hAnsi="宋体"/>
          <w:b/>
          <w:color w:val="000000"/>
          <w:sz w:val="24"/>
        </w:rPr>
      </w:pPr>
    </w:p>
    <w:p>
      <w:pPr>
        <w:snapToGrid w:val="0"/>
        <w:spacing w:before="50" w:after="50" w:line="360" w:lineRule="auto"/>
        <w:rPr>
          <w:rFonts w:ascii="宋体" w:hAnsi="宋体"/>
          <w:b/>
          <w:color w:val="000000"/>
          <w:sz w:val="24"/>
        </w:rPr>
      </w:pPr>
      <w:r>
        <w:rPr>
          <w:rFonts w:hint="eastAsia" w:ascii="宋体" w:hAnsi="宋体"/>
          <w:b/>
          <w:color w:val="000000"/>
          <w:sz w:val="24"/>
        </w:rPr>
        <w:t>投标单位名称：                           标项：</w:t>
      </w:r>
    </w:p>
    <w:tbl>
      <w:tblPr>
        <w:tblStyle w:val="15"/>
        <w:tblW w:w="908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18"/>
        <w:gridCol w:w="3124"/>
        <w:gridCol w:w="1156"/>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bCs/>
              </w:rPr>
            </w:pPr>
            <w:r>
              <w:rPr>
                <w:rFonts w:hint="eastAsia" w:ascii="宋体" w:eastAsia="宋体"/>
                <w:b/>
                <w:bCs/>
              </w:rPr>
              <w:t>序号</w:t>
            </w:r>
          </w:p>
        </w:tc>
        <w:tc>
          <w:tcPr>
            <w:tcW w:w="1318"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bCs/>
              </w:rPr>
            </w:pPr>
            <w:r>
              <w:rPr>
                <w:rFonts w:hint="eastAsia" w:ascii="宋体" w:eastAsia="宋体"/>
                <w:b/>
                <w:bCs/>
              </w:rPr>
              <w:t>评审内容</w:t>
            </w:r>
          </w:p>
        </w:tc>
        <w:tc>
          <w:tcPr>
            <w:tcW w:w="3124" w:type="dxa"/>
            <w:tcBorders>
              <w:top w:val="single" w:color="auto" w:sz="4" w:space="0"/>
              <w:left w:val="single" w:color="auto" w:sz="4" w:space="0"/>
              <w:bottom w:val="single" w:color="auto" w:sz="4" w:space="0"/>
              <w:right w:val="single" w:color="auto" w:sz="4" w:space="0"/>
            </w:tcBorders>
            <w:noWrap/>
            <w:vAlign w:val="center"/>
          </w:tcPr>
          <w:p>
            <w:pPr>
              <w:pStyle w:val="12"/>
              <w:ind w:firstLine="482"/>
              <w:jc w:val="center"/>
              <w:rPr>
                <w:rFonts w:ascii="宋体" w:eastAsia="宋体"/>
                <w:b/>
                <w:bCs/>
              </w:rPr>
            </w:pPr>
            <w:r>
              <w:rPr>
                <w:rFonts w:hint="eastAsia" w:ascii="宋体" w:eastAsia="宋体"/>
                <w:b/>
                <w:bCs/>
              </w:rPr>
              <w:t>评分标准</w:t>
            </w:r>
          </w:p>
        </w:tc>
        <w:tc>
          <w:tcPr>
            <w:tcW w:w="1156"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bCs/>
              </w:rPr>
            </w:pPr>
            <w:r>
              <w:rPr>
                <w:rFonts w:hint="eastAsia" w:ascii="宋体" w:eastAsia="宋体"/>
                <w:b/>
                <w:bCs/>
              </w:rPr>
              <w:t>分值</w:t>
            </w:r>
          </w:p>
        </w:tc>
        <w:tc>
          <w:tcPr>
            <w:tcW w:w="2700"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bCs/>
              </w:rPr>
            </w:pPr>
            <w:r>
              <w:rPr>
                <w:rFonts w:hint="eastAsia" w:ascii="宋体" w:eastAsia="宋体"/>
                <w:b/>
                <w:bCs/>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bCs/>
              </w:rPr>
            </w:pPr>
            <w:r>
              <w:rPr>
                <w:rFonts w:hint="eastAsia" w:ascii="宋体" w:eastAsia="宋体"/>
                <w:b/>
                <w:bCs/>
              </w:rPr>
              <w:t>一</w:t>
            </w:r>
          </w:p>
        </w:tc>
        <w:tc>
          <w:tcPr>
            <w:tcW w:w="1318"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bCs/>
              </w:rPr>
            </w:pPr>
            <w:r>
              <w:rPr>
                <w:rFonts w:hint="eastAsia" w:ascii="宋体" w:eastAsia="宋体"/>
                <w:b/>
                <w:bCs/>
              </w:rPr>
              <w:t>技术分</w:t>
            </w:r>
          </w:p>
        </w:tc>
        <w:tc>
          <w:tcPr>
            <w:tcW w:w="3124" w:type="dxa"/>
            <w:tcBorders>
              <w:top w:val="single" w:color="auto" w:sz="4" w:space="0"/>
              <w:left w:val="single" w:color="auto" w:sz="4" w:space="0"/>
              <w:bottom w:val="single" w:color="auto" w:sz="4" w:space="0"/>
              <w:right w:val="single" w:color="auto" w:sz="4" w:space="0"/>
            </w:tcBorders>
            <w:noWrap/>
            <w:vAlign w:val="center"/>
          </w:tcPr>
          <w:p>
            <w:pPr>
              <w:pStyle w:val="12"/>
              <w:ind w:firstLine="482"/>
              <w:jc w:val="center"/>
              <w:rPr>
                <w:rFonts w:ascii="宋体" w:eastAsia="宋体"/>
                <w:b/>
                <w:bCs/>
              </w:rPr>
            </w:pPr>
          </w:p>
        </w:tc>
        <w:tc>
          <w:tcPr>
            <w:tcW w:w="1156"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bCs/>
              </w:rPr>
            </w:pPr>
          </w:p>
        </w:tc>
        <w:tc>
          <w:tcPr>
            <w:tcW w:w="2700"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olor w:val="000000"/>
                <w:sz w:val="24"/>
              </w:rPr>
            </w:pPr>
            <w:r>
              <w:rPr>
                <w:rFonts w:hint="eastAsia" w:ascii="宋体" w:hAnsi="宋体"/>
                <w:color w:val="000000"/>
                <w:sz w:val="24"/>
              </w:rPr>
              <w:t>1</w:t>
            </w:r>
          </w:p>
        </w:tc>
        <w:tc>
          <w:tcPr>
            <w:tcW w:w="13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 w:val="24"/>
              </w:rPr>
            </w:pPr>
          </w:p>
        </w:tc>
        <w:tc>
          <w:tcPr>
            <w:tcW w:w="3124" w:type="dxa"/>
            <w:tcBorders>
              <w:top w:val="single" w:color="auto" w:sz="4" w:space="0"/>
              <w:left w:val="single" w:color="auto" w:sz="4" w:space="0"/>
              <w:right w:val="single" w:color="auto" w:sz="4" w:space="0"/>
            </w:tcBorders>
            <w:noWrap/>
            <w:vAlign w:val="center"/>
          </w:tcPr>
          <w:p>
            <w:pPr>
              <w:rPr>
                <w:rFonts w:ascii="宋体" w:hAnsi="宋体"/>
                <w:color w:val="000000"/>
                <w:sz w:val="24"/>
              </w:rPr>
            </w:pPr>
          </w:p>
        </w:tc>
        <w:tc>
          <w:tcPr>
            <w:tcW w:w="1156" w:type="dxa"/>
            <w:tcBorders>
              <w:top w:val="single" w:color="auto" w:sz="4" w:space="0"/>
              <w:left w:val="single" w:color="auto" w:sz="4" w:space="0"/>
              <w:right w:val="single" w:color="auto" w:sz="4" w:space="0"/>
            </w:tcBorders>
            <w:noWrap/>
            <w:vAlign w:val="center"/>
          </w:tcPr>
          <w:p>
            <w:pPr>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ign w:val="center"/>
          </w:tcPr>
          <w:p>
            <w:pPr>
              <w:jc w:val="center"/>
              <w:rPr>
                <w:rFonts w:ascii="宋体" w:hAnsi="宋体"/>
                <w:bCs/>
                <w:color w:val="000000"/>
                <w:sz w:val="24"/>
              </w:rPr>
            </w:pPr>
            <w:r>
              <w:rPr>
                <w:rFonts w:hint="eastAsia" w:ascii="宋体" w:hAnsi="宋体"/>
                <w:bCs/>
                <w:color w:val="000000"/>
                <w:sz w:val="24"/>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olor w:val="000000"/>
                <w:sz w:val="24"/>
              </w:rPr>
            </w:pPr>
            <w:r>
              <w:rPr>
                <w:rFonts w:hint="eastAsia" w:ascii="宋体" w:hAnsi="宋体"/>
                <w:color w:val="000000"/>
                <w:sz w:val="24"/>
              </w:rPr>
              <w:t>2</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olor w:val="000000"/>
                <w:sz w:val="24"/>
              </w:rPr>
            </w:pPr>
          </w:p>
        </w:tc>
        <w:tc>
          <w:tcPr>
            <w:tcW w:w="3124" w:type="dxa"/>
            <w:tcBorders>
              <w:top w:val="single" w:color="auto" w:sz="4" w:space="0"/>
              <w:left w:val="single" w:color="auto" w:sz="4" w:space="0"/>
              <w:right w:val="single" w:color="auto" w:sz="4" w:space="0"/>
            </w:tcBorders>
            <w:noWrap/>
            <w:vAlign w:val="center"/>
          </w:tcPr>
          <w:p>
            <w:pPr>
              <w:widowControl/>
              <w:rPr>
                <w:rFonts w:ascii="宋体" w:hAnsi="宋体" w:cs="宋体"/>
                <w:color w:val="000000"/>
                <w:kern w:val="0"/>
                <w:sz w:val="24"/>
              </w:rPr>
            </w:pPr>
          </w:p>
        </w:tc>
        <w:tc>
          <w:tcPr>
            <w:tcW w:w="1156" w:type="dxa"/>
            <w:tcBorders>
              <w:top w:val="single" w:color="auto" w:sz="4" w:space="0"/>
              <w:left w:val="single" w:color="auto" w:sz="4" w:space="0"/>
              <w:right w:val="single" w:color="auto" w:sz="4" w:space="0"/>
            </w:tcBorders>
            <w:noWrap/>
            <w:vAlign w:val="center"/>
          </w:tcPr>
          <w:p>
            <w:pPr>
              <w:spacing w:line="32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ign w:val="center"/>
          </w:tcPr>
          <w:p>
            <w:pPr>
              <w:jc w:val="center"/>
              <w:rPr>
                <w:rFonts w:ascii="宋体" w:hAnsi="宋体"/>
                <w:bCs/>
                <w:color w:val="000000"/>
                <w:sz w:val="24"/>
              </w:rPr>
            </w:pP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noWrap/>
            <w:vAlign w:val="center"/>
          </w:tcPr>
          <w:p>
            <w:pPr>
              <w:widowControl/>
              <w:rPr>
                <w:rFonts w:ascii="宋体" w:hAnsi="宋体"/>
                <w:color w:val="000000"/>
                <w:sz w:val="24"/>
              </w:rPr>
            </w:pPr>
            <w:r>
              <w:rPr>
                <w:rFonts w:hint="eastAsia" w:ascii="宋体" w:hAnsi="宋体"/>
                <w:color w:val="000000"/>
                <w:sz w:val="24"/>
              </w:rPr>
              <w:t>……</w:t>
            </w:r>
          </w:p>
        </w:tc>
        <w:tc>
          <w:tcPr>
            <w:tcW w:w="1318" w:type="dxa"/>
            <w:tcBorders>
              <w:left w:val="single" w:color="auto" w:sz="4" w:space="0"/>
              <w:bottom w:val="single" w:color="auto" w:sz="4" w:space="0"/>
              <w:right w:val="single" w:color="auto" w:sz="4" w:space="0"/>
            </w:tcBorders>
            <w:noWrap/>
            <w:vAlign w:val="center"/>
          </w:tcPr>
          <w:p>
            <w:pPr>
              <w:widowControl/>
              <w:rPr>
                <w:rFonts w:ascii="宋体" w:hAnsi="宋体" w:cs="宋体"/>
                <w:color w:val="000000"/>
                <w:kern w:val="0"/>
                <w:sz w:val="24"/>
              </w:rPr>
            </w:pPr>
          </w:p>
        </w:tc>
        <w:tc>
          <w:tcPr>
            <w:tcW w:w="3124" w:type="dxa"/>
            <w:tcBorders>
              <w:top w:val="single" w:color="auto" w:sz="4" w:space="0"/>
              <w:left w:val="single" w:color="auto" w:sz="4" w:space="0"/>
              <w:bottom w:val="single" w:color="auto" w:sz="4" w:space="0"/>
              <w:right w:val="single" w:color="auto" w:sz="4" w:space="0"/>
            </w:tcBorders>
            <w:noWrap/>
            <w:vAlign w:val="center"/>
          </w:tcPr>
          <w:p>
            <w:pPr>
              <w:ind w:left="55" w:leftChars="26"/>
              <w:rPr>
                <w:rFonts w:ascii="宋体" w:hAnsi="宋体" w:cs="宋体"/>
                <w:color w:val="000000"/>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b/>
                <w:color w:val="000000"/>
                <w:sz w:val="24"/>
              </w:rPr>
            </w:pPr>
            <w:r>
              <w:rPr>
                <w:rFonts w:hint="eastAsia" w:ascii="宋体" w:hAnsi="宋体"/>
                <w:b/>
                <w:color w:val="000000"/>
                <w:sz w:val="24"/>
              </w:rPr>
              <w:t>二</w:t>
            </w:r>
          </w:p>
        </w:tc>
        <w:tc>
          <w:tcPr>
            <w:tcW w:w="1318"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b/>
                <w:color w:val="000000"/>
                <w:sz w:val="24"/>
              </w:rPr>
            </w:pPr>
            <w:r>
              <w:rPr>
                <w:rFonts w:hint="eastAsia" w:ascii="宋体" w:hAnsi="宋体"/>
                <w:b/>
                <w:color w:val="000000"/>
                <w:sz w:val="24"/>
              </w:rPr>
              <w:t>商务分</w:t>
            </w:r>
          </w:p>
        </w:tc>
        <w:tc>
          <w:tcPr>
            <w:tcW w:w="3124"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both"/>
              <w:rPr>
                <w:rFonts w:ascii="宋体" w:eastAsia="宋体"/>
                <w:b/>
              </w:rPr>
            </w:pPr>
          </w:p>
        </w:tc>
        <w:tc>
          <w:tcPr>
            <w:tcW w:w="1156"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rPr>
            </w:pPr>
          </w:p>
        </w:tc>
        <w:tc>
          <w:tcPr>
            <w:tcW w:w="2700"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olor w:val="000000"/>
                <w:kern w:val="0"/>
                <w:sz w:val="24"/>
              </w:rPr>
            </w:pPr>
          </w:p>
        </w:tc>
        <w:tc>
          <w:tcPr>
            <w:tcW w:w="3124"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olor w:val="000000"/>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000000"/>
                <w:sz w:val="24"/>
              </w:rPr>
            </w:pPr>
            <w:r>
              <w:rPr>
                <w:rFonts w:hint="eastAsia" w:ascii="宋体" w:hAnsi="宋体"/>
                <w:bCs/>
                <w:color w:val="000000"/>
                <w:sz w:val="24"/>
              </w:rPr>
              <w:t>详见资信及商务文件</w:t>
            </w:r>
          </w:p>
          <w:p>
            <w:pPr>
              <w:jc w:val="center"/>
              <w:rPr>
                <w:rFonts w:ascii="宋体" w:hAnsi="宋体"/>
                <w:bCs/>
                <w:color w:val="000000"/>
                <w:sz w:val="24"/>
              </w:rPr>
            </w:pPr>
            <w:r>
              <w:rPr>
                <w:rFonts w:hint="eastAsia" w:ascii="宋体" w:hAnsi="宋体"/>
                <w:bCs/>
                <w:color w:val="000000"/>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 w:val="24"/>
              </w:rPr>
            </w:pPr>
          </w:p>
        </w:tc>
        <w:tc>
          <w:tcPr>
            <w:tcW w:w="31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rPr>
            </w:pPr>
            <w:r>
              <w:rPr>
                <w:rFonts w:hint="eastAsia" w:ascii="宋体" w:eastAsia="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 w:val="24"/>
              </w:rPr>
            </w:pPr>
          </w:p>
        </w:tc>
        <w:tc>
          <w:tcPr>
            <w:tcW w:w="31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center"/>
              <w:rPr>
                <w:rFonts w:ascii="宋体"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ign w:val="center"/>
          </w:tcPr>
          <w:p>
            <w:pPr>
              <w:widowControl/>
              <w:rPr>
                <w:rFonts w:ascii="宋体" w:hAnsi="宋体"/>
                <w:color w:val="000000"/>
                <w:sz w:val="24"/>
              </w:rPr>
            </w:pPr>
            <w:r>
              <w:rPr>
                <w:rFonts w:hint="eastAsia" w:ascii="宋体" w:hAnsi="宋体"/>
                <w:color w:val="000000"/>
                <w:sz w:val="24"/>
              </w:rPr>
              <w:t>三</w:t>
            </w:r>
          </w:p>
        </w:tc>
        <w:tc>
          <w:tcPr>
            <w:tcW w:w="1318" w:type="dxa"/>
            <w:tcBorders>
              <w:left w:val="single" w:color="auto" w:sz="4" w:space="0"/>
              <w:bottom w:val="single" w:color="auto" w:sz="4" w:space="0"/>
              <w:right w:val="single" w:color="auto" w:sz="4" w:space="0"/>
            </w:tcBorders>
            <w:noWrap/>
            <w:vAlign w:val="center"/>
          </w:tcPr>
          <w:p>
            <w:pPr>
              <w:widowControl/>
              <w:rPr>
                <w:rFonts w:ascii="宋体" w:hAnsi="宋体"/>
                <w:b/>
                <w:color w:val="000000"/>
                <w:sz w:val="24"/>
              </w:rPr>
            </w:pPr>
            <w:r>
              <w:rPr>
                <w:rFonts w:hint="eastAsia" w:ascii="宋体" w:hAnsi="宋体"/>
                <w:b/>
                <w:color w:val="000000"/>
                <w:sz w:val="24"/>
              </w:rPr>
              <w:t>资信及其他分</w:t>
            </w:r>
          </w:p>
        </w:tc>
        <w:tc>
          <w:tcPr>
            <w:tcW w:w="3124" w:type="dxa"/>
            <w:tcBorders>
              <w:top w:val="single" w:color="auto" w:sz="4" w:space="0"/>
              <w:left w:val="single" w:color="auto" w:sz="4" w:space="0"/>
              <w:bottom w:val="single" w:color="auto" w:sz="4" w:space="0"/>
              <w:right w:val="single" w:color="auto" w:sz="4" w:space="0"/>
            </w:tcBorders>
            <w:noWrap/>
            <w:vAlign w:val="center"/>
          </w:tcPr>
          <w:p>
            <w:pPr>
              <w:pStyle w:val="12"/>
              <w:ind w:firstLine="0" w:firstLineChars="0"/>
              <w:jc w:val="both"/>
              <w:rPr>
                <w:rFonts w:ascii="宋体" w:eastAsia="宋体"/>
              </w:rPr>
            </w:pPr>
          </w:p>
        </w:tc>
        <w:tc>
          <w:tcPr>
            <w:tcW w:w="11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color w:val="000000"/>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noWrap/>
            <w:vAlign w:val="center"/>
          </w:tcPr>
          <w:p>
            <w:pPr>
              <w:widowControl/>
              <w:rPr>
                <w:rFonts w:ascii="宋体" w:hAnsi="宋体"/>
                <w:color w:val="000000"/>
                <w:sz w:val="24"/>
              </w:rPr>
            </w:pPr>
          </w:p>
        </w:tc>
        <w:tc>
          <w:tcPr>
            <w:tcW w:w="1318" w:type="dxa"/>
            <w:tcBorders>
              <w:left w:val="single" w:color="auto" w:sz="4" w:space="0"/>
              <w:bottom w:val="single" w:color="auto" w:sz="4" w:space="0"/>
              <w:right w:val="single" w:color="auto" w:sz="4" w:space="0"/>
            </w:tcBorders>
            <w:noWrap/>
            <w:vAlign w:val="center"/>
          </w:tcPr>
          <w:p>
            <w:pPr>
              <w:spacing w:line="320" w:lineRule="exact"/>
              <w:rPr>
                <w:rFonts w:ascii="宋体" w:hAnsi="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Cs/>
                <w:color w:val="00000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000000"/>
                <w:sz w:val="24"/>
              </w:rPr>
            </w:pPr>
            <w:r>
              <w:rPr>
                <w:rFonts w:hint="eastAsia" w:ascii="宋体" w:hAnsi="宋体"/>
                <w:bCs/>
                <w:color w:val="000000"/>
                <w:sz w:val="24"/>
              </w:rPr>
              <w:t>详见资信及商务文件</w:t>
            </w:r>
          </w:p>
          <w:p>
            <w:pPr>
              <w:jc w:val="center"/>
              <w:rPr>
                <w:rFonts w:ascii="宋体" w:hAnsi="宋体"/>
                <w:bCs/>
                <w:color w:val="000000"/>
                <w:sz w:val="24"/>
              </w:rPr>
            </w:pPr>
            <w:r>
              <w:rPr>
                <w:rFonts w:hint="eastAsia" w:ascii="宋体" w:hAnsi="宋体"/>
                <w:bCs/>
                <w:color w:val="000000"/>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Cs/>
                <w:color w:val="00000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color w:val="000000"/>
                <w:sz w:val="24"/>
              </w:rPr>
            </w:pP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Cs/>
                <w:color w:val="000000"/>
                <w:sz w:val="24"/>
              </w:rPr>
            </w:pPr>
          </w:p>
        </w:tc>
        <w:tc>
          <w:tcPr>
            <w:tcW w:w="1156" w:type="dxa"/>
            <w:tcBorders>
              <w:top w:val="single" w:color="auto" w:sz="4" w:space="0"/>
              <w:left w:val="single" w:color="auto" w:sz="4" w:space="0"/>
              <w:right w:val="single" w:color="auto" w:sz="4" w:space="0"/>
            </w:tcBorders>
            <w:noWrap/>
            <w:vAlign w:val="center"/>
          </w:tcPr>
          <w:p>
            <w:pPr>
              <w:spacing w:line="32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ign w:val="center"/>
          </w:tcPr>
          <w:p>
            <w:pPr>
              <w:jc w:val="center"/>
              <w:rPr>
                <w:rFonts w:ascii="宋体" w:hAnsi="宋体"/>
                <w:bCs/>
                <w:color w:val="000000"/>
                <w:sz w:val="24"/>
              </w:rPr>
            </w:pPr>
          </w:p>
        </w:tc>
      </w:tr>
    </w:tbl>
    <w:p>
      <w:pPr>
        <w:snapToGrid w:val="0"/>
        <w:spacing w:before="50" w:after="50" w:line="400" w:lineRule="exact"/>
        <w:rPr>
          <w:rFonts w:ascii="宋体" w:hAnsi="宋体"/>
          <w:b/>
          <w:bCs/>
          <w:sz w:val="24"/>
        </w:rPr>
      </w:pPr>
      <w:r>
        <w:rPr>
          <w:rFonts w:hint="eastAsia" w:ascii="宋体" w:hAnsi="宋体"/>
          <w:b/>
          <w:bCs/>
          <w:sz w:val="24"/>
        </w:rPr>
        <w:t>注：1、投标单位根据所投标项的评分表内容，按此格式提供评分响应表一式五份，每本技术文件一份，置于技术文件第1页。</w:t>
      </w:r>
    </w:p>
    <w:p>
      <w:pPr>
        <w:snapToGrid w:val="0"/>
        <w:spacing w:line="312" w:lineRule="auto"/>
        <w:ind w:firstLine="482" w:firstLineChars="200"/>
        <w:jc w:val="left"/>
        <w:rPr>
          <w:rFonts w:ascii="宋体" w:hAnsi="宋体"/>
          <w:b/>
          <w:bCs/>
          <w:szCs w:val="21"/>
        </w:rPr>
      </w:pPr>
      <w:r>
        <w:rPr>
          <w:rFonts w:hint="eastAsia" w:ascii="宋体" w:hAnsi="宋体"/>
          <w:b/>
          <w:bCs/>
          <w:sz w:val="24"/>
        </w:rPr>
        <w:t>2、投标人在标注页码时，应如实准确地标注“详见哪一份文件哪一页”，因投标人页码标注错误，导致专家误评、漏评</w:t>
      </w:r>
      <w:r>
        <w:rPr>
          <w:rFonts w:hint="eastAsia" w:ascii="宋体" w:hAnsi="宋体"/>
          <w:b/>
          <w:bCs/>
          <w:szCs w:val="21"/>
        </w:rPr>
        <w:t>的风险由投标人承担。</w:t>
      </w:r>
    </w:p>
    <w:p>
      <w:pPr>
        <w:snapToGrid w:val="0"/>
        <w:spacing w:before="50" w:after="50"/>
        <w:ind w:right="25" w:rightChars="12"/>
        <w:rPr>
          <w:rFonts w:ascii="宋体" w:hAnsi="宋体"/>
          <w:color w:val="000000"/>
          <w:sz w:val="24"/>
          <w:u w:val="single"/>
        </w:rPr>
      </w:pPr>
    </w:p>
    <w:p>
      <w:pPr>
        <w:snapToGrid w:val="0"/>
        <w:spacing w:before="50" w:after="50"/>
        <w:ind w:right="25" w:rightChars="12"/>
        <w:rPr>
          <w:rFonts w:ascii="宋体" w:hAnsi="宋体"/>
          <w:color w:val="000000"/>
          <w:sz w:val="24"/>
          <w:u w:val="single"/>
        </w:rPr>
      </w:pPr>
    </w:p>
    <w:p>
      <w:pPr>
        <w:snapToGrid w:val="0"/>
        <w:spacing w:before="50" w:after="50"/>
        <w:ind w:right="25" w:rightChars="12"/>
        <w:rPr>
          <w:rFonts w:ascii="宋体" w:hAnsi="宋体"/>
          <w:color w:val="000000"/>
          <w:sz w:val="24"/>
          <w:u w:val="single"/>
        </w:rPr>
      </w:pPr>
    </w:p>
    <w:p>
      <w:pPr>
        <w:snapToGrid w:val="0"/>
        <w:spacing w:before="50" w:after="50"/>
        <w:ind w:right="25" w:rightChars="12"/>
        <w:rPr>
          <w:rFonts w:ascii="宋体" w:hAnsi="宋体"/>
          <w:color w:val="000000"/>
          <w:sz w:val="24"/>
          <w:u w:val="single"/>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rPr>
      </w:pPr>
      <w:r>
        <w:rPr>
          <w:rFonts w:hint="eastAsia" w:ascii="宋体" w:hAnsi="宋体"/>
          <w:b/>
          <w:color w:val="000000"/>
          <w:sz w:val="24"/>
        </w:rPr>
        <w:t>4.2货物具体配置表</w:t>
      </w:r>
    </w:p>
    <w:p>
      <w:pPr>
        <w:snapToGrid w:val="0"/>
        <w:spacing w:beforeLines="50" w:after="50"/>
        <w:jc w:val="center"/>
        <w:rPr>
          <w:rFonts w:ascii="宋体" w:hAnsi="宋体"/>
          <w:b/>
          <w:sz w:val="24"/>
        </w:rPr>
      </w:pPr>
      <w:r>
        <w:rPr>
          <w:rFonts w:ascii="宋体" w:hAnsi="宋体"/>
          <w:b/>
          <w:sz w:val="24"/>
        </w:rPr>
        <w:t>货物</w:t>
      </w:r>
      <w:r>
        <w:rPr>
          <w:rFonts w:hint="eastAsia" w:ascii="宋体" w:hAnsi="宋体"/>
          <w:b/>
          <w:sz w:val="24"/>
        </w:rPr>
        <w:t>具体配置表</w:t>
      </w:r>
    </w:p>
    <w:p>
      <w:pPr>
        <w:pStyle w:val="8"/>
        <w:spacing w:before="156" w:after="156" w:line="360" w:lineRule="auto"/>
        <w:ind w:right="904"/>
        <w:rPr>
          <w:rFonts w:ascii="Times New Roman" w:hAnsi="Times New Roman"/>
          <w:color w:val="000000"/>
        </w:rPr>
      </w:pPr>
      <w:r>
        <w:rPr>
          <w:rFonts w:ascii="Times New Roman" w:hAnsi="Times New Roman"/>
          <w:color w:val="000000"/>
        </w:rPr>
        <w:t>项目名称：               标项：                  招标编号：</w:t>
      </w:r>
    </w:p>
    <w:tbl>
      <w:tblPr>
        <w:tblStyle w:val="15"/>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95" w:hRule="exact"/>
          <w:jc w:val="center"/>
        </w:trPr>
        <w:tc>
          <w:tcPr>
            <w:tcW w:w="596" w:type="dxa"/>
            <w:tcBorders>
              <w:bottom w:val="nil"/>
            </w:tcBorders>
            <w:noWrap/>
            <w:vAlign w:val="center"/>
          </w:tcPr>
          <w:p>
            <w:pPr>
              <w:jc w:val="center"/>
              <w:rPr>
                <w:rFonts w:ascii="宋体" w:hAnsi="宋体"/>
                <w:color w:val="000000"/>
                <w:sz w:val="24"/>
              </w:rPr>
            </w:pPr>
            <w:r>
              <w:rPr>
                <w:rFonts w:hint="eastAsia" w:ascii="宋体" w:hAnsi="宋体"/>
                <w:color w:val="000000"/>
                <w:sz w:val="24"/>
              </w:rPr>
              <w:t>品牌型号</w:t>
            </w:r>
          </w:p>
        </w:tc>
        <w:tc>
          <w:tcPr>
            <w:tcW w:w="596" w:type="dxa"/>
            <w:tcBorders>
              <w:bottom w:val="nil"/>
            </w:tcBorders>
            <w:noWrap/>
            <w:vAlign w:val="center"/>
          </w:tcPr>
          <w:p>
            <w:pPr>
              <w:jc w:val="center"/>
              <w:rPr>
                <w:rFonts w:ascii="宋体" w:hAnsi="宋体"/>
                <w:color w:val="000000"/>
                <w:sz w:val="24"/>
              </w:rPr>
            </w:pPr>
            <w:r>
              <w:rPr>
                <w:rFonts w:hint="eastAsia" w:ascii="宋体" w:hAnsi="宋体"/>
                <w:color w:val="000000"/>
                <w:sz w:val="24"/>
              </w:rPr>
              <w:t>序号</w:t>
            </w:r>
          </w:p>
        </w:tc>
        <w:tc>
          <w:tcPr>
            <w:tcW w:w="1260" w:type="dxa"/>
            <w:tcBorders>
              <w:bottom w:val="nil"/>
            </w:tcBorders>
            <w:noWrap/>
            <w:vAlign w:val="center"/>
          </w:tcPr>
          <w:p>
            <w:pPr>
              <w:jc w:val="center"/>
              <w:rPr>
                <w:rFonts w:ascii="宋体" w:hAnsi="宋体"/>
                <w:color w:val="000000"/>
                <w:sz w:val="24"/>
              </w:rPr>
            </w:pPr>
            <w:r>
              <w:rPr>
                <w:rFonts w:hint="eastAsia" w:ascii="宋体" w:hAnsi="宋体"/>
                <w:color w:val="000000"/>
                <w:sz w:val="24"/>
              </w:rPr>
              <w:t>配件名称型号</w:t>
            </w:r>
          </w:p>
        </w:tc>
        <w:tc>
          <w:tcPr>
            <w:tcW w:w="1260" w:type="dxa"/>
            <w:noWrap/>
            <w:vAlign w:val="center"/>
          </w:tcPr>
          <w:p>
            <w:pPr>
              <w:jc w:val="center"/>
              <w:rPr>
                <w:rFonts w:ascii="宋体" w:hAnsi="宋体"/>
                <w:color w:val="000000"/>
                <w:sz w:val="24"/>
              </w:rPr>
            </w:pPr>
            <w:r>
              <w:rPr>
                <w:rFonts w:hint="eastAsia" w:ascii="宋体" w:hAnsi="宋体"/>
                <w:color w:val="000000"/>
                <w:sz w:val="24"/>
              </w:rPr>
              <w:t>配件品牌</w:t>
            </w:r>
          </w:p>
        </w:tc>
        <w:tc>
          <w:tcPr>
            <w:tcW w:w="3348" w:type="dxa"/>
            <w:noWrap/>
            <w:vAlign w:val="center"/>
          </w:tcPr>
          <w:p>
            <w:pPr>
              <w:ind w:right="54"/>
              <w:jc w:val="center"/>
              <w:rPr>
                <w:rFonts w:ascii="宋体" w:hAnsi="宋体"/>
                <w:color w:val="000000"/>
                <w:sz w:val="24"/>
              </w:rPr>
            </w:pPr>
            <w:r>
              <w:rPr>
                <w:rFonts w:hint="eastAsia" w:ascii="宋体" w:hAnsi="宋体"/>
                <w:color w:val="000000"/>
                <w:sz w:val="24"/>
              </w:rPr>
              <w:t>技术指标、功能及配置描述</w:t>
            </w:r>
          </w:p>
        </w:tc>
        <w:tc>
          <w:tcPr>
            <w:tcW w:w="1080" w:type="dxa"/>
            <w:noWrap/>
            <w:vAlign w:val="center"/>
          </w:tcPr>
          <w:p>
            <w:pPr>
              <w:ind w:right="54"/>
              <w:jc w:val="center"/>
              <w:rPr>
                <w:rFonts w:ascii="宋体" w:hAnsi="宋体"/>
                <w:color w:val="000000"/>
                <w:sz w:val="24"/>
              </w:rPr>
            </w:pPr>
            <w:r>
              <w:rPr>
                <w:rFonts w:hint="eastAsia" w:ascii="宋体" w:hAnsi="宋体"/>
                <w:color w:val="000000"/>
                <w:sz w:val="24"/>
              </w:rPr>
              <w:t>产地</w:t>
            </w:r>
          </w:p>
        </w:tc>
        <w:tc>
          <w:tcPr>
            <w:tcW w:w="1080" w:type="dxa"/>
            <w:noWrap/>
            <w:vAlign w:val="center"/>
          </w:tcPr>
          <w:p>
            <w:pPr>
              <w:ind w:right="54"/>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restart"/>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continue"/>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continue"/>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continue"/>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continue"/>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continue"/>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continue"/>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continue"/>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596" w:type="dxa"/>
            <w:vMerge w:val="continue"/>
            <w:noWrap/>
            <w:vAlign w:val="center"/>
          </w:tcPr>
          <w:p>
            <w:pPr>
              <w:jc w:val="center"/>
              <w:rPr>
                <w:rFonts w:ascii="宋体" w:hAnsi="宋体"/>
                <w:color w:val="000000"/>
                <w:sz w:val="24"/>
              </w:rPr>
            </w:pPr>
          </w:p>
        </w:tc>
        <w:tc>
          <w:tcPr>
            <w:tcW w:w="596"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1260" w:type="dxa"/>
            <w:noWrap/>
            <w:vAlign w:val="center"/>
          </w:tcPr>
          <w:p>
            <w:pPr>
              <w:jc w:val="center"/>
              <w:rPr>
                <w:rFonts w:ascii="宋体" w:hAnsi="宋体"/>
                <w:color w:val="000000"/>
                <w:sz w:val="24"/>
              </w:rPr>
            </w:pPr>
          </w:p>
        </w:tc>
        <w:tc>
          <w:tcPr>
            <w:tcW w:w="3348"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bl>
    <w:p>
      <w:pPr>
        <w:pStyle w:val="8"/>
        <w:tabs>
          <w:tab w:val="left" w:pos="4312"/>
        </w:tabs>
        <w:spacing w:before="156" w:after="156"/>
        <w:rPr>
          <w:rFonts w:ascii="Times New Roman" w:hAnsi="Times New Roman"/>
          <w:color w:val="000000"/>
        </w:rPr>
      </w:pPr>
    </w:p>
    <w:p>
      <w:pPr>
        <w:pStyle w:val="8"/>
        <w:tabs>
          <w:tab w:val="left" w:pos="4312"/>
        </w:tabs>
        <w:spacing w:before="156" w:after="156" w:line="360" w:lineRule="auto"/>
        <w:rPr>
          <w:rFonts w:ascii="Times New Roman" w:hAnsi="Times New Roman"/>
          <w:color w:val="000000"/>
        </w:rPr>
      </w:pPr>
      <w:r>
        <w:rPr>
          <w:rFonts w:ascii="Times New Roman" w:hAnsi="Times New Roman"/>
          <w:color w:val="000000"/>
        </w:rPr>
        <w:t>投标单位（公章）：</w:t>
      </w:r>
    </w:p>
    <w:p>
      <w:pPr>
        <w:pStyle w:val="8"/>
        <w:tabs>
          <w:tab w:val="left" w:pos="4312"/>
        </w:tabs>
        <w:spacing w:before="156" w:after="156" w:line="360" w:lineRule="auto"/>
        <w:ind w:firstLine="240" w:firstLineChars="100"/>
        <w:rPr>
          <w:rFonts w:ascii="Times New Roman" w:hAnsi="Times New Roman"/>
          <w:color w:val="000000"/>
        </w:rPr>
      </w:pPr>
      <w:r>
        <w:rPr>
          <w:rFonts w:ascii="Times New Roman" w:hAnsi="Times New Roman"/>
          <w:color w:val="000000"/>
        </w:rPr>
        <w:t>授权代表签字：</w:t>
      </w:r>
    </w:p>
    <w:p>
      <w:pPr>
        <w:pStyle w:val="8"/>
        <w:tabs>
          <w:tab w:val="left" w:pos="4312"/>
        </w:tabs>
        <w:spacing w:before="156" w:after="156" w:line="360" w:lineRule="auto"/>
        <w:ind w:firstLine="360" w:firstLineChars="150"/>
        <w:rPr>
          <w:rFonts w:ascii="Times New Roman" w:hAnsi="Times New Roman"/>
          <w:color w:val="000000"/>
        </w:rPr>
      </w:pPr>
      <w:r>
        <w:rPr>
          <w:rFonts w:ascii="Times New Roman" w:hAnsi="Times New Roman"/>
          <w:color w:val="000000"/>
        </w:rPr>
        <w:t xml:space="preserve">      日期：</w:t>
      </w: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r>
        <w:rPr>
          <w:rFonts w:hint="eastAsia"/>
          <w:color w:val="000000"/>
          <w:sz w:val="24"/>
        </w:rPr>
        <w:t>注：此表在不改变投标内容的情况下可自行制作</w:t>
      </w:r>
    </w:p>
    <w:p>
      <w:pPr>
        <w:snapToGrid w:val="0"/>
        <w:spacing w:before="50" w:afterLines="50"/>
        <w:jc w:val="left"/>
        <w:rPr>
          <w:color w:val="000000"/>
          <w:sz w:val="24"/>
        </w:rPr>
      </w:pPr>
    </w:p>
    <w:p>
      <w:pPr>
        <w:snapToGrid w:val="0"/>
        <w:spacing w:before="50" w:afterLines="50"/>
        <w:jc w:val="left"/>
        <w:rPr>
          <w:color w:val="000000"/>
          <w:sz w:val="24"/>
        </w:rPr>
      </w:pPr>
    </w:p>
    <w:p>
      <w:pPr>
        <w:snapToGrid w:val="0"/>
        <w:spacing w:before="50" w:afterLines="50"/>
        <w:jc w:val="left"/>
        <w:rPr>
          <w:rFonts w:ascii="宋体" w:hAnsi="宋体"/>
          <w:b/>
          <w:color w:val="000000"/>
          <w:sz w:val="24"/>
        </w:rPr>
      </w:pPr>
    </w:p>
    <w:p>
      <w:pPr>
        <w:snapToGrid w:val="0"/>
        <w:spacing w:before="50" w:afterLines="50"/>
        <w:jc w:val="left"/>
        <w:rPr>
          <w:rFonts w:ascii="宋体" w:hAnsi="宋体"/>
          <w:b/>
          <w:color w:val="000000"/>
          <w:sz w:val="24"/>
          <w:szCs w:val="20"/>
        </w:rPr>
      </w:pPr>
      <w:r>
        <w:rPr>
          <w:rFonts w:hint="eastAsia" w:ascii="宋体" w:hAnsi="宋体"/>
          <w:b/>
          <w:color w:val="000000"/>
          <w:sz w:val="24"/>
        </w:rPr>
        <w:t>4.3</w:t>
      </w:r>
      <w:r>
        <w:rPr>
          <w:rFonts w:hint="eastAsia" w:ascii="宋体" w:hAnsi="宋体"/>
          <w:b/>
          <w:sz w:val="24"/>
        </w:rPr>
        <w:t>备用配件及工具配置表</w:t>
      </w:r>
      <w:r>
        <w:rPr>
          <w:rFonts w:hint="eastAsia" w:ascii="宋体" w:hAnsi="宋体"/>
          <w:b/>
          <w:color w:val="000000"/>
          <w:sz w:val="24"/>
        </w:rPr>
        <w:t>：</w:t>
      </w:r>
    </w:p>
    <w:p>
      <w:pPr>
        <w:snapToGrid w:val="0"/>
        <w:spacing w:beforeLines="50" w:after="50"/>
        <w:jc w:val="center"/>
        <w:rPr>
          <w:rFonts w:ascii="宋体" w:hAnsi="宋体"/>
          <w:b/>
          <w:sz w:val="24"/>
        </w:rPr>
      </w:pPr>
      <w:r>
        <w:rPr>
          <w:rFonts w:hint="eastAsia" w:ascii="宋体" w:hAnsi="宋体"/>
          <w:b/>
          <w:sz w:val="24"/>
        </w:rPr>
        <w:t>备用配件及工具配置表</w:t>
      </w:r>
    </w:p>
    <w:p>
      <w:pPr>
        <w:pStyle w:val="8"/>
        <w:spacing w:before="156" w:after="156" w:line="360" w:lineRule="auto"/>
        <w:ind w:right="904"/>
        <w:rPr>
          <w:rFonts w:ascii="Times New Roman" w:hAnsi="Times New Roman"/>
          <w:color w:val="000000"/>
        </w:rPr>
      </w:pPr>
      <w:r>
        <w:rPr>
          <w:rFonts w:ascii="Times New Roman" w:hAnsi="Times New Roman"/>
          <w:color w:val="000000"/>
        </w:rPr>
        <w:t>项目名称：               标项：                  招标编号：</w:t>
      </w:r>
    </w:p>
    <w:tbl>
      <w:tblPr>
        <w:tblStyle w:val="15"/>
        <w:tblW w:w="8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0"/>
        <w:gridCol w:w="2240"/>
        <w:gridCol w:w="1918"/>
        <w:gridCol w:w="1347"/>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95" w:hRule="exact"/>
          <w:jc w:val="center"/>
        </w:trPr>
        <w:tc>
          <w:tcPr>
            <w:tcW w:w="900" w:type="dxa"/>
            <w:tcBorders>
              <w:bottom w:val="nil"/>
            </w:tcBorders>
            <w:noWrap/>
            <w:vAlign w:val="center"/>
          </w:tcPr>
          <w:p>
            <w:pPr>
              <w:jc w:val="center"/>
              <w:rPr>
                <w:rFonts w:ascii="宋体" w:hAnsi="宋体"/>
                <w:color w:val="000000"/>
                <w:sz w:val="24"/>
              </w:rPr>
            </w:pPr>
            <w:r>
              <w:rPr>
                <w:rFonts w:hint="eastAsia" w:ascii="宋体" w:hAnsi="宋体"/>
                <w:color w:val="000000"/>
                <w:sz w:val="24"/>
              </w:rPr>
              <w:t>序号</w:t>
            </w:r>
          </w:p>
        </w:tc>
        <w:tc>
          <w:tcPr>
            <w:tcW w:w="2240" w:type="dxa"/>
            <w:tcBorders>
              <w:bottom w:val="nil"/>
            </w:tcBorders>
            <w:noWrap/>
            <w:vAlign w:val="center"/>
          </w:tcPr>
          <w:p>
            <w:pPr>
              <w:jc w:val="center"/>
              <w:rPr>
                <w:rFonts w:ascii="宋体" w:hAnsi="宋体"/>
                <w:color w:val="000000"/>
                <w:sz w:val="24"/>
              </w:rPr>
            </w:pPr>
            <w:r>
              <w:rPr>
                <w:rFonts w:hint="eastAsia" w:ascii="宋体" w:hAnsi="宋体"/>
                <w:color w:val="000000"/>
                <w:sz w:val="24"/>
              </w:rPr>
              <w:t>配件名称型号</w:t>
            </w:r>
          </w:p>
        </w:tc>
        <w:tc>
          <w:tcPr>
            <w:tcW w:w="1918" w:type="dxa"/>
            <w:noWrap/>
            <w:vAlign w:val="center"/>
          </w:tcPr>
          <w:p>
            <w:pPr>
              <w:jc w:val="center"/>
              <w:rPr>
                <w:rFonts w:ascii="宋体" w:hAnsi="宋体"/>
                <w:color w:val="000000"/>
                <w:sz w:val="24"/>
              </w:rPr>
            </w:pPr>
            <w:r>
              <w:rPr>
                <w:rFonts w:hint="eastAsia" w:ascii="宋体" w:hAnsi="宋体"/>
                <w:color w:val="000000"/>
                <w:sz w:val="24"/>
              </w:rPr>
              <w:t>配件品牌</w:t>
            </w:r>
          </w:p>
        </w:tc>
        <w:tc>
          <w:tcPr>
            <w:tcW w:w="1347" w:type="dxa"/>
            <w:noWrap/>
            <w:vAlign w:val="center"/>
          </w:tcPr>
          <w:p>
            <w:pPr>
              <w:ind w:right="54"/>
              <w:jc w:val="center"/>
              <w:rPr>
                <w:rFonts w:ascii="宋体" w:hAnsi="宋体"/>
                <w:color w:val="000000"/>
                <w:sz w:val="24"/>
              </w:rPr>
            </w:pPr>
            <w:r>
              <w:rPr>
                <w:rFonts w:hint="eastAsia" w:ascii="宋体" w:hAnsi="宋体"/>
                <w:color w:val="000000"/>
                <w:sz w:val="24"/>
              </w:rPr>
              <w:t>数量</w:t>
            </w:r>
          </w:p>
        </w:tc>
        <w:tc>
          <w:tcPr>
            <w:tcW w:w="1080" w:type="dxa"/>
            <w:noWrap/>
            <w:vAlign w:val="center"/>
          </w:tcPr>
          <w:p>
            <w:pPr>
              <w:ind w:right="54"/>
              <w:jc w:val="center"/>
              <w:rPr>
                <w:rFonts w:ascii="宋体" w:hAnsi="宋体"/>
                <w:color w:val="000000"/>
                <w:sz w:val="24"/>
              </w:rPr>
            </w:pPr>
            <w:r>
              <w:rPr>
                <w:rFonts w:hint="eastAsia" w:ascii="宋体" w:hAnsi="宋体"/>
                <w:color w:val="000000"/>
                <w:sz w:val="24"/>
              </w:rPr>
              <w:t>产地</w:t>
            </w:r>
          </w:p>
        </w:tc>
        <w:tc>
          <w:tcPr>
            <w:tcW w:w="1080" w:type="dxa"/>
            <w:noWrap/>
            <w:vAlign w:val="center"/>
          </w:tcPr>
          <w:p>
            <w:pPr>
              <w:ind w:right="54"/>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r>
              <w:rPr>
                <w:rFonts w:hint="eastAsia" w:ascii="宋体" w:hAnsi="宋体"/>
                <w:color w:val="000000"/>
                <w:sz w:val="24"/>
              </w:rPr>
              <w:t>1</w:t>
            </w:r>
          </w:p>
        </w:tc>
        <w:tc>
          <w:tcPr>
            <w:tcW w:w="2240" w:type="dxa"/>
            <w:noWrap/>
            <w:vAlign w:val="center"/>
          </w:tcPr>
          <w:p>
            <w:pPr>
              <w:jc w:val="center"/>
              <w:rPr>
                <w:rFonts w:ascii="宋体" w:hAnsi="宋体"/>
                <w:color w:val="000000"/>
                <w:sz w:val="24"/>
              </w:rPr>
            </w:pPr>
            <w:r>
              <w:rPr>
                <w:rFonts w:hint="eastAsia" w:ascii="宋体" w:hAnsi="宋体"/>
                <w:color w:val="000000"/>
                <w:sz w:val="24"/>
              </w:rPr>
              <w:t>如：X寸螺丝</w:t>
            </w: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p>
        </w:tc>
        <w:tc>
          <w:tcPr>
            <w:tcW w:w="2240" w:type="dxa"/>
            <w:noWrap/>
            <w:vAlign w:val="center"/>
          </w:tcPr>
          <w:p>
            <w:pPr>
              <w:jc w:val="center"/>
              <w:rPr>
                <w:rFonts w:ascii="宋体" w:hAnsi="宋体"/>
                <w:color w:val="000000"/>
                <w:sz w:val="24"/>
              </w:rPr>
            </w:pP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p>
        </w:tc>
        <w:tc>
          <w:tcPr>
            <w:tcW w:w="2240" w:type="dxa"/>
            <w:noWrap/>
            <w:vAlign w:val="center"/>
          </w:tcPr>
          <w:p>
            <w:pPr>
              <w:jc w:val="center"/>
              <w:rPr>
                <w:rFonts w:ascii="宋体" w:hAnsi="宋体"/>
                <w:color w:val="000000"/>
                <w:sz w:val="24"/>
              </w:rPr>
            </w:pP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p>
        </w:tc>
        <w:tc>
          <w:tcPr>
            <w:tcW w:w="2240" w:type="dxa"/>
            <w:noWrap/>
            <w:vAlign w:val="center"/>
          </w:tcPr>
          <w:p>
            <w:pPr>
              <w:jc w:val="center"/>
              <w:rPr>
                <w:rFonts w:ascii="宋体" w:hAnsi="宋体"/>
                <w:color w:val="000000"/>
                <w:sz w:val="24"/>
              </w:rPr>
            </w:pP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p>
        </w:tc>
        <w:tc>
          <w:tcPr>
            <w:tcW w:w="2240" w:type="dxa"/>
            <w:noWrap/>
            <w:vAlign w:val="center"/>
          </w:tcPr>
          <w:p>
            <w:pPr>
              <w:jc w:val="center"/>
              <w:rPr>
                <w:rFonts w:ascii="宋体" w:hAnsi="宋体"/>
                <w:color w:val="000000"/>
                <w:sz w:val="24"/>
              </w:rPr>
            </w:pP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p>
        </w:tc>
        <w:tc>
          <w:tcPr>
            <w:tcW w:w="2240" w:type="dxa"/>
            <w:noWrap/>
            <w:vAlign w:val="center"/>
          </w:tcPr>
          <w:p>
            <w:pPr>
              <w:jc w:val="center"/>
              <w:rPr>
                <w:rFonts w:ascii="宋体" w:hAnsi="宋体"/>
                <w:color w:val="000000"/>
                <w:sz w:val="24"/>
              </w:rPr>
            </w:pP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p>
        </w:tc>
        <w:tc>
          <w:tcPr>
            <w:tcW w:w="2240" w:type="dxa"/>
            <w:noWrap/>
            <w:vAlign w:val="center"/>
          </w:tcPr>
          <w:p>
            <w:pPr>
              <w:jc w:val="center"/>
              <w:rPr>
                <w:rFonts w:ascii="宋体" w:hAnsi="宋体"/>
                <w:color w:val="000000"/>
                <w:sz w:val="24"/>
              </w:rPr>
            </w:pP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p>
        </w:tc>
        <w:tc>
          <w:tcPr>
            <w:tcW w:w="2240" w:type="dxa"/>
            <w:noWrap/>
            <w:vAlign w:val="center"/>
          </w:tcPr>
          <w:p>
            <w:pPr>
              <w:jc w:val="center"/>
              <w:rPr>
                <w:rFonts w:ascii="宋体" w:hAnsi="宋体"/>
                <w:color w:val="000000"/>
                <w:sz w:val="24"/>
              </w:rPr>
            </w:pP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9" w:hRule="exact"/>
          <w:jc w:val="center"/>
        </w:trPr>
        <w:tc>
          <w:tcPr>
            <w:tcW w:w="900" w:type="dxa"/>
            <w:noWrap/>
            <w:vAlign w:val="center"/>
          </w:tcPr>
          <w:p>
            <w:pPr>
              <w:jc w:val="center"/>
              <w:rPr>
                <w:rFonts w:ascii="宋体" w:hAnsi="宋体"/>
                <w:color w:val="000000"/>
                <w:sz w:val="24"/>
              </w:rPr>
            </w:pPr>
          </w:p>
        </w:tc>
        <w:tc>
          <w:tcPr>
            <w:tcW w:w="2240" w:type="dxa"/>
            <w:noWrap/>
            <w:vAlign w:val="center"/>
          </w:tcPr>
          <w:p>
            <w:pPr>
              <w:jc w:val="center"/>
              <w:rPr>
                <w:rFonts w:ascii="宋体" w:hAnsi="宋体"/>
                <w:color w:val="000000"/>
                <w:sz w:val="24"/>
              </w:rPr>
            </w:pPr>
          </w:p>
        </w:tc>
        <w:tc>
          <w:tcPr>
            <w:tcW w:w="1918" w:type="dxa"/>
            <w:noWrap/>
            <w:vAlign w:val="center"/>
          </w:tcPr>
          <w:p>
            <w:pPr>
              <w:jc w:val="center"/>
              <w:rPr>
                <w:rFonts w:ascii="宋体" w:hAnsi="宋体"/>
                <w:color w:val="000000"/>
                <w:sz w:val="24"/>
              </w:rPr>
            </w:pPr>
          </w:p>
        </w:tc>
        <w:tc>
          <w:tcPr>
            <w:tcW w:w="1347"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c>
          <w:tcPr>
            <w:tcW w:w="1080" w:type="dxa"/>
            <w:noWrap/>
            <w:vAlign w:val="center"/>
          </w:tcPr>
          <w:p>
            <w:pPr>
              <w:ind w:right="54"/>
              <w:jc w:val="center"/>
              <w:rPr>
                <w:rFonts w:ascii="宋体" w:hAnsi="宋体"/>
                <w:color w:val="000000"/>
                <w:sz w:val="24"/>
              </w:rPr>
            </w:pPr>
          </w:p>
        </w:tc>
      </w:tr>
    </w:tbl>
    <w:p>
      <w:pPr>
        <w:pStyle w:val="8"/>
        <w:tabs>
          <w:tab w:val="left" w:pos="4312"/>
        </w:tabs>
        <w:spacing w:before="156" w:after="156"/>
        <w:rPr>
          <w:rFonts w:ascii="Times New Roman" w:hAnsi="Times New Roman"/>
          <w:color w:val="000000"/>
        </w:rPr>
      </w:pPr>
    </w:p>
    <w:p>
      <w:pPr>
        <w:pStyle w:val="8"/>
        <w:tabs>
          <w:tab w:val="left" w:pos="4312"/>
        </w:tabs>
        <w:spacing w:before="156" w:after="156" w:line="360" w:lineRule="auto"/>
        <w:rPr>
          <w:rFonts w:ascii="Times New Roman" w:hAnsi="Times New Roman"/>
          <w:color w:val="000000"/>
        </w:rPr>
      </w:pPr>
      <w:r>
        <w:rPr>
          <w:rFonts w:ascii="Times New Roman" w:hAnsi="Times New Roman"/>
          <w:color w:val="000000"/>
        </w:rPr>
        <w:t>投标单位（公章）：</w:t>
      </w:r>
    </w:p>
    <w:p>
      <w:pPr>
        <w:pStyle w:val="8"/>
        <w:tabs>
          <w:tab w:val="left" w:pos="4312"/>
        </w:tabs>
        <w:spacing w:before="156" w:after="156" w:line="360" w:lineRule="auto"/>
        <w:ind w:firstLine="240" w:firstLineChars="100"/>
        <w:rPr>
          <w:rFonts w:ascii="Times New Roman" w:hAnsi="Times New Roman"/>
          <w:color w:val="000000"/>
        </w:rPr>
      </w:pPr>
      <w:r>
        <w:rPr>
          <w:rFonts w:ascii="Times New Roman" w:hAnsi="Times New Roman"/>
          <w:color w:val="000000"/>
        </w:rPr>
        <w:t>授权代表签字：</w:t>
      </w:r>
    </w:p>
    <w:p>
      <w:pPr>
        <w:pStyle w:val="8"/>
        <w:tabs>
          <w:tab w:val="left" w:pos="4312"/>
        </w:tabs>
        <w:spacing w:before="156" w:after="156" w:line="360" w:lineRule="auto"/>
        <w:ind w:firstLine="360" w:firstLineChars="150"/>
        <w:rPr>
          <w:rFonts w:ascii="Times New Roman" w:hAnsi="Times New Roman"/>
          <w:color w:val="000000"/>
        </w:rPr>
      </w:pPr>
      <w:r>
        <w:rPr>
          <w:rFonts w:ascii="Times New Roman" w:hAnsi="Times New Roman"/>
          <w:color w:val="000000"/>
        </w:rPr>
        <w:t xml:space="preserve">      日期：</w:t>
      </w: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r>
        <w:rPr>
          <w:rFonts w:hint="eastAsia"/>
          <w:color w:val="000000"/>
          <w:sz w:val="24"/>
        </w:rPr>
        <w:t>注：此表在不改变投标内容的情况下可自行制作</w:t>
      </w:r>
    </w:p>
    <w:p>
      <w:pPr>
        <w:pStyle w:val="8"/>
        <w:spacing w:before="156" w:after="156" w:line="360" w:lineRule="auto"/>
        <w:rPr>
          <w:rFonts w:ascii="Times New Roman" w:hAnsi="Times New Roman"/>
          <w:color w:val="000000"/>
        </w:rPr>
      </w:pPr>
    </w:p>
    <w:p>
      <w:pPr>
        <w:pStyle w:val="8"/>
        <w:spacing w:before="156" w:after="156" w:line="360" w:lineRule="auto"/>
        <w:rPr>
          <w:rFonts w:ascii="Times New Roman" w:hAnsi="Times New Roman"/>
          <w:color w:val="000000"/>
        </w:rPr>
      </w:pPr>
    </w:p>
    <w:p>
      <w:pPr>
        <w:snapToGrid w:val="0"/>
        <w:spacing w:before="50" w:afterLines="50"/>
        <w:jc w:val="left"/>
        <w:rPr>
          <w:rFonts w:ascii="宋体" w:hAnsi="宋体"/>
          <w:b/>
          <w:color w:val="000000"/>
          <w:sz w:val="24"/>
        </w:rPr>
      </w:pPr>
      <w:r>
        <w:rPr>
          <w:rFonts w:hint="eastAsia" w:ascii="宋体" w:hAnsi="宋体"/>
          <w:b/>
          <w:color w:val="000000"/>
          <w:sz w:val="24"/>
        </w:rPr>
        <w:t>4.4主要材料表                     标项：</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50"/>
        <w:gridCol w:w="1507"/>
        <w:gridCol w:w="1420"/>
        <w:gridCol w:w="142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8" w:type="dxa"/>
            <w:noWrap/>
            <w:vAlign w:val="center"/>
          </w:tcPr>
          <w:p>
            <w:pPr>
              <w:pStyle w:val="4"/>
              <w:overflowPunct w:val="0"/>
              <w:ind w:firstLine="0"/>
              <w:jc w:val="center"/>
              <w:rPr>
                <w:rFonts w:ascii="宋体" w:hAnsi="宋体"/>
                <w:bCs/>
              </w:rPr>
            </w:pPr>
            <w:r>
              <w:rPr>
                <w:rFonts w:hint="eastAsia" w:ascii="宋体" w:hAnsi="宋体"/>
                <w:bCs/>
              </w:rPr>
              <w:t>序号</w:t>
            </w:r>
          </w:p>
        </w:tc>
        <w:tc>
          <w:tcPr>
            <w:tcW w:w="1750" w:type="dxa"/>
            <w:noWrap/>
            <w:vAlign w:val="center"/>
          </w:tcPr>
          <w:p>
            <w:pPr>
              <w:pStyle w:val="4"/>
              <w:overflowPunct w:val="0"/>
              <w:ind w:firstLine="0"/>
              <w:jc w:val="center"/>
              <w:rPr>
                <w:rFonts w:ascii="宋体" w:hAnsi="宋体"/>
                <w:bCs/>
              </w:rPr>
            </w:pPr>
            <w:r>
              <w:rPr>
                <w:rFonts w:hint="eastAsia" w:ascii="宋体" w:hAnsi="宋体"/>
                <w:bCs/>
              </w:rPr>
              <w:t>材料名称</w:t>
            </w:r>
          </w:p>
        </w:tc>
        <w:tc>
          <w:tcPr>
            <w:tcW w:w="1507" w:type="dxa"/>
            <w:noWrap/>
            <w:vAlign w:val="center"/>
          </w:tcPr>
          <w:p>
            <w:pPr>
              <w:pStyle w:val="4"/>
              <w:overflowPunct w:val="0"/>
              <w:ind w:firstLine="0"/>
              <w:jc w:val="center"/>
              <w:rPr>
                <w:rFonts w:ascii="宋体" w:hAnsi="宋体"/>
                <w:bCs/>
              </w:rPr>
            </w:pPr>
            <w:r>
              <w:rPr>
                <w:rFonts w:hint="eastAsia" w:ascii="宋体" w:hAnsi="宋体"/>
                <w:bCs/>
              </w:rPr>
              <w:t>型号与规格</w:t>
            </w:r>
          </w:p>
        </w:tc>
        <w:tc>
          <w:tcPr>
            <w:tcW w:w="1420" w:type="dxa"/>
            <w:noWrap/>
            <w:vAlign w:val="center"/>
          </w:tcPr>
          <w:p>
            <w:pPr>
              <w:pStyle w:val="4"/>
              <w:overflowPunct w:val="0"/>
              <w:ind w:firstLine="0"/>
              <w:jc w:val="center"/>
              <w:rPr>
                <w:rFonts w:ascii="宋体" w:hAnsi="宋体"/>
                <w:bCs/>
              </w:rPr>
            </w:pPr>
            <w:r>
              <w:rPr>
                <w:rFonts w:hint="eastAsia" w:ascii="宋体" w:hAnsi="宋体"/>
                <w:bCs/>
              </w:rPr>
              <w:t>品牌</w:t>
            </w:r>
          </w:p>
        </w:tc>
        <w:tc>
          <w:tcPr>
            <w:tcW w:w="1421" w:type="dxa"/>
            <w:noWrap/>
            <w:vAlign w:val="center"/>
          </w:tcPr>
          <w:p>
            <w:pPr>
              <w:pStyle w:val="4"/>
              <w:overflowPunct w:val="0"/>
              <w:ind w:firstLine="0"/>
              <w:jc w:val="center"/>
              <w:rPr>
                <w:rFonts w:ascii="宋体" w:hAnsi="宋体"/>
                <w:bCs/>
              </w:rPr>
            </w:pPr>
            <w:r>
              <w:rPr>
                <w:rFonts w:hint="eastAsia" w:ascii="宋体" w:hAnsi="宋体"/>
                <w:bCs/>
              </w:rPr>
              <w:t>产地</w:t>
            </w:r>
          </w:p>
        </w:tc>
        <w:tc>
          <w:tcPr>
            <w:tcW w:w="1592" w:type="dxa"/>
            <w:noWrap/>
            <w:vAlign w:val="center"/>
          </w:tcPr>
          <w:p>
            <w:pPr>
              <w:pStyle w:val="4"/>
              <w:overflowPunct w:val="0"/>
              <w:ind w:firstLine="0"/>
              <w:jc w:val="center"/>
              <w:rPr>
                <w:rFonts w:ascii="宋体" w:hAnsi="宋体"/>
                <w:bCs/>
              </w:rPr>
            </w:pPr>
            <w:r>
              <w:rPr>
                <w:rFonts w:hint="eastAsia" w:ascii="宋体" w:hAnsi="宋体"/>
                <w:bCs/>
              </w:rPr>
              <w:t>质量概述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8" w:type="dxa"/>
            <w:noWrap/>
            <w:vAlign w:val="center"/>
          </w:tcPr>
          <w:p>
            <w:pPr>
              <w:pStyle w:val="4"/>
              <w:overflowPunct w:val="0"/>
              <w:ind w:firstLine="0"/>
              <w:jc w:val="center"/>
              <w:rPr>
                <w:rFonts w:ascii="宋体" w:hAnsi="宋体"/>
                <w:b/>
              </w:rPr>
            </w:pPr>
          </w:p>
        </w:tc>
        <w:tc>
          <w:tcPr>
            <w:tcW w:w="1750" w:type="dxa"/>
            <w:noWrap/>
            <w:vAlign w:val="center"/>
          </w:tcPr>
          <w:p>
            <w:pPr>
              <w:pStyle w:val="4"/>
              <w:overflowPunct w:val="0"/>
              <w:ind w:firstLine="0"/>
              <w:jc w:val="center"/>
              <w:rPr>
                <w:rFonts w:ascii="宋体" w:hAnsi="宋体"/>
                <w:b/>
              </w:rPr>
            </w:pPr>
          </w:p>
        </w:tc>
        <w:tc>
          <w:tcPr>
            <w:tcW w:w="1507" w:type="dxa"/>
            <w:noWrap/>
            <w:vAlign w:val="center"/>
          </w:tcPr>
          <w:p>
            <w:pPr>
              <w:pStyle w:val="4"/>
              <w:overflowPunct w:val="0"/>
              <w:ind w:firstLine="0"/>
              <w:jc w:val="center"/>
              <w:rPr>
                <w:rFonts w:ascii="宋体" w:hAnsi="宋体"/>
                <w:b/>
              </w:rPr>
            </w:pPr>
          </w:p>
        </w:tc>
        <w:tc>
          <w:tcPr>
            <w:tcW w:w="1420" w:type="dxa"/>
            <w:noWrap/>
            <w:vAlign w:val="center"/>
          </w:tcPr>
          <w:p>
            <w:pPr>
              <w:pStyle w:val="4"/>
              <w:overflowPunct w:val="0"/>
              <w:ind w:firstLine="0"/>
              <w:jc w:val="center"/>
              <w:rPr>
                <w:rFonts w:ascii="宋体" w:hAnsi="宋体"/>
                <w:b/>
              </w:rPr>
            </w:pPr>
          </w:p>
        </w:tc>
        <w:tc>
          <w:tcPr>
            <w:tcW w:w="1421" w:type="dxa"/>
            <w:noWrap/>
            <w:vAlign w:val="center"/>
          </w:tcPr>
          <w:p>
            <w:pPr>
              <w:pStyle w:val="4"/>
              <w:overflowPunct w:val="0"/>
              <w:ind w:firstLine="0"/>
              <w:jc w:val="center"/>
              <w:rPr>
                <w:rFonts w:ascii="宋体" w:hAnsi="宋体"/>
                <w:b/>
              </w:rPr>
            </w:pPr>
          </w:p>
        </w:tc>
        <w:tc>
          <w:tcPr>
            <w:tcW w:w="1592" w:type="dxa"/>
            <w:noWrap/>
            <w:vAlign w:val="center"/>
          </w:tcPr>
          <w:p>
            <w:pPr>
              <w:pStyle w:val="4"/>
              <w:overflowPunct w:val="0"/>
              <w:ind w:firstLine="0"/>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8" w:type="dxa"/>
            <w:noWrap/>
            <w:vAlign w:val="center"/>
          </w:tcPr>
          <w:p>
            <w:pPr>
              <w:pStyle w:val="4"/>
              <w:overflowPunct w:val="0"/>
              <w:ind w:firstLine="0"/>
              <w:jc w:val="center"/>
              <w:rPr>
                <w:rFonts w:ascii="宋体" w:hAnsi="宋体"/>
                <w:b/>
              </w:rPr>
            </w:pPr>
          </w:p>
        </w:tc>
        <w:tc>
          <w:tcPr>
            <w:tcW w:w="1750" w:type="dxa"/>
            <w:noWrap/>
            <w:vAlign w:val="center"/>
          </w:tcPr>
          <w:p>
            <w:pPr>
              <w:pStyle w:val="4"/>
              <w:overflowPunct w:val="0"/>
              <w:ind w:firstLine="0"/>
              <w:jc w:val="center"/>
              <w:rPr>
                <w:rFonts w:ascii="宋体" w:hAnsi="宋体"/>
                <w:b/>
              </w:rPr>
            </w:pPr>
          </w:p>
        </w:tc>
        <w:tc>
          <w:tcPr>
            <w:tcW w:w="1507" w:type="dxa"/>
            <w:noWrap/>
            <w:vAlign w:val="center"/>
          </w:tcPr>
          <w:p>
            <w:pPr>
              <w:pStyle w:val="4"/>
              <w:overflowPunct w:val="0"/>
              <w:ind w:firstLine="0"/>
              <w:jc w:val="center"/>
              <w:rPr>
                <w:rFonts w:ascii="宋体" w:hAnsi="宋体"/>
                <w:b/>
              </w:rPr>
            </w:pPr>
          </w:p>
        </w:tc>
        <w:tc>
          <w:tcPr>
            <w:tcW w:w="1420" w:type="dxa"/>
            <w:noWrap/>
            <w:vAlign w:val="center"/>
          </w:tcPr>
          <w:p>
            <w:pPr>
              <w:pStyle w:val="4"/>
              <w:overflowPunct w:val="0"/>
              <w:ind w:firstLine="0"/>
              <w:jc w:val="center"/>
              <w:rPr>
                <w:rFonts w:ascii="宋体" w:hAnsi="宋体"/>
                <w:b/>
              </w:rPr>
            </w:pPr>
          </w:p>
        </w:tc>
        <w:tc>
          <w:tcPr>
            <w:tcW w:w="1421" w:type="dxa"/>
            <w:noWrap/>
            <w:vAlign w:val="center"/>
          </w:tcPr>
          <w:p>
            <w:pPr>
              <w:pStyle w:val="4"/>
              <w:overflowPunct w:val="0"/>
              <w:ind w:firstLine="0"/>
              <w:jc w:val="center"/>
              <w:rPr>
                <w:rFonts w:ascii="宋体" w:hAnsi="宋体"/>
                <w:b/>
              </w:rPr>
            </w:pPr>
          </w:p>
        </w:tc>
        <w:tc>
          <w:tcPr>
            <w:tcW w:w="1592" w:type="dxa"/>
            <w:noWrap/>
            <w:vAlign w:val="center"/>
          </w:tcPr>
          <w:p>
            <w:pPr>
              <w:pStyle w:val="4"/>
              <w:overflowPunct w:val="0"/>
              <w:ind w:firstLine="0"/>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8" w:type="dxa"/>
            <w:noWrap/>
            <w:vAlign w:val="center"/>
          </w:tcPr>
          <w:p>
            <w:pPr>
              <w:pStyle w:val="4"/>
              <w:overflowPunct w:val="0"/>
              <w:ind w:firstLine="0"/>
              <w:jc w:val="center"/>
              <w:rPr>
                <w:rFonts w:ascii="宋体" w:hAnsi="宋体"/>
                <w:b/>
              </w:rPr>
            </w:pPr>
          </w:p>
        </w:tc>
        <w:tc>
          <w:tcPr>
            <w:tcW w:w="1750" w:type="dxa"/>
            <w:noWrap/>
            <w:vAlign w:val="center"/>
          </w:tcPr>
          <w:p>
            <w:pPr>
              <w:pStyle w:val="4"/>
              <w:overflowPunct w:val="0"/>
              <w:ind w:firstLine="0"/>
              <w:jc w:val="center"/>
              <w:rPr>
                <w:rFonts w:ascii="宋体" w:hAnsi="宋体"/>
                <w:b/>
              </w:rPr>
            </w:pPr>
          </w:p>
        </w:tc>
        <w:tc>
          <w:tcPr>
            <w:tcW w:w="1507" w:type="dxa"/>
            <w:noWrap/>
            <w:vAlign w:val="center"/>
          </w:tcPr>
          <w:p>
            <w:pPr>
              <w:pStyle w:val="4"/>
              <w:overflowPunct w:val="0"/>
              <w:ind w:firstLine="0"/>
              <w:jc w:val="center"/>
              <w:rPr>
                <w:rFonts w:ascii="宋体" w:hAnsi="宋体"/>
                <w:b/>
              </w:rPr>
            </w:pPr>
          </w:p>
        </w:tc>
        <w:tc>
          <w:tcPr>
            <w:tcW w:w="1420" w:type="dxa"/>
            <w:noWrap/>
            <w:vAlign w:val="center"/>
          </w:tcPr>
          <w:p>
            <w:pPr>
              <w:pStyle w:val="4"/>
              <w:overflowPunct w:val="0"/>
              <w:ind w:firstLine="0"/>
              <w:jc w:val="center"/>
              <w:rPr>
                <w:rFonts w:ascii="宋体" w:hAnsi="宋体"/>
                <w:b/>
              </w:rPr>
            </w:pPr>
          </w:p>
        </w:tc>
        <w:tc>
          <w:tcPr>
            <w:tcW w:w="1421" w:type="dxa"/>
            <w:noWrap/>
            <w:vAlign w:val="center"/>
          </w:tcPr>
          <w:p>
            <w:pPr>
              <w:pStyle w:val="4"/>
              <w:overflowPunct w:val="0"/>
              <w:ind w:firstLine="0"/>
              <w:jc w:val="center"/>
              <w:rPr>
                <w:rFonts w:ascii="宋体" w:hAnsi="宋体"/>
                <w:b/>
              </w:rPr>
            </w:pPr>
          </w:p>
        </w:tc>
        <w:tc>
          <w:tcPr>
            <w:tcW w:w="1592" w:type="dxa"/>
            <w:noWrap/>
            <w:vAlign w:val="center"/>
          </w:tcPr>
          <w:p>
            <w:pPr>
              <w:pStyle w:val="4"/>
              <w:overflowPunct w:val="0"/>
              <w:ind w:firstLine="0"/>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8" w:type="dxa"/>
            <w:noWrap/>
            <w:vAlign w:val="center"/>
          </w:tcPr>
          <w:p>
            <w:pPr>
              <w:pStyle w:val="4"/>
              <w:overflowPunct w:val="0"/>
              <w:ind w:firstLine="0"/>
              <w:jc w:val="center"/>
              <w:rPr>
                <w:rFonts w:ascii="宋体" w:hAnsi="宋体"/>
                <w:b/>
              </w:rPr>
            </w:pPr>
          </w:p>
        </w:tc>
        <w:tc>
          <w:tcPr>
            <w:tcW w:w="1750" w:type="dxa"/>
            <w:noWrap/>
            <w:vAlign w:val="center"/>
          </w:tcPr>
          <w:p>
            <w:pPr>
              <w:pStyle w:val="4"/>
              <w:overflowPunct w:val="0"/>
              <w:ind w:firstLine="0"/>
              <w:jc w:val="center"/>
              <w:rPr>
                <w:rFonts w:ascii="宋体" w:hAnsi="宋体"/>
                <w:b/>
              </w:rPr>
            </w:pPr>
          </w:p>
        </w:tc>
        <w:tc>
          <w:tcPr>
            <w:tcW w:w="1507" w:type="dxa"/>
            <w:noWrap/>
            <w:vAlign w:val="center"/>
          </w:tcPr>
          <w:p>
            <w:pPr>
              <w:pStyle w:val="4"/>
              <w:overflowPunct w:val="0"/>
              <w:ind w:firstLine="0"/>
              <w:jc w:val="center"/>
              <w:rPr>
                <w:rFonts w:ascii="宋体" w:hAnsi="宋体"/>
                <w:b/>
              </w:rPr>
            </w:pPr>
          </w:p>
        </w:tc>
        <w:tc>
          <w:tcPr>
            <w:tcW w:w="1420" w:type="dxa"/>
            <w:noWrap/>
            <w:vAlign w:val="center"/>
          </w:tcPr>
          <w:p>
            <w:pPr>
              <w:pStyle w:val="4"/>
              <w:overflowPunct w:val="0"/>
              <w:ind w:firstLine="0"/>
              <w:jc w:val="center"/>
              <w:rPr>
                <w:rFonts w:ascii="宋体" w:hAnsi="宋体"/>
                <w:b/>
              </w:rPr>
            </w:pPr>
          </w:p>
        </w:tc>
        <w:tc>
          <w:tcPr>
            <w:tcW w:w="1421" w:type="dxa"/>
            <w:noWrap/>
            <w:vAlign w:val="center"/>
          </w:tcPr>
          <w:p>
            <w:pPr>
              <w:pStyle w:val="4"/>
              <w:overflowPunct w:val="0"/>
              <w:ind w:firstLine="0"/>
              <w:jc w:val="center"/>
              <w:rPr>
                <w:rFonts w:ascii="宋体" w:hAnsi="宋体"/>
                <w:b/>
              </w:rPr>
            </w:pPr>
          </w:p>
        </w:tc>
        <w:tc>
          <w:tcPr>
            <w:tcW w:w="1592" w:type="dxa"/>
            <w:noWrap/>
            <w:vAlign w:val="center"/>
          </w:tcPr>
          <w:p>
            <w:pPr>
              <w:pStyle w:val="4"/>
              <w:overflowPunct w:val="0"/>
              <w:ind w:firstLine="0"/>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8" w:type="dxa"/>
            <w:noWrap/>
            <w:vAlign w:val="center"/>
          </w:tcPr>
          <w:p>
            <w:pPr>
              <w:pStyle w:val="4"/>
              <w:overflowPunct w:val="0"/>
              <w:ind w:firstLine="0"/>
              <w:jc w:val="center"/>
              <w:rPr>
                <w:rFonts w:ascii="宋体" w:hAnsi="宋体"/>
                <w:b/>
              </w:rPr>
            </w:pPr>
          </w:p>
        </w:tc>
        <w:tc>
          <w:tcPr>
            <w:tcW w:w="1750" w:type="dxa"/>
            <w:noWrap/>
            <w:vAlign w:val="center"/>
          </w:tcPr>
          <w:p>
            <w:pPr>
              <w:pStyle w:val="4"/>
              <w:overflowPunct w:val="0"/>
              <w:ind w:firstLine="0"/>
              <w:jc w:val="center"/>
              <w:rPr>
                <w:rFonts w:ascii="宋体" w:hAnsi="宋体"/>
                <w:b/>
              </w:rPr>
            </w:pPr>
          </w:p>
        </w:tc>
        <w:tc>
          <w:tcPr>
            <w:tcW w:w="1507" w:type="dxa"/>
            <w:noWrap/>
            <w:vAlign w:val="center"/>
          </w:tcPr>
          <w:p>
            <w:pPr>
              <w:pStyle w:val="4"/>
              <w:overflowPunct w:val="0"/>
              <w:ind w:firstLine="0"/>
              <w:jc w:val="center"/>
              <w:rPr>
                <w:rFonts w:ascii="宋体" w:hAnsi="宋体"/>
                <w:b/>
              </w:rPr>
            </w:pPr>
          </w:p>
        </w:tc>
        <w:tc>
          <w:tcPr>
            <w:tcW w:w="1420" w:type="dxa"/>
            <w:noWrap/>
            <w:vAlign w:val="center"/>
          </w:tcPr>
          <w:p>
            <w:pPr>
              <w:pStyle w:val="4"/>
              <w:overflowPunct w:val="0"/>
              <w:ind w:firstLine="0"/>
              <w:jc w:val="center"/>
              <w:rPr>
                <w:rFonts w:ascii="宋体" w:hAnsi="宋体"/>
                <w:b/>
              </w:rPr>
            </w:pPr>
          </w:p>
        </w:tc>
        <w:tc>
          <w:tcPr>
            <w:tcW w:w="1421" w:type="dxa"/>
            <w:noWrap/>
            <w:vAlign w:val="center"/>
          </w:tcPr>
          <w:p>
            <w:pPr>
              <w:pStyle w:val="4"/>
              <w:overflowPunct w:val="0"/>
              <w:ind w:firstLine="0"/>
              <w:jc w:val="center"/>
              <w:rPr>
                <w:rFonts w:ascii="宋体" w:hAnsi="宋体"/>
                <w:b/>
              </w:rPr>
            </w:pPr>
          </w:p>
        </w:tc>
        <w:tc>
          <w:tcPr>
            <w:tcW w:w="1592" w:type="dxa"/>
            <w:noWrap/>
            <w:vAlign w:val="center"/>
          </w:tcPr>
          <w:p>
            <w:pPr>
              <w:pStyle w:val="4"/>
              <w:overflowPunct w:val="0"/>
              <w:ind w:firstLine="0"/>
              <w:jc w:val="center"/>
              <w:rPr>
                <w:rFonts w:ascii="宋体" w:hAnsi="宋体"/>
                <w:b/>
              </w:rPr>
            </w:pPr>
          </w:p>
        </w:tc>
      </w:tr>
    </w:tbl>
    <w:p>
      <w:pPr>
        <w:pStyle w:val="22"/>
        <w:spacing w:line="360" w:lineRule="auto"/>
        <w:rPr>
          <w:rFonts w:hint="default" w:hAnsi="宋体" w:eastAsia="宋体"/>
          <w:sz w:val="24"/>
        </w:rPr>
      </w:pPr>
    </w:p>
    <w:p>
      <w:pPr>
        <w:pStyle w:val="22"/>
        <w:spacing w:line="360" w:lineRule="auto"/>
        <w:rPr>
          <w:rFonts w:hint="default" w:hAnsi="宋体" w:eastAsia="宋体"/>
          <w:sz w:val="24"/>
        </w:rPr>
      </w:pPr>
    </w:p>
    <w:p>
      <w:pPr>
        <w:pStyle w:val="22"/>
        <w:spacing w:line="360" w:lineRule="auto"/>
        <w:rPr>
          <w:rFonts w:hint="default" w:hAnsi="宋体" w:eastAsia="宋体"/>
          <w:sz w:val="24"/>
        </w:rPr>
      </w:pPr>
    </w:p>
    <w:p>
      <w:pPr>
        <w:pStyle w:val="22"/>
        <w:spacing w:line="360" w:lineRule="auto"/>
        <w:rPr>
          <w:rFonts w:hint="default" w:hAnsi="宋体" w:eastAsia="宋体"/>
          <w:sz w:val="24"/>
        </w:rPr>
      </w:pPr>
      <w:r>
        <w:rPr>
          <w:rFonts w:hAnsi="宋体" w:eastAsia="宋体"/>
          <w:sz w:val="24"/>
        </w:rPr>
        <w:t>投标人：（单位盖章）</w:t>
      </w:r>
    </w:p>
    <w:p>
      <w:pPr>
        <w:pStyle w:val="22"/>
        <w:spacing w:line="360" w:lineRule="auto"/>
        <w:rPr>
          <w:rFonts w:hint="default" w:hAnsi="宋体" w:eastAsia="宋体"/>
          <w:sz w:val="24"/>
        </w:rPr>
      </w:pPr>
      <w:r>
        <w:rPr>
          <w:rFonts w:hAnsi="宋体" w:eastAsia="宋体"/>
          <w:sz w:val="24"/>
        </w:rPr>
        <w:t>法定代表人或授权委托人：（盖章或签字）</w:t>
      </w:r>
    </w:p>
    <w:p>
      <w:pPr>
        <w:pStyle w:val="22"/>
        <w:spacing w:line="360" w:lineRule="auto"/>
        <w:rPr>
          <w:rFonts w:hint="default" w:hAnsi="宋体" w:eastAsia="宋体"/>
          <w:sz w:val="24"/>
        </w:rPr>
      </w:pPr>
      <w:r>
        <w:rPr>
          <w:rFonts w:hAnsi="宋体" w:eastAsia="宋体"/>
          <w:sz w:val="24"/>
        </w:rPr>
        <w:t>日期：          年        月        日</w:t>
      </w:r>
    </w:p>
    <w:p>
      <w:pPr>
        <w:snapToGrid w:val="0"/>
        <w:spacing w:before="50" w:afterLines="50"/>
        <w:jc w:val="left"/>
        <w:rPr>
          <w:rFonts w:ascii="宋体" w:hAnsi="宋体"/>
          <w:b/>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50" w:afterLines="50"/>
        <w:jc w:val="left"/>
        <w:rPr>
          <w:rFonts w:ascii="宋体" w:hAnsi="宋体"/>
          <w:b/>
          <w:color w:val="000000"/>
          <w:sz w:val="24"/>
        </w:rPr>
      </w:pPr>
      <w:r>
        <w:rPr>
          <w:rFonts w:hint="eastAsia" w:ascii="宋体" w:hAnsi="宋体"/>
          <w:b/>
          <w:color w:val="000000"/>
          <w:sz w:val="24"/>
        </w:rPr>
        <w:t>4.5技术偏离表格式：</w:t>
      </w:r>
    </w:p>
    <w:p>
      <w:pPr>
        <w:snapToGrid w:val="0"/>
        <w:spacing w:before="50" w:afterLines="50" w:line="360" w:lineRule="auto"/>
        <w:jc w:val="left"/>
        <w:rPr>
          <w:rFonts w:ascii="宋体" w:hAnsi="宋体"/>
          <w:b/>
          <w:sz w:val="24"/>
        </w:rPr>
      </w:pPr>
    </w:p>
    <w:p>
      <w:pPr>
        <w:snapToGrid w:val="0"/>
        <w:spacing w:before="50" w:afterLines="50" w:line="360" w:lineRule="auto"/>
        <w:jc w:val="center"/>
        <w:rPr>
          <w:rFonts w:ascii="宋体" w:hAnsi="宋体"/>
          <w:b/>
          <w:sz w:val="24"/>
        </w:rPr>
      </w:pPr>
      <w:r>
        <w:rPr>
          <w:rFonts w:hint="eastAsia" w:ascii="宋体" w:hAnsi="宋体"/>
          <w:b/>
          <w:sz w:val="24"/>
        </w:rPr>
        <w:t>技术偏离表</w:t>
      </w:r>
    </w:p>
    <w:p>
      <w:pPr>
        <w:snapToGrid w:val="0"/>
        <w:spacing w:before="50" w:afterLines="50" w:line="360" w:lineRule="auto"/>
        <w:ind w:firstLine="600" w:firstLineChars="250"/>
        <w:jc w:val="left"/>
        <w:rPr>
          <w:sz w:val="24"/>
        </w:rPr>
      </w:pPr>
      <w:r>
        <w:rPr>
          <w:rFonts w:hint="eastAsia"/>
          <w:sz w:val="24"/>
        </w:rPr>
        <w:t xml:space="preserve">项目名称：                 标项：                  </w:t>
      </w:r>
      <w:r>
        <w:rPr>
          <w:sz w:val="24"/>
        </w:rPr>
        <w:t>招标编号：</w:t>
      </w:r>
    </w:p>
    <w:tbl>
      <w:tblPr>
        <w:tblStyle w:val="15"/>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ign w:val="center"/>
          </w:tcPr>
          <w:p>
            <w:pPr>
              <w:jc w:val="center"/>
              <w:rPr>
                <w:rFonts w:ascii="宋体" w:hAnsi="宋体"/>
                <w:sz w:val="24"/>
              </w:rPr>
            </w:pPr>
            <w:r>
              <w:rPr>
                <w:rFonts w:ascii="宋体" w:hAnsi="宋体"/>
                <w:sz w:val="24"/>
              </w:rPr>
              <w:t>序号</w:t>
            </w:r>
          </w:p>
        </w:tc>
        <w:tc>
          <w:tcPr>
            <w:tcW w:w="1855" w:type="dxa"/>
            <w:tcBorders>
              <w:bottom w:val="single" w:color="auto" w:sz="4" w:space="0"/>
            </w:tcBorders>
            <w:noWrap/>
            <w:vAlign w:val="center"/>
          </w:tcPr>
          <w:p>
            <w:pPr>
              <w:jc w:val="center"/>
              <w:rPr>
                <w:rFonts w:ascii="宋体" w:hAnsi="宋体"/>
                <w:sz w:val="24"/>
              </w:rPr>
            </w:pPr>
            <w:r>
              <w:rPr>
                <w:rFonts w:ascii="宋体" w:hAnsi="宋体"/>
                <w:sz w:val="24"/>
              </w:rPr>
              <w:t>内  容</w:t>
            </w:r>
          </w:p>
        </w:tc>
        <w:tc>
          <w:tcPr>
            <w:tcW w:w="1957" w:type="dxa"/>
            <w:tcBorders>
              <w:bottom w:val="single" w:color="auto" w:sz="4" w:space="0"/>
            </w:tcBorders>
            <w:noWrap/>
            <w:vAlign w:val="center"/>
          </w:tcPr>
          <w:p>
            <w:pPr>
              <w:jc w:val="center"/>
              <w:rPr>
                <w:rFonts w:ascii="宋体" w:hAnsi="宋体"/>
                <w:sz w:val="24"/>
              </w:rPr>
            </w:pPr>
            <w:r>
              <w:rPr>
                <w:rFonts w:ascii="宋体" w:hAnsi="宋体"/>
                <w:sz w:val="24"/>
              </w:rPr>
              <w:t>招标文件</w:t>
            </w:r>
          </w:p>
          <w:p>
            <w:pPr>
              <w:jc w:val="center"/>
              <w:rPr>
                <w:rFonts w:ascii="宋体" w:hAnsi="宋体"/>
                <w:sz w:val="24"/>
              </w:rPr>
            </w:pPr>
            <w:r>
              <w:rPr>
                <w:rFonts w:ascii="宋体" w:hAnsi="宋体"/>
                <w:sz w:val="24"/>
              </w:rPr>
              <w:t>规范要求</w:t>
            </w:r>
          </w:p>
        </w:tc>
        <w:tc>
          <w:tcPr>
            <w:tcW w:w="1620" w:type="dxa"/>
            <w:tcBorders>
              <w:bottom w:val="single" w:color="auto" w:sz="4" w:space="0"/>
            </w:tcBorders>
            <w:noWrap/>
            <w:vAlign w:val="center"/>
          </w:tcPr>
          <w:p>
            <w:pPr>
              <w:jc w:val="center"/>
              <w:rPr>
                <w:rFonts w:ascii="宋体" w:hAnsi="宋体"/>
                <w:sz w:val="24"/>
              </w:rPr>
            </w:pPr>
            <w:r>
              <w:rPr>
                <w:rFonts w:ascii="宋体" w:hAnsi="宋体"/>
                <w:sz w:val="24"/>
              </w:rPr>
              <w:t>投标文件</w:t>
            </w:r>
          </w:p>
          <w:p>
            <w:pPr>
              <w:jc w:val="center"/>
              <w:rPr>
                <w:rFonts w:ascii="宋体" w:hAnsi="宋体"/>
                <w:sz w:val="24"/>
              </w:rPr>
            </w:pPr>
            <w:r>
              <w:rPr>
                <w:rFonts w:ascii="宋体" w:hAnsi="宋体"/>
                <w:sz w:val="24"/>
              </w:rPr>
              <w:t>对应规范</w:t>
            </w:r>
          </w:p>
        </w:tc>
        <w:tc>
          <w:tcPr>
            <w:tcW w:w="2328" w:type="dxa"/>
            <w:tcBorders>
              <w:bottom w:val="single" w:color="auto" w:sz="4" w:space="0"/>
            </w:tcBorders>
            <w:noWrap/>
            <w:vAlign w:val="center"/>
          </w:tcPr>
          <w:p>
            <w:pPr>
              <w:jc w:val="center"/>
              <w:rPr>
                <w:rFonts w:ascii="宋体" w:hAnsi="宋体"/>
                <w:sz w:val="24"/>
              </w:rPr>
            </w:pPr>
            <w:r>
              <w:rPr>
                <w:rFonts w:hint="eastAsia" w:ascii="宋体" w:hAnsi="宋体"/>
                <w:sz w:val="24"/>
              </w:rPr>
              <w:t>偏离情况</w:t>
            </w:r>
          </w:p>
          <w:p>
            <w:pPr>
              <w:jc w:val="center"/>
              <w:rPr>
                <w:rFonts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878" w:type="dxa"/>
            <w:noWrap/>
          </w:tcPr>
          <w:p>
            <w:pPr>
              <w:jc w:val="cente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78" w:type="dxa"/>
            <w:noWrap/>
          </w:tcPr>
          <w:p>
            <w:pPr>
              <w:rPr>
                <w:rFonts w:ascii="宋体" w:hAnsi="宋体"/>
                <w:sz w:val="24"/>
              </w:rPr>
            </w:pPr>
          </w:p>
        </w:tc>
        <w:tc>
          <w:tcPr>
            <w:tcW w:w="1855" w:type="dxa"/>
            <w:noWrap/>
          </w:tcPr>
          <w:p>
            <w:pPr>
              <w:rPr>
                <w:rFonts w:ascii="宋体" w:hAnsi="宋体"/>
                <w:sz w:val="24"/>
              </w:rPr>
            </w:pPr>
          </w:p>
        </w:tc>
        <w:tc>
          <w:tcPr>
            <w:tcW w:w="1957" w:type="dxa"/>
            <w:noWrap/>
          </w:tcPr>
          <w:p>
            <w:pPr>
              <w:rPr>
                <w:rFonts w:ascii="宋体" w:hAnsi="宋体"/>
                <w:sz w:val="24"/>
              </w:rPr>
            </w:pPr>
          </w:p>
        </w:tc>
        <w:tc>
          <w:tcPr>
            <w:tcW w:w="1620" w:type="dxa"/>
            <w:noWrap/>
          </w:tcPr>
          <w:p>
            <w:pPr>
              <w:rPr>
                <w:rFonts w:ascii="宋体" w:hAnsi="宋体"/>
                <w:sz w:val="24"/>
              </w:rPr>
            </w:pPr>
          </w:p>
        </w:tc>
        <w:tc>
          <w:tcPr>
            <w:tcW w:w="2328" w:type="dxa"/>
            <w:noWrap/>
          </w:tcPr>
          <w:p>
            <w:pPr>
              <w:rPr>
                <w:rFonts w:ascii="宋体" w:hAnsi="宋体"/>
                <w:sz w:val="24"/>
              </w:rPr>
            </w:pPr>
          </w:p>
        </w:tc>
      </w:tr>
    </w:tbl>
    <w:p>
      <w:pPr>
        <w:pStyle w:val="6"/>
        <w:spacing w:line="360" w:lineRule="auto"/>
        <w:rPr>
          <w:rFonts w:ascii="宋体"/>
          <w:spacing w:val="20"/>
        </w:rPr>
      </w:pPr>
      <w:r>
        <w:rPr>
          <w:rFonts w:hint="eastAsia" w:ascii="宋体"/>
        </w:rPr>
        <w:t>注：</w:t>
      </w:r>
      <w:r>
        <w:rPr>
          <w:rFonts w:hint="eastAsia" w:ascii="宋体" w:hAnsi="宋体"/>
          <w:b/>
          <w:bCs/>
          <w:color w:val="0D0D0D"/>
          <w:sz w:val="24"/>
          <w:szCs w:val="20"/>
        </w:rPr>
        <w:t>投标人应根据投标设备的性能指标、对照招标文件要求在“偏离情况”栏如实注明“正偏离”、“负偏离”或“无偏离”，不得虚假应标。</w:t>
      </w:r>
    </w:p>
    <w:p>
      <w:pPr>
        <w:snapToGrid w:val="0"/>
        <w:spacing w:before="50" w:after="50" w:line="360" w:lineRule="auto"/>
        <w:rPr>
          <w:rFonts w:ascii="宋体" w:hAnsi="宋体"/>
          <w:spacing w:val="20"/>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法定代表人或授权代表签字</w:t>
      </w:r>
      <w:r>
        <w:rPr>
          <w:rFonts w:hint="eastAsia" w:ascii="宋体" w:hAnsi="宋体"/>
          <w:spacing w:val="20"/>
          <w:sz w:val="24"/>
        </w:rPr>
        <w:t>：</w:t>
      </w:r>
    </w:p>
    <w:p>
      <w:pPr>
        <w:snapToGrid w:val="0"/>
        <w:spacing w:before="50" w:after="50" w:line="360" w:lineRule="auto"/>
        <w:rPr>
          <w:rFonts w:ascii="宋体" w:hAnsi="宋体"/>
          <w:sz w:val="24"/>
          <w:szCs w:val="20"/>
        </w:rPr>
      </w:pPr>
      <w:r>
        <w:rPr>
          <w:rFonts w:hint="eastAsia" w:ascii="宋体" w:hAnsi="宋体"/>
          <w:spacing w:val="20"/>
          <w:sz w:val="24"/>
        </w:rPr>
        <w:t>投标人盖章：日 期：</w:t>
      </w:r>
    </w:p>
    <w:p>
      <w:pPr>
        <w:snapToGrid w:val="0"/>
        <w:spacing w:before="50" w:afterLines="50" w:line="360" w:lineRule="auto"/>
        <w:jc w:val="left"/>
        <w:rPr>
          <w:rFonts w:ascii="宋体" w:hAnsi="宋体"/>
          <w:sz w:val="24"/>
          <w:szCs w:val="20"/>
        </w:rPr>
      </w:pPr>
    </w:p>
    <w:p>
      <w:pPr>
        <w:snapToGrid w:val="0"/>
        <w:spacing w:before="50" w:after="50" w:line="400" w:lineRule="exact"/>
        <w:rPr>
          <w:rFonts w:ascii="宋体" w:hAnsi="宋体"/>
          <w:sz w:val="24"/>
        </w:rPr>
      </w:pPr>
    </w:p>
    <w:p>
      <w:pPr>
        <w:snapToGrid w:val="0"/>
        <w:spacing w:before="50" w:afterLines="50"/>
        <w:jc w:val="left"/>
        <w:rPr>
          <w:rFonts w:ascii="宋体" w:hAnsi="宋体"/>
          <w:color w:val="000000"/>
          <w:sz w:val="24"/>
          <w:szCs w:val="20"/>
        </w:rPr>
      </w:pPr>
    </w:p>
    <w:p>
      <w:pPr>
        <w:snapToGrid w:val="0"/>
        <w:spacing w:beforeLines="50" w:after="50"/>
        <w:rPr>
          <w:rFonts w:ascii="宋体" w:hAnsi="宋体"/>
          <w:b/>
          <w:color w:val="000000"/>
          <w:sz w:val="24"/>
        </w:rPr>
      </w:pPr>
      <w:r>
        <w:rPr>
          <w:rFonts w:hint="eastAsia" w:ascii="宋体" w:hAnsi="宋体"/>
          <w:b/>
          <w:color w:val="000000"/>
          <w:sz w:val="24"/>
        </w:rPr>
        <w:t>5.报价文件目录</w:t>
      </w:r>
    </w:p>
    <w:p>
      <w:pPr>
        <w:snapToGrid w:val="0"/>
        <w:ind w:firstLine="480" w:firstLineChars="200"/>
        <w:jc w:val="left"/>
        <w:rPr>
          <w:rFonts w:ascii="宋体" w:hAnsi="宋体"/>
          <w:color w:val="000000"/>
          <w:sz w:val="24"/>
        </w:rPr>
      </w:pPr>
      <w:r>
        <w:rPr>
          <w:rFonts w:hint="eastAsia" w:ascii="宋体" w:hAnsi="宋体"/>
          <w:color w:val="000000"/>
          <w:sz w:val="24"/>
        </w:rPr>
        <w:t>（1）投标函（格式见附件5.1）</w:t>
      </w:r>
    </w:p>
    <w:p>
      <w:pPr>
        <w:snapToGrid w:val="0"/>
        <w:ind w:firstLine="480" w:firstLineChars="200"/>
        <w:jc w:val="left"/>
        <w:rPr>
          <w:rFonts w:ascii="宋体" w:hAnsi="宋体"/>
          <w:color w:val="000000"/>
          <w:sz w:val="24"/>
        </w:rPr>
      </w:pPr>
      <w:r>
        <w:rPr>
          <w:rFonts w:hint="eastAsia" w:ascii="宋体" w:hAnsi="宋体"/>
          <w:color w:val="000000"/>
          <w:sz w:val="24"/>
        </w:rPr>
        <w:t>（2）开标一览表（格式见附件5.2）</w:t>
      </w:r>
    </w:p>
    <w:p>
      <w:pPr>
        <w:snapToGrid w:val="0"/>
        <w:ind w:firstLine="480" w:firstLineChars="200"/>
        <w:jc w:val="left"/>
        <w:rPr>
          <w:rFonts w:ascii="宋体" w:hAnsi="宋体"/>
          <w:color w:val="000000"/>
          <w:sz w:val="24"/>
        </w:rPr>
      </w:pPr>
      <w:r>
        <w:rPr>
          <w:rFonts w:hint="eastAsia" w:ascii="宋体" w:hAnsi="宋体"/>
          <w:color w:val="000000"/>
          <w:sz w:val="24"/>
        </w:rPr>
        <w:t>（3）中小企业声明函（附件5.3：小微企业投标时适用，提供中小企业名录查询结果截图http://xwqy.gsxt.gov.cn，不提供不予抵扣）</w:t>
      </w:r>
    </w:p>
    <w:p>
      <w:pPr>
        <w:snapToGrid w:val="0"/>
        <w:ind w:firstLine="480" w:firstLineChars="200"/>
        <w:jc w:val="left"/>
        <w:rPr>
          <w:rFonts w:ascii="宋体" w:hAnsi="宋体"/>
          <w:color w:val="000000"/>
          <w:sz w:val="24"/>
        </w:rPr>
      </w:pPr>
      <w:r>
        <w:rPr>
          <w:rFonts w:hint="eastAsia" w:ascii="宋体" w:hAnsi="宋体"/>
          <w:color w:val="000000"/>
          <w:sz w:val="24"/>
        </w:rPr>
        <w:t>（4）残疾人福利性单位声明函（附件5.4：残疾人福利性单位投标时适用）</w:t>
      </w:r>
    </w:p>
    <w:p>
      <w:pPr>
        <w:snapToGrid w:val="0"/>
        <w:ind w:firstLine="480" w:firstLineChars="200"/>
        <w:jc w:val="left"/>
        <w:rPr>
          <w:rFonts w:ascii="宋体" w:hAnsi="宋体"/>
          <w:color w:val="000000"/>
          <w:sz w:val="24"/>
        </w:rPr>
      </w:pPr>
      <w:r>
        <w:rPr>
          <w:rFonts w:hint="eastAsia" w:ascii="宋体" w:hAnsi="宋体"/>
          <w:color w:val="000000"/>
          <w:sz w:val="24"/>
        </w:rPr>
        <w:t>（5）政府采购政策情况表（附件5.5：小微企业、残疾人福利性单位、监狱企业投标时适用）</w:t>
      </w:r>
    </w:p>
    <w:p>
      <w:pPr>
        <w:snapToGrid w:val="0"/>
        <w:ind w:firstLine="480" w:firstLineChars="200"/>
        <w:jc w:val="left"/>
        <w:rPr>
          <w:rFonts w:ascii="宋体" w:hAnsi="宋体"/>
          <w:color w:val="000000"/>
          <w:sz w:val="24"/>
        </w:rPr>
      </w:pPr>
      <w:r>
        <w:rPr>
          <w:rFonts w:hint="eastAsia" w:ascii="宋体" w:hAnsi="宋体"/>
          <w:color w:val="000000"/>
          <w:sz w:val="24"/>
        </w:rPr>
        <w:t>（6）制造企业情况表：（小微企业提供其他小微企业生产的产品时适用,提供中小企业名录查询结果截图http://xwqy.gsxt.gov.cn，不提供不予抵扣）</w:t>
      </w:r>
    </w:p>
    <w:p>
      <w:pPr>
        <w:snapToGrid w:val="0"/>
        <w:ind w:firstLine="480" w:firstLineChars="200"/>
        <w:jc w:val="left"/>
        <w:rPr>
          <w:rFonts w:ascii="宋体" w:hAnsi="宋体"/>
          <w:b/>
          <w:color w:val="000000"/>
          <w:sz w:val="24"/>
        </w:rPr>
      </w:pPr>
      <w:r>
        <w:rPr>
          <w:rFonts w:hint="eastAsia" w:ascii="宋体" w:hAnsi="宋体"/>
          <w:color w:val="000000"/>
          <w:sz w:val="24"/>
        </w:rPr>
        <w:t>（7）投标人针对报价需要说明的其他文件和说明（不含报价）。</w:t>
      </w:r>
    </w:p>
    <w:p>
      <w:pPr>
        <w:snapToGrid w:val="0"/>
        <w:spacing w:before="50" w:afterLines="50"/>
        <w:jc w:val="left"/>
        <w:rPr>
          <w:rFonts w:ascii="宋体" w:hAnsi="宋体"/>
          <w:b/>
          <w:color w:val="000000"/>
          <w:sz w:val="24"/>
        </w:rPr>
      </w:pPr>
      <w:r>
        <w:rPr>
          <w:rFonts w:hint="eastAsia" w:ascii="宋体" w:hAnsi="宋体"/>
          <w:b/>
          <w:color w:val="000000"/>
          <w:sz w:val="24"/>
        </w:rPr>
        <w:t>5.1投标函</w:t>
      </w:r>
    </w:p>
    <w:p>
      <w:pPr>
        <w:pStyle w:val="8"/>
        <w:spacing w:before="156" w:after="156" w:line="312" w:lineRule="auto"/>
        <w:jc w:val="center"/>
        <w:rPr>
          <w:rFonts w:hAnsi="宋体"/>
          <w:b/>
          <w:bCs/>
          <w:color w:val="000000"/>
          <w:sz w:val="36"/>
          <w:szCs w:val="36"/>
        </w:rPr>
      </w:pPr>
      <w:r>
        <w:rPr>
          <w:rFonts w:hint="eastAsia" w:hAnsi="宋体"/>
          <w:b/>
          <w:bCs/>
          <w:color w:val="000000"/>
          <w:sz w:val="36"/>
          <w:szCs w:val="36"/>
        </w:rPr>
        <w:t>投 标 函</w:t>
      </w:r>
    </w:p>
    <w:p>
      <w:pPr>
        <w:pStyle w:val="4"/>
        <w:spacing w:line="312" w:lineRule="auto"/>
        <w:ind w:firstLine="0"/>
        <w:rPr>
          <w:rFonts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  采购人 ，金华市公共资源交易中心东阳分中心 </w:t>
      </w:r>
      <w:r>
        <w:rPr>
          <w:rFonts w:hint="eastAsia" w:ascii="宋体" w:hAnsi="宋体"/>
          <w:color w:val="000000"/>
          <w:sz w:val="24"/>
        </w:rPr>
        <w:t>:</w:t>
      </w:r>
    </w:p>
    <w:p>
      <w:pPr>
        <w:snapToGrid w:val="0"/>
        <w:spacing w:line="312" w:lineRule="auto"/>
        <w:ind w:firstLine="480"/>
        <w:rPr>
          <w:rFonts w:ascii="宋体" w:hAnsi="宋体"/>
          <w:color w:val="000000"/>
          <w:sz w:val="24"/>
          <w:szCs w:val="20"/>
        </w:rPr>
      </w:pPr>
      <w:r>
        <w:rPr>
          <w:rFonts w:hint="eastAsia" w:ascii="宋体" w:hAnsi="宋体"/>
          <w:color w:val="000000"/>
          <w:sz w:val="24"/>
        </w:rPr>
        <w:t>根据贵方为项目的招标公告</w:t>
      </w:r>
      <w:r>
        <w:rPr>
          <w:rFonts w:ascii="宋体" w:hAnsi="宋体"/>
          <w:color w:val="000000"/>
          <w:sz w:val="24"/>
        </w:rPr>
        <w:t>/</w:t>
      </w:r>
      <w:r>
        <w:rPr>
          <w:rFonts w:hint="eastAsia" w:ascii="宋体" w:hAnsi="宋体"/>
          <w:color w:val="000000"/>
          <w:sz w:val="24"/>
        </w:rPr>
        <w:t>投标邀请书</w:t>
      </w:r>
    </w:p>
    <w:p>
      <w:pPr>
        <w:snapToGrid w:val="0"/>
        <w:spacing w:line="312" w:lineRule="auto"/>
        <w:rPr>
          <w:rFonts w:ascii="宋体" w:hAnsi="宋体"/>
          <w:color w:val="000000"/>
          <w:sz w:val="24"/>
          <w:szCs w:val="20"/>
        </w:rPr>
      </w:pPr>
      <w:r>
        <w:rPr>
          <w:rFonts w:hint="eastAsia" w:ascii="宋体" w:hAnsi="宋体"/>
          <w:color w:val="000000"/>
          <w:sz w:val="24"/>
        </w:rPr>
        <w:t>（项目编号：</w:t>
      </w:r>
      <w:r>
        <w:rPr>
          <w:rFonts w:ascii="宋体" w:hAnsi="宋体"/>
          <w:color w:val="000000"/>
          <w:sz w:val="24"/>
        </w:rPr>
        <w:t>____</w:t>
      </w:r>
      <w:r>
        <w:rPr>
          <w:rFonts w:ascii="宋体" w:hAnsi="宋体"/>
          <w:color w:val="000000"/>
          <w:sz w:val="24"/>
          <w:u w:val="single"/>
        </w:rPr>
        <w:t>_     _</w:t>
      </w:r>
      <w:r>
        <w:rPr>
          <w:rFonts w:ascii="宋体" w:hAnsi="宋体"/>
          <w:color w:val="000000"/>
          <w:sz w:val="24"/>
        </w:rPr>
        <w:t>_</w:t>
      </w:r>
      <w:r>
        <w:rPr>
          <w:rFonts w:hint="eastAsia" w:ascii="宋体" w:hAnsi="宋体"/>
          <w:color w:val="000000"/>
          <w:sz w:val="24"/>
        </w:rPr>
        <w:t>），签字代表</w:t>
      </w:r>
      <w:r>
        <w:rPr>
          <w:rFonts w:ascii="宋体" w:hAnsi="宋体"/>
          <w:color w:val="000000"/>
          <w:sz w:val="24"/>
        </w:rPr>
        <w:t>______</w:t>
      </w:r>
      <w:r>
        <w:rPr>
          <w:rFonts w:ascii="宋体" w:hAnsi="宋体"/>
          <w:color w:val="000000"/>
          <w:sz w:val="24"/>
          <w:u w:val="single"/>
        </w:rPr>
        <w:t xml:space="preserve">_     </w:t>
      </w:r>
      <w:r>
        <w:rPr>
          <w:rFonts w:hint="eastAsia" w:ascii="宋体" w:hAnsi="宋体"/>
          <w:color w:val="000000"/>
          <w:sz w:val="24"/>
        </w:rPr>
        <w:t>（全名）经正式授权并代表投标人</w:t>
      </w:r>
      <w:r>
        <w:rPr>
          <w:rFonts w:ascii="宋体" w:hAnsi="宋体"/>
          <w:color w:val="000000"/>
          <w:sz w:val="24"/>
        </w:rPr>
        <w:t>_____</w:t>
      </w:r>
      <w:r>
        <w:rPr>
          <w:rFonts w:ascii="宋体" w:hAnsi="宋体"/>
          <w:color w:val="000000"/>
          <w:sz w:val="24"/>
          <w:u w:val="single"/>
        </w:rPr>
        <w:t>__                    __</w:t>
      </w:r>
      <w:r>
        <w:rPr>
          <w:rFonts w:hint="eastAsia" w:ascii="宋体" w:hAnsi="宋体"/>
          <w:color w:val="000000"/>
          <w:sz w:val="24"/>
        </w:rPr>
        <w:t>（投标人名称）提交资信</w:t>
      </w:r>
      <w:r>
        <w:rPr>
          <w:rFonts w:ascii="宋体" w:hAnsi="宋体"/>
          <w:color w:val="000000"/>
          <w:sz w:val="24"/>
        </w:rPr>
        <w:t>/</w:t>
      </w:r>
      <w:r>
        <w:rPr>
          <w:rFonts w:hint="eastAsia" w:ascii="宋体" w:hAnsi="宋体"/>
          <w:color w:val="000000"/>
          <w:sz w:val="24"/>
        </w:rPr>
        <w:t>商务文件、技术文件、报价文件正本各一份、副本</w:t>
      </w:r>
      <w:r>
        <w:rPr>
          <w:rFonts w:hint="eastAsia" w:ascii="宋体" w:hAnsi="宋体"/>
          <w:color w:val="000000"/>
          <w:sz w:val="24"/>
          <w:lang w:val="en-US" w:eastAsia="zh-CN"/>
        </w:rPr>
        <w:t xml:space="preserve">  </w:t>
      </w:r>
      <w:r>
        <w:rPr>
          <w:rFonts w:hint="eastAsia" w:ascii="宋体" w:hAnsi="宋体"/>
          <w:color w:val="000000"/>
          <w:sz w:val="24"/>
        </w:rPr>
        <w:t>份。</w:t>
      </w:r>
    </w:p>
    <w:p>
      <w:pPr>
        <w:snapToGrid w:val="0"/>
        <w:spacing w:line="312" w:lineRule="auto"/>
        <w:ind w:firstLine="480" w:firstLineChars="200"/>
        <w:rPr>
          <w:rFonts w:ascii="宋体" w:hAnsi="宋体"/>
          <w:color w:val="000000"/>
          <w:sz w:val="24"/>
          <w:szCs w:val="20"/>
        </w:rPr>
      </w:pPr>
      <w:r>
        <w:rPr>
          <w:rFonts w:hint="eastAsia" w:ascii="宋体" w:hAnsi="宋体"/>
          <w:color w:val="000000"/>
          <w:sz w:val="24"/>
        </w:rPr>
        <w:t>据此函，签字代表宣布同意如下：</w:t>
      </w:r>
    </w:p>
    <w:p>
      <w:pPr>
        <w:snapToGrid w:val="0"/>
        <w:spacing w:line="312" w:lineRule="auto"/>
        <w:ind w:firstLine="480" w:firstLineChars="200"/>
        <w:rPr>
          <w:rFonts w:ascii="宋体" w:hAnsi="宋体"/>
          <w:color w:val="000000"/>
          <w:sz w:val="24"/>
          <w:szCs w:val="20"/>
        </w:rPr>
      </w:pPr>
      <w:r>
        <w:rPr>
          <w:rFonts w:ascii="宋体" w:hAnsi="宋体"/>
          <w:color w:val="000000"/>
          <w:sz w:val="24"/>
        </w:rPr>
        <w:t>1</w:t>
      </w:r>
      <w:r>
        <w:rPr>
          <w:rFonts w:hint="eastAsia" w:ascii="宋体" w:hAnsi="宋体"/>
          <w:color w:val="000000"/>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12" w:lineRule="auto"/>
        <w:ind w:firstLine="480" w:firstLineChars="200"/>
        <w:rPr>
          <w:rFonts w:ascii="宋体" w:hAnsi="宋体"/>
          <w:color w:val="000000"/>
          <w:sz w:val="24"/>
          <w:szCs w:val="20"/>
        </w:rPr>
      </w:pPr>
      <w:r>
        <w:rPr>
          <w:rFonts w:ascii="宋体" w:hAnsi="宋体"/>
          <w:color w:val="000000"/>
          <w:sz w:val="24"/>
        </w:rPr>
        <w:t>2</w:t>
      </w:r>
      <w:r>
        <w:rPr>
          <w:rFonts w:hint="eastAsia" w:ascii="宋体" w:hAnsi="宋体"/>
          <w:color w:val="000000"/>
          <w:sz w:val="24"/>
        </w:rPr>
        <w:t>.投标人在投标之前已经与贵方进行了充分的沟通，完全理解并接受招标文件的各项规定和要求，对招标文件的合理性、合法性不再有异议。</w:t>
      </w:r>
    </w:p>
    <w:p>
      <w:pPr>
        <w:snapToGrid w:val="0"/>
        <w:spacing w:line="312" w:lineRule="auto"/>
        <w:ind w:firstLine="480" w:firstLineChars="200"/>
        <w:rPr>
          <w:rFonts w:ascii="宋体" w:hAnsi="宋体"/>
          <w:color w:val="000000"/>
          <w:sz w:val="24"/>
          <w:szCs w:val="20"/>
        </w:rPr>
      </w:pPr>
      <w:r>
        <w:rPr>
          <w:rFonts w:ascii="宋体" w:hAnsi="宋体"/>
          <w:color w:val="000000"/>
          <w:sz w:val="24"/>
        </w:rPr>
        <w:t>3</w:t>
      </w:r>
      <w:r>
        <w:rPr>
          <w:rFonts w:hint="eastAsia" w:ascii="宋体" w:hAnsi="宋体"/>
          <w:color w:val="000000"/>
          <w:sz w:val="24"/>
        </w:rPr>
        <w:t>.本投标有效期自开标日起</w:t>
      </w:r>
      <w:r>
        <w:rPr>
          <w:rFonts w:ascii="宋体" w:hAnsi="宋体"/>
          <w:color w:val="000000"/>
          <w:sz w:val="24"/>
        </w:rPr>
        <w:t xml:space="preserve"> ______</w:t>
      </w:r>
      <w:r>
        <w:rPr>
          <w:rFonts w:hint="eastAsia" w:ascii="宋体" w:hAnsi="宋体"/>
          <w:color w:val="000000"/>
          <w:sz w:val="24"/>
        </w:rPr>
        <w:t>天。</w:t>
      </w:r>
    </w:p>
    <w:p>
      <w:pPr>
        <w:snapToGrid w:val="0"/>
        <w:spacing w:line="312" w:lineRule="auto"/>
        <w:ind w:firstLine="480" w:firstLineChars="200"/>
        <w:rPr>
          <w:rFonts w:ascii="宋体" w:hAnsi="宋体"/>
          <w:color w:val="000000"/>
          <w:sz w:val="24"/>
          <w:szCs w:val="20"/>
        </w:rPr>
      </w:pPr>
      <w:r>
        <w:rPr>
          <w:rFonts w:ascii="宋体" w:hAnsi="宋体"/>
          <w:color w:val="000000"/>
          <w:sz w:val="24"/>
        </w:rPr>
        <w:t>4</w:t>
      </w:r>
      <w:r>
        <w:rPr>
          <w:rFonts w:hint="eastAsia" w:ascii="宋体" w:hAnsi="宋体"/>
          <w:color w:val="000000"/>
          <w:sz w:val="24"/>
        </w:rPr>
        <w:t>.如中标，本投标文件至本项目合同履行完毕止均保持有效，本投标人将按“招标文件”及政府采购法律、法规的规定履行合同责任和义务。</w:t>
      </w:r>
    </w:p>
    <w:p>
      <w:pPr>
        <w:snapToGrid w:val="0"/>
        <w:spacing w:line="312" w:lineRule="auto"/>
        <w:ind w:firstLine="480" w:firstLineChars="200"/>
        <w:rPr>
          <w:rFonts w:ascii="宋体" w:hAnsi="宋体"/>
          <w:color w:val="000000"/>
          <w:sz w:val="24"/>
          <w:szCs w:val="20"/>
        </w:rPr>
      </w:pPr>
      <w:r>
        <w:rPr>
          <w:rFonts w:ascii="宋体" w:hAnsi="宋体"/>
          <w:color w:val="000000"/>
          <w:sz w:val="24"/>
        </w:rPr>
        <w:t>5</w:t>
      </w:r>
      <w:r>
        <w:rPr>
          <w:rFonts w:hint="eastAsia" w:ascii="宋体" w:hAnsi="宋体"/>
          <w:color w:val="000000"/>
          <w:sz w:val="24"/>
        </w:rPr>
        <w:t>.投标人同意按照贵方要求提供与投标有关的一切数据或资料。</w:t>
      </w:r>
    </w:p>
    <w:p>
      <w:pPr>
        <w:snapToGrid w:val="0"/>
        <w:spacing w:line="312" w:lineRule="auto"/>
        <w:ind w:firstLine="480" w:firstLineChars="200"/>
        <w:rPr>
          <w:rFonts w:ascii="宋体" w:hAnsi="宋体"/>
          <w:color w:val="000000"/>
          <w:sz w:val="24"/>
          <w:szCs w:val="20"/>
        </w:rPr>
      </w:pPr>
      <w:r>
        <w:rPr>
          <w:rFonts w:ascii="宋体" w:hAnsi="宋体"/>
          <w:color w:val="000000"/>
          <w:sz w:val="24"/>
        </w:rPr>
        <w:t>6</w:t>
      </w:r>
      <w:r>
        <w:rPr>
          <w:rFonts w:hint="eastAsia" w:ascii="宋体" w:hAnsi="宋体"/>
          <w:color w:val="000000"/>
          <w:sz w:val="24"/>
        </w:rPr>
        <w:t>.与本投标有关的一切正式往来信函请寄：</w:t>
      </w:r>
    </w:p>
    <w:p>
      <w:pPr>
        <w:snapToGrid w:val="0"/>
        <w:spacing w:line="312" w:lineRule="auto"/>
        <w:rPr>
          <w:rFonts w:ascii="宋体" w:hAnsi="宋体"/>
          <w:color w:val="000000"/>
          <w:sz w:val="24"/>
          <w:szCs w:val="20"/>
        </w:rPr>
      </w:pPr>
      <w:r>
        <w:rPr>
          <w:rFonts w:hint="eastAsia" w:ascii="宋体" w:hAnsi="宋体"/>
          <w:color w:val="000000"/>
          <w:sz w:val="24"/>
        </w:rPr>
        <w:t>地址：</w:t>
      </w:r>
      <w:r>
        <w:rPr>
          <w:rFonts w:ascii="宋体" w:hAnsi="宋体"/>
          <w:color w:val="000000"/>
          <w:sz w:val="24"/>
        </w:rPr>
        <w:t>__________</w:t>
      </w:r>
      <w:r>
        <w:rPr>
          <w:rFonts w:ascii="宋体" w:hAnsi="宋体"/>
          <w:color w:val="000000"/>
          <w:sz w:val="24"/>
          <w:u w:val="single"/>
        </w:rPr>
        <w:t xml:space="preserve">        _</w:t>
      </w:r>
      <w:r>
        <w:rPr>
          <w:rFonts w:ascii="宋体" w:hAnsi="宋体"/>
          <w:color w:val="000000"/>
          <w:sz w:val="24"/>
        </w:rPr>
        <w:t>____</w:t>
      </w:r>
      <w:r>
        <w:rPr>
          <w:rFonts w:hint="eastAsia" w:ascii="宋体" w:hAnsi="宋体"/>
          <w:color w:val="000000"/>
          <w:sz w:val="24"/>
        </w:rPr>
        <w:t>邮编：</w:t>
      </w:r>
      <w:r>
        <w:rPr>
          <w:rFonts w:ascii="宋体" w:hAnsi="宋体"/>
          <w:color w:val="000000"/>
          <w:sz w:val="24"/>
        </w:rPr>
        <w:t xml:space="preserve">__________   </w:t>
      </w:r>
      <w:r>
        <w:rPr>
          <w:rFonts w:hint="eastAsia" w:ascii="宋体" w:hAnsi="宋体"/>
          <w:color w:val="000000"/>
          <w:sz w:val="24"/>
        </w:rPr>
        <w:t>电话：</w:t>
      </w:r>
      <w:r>
        <w:rPr>
          <w:rFonts w:ascii="宋体" w:hAnsi="宋体"/>
          <w:color w:val="000000"/>
          <w:sz w:val="24"/>
        </w:rPr>
        <w:t>______________</w:t>
      </w:r>
    </w:p>
    <w:p>
      <w:pPr>
        <w:snapToGrid w:val="0"/>
        <w:spacing w:line="312" w:lineRule="auto"/>
        <w:rPr>
          <w:rFonts w:ascii="宋体" w:hAnsi="宋体"/>
          <w:color w:val="000000"/>
          <w:sz w:val="24"/>
          <w:szCs w:val="20"/>
        </w:rPr>
      </w:pPr>
      <w:r>
        <w:rPr>
          <w:rFonts w:hint="eastAsia" w:ascii="宋体" w:hAnsi="宋体"/>
          <w:color w:val="000000"/>
          <w:sz w:val="24"/>
        </w:rPr>
        <w:t>传真：</w:t>
      </w:r>
      <w:r>
        <w:rPr>
          <w:rFonts w:ascii="宋体" w:hAnsi="宋体"/>
          <w:color w:val="000000"/>
          <w:sz w:val="24"/>
        </w:rPr>
        <w:t>______________</w:t>
      </w:r>
      <w:r>
        <w:rPr>
          <w:rFonts w:hint="eastAsia" w:ascii="宋体" w:hAnsi="宋体"/>
          <w:color w:val="000000"/>
          <w:sz w:val="24"/>
        </w:rPr>
        <w:t>投标人代表姓名</w:t>
      </w:r>
      <w:r>
        <w:rPr>
          <w:rFonts w:ascii="宋体" w:hAnsi="宋体"/>
          <w:color w:val="000000"/>
          <w:sz w:val="24"/>
        </w:rPr>
        <w:t xml:space="preserve"> ___________  </w:t>
      </w:r>
      <w:r>
        <w:rPr>
          <w:rFonts w:hint="eastAsia" w:ascii="宋体" w:hAnsi="宋体"/>
          <w:color w:val="000000"/>
          <w:sz w:val="24"/>
        </w:rPr>
        <w:t>职务：</w:t>
      </w:r>
      <w:r>
        <w:rPr>
          <w:rFonts w:ascii="宋体" w:hAnsi="宋体"/>
          <w:color w:val="000000"/>
          <w:sz w:val="24"/>
        </w:rPr>
        <w:t>_____________</w:t>
      </w:r>
    </w:p>
    <w:p>
      <w:pPr>
        <w:snapToGrid w:val="0"/>
        <w:spacing w:line="312" w:lineRule="auto"/>
        <w:rPr>
          <w:rFonts w:ascii="宋体" w:hAnsi="宋体"/>
          <w:color w:val="000000"/>
          <w:sz w:val="24"/>
          <w:szCs w:val="20"/>
        </w:rPr>
      </w:pPr>
      <w:r>
        <w:rPr>
          <w:rFonts w:hint="eastAsia" w:ascii="宋体" w:hAnsi="宋体"/>
          <w:color w:val="000000"/>
          <w:sz w:val="24"/>
        </w:rPr>
        <w:t>投标人名称</w:t>
      </w:r>
      <w:r>
        <w:rPr>
          <w:rFonts w:ascii="宋体" w:hAnsi="宋体"/>
          <w:color w:val="000000"/>
          <w:sz w:val="24"/>
        </w:rPr>
        <w:t>(</w:t>
      </w:r>
      <w:r>
        <w:rPr>
          <w:rFonts w:hint="eastAsia" w:ascii="宋体" w:hAnsi="宋体"/>
          <w:color w:val="000000"/>
          <w:sz w:val="24"/>
        </w:rPr>
        <w:t>公章</w:t>
      </w:r>
      <w:r>
        <w:rPr>
          <w:rFonts w:ascii="宋体" w:hAnsi="宋体"/>
          <w:color w:val="000000"/>
          <w:sz w:val="24"/>
        </w:rPr>
        <w:t>):___________________</w:t>
      </w:r>
    </w:p>
    <w:p>
      <w:pPr>
        <w:snapToGrid w:val="0"/>
        <w:spacing w:line="312" w:lineRule="auto"/>
        <w:rPr>
          <w:rFonts w:ascii="宋体" w:hAnsi="宋体"/>
          <w:color w:val="000000"/>
          <w:sz w:val="24"/>
        </w:rPr>
      </w:pPr>
      <w:r>
        <w:rPr>
          <w:rFonts w:hint="eastAsia" w:ascii="宋体" w:hAnsi="宋体"/>
          <w:color w:val="000000"/>
          <w:sz w:val="24"/>
        </w:rPr>
        <w:t>授权代表签字</w:t>
      </w:r>
      <w:r>
        <w:rPr>
          <w:rFonts w:ascii="宋体" w:hAnsi="宋体"/>
          <w:color w:val="000000"/>
          <w:sz w:val="24"/>
        </w:rPr>
        <w:t xml:space="preserve">:___________ </w:t>
      </w:r>
      <w:r>
        <w:rPr>
          <w:rFonts w:hint="eastAsia" w:ascii="宋体" w:hAnsi="宋体"/>
          <w:color w:val="000000"/>
          <w:sz w:val="24"/>
        </w:rPr>
        <w:t>日期</w:t>
      </w:r>
      <w:r>
        <w:rPr>
          <w:rFonts w:ascii="宋体" w:hAnsi="宋体"/>
          <w:color w:val="000000"/>
          <w:sz w:val="24"/>
        </w:rPr>
        <w:t>:_____</w:t>
      </w:r>
      <w:r>
        <w:rPr>
          <w:rFonts w:hint="eastAsia" w:ascii="宋体" w:hAnsi="宋体"/>
          <w:color w:val="000000"/>
          <w:sz w:val="24"/>
        </w:rPr>
        <w:t>年</w:t>
      </w:r>
      <w:r>
        <w:rPr>
          <w:rFonts w:ascii="宋体" w:hAnsi="宋体"/>
          <w:color w:val="000000"/>
          <w:sz w:val="24"/>
        </w:rPr>
        <w:t>___</w:t>
      </w:r>
      <w:r>
        <w:rPr>
          <w:rFonts w:hint="eastAsia" w:ascii="宋体" w:hAnsi="宋体"/>
          <w:color w:val="000000"/>
          <w:sz w:val="24"/>
        </w:rPr>
        <w:t>月</w:t>
      </w:r>
      <w:r>
        <w:rPr>
          <w:rFonts w:ascii="宋体" w:hAnsi="宋体"/>
          <w:color w:val="000000"/>
          <w:sz w:val="24"/>
        </w:rPr>
        <w:t>___</w:t>
      </w:r>
      <w:r>
        <w:rPr>
          <w:rFonts w:hint="eastAsia" w:ascii="宋体" w:hAnsi="宋体"/>
          <w:color w:val="000000"/>
          <w:sz w:val="24"/>
        </w:rPr>
        <w:t>日</w:t>
      </w:r>
    </w:p>
    <w:p>
      <w:pPr>
        <w:snapToGrid w:val="0"/>
        <w:spacing w:line="312" w:lineRule="auto"/>
        <w:rPr>
          <w:rFonts w:ascii="宋体" w:hAnsi="宋体"/>
          <w:color w:val="000000"/>
          <w:sz w:val="24"/>
        </w:rPr>
      </w:pPr>
    </w:p>
    <w:p>
      <w:pPr>
        <w:snapToGrid w:val="0"/>
        <w:spacing w:line="312" w:lineRule="auto"/>
        <w:rPr>
          <w:rFonts w:ascii="宋体" w:hAnsi="宋体"/>
          <w:color w:val="000000"/>
          <w:sz w:val="24"/>
        </w:rPr>
      </w:pPr>
    </w:p>
    <w:p>
      <w:pPr>
        <w:snapToGrid w:val="0"/>
        <w:spacing w:before="50" w:afterLines="50"/>
        <w:jc w:val="left"/>
        <w:rPr>
          <w:rFonts w:ascii="宋体" w:hAnsi="宋体"/>
          <w:b/>
          <w:color w:val="000000"/>
          <w:sz w:val="24"/>
        </w:rPr>
      </w:pPr>
      <w:r>
        <w:rPr>
          <w:rFonts w:hint="eastAsia" w:ascii="宋体" w:hAnsi="宋体"/>
          <w:b/>
          <w:color w:val="000000"/>
          <w:sz w:val="24"/>
        </w:rPr>
        <w:t>5.2开标一览表</w:t>
      </w:r>
    </w:p>
    <w:p>
      <w:pPr>
        <w:snapToGrid w:val="0"/>
        <w:spacing w:before="50" w:after="50"/>
        <w:jc w:val="center"/>
        <w:rPr>
          <w:rFonts w:ascii="宋体" w:hAnsi="宋体"/>
          <w:b/>
          <w:color w:val="000000"/>
          <w:sz w:val="30"/>
          <w:szCs w:val="20"/>
        </w:rPr>
      </w:pPr>
      <w:r>
        <w:rPr>
          <w:rFonts w:hint="eastAsia" w:ascii="宋体" w:hAnsi="宋体"/>
          <w:b/>
          <w:color w:val="000000"/>
          <w:sz w:val="30"/>
        </w:rPr>
        <w:t>开标一览表</w:t>
      </w:r>
    </w:p>
    <w:p>
      <w:pPr>
        <w:snapToGrid w:val="0"/>
        <w:spacing w:before="50" w:after="50" w:line="360" w:lineRule="auto"/>
        <w:rPr>
          <w:rFonts w:ascii="宋体" w:hAnsi="宋体"/>
          <w:color w:val="000000"/>
          <w:sz w:val="24"/>
        </w:rPr>
      </w:pPr>
    </w:p>
    <w:p>
      <w:pPr>
        <w:snapToGrid w:val="0"/>
        <w:spacing w:before="50" w:after="50" w:line="360" w:lineRule="auto"/>
        <w:rPr>
          <w:rFonts w:ascii="宋体" w:hAnsi="宋体"/>
          <w:color w:val="000000"/>
          <w:sz w:val="24"/>
          <w:szCs w:val="20"/>
        </w:rPr>
      </w:pPr>
      <w:r>
        <w:rPr>
          <w:rFonts w:hint="eastAsia" w:ascii="宋体" w:hAnsi="宋体"/>
          <w:color w:val="000000"/>
          <w:sz w:val="24"/>
        </w:rPr>
        <w:t>招标编号：标项：单位：元</w:t>
      </w:r>
    </w:p>
    <w:tbl>
      <w:tblPr>
        <w:tblStyle w:val="15"/>
        <w:tblW w:w="89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35"/>
        <w:gridCol w:w="751"/>
        <w:gridCol w:w="819"/>
        <w:gridCol w:w="1462"/>
        <w:gridCol w:w="1164"/>
        <w:gridCol w:w="733"/>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r>
              <w:rPr>
                <w:rFonts w:hint="eastAsia" w:ascii="宋体" w:hAnsi="宋体"/>
                <w:b/>
                <w:color w:val="000000"/>
                <w:szCs w:val="30"/>
              </w:rPr>
              <w:t>序号</w:t>
            </w:r>
          </w:p>
        </w:tc>
        <w:tc>
          <w:tcPr>
            <w:tcW w:w="183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r>
              <w:rPr>
                <w:rFonts w:hint="eastAsia" w:ascii="宋体" w:hAnsi="宋体"/>
                <w:b/>
                <w:color w:val="000000"/>
                <w:szCs w:val="30"/>
              </w:rPr>
              <w:t>货物名称</w:t>
            </w:r>
          </w:p>
        </w:tc>
        <w:tc>
          <w:tcPr>
            <w:tcW w:w="75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r>
              <w:rPr>
                <w:rFonts w:hint="eastAsia" w:ascii="宋体" w:hAnsi="宋体"/>
                <w:b/>
                <w:color w:val="000000"/>
                <w:szCs w:val="30"/>
              </w:rPr>
              <w:t>数量</w:t>
            </w:r>
          </w:p>
        </w:tc>
        <w:tc>
          <w:tcPr>
            <w:tcW w:w="8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r>
              <w:rPr>
                <w:rFonts w:hint="eastAsia" w:ascii="宋体" w:hAnsi="宋体"/>
                <w:b/>
                <w:color w:val="000000"/>
                <w:szCs w:val="30"/>
              </w:rPr>
              <w:t>产地</w:t>
            </w:r>
          </w:p>
        </w:tc>
        <w:tc>
          <w:tcPr>
            <w:tcW w:w="14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r>
              <w:rPr>
                <w:rFonts w:hint="eastAsia" w:ascii="宋体" w:hAnsi="宋体"/>
                <w:b/>
                <w:color w:val="000000"/>
                <w:szCs w:val="30"/>
              </w:rPr>
              <w:t>品牌及厂家</w:t>
            </w:r>
          </w:p>
        </w:tc>
        <w:tc>
          <w:tcPr>
            <w:tcW w:w="116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r>
              <w:rPr>
                <w:rFonts w:hint="eastAsia" w:ascii="宋体" w:hAnsi="宋体"/>
                <w:b/>
                <w:color w:val="000000"/>
                <w:szCs w:val="30"/>
              </w:rPr>
              <w:t>规格型号</w:t>
            </w:r>
          </w:p>
        </w:tc>
        <w:tc>
          <w:tcPr>
            <w:tcW w:w="73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r>
              <w:rPr>
                <w:rFonts w:hint="eastAsia" w:ascii="宋体" w:hAnsi="宋体"/>
                <w:b/>
                <w:color w:val="000000"/>
                <w:szCs w:val="30"/>
              </w:rPr>
              <w:t>综合单价</w:t>
            </w:r>
          </w:p>
        </w:tc>
        <w:tc>
          <w:tcPr>
            <w:tcW w:w="14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r>
              <w:rPr>
                <w:rFonts w:hint="eastAsia" w:ascii="宋体" w:hAnsi="宋体"/>
                <w:b/>
                <w:color w:val="000000"/>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83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75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8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4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16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73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4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83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75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8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4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16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73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4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83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75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8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4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16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73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c>
          <w:tcPr>
            <w:tcW w:w="14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b/>
                <w:color w:val="00000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1" w:hRule="atLeast"/>
          <w:jc w:val="center"/>
        </w:trPr>
        <w:tc>
          <w:tcPr>
            <w:tcW w:w="8979" w:type="dxa"/>
            <w:gridSpan w:val="8"/>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olor w:val="000000"/>
                <w:sz w:val="24"/>
                <w:szCs w:val="21"/>
              </w:rPr>
            </w:pPr>
            <w:r>
              <w:rPr>
                <w:rFonts w:hint="eastAsia" w:ascii="宋体" w:hAnsi="宋体"/>
                <w:color w:val="000000"/>
                <w:sz w:val="24"/>
                <w:szCs w:val="21"/>
              </w:rPr>
              <w:t>合计金额大写（人民币）：                               ￥</w:t>
            </w:r>
          </w:p>
        </w:tc>
      </w:tr>
    </w:tbl>
    <w:p>
      <w:pPr>
        <w:snapToGrid w:val="0"/>
        <w:spacing w:before="50" w:after="50" w:line="360" w:lineRule="auto"/>
        <w:jc w:val="left"/>
        <w:rPr>
          <w:rFonts w:ascii="宋体" w:hAnsi="宋体"/>
          <w:color w:val="000000"/>
          <w:sz w:val="24"/>
          <w:szCs w:val="20"/>
        </w:rPr>
      </w:pPr>
      <w:r>
        <w:rPr>
          <w:rFonts w:hint="eastAsia" w:ascii="宋体" w:hAnsi="宋体"/>
          <w:color w:val="000000"/>
          <w:sz w:val="24"/>
        </w:rPr>
        <w:t>注</w:t>
      </w:r>
      <w:r>
        <w:rPr>
          <w:rFonts w:ascii="宋体" w:hAnsi="宋体"/>
          <w:color w:val="000000"/>
          <w:sz w:val="24"/>
        </w:rPr>
        <w:t>: 1</w:t>
      </w:r>
      <w:r>
        <w:rPr>
          <w:rFonts w:hint="eastAsia" w:ascii="宋体" w:hAnsi="宋体"/>
          <w:color w:val="000000"/>
          <w:sz w:val="24"/>
        </w:rPr>
        <w:t>、报价一经涂改，应在涂改处加盖单位公章或者由法定代表人或授权委托人签字或盖章，否则其投标作无效标处理。</w:t>
      </w:r>
    </w:p>
    <w:p>
      <w:pPr>
        <w:numPr>
          <w:ilvl w:val="0"/>
          <w:numId w:val="9"/>
        </w:num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投标费用包括项目实施所需的人工费、服务费、运输费、安装调试费、购买及制作标书费、税费及其他一切费用。</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3、本表格式不允许修改，否则作无效标处理。</w:t>
      </w:r>
    </w:p>
    <w:p>
      <w:pPr>
        <w:snapToGrid w:val="0"/>
        <w:spacing w:before="50" w:after="50" w:line="360" w:lineRule="auto"/>
        <w:jc w:val="left"/>
        <w:rPr>
          <w:rFonts w:ascii="宋体" w:hAnsi="宋体"/>
          <w:color w:val="000000"/>
          <w:sz w:val="24"/>
          <w:szCs w:val="20"/>
        </w:rPr>
      </w:pPr>
    </w:p>
    <w:p>
      <w:pPr>
        <w:snapToGrid w:val="0"/>
        <w:spacing w:before="50" w:after="50"/>
        <w:ind w:left="-3" w:leftChars="-72" w:right="-817" w:rightChars="-389" w:hanging="148" w:hangingChars="62"/>
        <w:rPr>
          <w:rFonts w:ascii="宋体" w:hAnsi="宋体"/>
          <w:color w:val="000000"/>
          <w:sz w:val="24"/>
        </w:rPr>
      </w:pPr>
    </w:p>
    <w:p>
      <w:pPr>
        <w:snapToGrid w:val="0"/>
        <w:spacing w:before="50" w:after="50" w:line="360" w:lineRule="auto"/>
        <w:ind w:left="-3" w:leftChars="-72" w:right="-817" w:rightChars="-389" w:hanging="148" w:hangingChars="62"/>
        <w:rPr>
          <w:rFonts w:ascii="宋体" w:hAnsi="宋体"/>
          <w:color w:val="000000"/>
          <w:sz w:val="24"/>
          <w:szCs w:val="20"/>
        </w:rPr>
      </w:pPr>
      <w:r>
        <w:rPr>
          <w:rFonts w:hint="eastAsia" w:ascii="宋体" w:hAnsi="宋体"/>
          <w:color w:val="000000"/>
          <w:sz w:val="24"/>
        </w:rPr>
        <w:t>法定代表人或授权代表（签字）：</w:t>
      </w:r>
    </w:p>
    <w:p>
      <w:pPr>
        <w:snapToGrid w:val="0"/>
        <w:spacing w:before="50" w:after="50" w:line="360" w:lineRule="auto"/>
        <w:ind w:left="-3" w:leftChars="-72" w:right="-817" w:rightChars="-389" w:hanging="148" w:hangingChars="62"/>
        <w:rPr>
          <w:rFonts w:ascii="宋体" w:hAnsi="宋体"/>
          <w:color w:val="000000"/>
          <w:sz w:val="24"/>
        </w:rPr>
      </w:pPr>
      <w:r>
        <w:rPr>
          <w:rFonts w:hint="eastAsia" w:ascii="宋体" w:hAnsi="宋体"/>
          <w:color w:val="000000"/>
          <w:sz w:val="24"/>
        </w:rPr>
        <w:t>投标人名称（盖章）：</w:t>
      </w:r>
    </w:p>
    <w:p>
      <w:pPr>
        <w:snapToGrid w:val="0"/>
        <w:spacing w:before="50" w:after="50" w:line="360" w:lineRule="auto"/>
        <w:ind w:left="-3" w:leftChars="-72" w:right="-817" w:rightChars="-389" w:hanging="148" w:hangingChars="62"/>
        <w:rPr>
          <w:rFonts w:ascii="宋体" w:hAnsi="宋体"/>
          <w:color w:val="000000"/>
          <w:sz w:val="24"/>
        </w:rPr>
      </w:pPr>
    </w:p>
    <w:p>
      <w:pPr>
        <w:snapToGrid w:val="0"/>
        <w:spacing w:before="50" w:after="50" w:line="360" w:lineRule="auto"/>
        <w:ind w:left="-3" w:leftChars="-72" w:right="-817" w:rightChars="-389" w:hanging="148" w:hangingChars="62"/>
        <w:rPr>
          <w:rFonts w:ascii="宋体" w:hAnsi="宋体"/>
          <w:color w:val="000000"/>
          <w:sz w:val="24"/>
        </w:rPr>
      </w:pPr>
      <w:r>
        <w:rPr>
          <w:rFonts w:hint="eastAsia" w:ascii="宋体" w:hAnsi="宋体"/>
          <w:color w:val="000000"/>
          <w:sz w:val="24"/>
        </w:rPr>
        <w:t>日期：  年  月  日</w:t>
      </w:r>
    </w:p>
    <w:p>
      <w:pPr>
        <w:snapToGrid w:val="0"/>
        <w:spacing w:line="360" w:lineRule="auto"/>
        <w:rPr>
          <w:rFonts w:ascii="宋体" w:hAnsi="宋体"/>
          <w:color w:val="000000"/>
          <w:sz w:val="24"/>
        </w:rPr>
      </w:pPr>
    </w:p>
    <w:p>
      <w:pPr>
        <w:snapToGrid w:val="0"/>
        <w:spacing w:line="360" w:lineRule="auto"/>
        <w:rPr>
          <w:rFonts w:ascii="宋体" w:hAnsi="宋体"/>
          <w:color w:val="000000"/>
          <w:sz w:val="24"/>
        </w:rPr>
      </w:pPr>
    </w:p>
    <w:p>
      <w:pPr>
        <w:snapToGrid w:val="0"/>
        <w:spacing w:line="360" w:lineRule="auto"/>
        <w:rPr>
          <w:rFonts w:ascii="宋体" w:hAnsi="宋体"/>
          <w:color w:val="000000"/>
          <w:sz w:val="24"/>
        </w:rPr>
      </w:pPr>
    </w:p>
    <w:p>
      <w:pPr>
        <w:snapToGrid w:val="0"/>
        <w:spacing w:beforeLines="50" w:after="50"/>
        <w:rPr>
          <w:rFonts w:ascii="宋体" w:hAnsi="宋体"/>
          <w:b/>
          <w:sz w:val="24"/>
        </w:rPr>
      </w:pPr>
      <w:bookmarkStart w:id="7" w:name="_Toc518487309"/>
    </w:p>
    <w:p>
      <w:pPr>
        <w:snapToGrid w:val="0"/>
        <w:spacing w:beforeLines="50" w:after="50"/>
        <w:rPr>
          <w:rFonts w:ascii="宋体" w:hAnsi="宋体"/>
          <w:b/>
          <w:sz w:val="24"/>
        </w:rPr>
      </w:pPr>
    </w:p>
    <w:p>
      <w:pPr>
        <w:snapToGrid w:val="0"/>
        <w:spacing w:beforeLines="50" w:after="50"/>
        <w:rPr>
          <w:rFonts w:ascii="宋体" w:hAnsi="宋体"/>
          <w:b/>
          <w:sz w:val="24"/>
        </w:rPr>
      </w:pPr>
    </w:p>
    <w:p>
      <w:pPr>
        <w:snapToGrid w:val="0"/>
        <w:spacing w:beforeLines="50" w:after="50"/>
        <w:rPr>
          <w:rFonts w:ascii="宋体" w:hAnsi="宋体"/>
          <w:b/>
          <w:sz w:val="24"/>
        </w:rPr>
      </w:pPr>
    </w:p>
    <w:p>
      <w:pPr>
        <w:snapToGrid w:val="0"/>
        <w:spacing w:beforeLines="50" w:after="50"/>
        <w:rPr>
          <w:rFonts w:ascii="宋体" w:hAnsi="宋体"/>
          <w:b/>
          <w:sz w:val="24"/>
        </w:rPr>
      </w:pPr>
    </w:p>
    <w:p>
      <w:pPr>
        <w:snapToGrid w:val="0"/>
        <w:spacing w:beforeLines="50" w:after="50"/>
        <w:rPr>
          <w:rFonts w:ascii="宋体" w:hAnsi="宋体"/>
          <w:b/>
          <w:sz w:val="24"/>
        </w:rPr>
      </w:pPr>
    </w:p>
    <w:p>
      <w:pPr>
        <w:snapToGrid w:val="0"/>
        <w:spacing w:beforeLines="50" w:after="50"/>
        <w:rPr>
          <w:rFonts w:ascii="宋体" w:hAnsi="宋体"/>
          <w:b/>
          <w:sz w:val="24"/>
        </w:rPr>
      </w:pPr>
      <w:r>
        <w:rPr>
          <w:rFonts w:hint="eastAsia" w:ascii="宋体" w:hAnsi="宋体"/>
          <w:b/>
          <w:sz w:val="24"/>
        </w:rPr>
        <w:t>5.3中小企业声明函：</w:t>
      </w:r>
    </w:p>
    <w:p>
      <w:pPr>
        <w:widowControl/>
        <w:spacing w:before="100" w:beforeAutospacing="1" w:after="190"/>
        <w:ind w:firstLine="480"/>
        <w:jc w:val="center"/>
        <w:rPr>
          <w:rFonts w:ascii="宋体" w:hAnsi="宋体" w:cs="Arial"/>
          <w:b/>
          <w:bCs/>
          <w:kern w:val="0"/>
          <w:sz w:val="30"/>
          <w:szCs w:val="30"/>
        </w:rPr>
      </w:pPr>
      <w:r>
        <w:rPr>
          <w:rFonts w:hint="eastAsia" w:ascii="宋体" w:hAnsi="宋体" w:cs="Arial"/>
          <w:b/>
          <w:bCs/>
          <w:kern w:val="0"/>
          <w:sz w:val="30"/>
          <w:szCs w:val="30"/>
        </w:rPr>
        <w:t xml:space="preserve"> 中小企业声明函</w:t>
      </w:r>
    </w:p>
    <w:p>
      <w:pPr>
        <w:rPr>
          <w:rFonts w:ascii="宋体" w:hAnsi="宋体"/>
        </w:rPr>
      </w:pPr>
    </w:p>
    <w:p>
      <w:pPr>
        <w:rPr>
          <w:rFonts w:ascii="宋体" w:hAnsi="宋体"/>
        </w:rPr>
      </w:pPr>
    </w:p>
    <w:p>
      <w:pPr>
        <w:spacing w:line="360" w:lineRule="auto"/>
        <w:ind w:right="6" w:firstLine="420" w:firstLineChars="200"/>
        <w:rPr>
          <w:rFonts w:ascii="宋体" w:hAnsi="宋体"/>
        </w:rPr>
      </w:pPr>
      <w:r>
        <w:rPr>
          <w:rFonts w:ascii="宋体" w:hAnsi="宋体"/>
        </w:rPr>
        <w:t>本公司郑重声明，根据《政府采购促进中小企业发展暂行办法》（财库〔2011〕181号）的规定，本公司为______（请填写：中型、小型、微型）企业。即，本公司同时满足以下条件：</w:t>
      </w:r>
      <w:r>
        <w:rPr>
          <w:rFonts w:ascii="宋体" w:hAnsi="宋体"/>
        </w:rPr>
        <w:br w:type="textWrapping"/>
      </w:r>
      <w:r>
        <w:rPr>
          <w:rFonts w:ascii="宋体" w:hAnsi="宋体"/>
        </w:rPr>
        <w:t>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rPr>
        <w:br w:type="textWrapping"/>
      </w:r>
      <w:r>
        <w:rPr>
          <w:rFonts w:ascii="宋体" w:hAnsi="宋体"/>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right="6" w:firstLine="211" w:firstLineChars="100"/>
        <w:rPr>
          <w:rFonts w:ascii="宋体" w:hAnsi="宋体"/>
          <w:b/>
        </w:rPr>
      </w:pPr>
      <w:r>
        <w:rPr>
          <w:rFonts w:ascii="宋体" w:hAnsi="宋体"/>
          <w:b/>
        </w:rPr>
        <w:t>本公司对上述声明的真实性负责。如有虚假，将依法承担相应责任。</w:t>
      </w:r>
    </w:p>
    <w:p>
      <w:pPr>
        <w:spacing w:before="100" w:beforeAutospacing="1" w:after="100" w:afterAutospacing="1" w:line="432" w:lineRule="auto"/>
        <w:ind w:firstLine="6090" w:firstLineChars="2900"/>
        <w:rPr>
          <w:rFonts w:ascii="宋体" w:hAnsi="宋体"/>
          <w:szCs w:val="21"/>
        </w:rPr>
      </w:pPr>
      <w:r>
        <w:rPr>
          <w:rFonts w:ascii="宋体" w:hAnsi="宋体"/>
          <w:szCs w:val="21"/>
        </w:rPr>
        <w:t>企业名称（盖章）：</w:t>
      </w:r>
    </w:p>
    <w:p>
      <w:pPr>
        <w:spacing w:before="100" w:beforeAutospacing="1" w:after="100" w:afterAutospacing="1" w:line="432" w:lineRule="auto"/>
        <w:ind w:firstLine="6459" w:firstLineChars="3076"/>
        <w:rPr>
          <w:rFonts w:ascii="宋体" w:hAnsi="宋体"/>
          <w:szCs w:val="21"/>
        </w:rPr>
      </w:pPr>
      <w:r>
        <w:rPr>
          <w:rFonts w:ascii="宋体" w:hAnsi="宋体"/>
          <w:szCs w:val="21"/>
        </w:rPr>
        <w:t>日   期：</w:t>
      </w:r>
    </w:p>
    <w:p>
      <w:pPr>
        <w:numPr>
          <w:ilvl w:val="1"/>
          <w:numId w:val="10"/>
        </w:numPr>
        <w:tabs>
          <w:tab w:val="left" w:pos="420"/>
          <w:tab w:val="clear" w:pos="1244"/>
        </w:tabs>
        <w:spacing w:before="100" w:beforeAutospacing="1" w:after="100" w:afterAutospacing="1" w:line="432" w:lineRule="auto"/>
        <w:ind w:left="420"/>
        <w:rPr>
          <w:rFonts w:ascii="宋体" w:hAnsi="宋体"/>
          <w:b/>
          <w:szCs w:val="21"/>
        </w:rPr>
      </w:pPr>
      <w:r>
        <w:rPr>
          <w:rFonts w:hint="eastAsia" w:ascii="宋体" w:hAnsi="宋体"/>
          <w:b/>
          <w:szCs w:val="21"/>
        </w:rPr>
        <w:t>如投标产品由小微企业生产，则需提供中小企业声明函并符合《工业和信息化部、国家统计局、国家发展和改革委员会、财政部关于印发中小企业划型标准规定的通知》（工信部联企业〔2011〕300号）规定的小、微企业的划型标准规定。</w:t>
      </w:r>
    </w:p>
    <w:p>
      <w:pPr>
        <w:numPr>
          <w:ilvl w:val="1"/>
          <w:numId w:val="10"/>
        </w:numPr>
        <w:tabs>
          <w:tab w:val="left" w:pos="420"/>
          <w:tab w:val="clear" w:pos="1244"/>
        </w:tabs>
        <w:spacing w:before="100" w:beforeAutospacing="1" w:after="100" w:afterAutospacing="1" w:line="432" w:lineRule="auto"/>
        <w:ind w:left="420"/>
        <w:rPr>
          <w:rFonts w:ascii="宋体" w:hAnsi="宋体"/>
          <w:b/>
          <w:szCs w:val="21"/>
        </w:rPr>
      </w:pPr>
      <w:r>
        <w:rPr>
          <w:rFonts w:hint="eastAsia" w:ascii="宋体" w:hAnsi="宋体"/>
          <w:b/>
          <w:szCs w:val="21"/>
        </w:rPr>
        <w:t>小型、微型企业提供中型企业制造的货物的，视同为中型企业。</w:t>
      </w:r>
    </w:p>
    <w:p>
      <w:pPr>
        <w:numPr>
          <w:ilvl w:val="1"/>
          <w:numId w:val="10"/>
        </w:numPr>
        <w:tabs>
          <w:tab w:val="left" w:pos="420"/>
          <w:tab w:val="clear" w:pos="1244"/>
        </w:tabs>
        <w:spacing w:before="100" w:beforeAutospacing="1" w:after="100" w:afterAutospacing="1" w:line="432" w:lineRule="auto"/>
        <w:ind w:left="420"/>
        <w:rPr>
          <w:rFonts w:ascii="宋体" w:hAnsi="宋体"/>
          <w:b/>
          <w:szCs w:val="21"/>
        </w:rPr>
      </w:pPr>
      <w:r>
        <w:rPr>
          <w:rFonts w:hint="eastAsia" w:ascii="宋体" w:hAnsi="宋体"/>
          <w:b/>
          <w:szCs w:val="21"/>
        </w:rPr>
        <w:t>如中标人声明为小微企业，本声明函将随中标结果同时公告，接受社会监督。</w:t>
      </w:r>
    </w:p>
    <w:p>
      <w:pPr>
        <w:spacing w:line="360" w:lineRule="auto"/>
        <w:ind w:right="6"/>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napToGrid w:val="0"/>
        <w:spacing w:beforeLines="50" w:after="50"/>
        <w:rPr>
          <w:rFonts w:ascii="宋体" w:hAnsi="宋体" w:cs="Arial"/>
          <w:b/>
          <w:bCs/>
          <w:kern w:val="0"/>
          <w:sz w:val="30"/>
          <w:szCs w:val="30"/>
        </w:rPr>
        <w:sectPr>
          <w:headerReference r:id="rId8" w:type="first"/>
          <w:footerReference r:id="rId11" w:type="first"/>
          <w:headerReference r:id="rId7" w:type="default"/>
          <w:footerReference r:id="rId9" w:type="default"/>
          <w:footerReference r:id="rId10" w:type="even"/>
          <w:pgSz w:w="11906" w:h="16838"/>
          <w:pgMar w:top="1440" w:right="1800" w:bottom="1440" w:left="1800" w:header="851" w:footer="992" w:gutter="0"/>
          <w:cols w:space="720" w:num="1"/>
          <w:docGrid w:type="lines" w:linePitch="312" w:charSpace="0"/>
        </w:sectPr>
      </w:pPr>
      <w:bookmarkStart w:id="8" w:name="_Toc518487308"/>
      <w:r>
        <w:rPr>
          <w:rFonts w:hint="eastAsia" w:ascii="宋体" w:hAnsi="宋体"/>
          <w:b/>
          <w:sz w:val="24"/>
        </w:rPr>
        <w:t xml:space="preserve">5.4 </w:t>
      </w:r>
      <w:bookmarkStart w:id="9" w:name="OLE_LINK13"/>
      <w:bookmarkStart w:id="10" w:name="OLE_LINK14"/>
      <w:r>
        <w:rPr>
          <w:rFonts w:hint="eastAsia" w:ascii="宋体" w:hAnsi="宋体"/>
          <w:b/>
          <w:sz w:val="24"/>
        </w:rPr>
        <w:t>残疾人福利性单位声明函</w:t>
      </w:r>
      <w:bookmarkEnd w:id="8"/>
      <w:r>
        <w:rPr>
          <w:rFonts w:hint="eastAsia" w:ascii="宋体" w:hAnsi="宋体"/>
          <w:b/>
          <w:sz w:val="24"/>
        </w:rPr>
        <w:t>及残疾人福利性单位残疾人聘用情况表</w:t>
      </w:r>
    </w:p>
    <w:p>
      <w:pPr>
        <w:widowControl/>
        <w:spacing w:before="100" w:beforeAutospacing="1" w:after="190"/>
        <w:jc w:val="center"/>
        <w:rPr>
          <w:rFonts w:ascii="宋体" w:hAnsi="宋体" w:cs="Arial"/>
          <w:b/>
          <w:bCs/>
          <w:kern w:val="0"/>
          <w:sz w:val="30"/>
          <w:szCs w:val="30"/>
        </w:rPr>
      </w:pPr>
    </w:p>
    <w:p>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bookmarkEnd w:id="9"/>
      <w:bookmarkEnd w:id="10"/>
    </w:p>
    <w:p>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pPr>
        <w:spacing w:line="588" w:lineRule="exact"/>
        <w:ind w:firstLine="624" w:firstLineChars="200"/>
        <w:rPr>
          <w:rFonts w:ascii="宋体" w:hAnsi="宋体"/>
          <w:spacing w:val="6"/>
          <w:sz w:val="30"/>
          <w:szCs w:val="30"/>
        </w:rPr>
      </w:pPr>
    </w:p>
    <w:p>
      <w:pPr>
        <w:spacing w:line="588" w:lineRule="exact"/>
        <w:ind w:firstLine="624" w:firstLineChars="200"/>
        <w:rPr>
          <w:rFonts w:ascii="宋体" w:hAnsi="宋体"/>
          <w:spacing w:val="6"/>
          <w:sz w:val="30"/>
          <w:szCs w:val="30"/>
        </w:rPr>
      </w:pPr>
    </w:p>
    <w:p>
      <w:pPr>
        <w:tabs>
          <w:tab w:val="left" w:pos="4860"/>
        </w:tabs>
        <w:spacing w:line="588" w:lineRule="exact"/>
        <w:ind w:right="1560" w:firstLine="420" w:firstLineChars="200"/>
        <w:jc w:val="center"/>
        <w:rPr>
          <w:rFonts w:ascii="宋体" w:hAnsi="宋体"/>
        </w:rPr>
      </w:pPr>
      <w:r>
        <w:rPr>
          <w:rFonts w:hint="eastAsia" w:ascii="宋体" w:hAnsi="宋体"/>
        </w:rPr>
        <w:t>单位名称（盖章）：</w:t>
      </w:r>
    </w:p>
    <w:p>
      <w:pPr>
        <w:rPr>
          <w:rFonts w:ascii="宋体" w:hAnsi="宋体"/>
        </w:rPr>
      </w:pPr>
      <w:r>
        <w:rPr>
          <w:rFonts w:hint="eastAsia" w:ascii="宋体" w:hAnsi="宋体"/>
        </w:rPr>
        <w:t xml:space="preserve">                                                 日期：</w:t>
      </w:r>
    </w:p>
    <w:p>
      <w:pPr>
        <w:rPr>
          <w:rFonts w:ascii="宋体" w:hAnsi="宋体"/>
        </w:rPr>
      </w:pPr>
    </w:p>
    <w:p>
      <w:pPr>
        <w:rPr>
          <w:rFonts w:ascii="宋体" w:hAnsi="宋体"/>
        </w:rPr>
      </w:pPr>
    </w:p>
    <w:p>
      <w:pPr>
        <w:rPr>
          <w:rFonts w:ascii="宋体" w:hAnsi="宋体"/>
        </w:rPr>
      </w:pPr>
    </w:p>
    <w:p>
      <w:pPr>
        <w:numPr>
          <w:ilvl w:val="0"/>
          <w:numId w:val="11"/>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pPr>
        <w:numPr>
          <w:ilvl w:val="0"/>
          <w:numId w:val="11"/>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pPr>
        <w:numPr>
          <w:ilvl w:val="0"/>
          <w:numId w:val="11"/>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如中标人声明为残疾人福利性单位，本声明函将随中标结果同时公告，接受社会监督。</w:t>
      </w: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rPr>
          <w:rFonts w:ascii="宋体" w:hAnsi="宋体"/>
          <w:b/>
        </w:rPr>
      </w:pPr>
    </w:p>
    <w:p>
      <w:pPr>
        <w:spacing w:line="360" w:lineRule="auto"/>
        <w:ind w:right="6"/>
        <w:rPr>
          <w:rFonts w:ascii="宋体" w:hAnsi="宋体"/>
          <w:b/>
        </w:rPr>
      </w:pPr>
    </w:p>
    <w:p>
      <w:pPr>
        <w:snapToGrid w:val="0"/>
        <w:spacing w:beforeLines="50" w:after="50"/>
        <w:jc w:val="center"/>
        <w:rPr>
          <w:rFonts w:ascii="宋体" w:hAnsi="宋体"/>
          <w:b/>
          <w:sz w:val="30"/>
          <w:szCs w:val="30"/>
        </w:rPr>
      </w:pPr>
      <w:r>
        <w:rPr>
          <w:rFonts w:hint="eastAsia" w:ascii="宋体" w:hAnsi="宋体"/>
          <w:b/>
          <w:sz w:val="30"/>
          <w:szCs w:val="30"/>
        </w:rPr>
        <w:t>残疾人福利性单位残疾人聘用情况表</w:t>
      </w:r>
    </w:p>
    <w:tbl>
      <w:tblPr>
        <w:tblStyle w:val="15"/>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r>
              <w:rPr>
                <w:rFonts w:hint="eastAsia" w:ascii="宋体" w:hAnsi="宋体"/>
                <w:b/>
                <w:i/>
                <w:sz w:val="24"/>
                <w:u w:val="single"/>
              </w:rPr>
              <w:t>序号</w:t>
            </w:r>
          </w:p>
        </w:tc>
        <w:tc>
          <w:tcPr>
            <w:tcW w:w="2305" w:type="dxa"/>
            <w:noWrap/>
          </w:tcPr>
          <w:p>
            <w:pPr>
              <w:snapToGrid w:val="0"/>
              <w:spacing w:beforeLines="50" w:after="50" w:line="360" w:lineRule="auto"/>
              <w:jc w:val="center"/>
              <w:rPr>
                <w:rFonts w:ascii="宋体" w:hAnsi="宋体"/>
                <w:b/>
                <w:i/>
                <w:sz w:val="24"/>
                <w:u w:val="single"/>
              </w:rPr>
            </w:pPr>
            <w:r>
              <w:rPr>
                <w:rFonts w:hint="eastAsia" w:ascii="宋体" w:hAnsi="宋体"/>
                <w:b/>
                <w:i/>
                <w:sz w:val="24"/>
                <w:u w:val="single"/>
              </w:rPr>
              <w:t>姓名</w:t>
            </w:r>
          </w:p>
        </w:tc>
        <w:tc>
          <w:tcPr>
            <w:tcW w:w="2168" w:type="dxa"/>
            <w:noWrap/>
          </w:tcPr>
          <w:p>
            <w:pPr>
              <w:snapToGrid w:val="0"/>
              <w:spacing w:beforeLines="50" w:after="50" w:line="360" w:lineRule="auto"/>
              <w:jc w:val="center"/>
              <w:rPr>
                <w:rFonts w:ascii="宋体" w:hAnsi="宋体"/>
                <w:b/>
                <w:i/>
                <w:sz w:val="24"/>
                <w:u w:val="single"/>
              </w:rPr>
            </w:pPr>
            <w:r>
              <w:rPr>
                <w:rFonts w:hint="eastAsia" w:ascii="宋体" w:hAnsi="宋体"/>
                <w:b/>
                <w:i/>
                <w:sz w:val="24"/>
                <w:u w:val="single"/>
              </w:rPr>
              <w:t>残疾人证号</w:t>
            </w:r>
          </w:p>
        </w:tc>
        <w:tc>
          <w:tcPr>
            <w:tcW w:w="1882" w:type="dxa"/>
            <w:noWrap/>
          </w:tcPr>
          <w:p>
            <w:pPr>
              <w:snapToGrid w:val="0"/>
              <w:spacing w:beforeLines="50" w:after="50" w:line="360" w:lineRule="auto"/>
              <w:jc w:val="center"/>
              <w:rPr>
                <w:rFonts w:ascii="宋体" w:hAnsi="宋体"/>
                <w:b/>
                <w:i/>
                <w:sz w:val="24"/>
                <w:u w:val="single"/>
              </w:rPr>
            </w:pPr>
            <w:r>
              <w:rPr>
                <w:rFonts w:hint="eastAsia" w:ascii="宋体" w:hAnsi="宋体"/>
                <w:b/>
                <w:i/>
                <w:sz w:val="24"/>
                <w:u w:val="single"/>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5" w:type="dxa"/>
            <w:noWrap/>
          </w:tcPr>
          <w:p>
            <w:pPr>
              <w:snapToGrid w:val="0"/>
              <w:spacing w:beforeLines="50" w:after="50" w:line="360" w:lineRule="auto"/>
              <w:jc w:val="center"/>
              <w:rPr>
                <w:rFonts w:ascii="宋体" w:hAnsi="宋体"/>
                <w:b/>
                <w:i/>
                <w:sz w:val="24"/>
                <w:u w:val="single"/>
              </w:rPr>
            </w:pPr>
          </w:p>
        </w:tc>
        <w:tc>
          <w:tcPr>
            <w:tcW w:w="2305" w:type="dxa"/>
            <w:noWrap/>
          </w:tcPr>
          <w:p>
            <w:pPr>
              <w:snapToGrid w:val="0"/>
              <w:spacing w:beforeLines="50" w:after="50" w:line="360" w:lineRule="auto"/>
              <w:jc w:val="center"/>
              <w:rPr>
                <w:rFonts w:ascii="宋体" w:hAnsi="宋体"/>
                <w:b/>
                <w:i/>
                <w:sz w:val="24"/>
                <w:u w:val="single"/>
              </w:rPr>
            </w:pPr>
          </w:p>
        </w:tc>
        <w:tc>
          <w:tcPr>
            <w:tcW w:w="2168" w:type="dxa"/>
            <w:noWrap/>
          </w:tcPr>
          <w:p>
            <w:pPr>
              <w:snapToGrid w:val="0"/>
              <w:spacing w:beforeLines="50" w:after="50" w:line="360" w:lineRule="auto"/>
              <w:jc w:val="center"/>
              <w:rPr>
                <w:rFonts w:ascii="宋体" w:hAnsi="宋体"/>
                <w:b/>
                <w:i/>
                <w:sz w:val="24"/>
                <w:u w:val="single"/>
              </w:rPr>
            </w:pPr>
          </w:p>
        </w:tc>
        <w:tc>
          <w:tcPr>
            <w:tcW w:w="1882" w:type="dxa"/>
            <w:noWrap/>
          </w:tcPr>
          <w:p>
            <w:pPr>
              <w:snapToGrid w:val="0"/>
              <w:spacing w:beforeLines="50" w:after="50" w:line="360" w:lineRule="auto"/>
              <w:jc w:val="center"/>
              <w:rPr>
                <w:rFonts w:ascii="宋体" w:hAnsi="宋体"/>
                <w:b/>
                <w:i/>
                <w:sz w:val="24"/>
                <w:u w:val="single"/>
              </w:rPr>
            </w:pPr>
          </w:p>
        </w:tc>
      </w:tr>
    </w:tbl>
    <w:p>
      <w:pPr>
        <w:snapToGrid w:val="0"/>
        <w:spacing w:beforeLines="50" w:after="50"/>
        <w:rPr>
          <w:rFonts w:ascii="宋体" w:hAnsi="宋体"/>
          <w:b/>
          <w:sz w:val="24"/>
        </w:rPr>
        <w:sectPr>
          <w:type w:val="continuous"/>
          <w:pgSz w:w="11906" w:h="16838"/>
          <w:pgMar w:top="1440" w:right="1803" w:bottom="1440" w:left="1803" w:header="851" w:footer="992" w:gutter="0"/>
          <w:cols w:space="720" w:num="1"/>
          <w:docGrid w:linePitch="312" w:charSpace="0"/>
        </w:sectPr>
      </w:pPr>
      <w:r>
        <w:rPr>
          <w:rFonts w:hint="eastAsia" w:ascii="宋体" w:hAnsi="宋体"/>
          <w:b/>
          <w:sz w:val="24"/>
        </w:rPr>
        <w:t>备注：本表后须附上所聘用残疾人员的残疾证、劳动合同、残疾人银行工资发放清单及足额缴纳的社会保险清单复印件，否则，视为非残疾人福利性单位不享受政策优惠。</w:t>
      </w:r>
    </w:p>
    <w:p>
      <w:pPr>
        <w:snapToGrid w:val="0"/>
        <w:spacing w:beforeLines="50" w:after="50"/>
        <w:jc w:val="center"/>
        <w:rPr>
          <w:rFonts w:ascii="宋体" w:hAnsi="宋体"/>
          <w:b/>
          <w:sz w:val="24"/>
        </w:rPr>
        <w:sectPr>
          <w:type w:val="continuous"/>
          <w:pgSz w:w="11906" w:h="16838"/>
          <w:pgMar w:top="1440" w:right="1803" w:bottom="1440" w:left="1803" w:header="851" w:footer="992" w:gutter="0"/>
          <w:cols w:space="720" w:num="1"/>
          <w:docGrid w:linePitch="312" w:charSpace="0"/>
        </w:sectPr>
      </w:pPr>
    </w:p>
    <w:bookmarkEnd w:id="7"/>
    <w:p>
      <w:pPr>
        <w:snapToGrid w:val="0"/>
        <w:spacing w:beforeLines="50" w:after="50"/>
        <w:rPr>
          <w:rFonts w:ascii="宋体" w:hAnsi="宋体"/>
          <w:b/>
          <w:sz w:val="24"/>
        </w:rPr>
      </w:pPr>
      <w:r>
        <w:rPr>
          <w:rFonts w:hint="eastAsia" w:ascii="宋体" w:hAnsi="宋体"/>
          <w:b/>
          <w:sz w:val="24"/>
        </w:rPr>
        <w:t>5.5 政府采购政策情况表：</w:t>
      </w:r>
    </w:p>
    <w:p>
      <w:pPr>
        <w:snapToGrid w:val="0"/>
        <w:spacing w:beforeLines="50" w:after="50"/>
        <w:jc w:val="center"/>
        <w:rPr>
          <w:rFonts w:ascii="宋体" w:hAnsi="宋体"/>
          <w:sz w:val="28"/>
          <w:szCs w:val="36"/>
        </w:rPr>
      </w:pPr>
      <w:r>
        <w:rPr>
          <w:rFonts w:ascii="宋体" w:hAnsi="宋体"/>
          <w:sz w:val="28"/>
          <w:szCs w:val="36"/>
        </w:rPr>
        <w:t>政府采购政策情况表</w:t>
      </w:r>
    </w:p>
    <w:p>
      <w:pPr>
        <w:snapToGrid w:val="0"/>
        <w:spacing w:beforeLines="50" w:after="50"/>
        <w:jc w:val="center"/>
        <w:rPr>
          <w:rFonts w:ascii="宋体" w:hAnsi="宋体"/>
          <w:b/>
          <w:sz w:val="28"/>
          <w:szCs w:val="28"/>
        </w:rPr>
      </w:pPr>
      <w:r>
        <w:rPr>
          <w:rFonts w:ascii="宋体" w:hAnsi="宋体"/>
          <w:b/>
          <w:kern w:val="0"/>
          <w:szCs w:val="21"/>
        </w:rPr>
        <w:t>项目</w:t>
      </w:r>
      <w:r>
        <w:rPr>
          <w:rFonts w:hint="eastAsia" w:ascii="宋体" w:hAnsi="宋体"/>
          <w:b/>
          <w:kern w:val="0"/>
          <w:szCs w:val="21"/>
        </w:rPr>
        <w:t>编号</w:t>
      </w:r>
      <w:r>
        <w:rPr>
          <w:rFonts w:ascii="宋体" w:hAnsi="宋体"/>
          <w:b/>
          <w:kern w:val="0"/>
          <w:szCs w:val="21"/>
        </w:rPr>
        <w:t>：</w:t>
      </w:r>
    </w:p>
    <w:tbl>
      <w:tblPr>
        <w:tblStyle w:val="15"/>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49"/>
        <w:gridCol w:w="924"/>
        <w:gridCol w:w="1316"/>
        <w:gridCol w:w="1021"/>
        <w:gridCol w:w="982"/>
        <w:gridCol w:w="628"/>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768" w:type="dxa"/>
            <w:vMerge w:val="restart"/>
            <w:noWrap/>
            <w:vAlign w:val="center"/>
          </w:tcPr>
          <w:p>
            <w:pPr>
              <w:pStyle w:val="23"/>
              <w:tabs>
                <w:tab w:val="left" w:pos="1260"/>
              </w:tabs>
              <w:snapToGrid w:val="0"/>
              <w:spacing w:line="360" w:lineRule="auto"/>
              <w:jc w:val="center"/>
              <w:rPr>
                <w:rFonts w:ascii="宋体" w:hAnsi="宋体"/>
                <w:szCs w:val="21"/>
                <w:lang w:val="en-GB"/>
              </w:rPr>
            </w:pPr>
            <w:r>
              <w:rPr>
                <w:rFonts w:ascii="宋体" w:hAnsi="宋体"/>
                <w:szCs w:val="21"/>
                <w:lang w:val="en-GB"/>
              </w:rPr>
              <w:t>中小企业</w:t>
            </w:r>
            <w:r>
              <w:rPr>
                <w:rFonts w:hint="eastAsia" w:ascii="宋体" w:hAnsi="宋体"/>
                <w:szCs w:val="21"/>
                <w:lang w:val="en-GB"/>
              </w:rPr>
              <w:t>、监狱企业及残疾人福利性单位</w:t>
            </w:r>
            <w:r>
              <w:rPr>
                <w:rFonts w:ascii="宋体" w:hAnsi="宋体"/>
                <w:szCs w:val="21"/>
                <w:lang w:val="en-GB"/>
              </w:rPr>
              <w:t>扶持政策</w:t>
            </w:r>
          </w:p>
        </w:tc>
        <w:tc>
          <w:tcPr>
            <w:tcW w:w="8808" w:type="dxa"/>
            <w:gridSpan w:val="7"/>
            <w:noWrap/>
            <w:vAlign w:val="center"/>
          </w:tcPr>
          <w:p>
            <w:pPr>
              <w:pStyle w:val="23"/>
              <w:tabs>
                <w:tab w:val="left" w:pos="1260"/>
              </w:tabs>
              <w:snapToGrid w:val="0"/>
              <w:spacing w:line="360" w:lineRule="auto"/>
              <w:rPr>
                <w:rFonts w:ascii="宋体" w:hAnsi="宋体"/>
                <w:szCs w:val="21"/>
                <w:lang w:val="en-GB"/>
              </w:rPr>
            </w:pPr>
            <w:r>
              <w:rPr>
                <w:rFonts w:ascii="宋体" w:hAnsi="宋体"/>
                <w:szCs w:val="21"/>
                <w:lang w:val="en-GB"/>
              </w:rPr>
              <w:t>如属所列情形的，请在括号内打“√”</w:t>
            </w:r>
            <w:r>
              <w:rPr>
                <w:rFonts w:hint="eastAsia" w:ascii="宋体" w:hAnsi="宋体"/>
                <w:szCs w:val="21"/>
                <w:lang w:val="en-GB"/>
              </w:rPr>
              <w:t>，并</w:t>
            </w:r>
            <w:r>
              <w:rPr>
                <w:rFonts w:ascii="宋体" w:hAnsi="宋体"/>
                <w:szCs w:val="21"/>
              </w:rPr>
              <w:t>请填写下表内容</w:t>
            </w:r>
            <w:r>
              <w:rPr>
                <w:rFonts w:hint="eastAsia" w:ascii="宋体" w:hAnsi="宋体"/>
                <w:szCs w:val="21"/>
              </w:rPr>
              <w:t>：</w:t>
            </w:r>
          </w:p>
          <w:p>
            <w:pPr>
              <w:pStyle w:val="23"/>
              <w:tabs>
                <w:tab w:val="left" w:pos="1260"/>
              </w:tabs>
              <w:snapToGrid w:val="0"/>
              <w:spacing w:line="360" w:lineRule="auto"/>
              <w:rPr>
                <w:rFonts w:ascii="宋体" w:hAnsi="宋体"/>
                <w:szCs w:val="21"/>
              </w:rPr>
            </w:pPr>
            <w:r>
              <w:rPr>
                <w:rFonts w:ascii="宋体" w:hAnsi="宋体"/>
                <w:szCs w:val="21"/>
              </w:rPr>
              <w:t>（  ）小型、微型企业投标且提供本企业制造的产品。</w:t>
            </w:r>
          </w:p>
          <w:p>
            <w:pPr>
              <w:pStyle w:val="23"/>
              <w:tabs>
                <w:tab w:val="left" w:pos="1260"/>
              </w:tabs>
              <w:snapToGrid w:val="0"/>
              <w:spacing w:line="360" w:lineRule="auto"/>
              <w:rPr>
                <w:rFonts w:ascii="宋体" w:hAnsi="宋体"/>
                <w:szCs w:val="21"/>
              </w:rPr>
            </w:pPr>
            <w:r>
              <w:rPr>
                <w:rFonts w:ascii="宋体" w:hAnsi="宋体"/>
                <w:szCs w:val="21"/>
              </w:rPr>
              <w:t>（  ）小微企业投标且提供其它小型、微型企业产品</w:t>
            </w:r>
            <w:r>
              <w:rPr>
                <w:rFonts w:hint="eastAsia" w:ascii="宋体" w:hAnsi="宋体"/>
                <w:szCs w:val="21"/>
              </w:rPr>
              <w:t>。</w:t>
            </w:r>
          </w:p>
          <w:p>
            <w:pPr>
              <w:pStyle w:val="23"/>
              <w:tabs>
                <w:tab w:val="left" w:pos="1260"/>
              </w:tabs>
              <w:snapToGrid w:val="0"/>
              <w:spacing w:line="360" w:lineRule="auto"/>
              <w:rPr>
                <w:rFonts w:ascii="宋体" w:hAnsi="宋体"/>
                <w:szCs w:val="21"/>
              </w:rPr>
            </w:pPr>
            <w:r>
              <w:rPr>
                <w:rFonts w:hint="eastAsia" w:ascii="宋体" w:hAnsi="宋体"/>
                <w:szCs w:val="21"/>
              </w:rPr>
              <w:t>（  ）监狱企业投标</w:t>
            </w:r>
            <w:r>
              <w:rPr>
                <w:rFonts w:ascii="宋体" w:hAnsi="宋体"/>
                <w:szCs w:val="21"/>
              </w:rPr>
              <w:t>且提供本企业制造的产品。</w:t>
            </w:r>
          </w:p>
          <w:p>
            <w:pPr>
              <w:pStyle w:val="23"/>
              <w:tabs>
                <w:tab w:val="left" w:pos="1260"/>
              </w:tabs>
              <w:snapToGrid w:val="0"/>
              <w:spacing w:line="360" w:lineRule="auto"/>
              <w:rPr>
                <w:rFonts w:ascii="宋体" w:hAnsi="宋体"/>
                <w:szCs w:val="21"/>
              </w:rPr>
            </w:pPr>
            <w:r>
              <w:rPr>
                <w:rFonts w:ascii="宋体" w:hAnsi="宋体"/>
                <w:szCs w:val="21"/>
              </w:rPr>
              <w:t>（  ）</w:t>
            </w:r>
            <w:r>
              <w:rPr>
                <w:rFonts w:hint="eastAsia" w:ascii="宋体" w:hAnsi="宋体"/>
                <w:szCs w:val="20"/>
              </w:rPr>
              <w:t>残疾人福利性单位投标</w:t>
            </w:r>
            <w:r>
              <w:rPr>
                <w:rFonts w:ascii="宋体" w:hAnsi="宋体"/>
                <w:szCs w:val="21"/>
              </w:rPr>
              <w:t>且提供本企业制造的产品</w:t>
            </w:r>
            <w:r>
              <w:rPr>
                <w:rFonts w:hint="eastAsia" w:ascii="宋体" w:hAnsi="宋体"/>
                <w:szCs w:val="21"/>
              </w:rPr>
              <w:t>。</w:t>
            </w:r>
          </w:p>
          <w:p>
            <w:pPr>
              <w:pStyle w:val="23"/>
              <w:tabs>
                <w:tab w:val="left" w:pos="1260"/>
              </w:tabs>
              <w:snapToGrid w:val="0"/>
              <w:spacing w:line="360" w:lineRule="auto"/>
              <w:rPr>
                <w:rFonts w:ascii="宋体" w:hAnsi="宋体"/>
                <w:szCs w:val="21"/>
              </w:rPr>
            </w:pPr>
            <w:r>
              <w:rPr>
                <w:rFonts w:ascii="宋体" w:hAnsi="宋体"/>
                <w:szCs w:val="21"/>
              </w:rPr>
              <w:t>（  ）</w:t>
            </w:r>
            <w:r>
              <w:rPr>
                <w:rFonts w:hint="eastAsia" w:ascii="宋体" w:hAnsi="宋体"/>
                <w:szCs w:val="20"/>
              </w:rPr>
              <w:t>残疾人福利性单位投标</w:t>
            </w:r>
            <w:r>
              <w:rPr>
                <w:rFonts w:ascii="宋体" w:hAnsi="宋体"/>
                <w:szCs w:val="21"/>
              </w:rPr>
              <w:t>且提供其它</w:t>
            </w:r>
            <w:r>
              <w:rPr>
                <w:rFonts w:hint="eastAsia" w:ascii="宋体" w:hAnsi="宋体"/>
                <w:szCs w:val="20"/>
              </w:rPr>
              <w:t>残疾人福利性单位制造的</w:t>
            </w:r>
            <w:r>
              <w:rPr>
                <w:rFonts w:hint="eastAsia" w:ascii="宋体" w:hAnsi="宋体"/>
                <w:szCs w:val="21"/>
              </w:rPr>
              <w:t>货物</w:t>
            </w:r>
            <w:r>
              <w:rPr>
                <w:rFonts w:hint="eastAsia" w:ascii="宋体" w:hAnsi="宋体"/>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768" w:type="dxa"/>
            <w:vMerge w:val="continue"/>
            <w:noWrap/>
            <w:vAlign w:val="center"/>
          </w:tcPr>
          <w:p>
            <w:pPr>
              <w:pStyle w:val="23"/>
              <w:tabs>
                <w:tab w:val="left" w:pos="1260"/>
              </w:tabs>
              <w:snapToGrid w:val="0"/>
              <w:spacing w:line="360" w:lineRule="auto"/>
              <w:jc w:val="center"/>
              <w:rPr>
                <w:rFonts w:ascii="宋体" w:hAnsi="宋体"/>
                <w:szCs w:val="21"/>
                <w:lang w:val="en-GB"/>
              </w:rPr>
            </w:pPr>
          </w:p>
        </w:tc>
        <w:tc>
          <w:tcPr>
            <w:tcW w:w="2049" w:type="dxa"/>
            <w:noWrap/>
            <w:vAlign w:val="center"/>
          </w:tcPr>
          <w:p>
            <w:pPr>
              <w:pStyle w:val="23"/>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924" w:type="dxa"/>
            <w:noWrap/>
            <w:vAlign w:val="center"/>
          </w:tcPr>
          <w:p>
            <w:pPr>
              <w:pStyle w:val="23"/>
              <w:tabs>
                <w:tab w:val="left" w:pos="1260"/>
              </w:tabs>
              <w:snapToGrid w:val="0"/>
              <w:spacing w:line="360" w:lineRule="auto"/>
              <w:jc w:val="center"/>
              <w:rPr>
                <w:rFonts w:ascii="宋体" w:hAnsi="宋体"/>
                <w:szCs w:val="21"/>
                <w:lang w:val="en-GB"/>
              </w:rPr>
            </w:pPr>
            <w:r>
              <w:rPr>
                <w:rFonts w:ascii="宋体" w:hAnsi="宋体"/>
                <w:szCs w:val="21"/>
                <w:lang w:val="en-GB"/>
              </w:rPr>
              <w:t>品牌</w:t>
            </w:r>
          </w:p>
        </w:tc>
        <w:tc>
          <w:tcPr>
            <w:tcW w:w="1316" w:type="dxa"/>
            <w:noWrap/>
            <w:vAlign w:val="center"/>
          </w:tcPr>
          <w:p>
            <w:pPr>
              <w:pStyle w:val="23"/>
              <w:tabs>
                <w:tab w:val="left" w:pos="1260"/>
              </w:tabs>
              <w:snapToGrid w:val="0"/>
              <w:spacing w:line="360" w:lineRule="auto"/>
              <w:jc w:val="center"/>
              <w:rPr>
                <w:rFonts w:ascii="宋体" w:hAnsi="宋体"/>
                <w:szCs w:val="21"/>
                <w:lang w:val="en-GB"/>
              </w:rPr>
            </w:pPr>
            <w:r>
              <w:rPr>
                <w:rFonts w:hint="eastAsia" w:ascii="宋体" w:hAnsi="宋体"/>
                <w:szCs w:val="21"/>
              </w:rPr>
              <w:t>型号、规格</w:t>
            </w:r>
          </w:p>
        </w:tc>
        <w:tc>
          <w:tcPr>
            <w:tcW w:w="1021" w:type="dxa"/>
            <w:noWrap/>
            <w:vAlign w:val="center"/>
          </w:tcPr>
          <w:p>
            <w:pPr>
              <w:pStyle w:val="23"/>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982" w:type="dxa"/>
            <w:noWrap/>
            <w:vAlign w:val="center"/>
          </w:tcPr>
          <w:p>
            <w:pPr>
              <w:pStyle w:val="23"/>
              <w:tabs>
                <w:tab w:val="left" w:pos="1260"/>
              </w:tabs>
              <w:snapToGrid w:val="0"/>
              <w:jc w:val="center"/>
              <w:rPr>
                <w:rFonts w:ascii="宋体" w:hAnsi="宋体"/>
                <w:szCs w:val="21"/>
                <w:lang w:val="en-GB"/>
              </w:rPr>
            </w:pPr>
            <w:r>
              <w:rPr>
                <w:rFonts w:hint="eastAsia" w:ascii="宋体" w:hAnsi="宋体"/>
                <w:szCs w:val="21"/>
                <w:lang w:val="en-GB"/>
              </w:rPr>
              <w:t>制造商</w:t>
            </w:r>
          </w:p>
          <w:p>
            <w:pPr>
              <w:pStyle w:val="23"/>
              <w:tabs>
                <w:tab w:val="left" w:pos="1260"/>
              </w:tabs>
              <w:snapToGrid w:val="0"/>
              <w:jc w:val="center"/>
              <w:rPr>
                <w:rFonts w:ascii="宋体" w:hAnsi="宋体"/>
                <w:szCs w:val="21"/>
                <w:lang w:val="en-GB"/>
              </w:rPr>
            </w:pPr>
            <w:r>
              <w:rPr>
                <w:rFonts w:hint="eastAsia" w:ascii="宋体" w:hAnsi="宋体"/>
                <w:szCs w:val="21"/>
                <w:lang w:val="en-GB"/>
              </w:rPr>
              <w:t>企业类型</w:t>
            </w:r>
          </w:p>
        </w:tc>
        <w:tc>
          <w:tcPr>
            <w:tcW w:w="628" w:type="dxa"/>
            <w:noWrap/>
            <w:vAlign w:val="center"/>
          </w:tcPr>
          <w:p>
            <w:pPr>
              <w:pStyle w:val="23"/>
              <w:tabs>
                <w:tab w:val="left" w:pos="1260"/>
              </w:tabs>
              <w:snapToGrid w:val="0"/>
              <w:spacing w:line="360" w:lineRule="auto"/>
              <w:jc w:val="center"/>
              <w:rPr>
                <w:rFonts w:ascii="宋体" w:hAnsi="宋体"/>
                <w:szCs w:val="21"/>
                <w:lang w:val="en-GB"/>
              </w:rPr>
            </w:pPr>
            <w:r>
              <w:rPr>
                <w:rFonts w:ascii="宋体" w:hAnsi="宋体"/>
                <w:szCs w:val="21"/>
                <w:lang w:val="en-GB"/>
              </w:rPr>
              <w:t>金额</w:t>
            </w:r>
          </w:p>
        </w:tc>
        <w:tc>
          <w:tcPr>
            <w:tcW w:w="1888" w:type="dxa"/>
            <w:noWrap/>
            <w:vAlign w:val="center"/>
          </w:tcPr>
          <w:p>
            <w:pPr>
              <w:pStyle w:val="23"/>
              <w:tabs>
                <w:tab w:val="left" w:pos="1260"/>
              </w:tabs>
              <w:snapToGrid w:val="0"/>
              <w:jc w:val="center"/>
              <w:rPr>
                <w:rFonts w:ascii="宋体" w:hAnsi="宋体"/>
                <w:szCs w:val="21"/>
                <w:lang w:val="en-GB"/>
              </w:rPr>
            </w:pPr>
            <w:r>
              <w:rPr>
                <w:rFonts w:hint="eastAsia" w:ascii="宋体" w:hAnsi="宋体"/>
                <w:szCs w:val="21"/>
                <w:lang w:val="en-GB"/>
              </w:rPr>
              <w:t>产品在开标一览表中对应的序号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68" w:type="dxa"/>
            <w:vMerge w:val="continue"/>
            <w:noWrap/>
            <w:vAlign w:val="center"/>
          </w:tcPr>
          <w:p>
            <w:pPr>
              <w:pStyle w:val="23"/>
              <w:tabs>
                <w:tab w:val="left" w:pos="1260"/>
              </w:tabs>
              <w:snapToGrid w:val="0"/>
              <w:spacing w:line="360" w:lineRule="auto"/>
              <w:jc w:val="center"/>
              <w:rPr>
                <w:rFonts w:ascii="宋体" w:hAnsi="宋体"/>
                <w:szCs w:val="21"/>
                <w:lang w:val="en-GB"/>
              </w:rPr>
            </w:pPr>
          </w:p>
        </w:tc>
        <w:tc>
          <w:tcPr>
            <w:tcW w:w="2049" w:type="dxa"/>
            <w:noWrap/>
            <w:vAlign w:val="center"/>
          </w:tcPr>
          <w:p>
            <w:pPr>
              <w:pStyle w:val="23"/>
              <w:tabs>
                <w:tab w:val="left" w:pos="1260"/>
              </w:tabs>
              <w:snapToGrid w:val="0"/>
              <w:spacing w:line="360" w:lineRule="auto"/>
              <w:jc w:val="center"/>
              <w:rPr>
                <w:rFonts w:ascii="宋体" w:hAnsi="宋体"/>
                <w:szCs w:val="21"/>
                <w:lang w:val="en-GB"/>
              </w:rPr>
            </w:pPr>
          </w:p>
        </w:tc>
        <w:tc>
          <w:tcPr>
            <w:tcW w:w="924" w:type="dxa"/>
            <w:noWrap/>
            <w:vAlign w:val="center"/>
          </w:tcPr>
          <w:p>
            <w:pPr>
              <w:pStyle w:val="23"/>
              <w:tabs>
                <w:tab w:val="left" w:pos="1260"/>
              </w:tabs>
              <w:snapToGrid w:val="0"/>
              <w:spacing w:line="360" w:lineRule="auto"/>
              <w:jc w:val="center"/>
              <w:rPr>
                <w:rFonts w:ascii="宋体" w:hAnsi="宋体"/>
                <w:szCs w:val="21"/>
                <w:lang w:val="en-GB"/>
              </w:rPr>
            </w:pPr>
          </w:p>
        </w:tc>
        <w:tc>
          <w:tcPr>
            <w:tcW w:w="1316" w:type="dxa"/>
            <w:noWrap/>
            <w:vAlign w:val="center"/>
          </w:tcPr>
          <w:p>
            <w:pPr>
              <w:pStyle w:val="23"/>
              <w:tabs>
                <w:tab w:val="left" w:pos="1260"/>
              </w:tabs>
              <w:snapToGrid w:val="0"/>
              <w:spacing w:line="360" w:lineRule="auto"/>
              <w:jc w:val="center"/>
              <w:rPr>
                <w:rFonts w:ascii="宋体" w:hAnsi="宋体"/>
                <w:szCs w:val="21"/>
                <w:lang w:val="en-GB"/>
              </w:rPr>
            </w:pPr>
          </w:p>
        </w:tc>
        <w:tc>
          <w:tcPr>
            <w:tcW w:w="1021" w:type="dxa"/>
            <w:noWrap/>
            <w:vAlign w:val="center"/>
          </w:tcPr>
          <w:p>
            <w:pPr>
              <w:pStyle w:val="23"/>
              <w:tabs>
                <w:tab w:val="left" w:pos="1260"/>
              </w:tabs>
              <w:snapToGrid w:val="0"/>
              <w:spacing w:line="360" w:lineRule="auto"/>
              <w:jc w:val="center"/>
              <w:rPr>
                <w:rFonts w:ascii="宋体" w:hAnsi="宋体"/>
                <w:szCs w:val="21"/>
                <w:lang w:val="en-GB"/>
              </w:rPr>
            </w:pPr>
          </w:p>
        </w:tc>
        <w:tc>
          <w:tcPr>
            <w:tcW w:w="982" w:type="dxa"/>
            <w:noWrap/>
            <w:vAlign w:val="center"/>
          </w:tcPr>
          <w:p>
            <w:pPr>
              <w:pStyle w:val="23"/>
              <w:tabs>
                <w:tab w:val="left" w:pos="1260"/>
              </w:tabs>
              <w:snapToGrid w:val="0"/>
              <w:spacing w:line="360" w:lineRule="auto"/>
              <w:jc w:val="center"/>
              <w:rPr>
                <w:rFonts w:ascii="宋体" w:hAnsi="宋体"/>
                <w:szCs w:val="21"/>
                <w:lang w:val="en-GB"/>
              </w:rPr>
            </w:pPr>
          </w:p>
        </w:tc>
        <w:tc>
          <w:tcPr>
            <w:tcW w:w="628" w:type="dxa"/>
            <w:noWrap/>
            <w:vAlign w:val="center"/>
          </w:tcPr>
          <w:p>
            <w:pPr>
              <w:pStyle w:val="23"/>
              <w:tabs>
                <w:tab w:val="left" w:pos="1260"/>
              </w:tabs>
              <w:snapToGrid w:val="0"/>
              <w:spacing w:line="360" w:lineRule="auto"/>
              <w:jc w:val="center"/>
              <w:rPr>
                <w:rFonts w:ascii="宋体" w:hAnsi="宋体"/>
                <w:szCs w:val="21"/>
                <w:lang w:val="en-GB"/>
              </w:rPr>
            </w:pPr>
          </w:p>
        </w:tc>
        <w:tc>
          <w:tcPr>
            <w:tcW w:w="1888" w:type="dxa"/>
            <w:noWrap/>
            <w:vAlign w:val="center"/>
          </w:tcPr>
          <w:p>
            <w:pPr>
              <w:pStyle w:val="23"/>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768" w:type="dxa"/>
            <w:vMerge w:val="continue"/>
            <w:noWrap/>
            <w:vAlign w:val="center"/>
          </w:tcPr>
          <w:p>
            <w:pPr>
              <w:pStyle w:val="23"/>
              <w:tabs>
                <w:tab w:val="left" w:pos="1260"/>
              </w:tabs>
              <w:snapToGrid w:val="0"/>
              <w:spacing w:line="360" w:lineRule="auto"/>
              <w:jc w:val="center"/>
              <w:rPr>
                <w:rFonts w:ascii="宋体" w:hAnsi="宋体"/>
                <w:szCs w:val="21"/>
                <w:lang w:val="en-GB"/>
              </w:rPr>
            </w:pPr>
          </w:p>
        </w:tc>
        <w:tc>
          <w:tcPr>
            <w:tcW w:w="2049" w:type="dxa"/>
            <w:noWrap/>
            <w:vAlign w:val="center"/>
          </w:tcPr>
          <w:p>
            <w:pPr>
              <w:pStyle w:val="23"/>
              <w:tabs>
                <w:tab w:val="left" w:pos="1260"/>
              </w:tabs>
              <w:snapToGrid w:val="0"/>
              <w:spacing w:line="360" w:lineRule="auto"/>
              <w:jc w:val="center"/>
              <w:rPr>
                <w:rFonts w:ascii="宋体" w:hAnsi="宋体"/>
                <w:szCs w:val="21"/>
                <w:lang w:val="en-GB"/>
              </w:rPr>
            </w:pPr>
          </w:p>
        </w:tc>
        <w:tc>
          <w:tcPr>
            <w:tcW w:w="924" w:type="dxa"/>
            <w:noWrap/>
            <w:vAlign w:val="center"/>
          </w:tcPr>
          <w:p>
            <w:pPr>
              <w:pStyle w:val="23"/>
              <w:tabs>
                <w:tab w:val="left" w:pos="1260"/>
              </w:tabs>
              <w:snapToGrid w:val="0"/>
              <w:spacing w:line="360" w:lineRule="auto"/>
              <w:jc w:val="center"/>
              <w:rPr>
                <w:rFonts w:ascii="宋体" w:hAnsi="宋体"/>
                <w:szCs w:val="21"/>
                <w:lang w:val="en-GB"/>
              </w:rPr>
            </w:pPr>
          </w:p>
        </w:tc>
        <w:tc>
          <w:tcPr>
            <w:tcW w:w="1316" w:type="dxa"/>
            <w:noWrap/>
            <w:vAlign w:val="center"/>
          </w:tcPr>
          <w:p>
            <w:pPr>
              <w:pStyle w:val="23"/>
              <w:tabs>
                <w:tab w:val="left" w:pos="1260"/>
              </w:tabs>
              <w:snapToGrid w:val="0"/>
              <w:spacing w:line="360" w:lineRule="auto"/>
              <w:jc w:val="center"/>
              <w:rPr>
                <w:rFonts w:ascii="宋体" w:hAnsi="宋体"/>
                <w:szCs w:val="21"/>
                <w:lang w:val="en-GB"/>
              </w:rPr>
            </w:pPr>
          </w:p>
        </w:tc>
        <w:tc>
          <w:tcPr>
            <w:tcW w:w="1021" w:type="dxa"/>
            <w:noWrap/>
            <w:vAlign w:val="center"/>
          </w:tcPr>
          <w:p>
            <w:pPr>
              <w:pStyle w:val="23"/>
              <w:tabs>
                <w:tab w:val="left" w:pos="1260"/>
              </w:tabs>
              <w:snapToGrid w:val="0"/>
              <w:spacing w:line="360" w:lineRule="auto"/>
              <w:jc w:val="center"/>
              <w:rPr>
                <w:rFonts w:ascii="宋体" w:hAnsi="宋体"/>
                <w:szCs w:val="21"/>
                <w:lang w:val="en-GB"/>
              </w:rPr>
            </w:pPr>
          </w:p>
        </w:tc>
        <w:tc>
          <w:tcPr>
            <w:tcW w:w="982" w:type="dxa"/>
            <w:noWrap/>
            <w:vAlign w:val="center"/>
          </w:tcPr>
          <w:p>
            <w:pPr>
              <w:pStyle w:val="23"/>
              <w:tabs>
                <w:tab w:val="left" w:pos="1260"/>
              </w:tabs>
              <w:snapToGrid w:val="0"/>
              <w:spacing w:line="360" w:lineRule="auto"/>
              <w:jc w:val="center"/>
              <w:rPr>
                <w:rFonts w:ascii="宋体" w:hAnsi="宋体"/>
                <w:szCs w:val="21"/>
                <w:lang w:val="en-GB"/>
              </w:rPr>
            </w:pPr>
          </w:p>
        </w:tc>
        <w:tc>
          <w:tcPr>
            <w:tcW w:w="628" w:type="dxa"/>
            <w:noWrap/>
            <w:vAlign w:val="center"/>
          </w:tcPr>
          <w:p>
            <w:pPr>
              <w:pStyle w:val="23"/>
              <w:tabs>
                <w:tab w:val="left" w:pos="1260"/>
              </w:tabs>
              <w:snapToGrid w:val="0"/>
              <w:spacing w:line="360" w:lineRule="auto"/>
              <w:jc w:val="center"/>
              <w:rPr>
                <w:rFonts w:ascii="宋体" w:hAnsi="宋体"/>
                <w:szCs w:val="21"/>
                <w:lang w:val="en-GB"/>
              </w:rPr>
            </w:pPr>
          </w:p>
        </w:tc>
        <w:tc>
          <w:tcPr>
            <w:tcW w:w="1888" w:type="dxa"/>
            <w:noWrap/>
            <w:vAlign w:val="center"/>
          </w:tcPr>
          <w:p>
            <w:pPr>
              <w:pStyle w:val="23"/>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768" w:type="dxa"/>
            <w:vMerge w:val="continue"/>
            <w:noWrap/>
            <w:vAlign w:val="center"/>
          </w:tcPr>
          <w:p>
            <w:pPr>
              <w:pStyle w:val="23"/>
              <w:tabs>
                <w:tab w:val="left" w:pos="1260"/>
              </w:tabs>
              <w:snapToGrid w:val="0"/>
              <w:spacing w:line="360" w:lineRule="auto"/>
              <w:jc w:val="center"/>
              <w:rPr>
                <w:rFonts w:ascii="宋体" w:hAnsi="宋体"/>
                <w:szCs w:val="21"/>
                <w:lang w:val="en-GB"/>
              </w:rPr>
            </w:pPr>
          </w:p>
        </w:tc>
        <w:tc>
          <w:tcPr>
            <w:tcW w:w="2049" w:type="dxa"/>
            <w:noWrap/>
            <w:vAlign w:val="center"/>
          </w:tcPr>
          <w:p>
            <w:pPr>
              <w:pStyle w:val="23"/>
              <w:tabs>
                <w:tab w:val="left" w:pos="1260"/>
              </w:tabs>
              <w:snapToGrid w:val="0"/>
              <w:spacing w:line="360" w:lineRule="auto"/>
              <w:jc w:val="center"/>
              <w:rPr>
                <w:rFonts w:ascii="宋体" w:hAnsi="宋体"/>
                <w:szCs w:val="21"/>
                <w:lang w:val="en-GB"/>
              </w:rPr>
            </w:pPr>
          </w:p>
        </w:tc>
        <w:tc>
          <w:tcPr>
            <w:tcW w:w="924" w:type="dxa"/>
            <w:noWrap/>
            <w:vAlign w:val="center"/>
          </w:tcPr>
          <w:p>
            <w:pPr>
              <w:pStyle w:val="23"/>
              <w:tabs>
                <w:tab w:val="left" w:pos="1260"/>
              </w:tabs>
              <w:snapToGrid w:val="0"/>
              <w:spacing w:line="360" w:lineRule="auto"/>
              <w:jc w:val="center"/>
              <w:rPr>
                <w:rFonts w:ascii="宋体" w:hAnsi="宋体"/>
                <w:szCs w:val="21"/>
                <w:lang w:val="en-GB"/>
              </w:rPr>
            </w:pPr>
          </w:p>
        </w:tc>
        <w:tc>
          <w:tcPr>
            <w:tcW w:w="1316" w:type="dxa"/>
            <w:noWrap/>
            <w:vAlign w:val="center"/>
          </w:tcPr>
          <w:p>
            <w:pPr>
              <w:pStyle w:val="23"/>
              <w:tabs>
                <w:tab w:val="left" w:pos="1260"/>
              </w:tabs>
              <w:snapToGrid w:val="0"/>
              <w:spacing w:line="360" w:lineRule="auto"/>
              <w:jc w:val="center"/>
              <w:rPr>
                <w:rFonts w:ascii="宋体" w:hAnsi="宋体"/>
                <w:szCs w:val="21"/>
                <w:lang w:val="en-GB"/>
              </w:rPr>
            </w:pPr>
          </w:p>
        </w:tc>
        <w:tc>
          <w:tcPr>
            <w:tcW w:w="1021" w:type="dxa"/>
            <w:noWrap/>
            <w:vAlign w:val="center"/>
          </w:tcPr>
          <w:p>
            <w:pPr>
              <w:pStyle w:val="23"/>
              <w:tabs>
                <w:tab w:val="left" w:pos="1260"/>
              </w:tabs>
              <w:snapToGrid w:val="0"/>
              <w:spacing w:line="360" w:lineRule="auto"/>
              <w:jc w:val="center"/>
              <w:rPr>
                <w:rFonts w:ascii="宋体" w:hAnsi="宋体"/>
                <w:szCs w:val="21"/>
                <w:lang w:val="en-GB"/>
              </w:rPr>
            </w:pPr>
          </w:p>
        </w:tc>
        <w:tc>
          <w:tcPr>
            <w:tcW w:w="982" w:type="dxa"/>
            <w:noWrap/>
            <w:vAlign w:val="center"/>
          </w:tcPr>
          <w:p>
            <w:pPr>
              <w:pStyle w:val="23"/>
              <w:tabs>
                <w:tab w:val="left" w:pos="1260"/>
              </w:tabs>
              <w:snapToGrid w:val="0"/>
              <w:spacing w:line="360" w:lineRule="auto"/>
              <w:jc w:val="center"/>
              <w:rPr>
                <w:rFonts w:ascii="宋体" w:hAnsi="宋体"/>
                <w:szCs w:val="21"/>
                <w:lang w:val="en-GB"/>
              </w:rPr>
            </w:pPr>
          </w:p>
        </w:tc>
        <w:tc>
          <w:tcPr>
            <w:tcW w:w="628" w:type="dxa"/>
            <w:noWrap/>
            <w:vAlign w:val="center"/>
          </w:tcPr>
          <w:p>
            <w:pPr>
              <w:pStyle w:val="23"/>
              <w:tabs>
                <w:tab w:val="left" w:pos="1260"/>
              </w:tabs>
              <w:snapToGrid w:val="0"/>
              <w:spacing w:line="360" w:lineRule="auto"/>
              <w:jc w:val="center"/>
              <w:rPr>
                <w:rFonts w:ascii="宋体" w:hAnsi="宋体"/>
                <w:szCs w:val="21"/>
                <w:lang w:val="en-GB"/>
              </w:rPr>
            </w:pPr>
          </w:p>
        </w:tc>
        <w:tc>
          <w:tcPr>
            <w:tcW w:w="1888" w:type="dxa"/>
            <w:noWrap/>
            <w:vAlign w:val="center"/>
          </w:tcPr>
          <w:p>
            <w:pPr>
              <w:pStyle w:val="23"/>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68" w:type="dxa"/>
            <w:vMerge w:val="continue"/>
            <w:noWrap/>
            <w:vAlign w:val="center"/>
          </w:tcPr>
          <w:p>
            <w:pPr>
              <w:pStyle w:val="23"/>
              <w:tabs>
                <w:tab w:val="left" w:pos="1260"/>
              </w:tabs>
              <w:snapToGrid w:val="0"/>
              <w:spacing w:line="360" w:lineRule="auto"/>
              <w:jc w:val="center"/>
              <w:rPr>
                <w:rFonts w:ascii="宋体" w:hAnsi="宋体"/>
                <w:szCs w:val="21"/>
                <w:lang w:val="en-GB"/>
              </w:rPr>
            </w:pPr>
          </w:p>
        </w:tc>
        <w:tc>
          <w:tcPr>
            <w:tcW w:w="6292" w:type="dxa"/>
            <w:gridSpan w:val="5"/>
            <w:noWrap/>
            <w:vAlign w:val="center"/>
          </w:tcPr>
          <w:p>
            <w:pPr>
              <w:pStyle w:val="23"/>
              <w:tabs>
                <w:tab w:val="left" w:pos="1260"/>
              </w:tabs>
              <w:snapToGrid w:val="0"/>
              <w:spacing w:line="360" w:lineRule="auto"/>
              <w:jc w:val="center"/>
              <w:rPr>
                <w:rFonts w:ascii="宋体" w:hAnsi="宋体"/>
                <w:szCs w:val="21"/>
                <w:lang w:val="en-GB"/>
              </w:rPr>
            </w:pPr>
            <w:r>
              <w:rPr>
                <w:rFonts w:ascii="宋体" w:hAnsi="宋体"/>
                <w:szCs w:val="21"/>
              </w:rPr>
              <w:t>小型、微型企业产品</w:t>
            </w:r>
            <w:r>
              <w:rPr>
                <w:rFonts w:ascii="宋体" w:hAnsi="宋体"/>
                <w:szCs w:val="21"/>
                <w:lang w:val="en-GB"/>
              </w:rPr>
              <w:t>金额合计</w:t>
            </w:r>
          </w:p>
        </w:tc>
        <w:tc>
          <w:tcPr>
            <w:tcW w:w="2516" w:type="dxa"/>
            <w:gridSpan w:val="2"/>
            <w:noWrap/>
            <w:vAlign w:val="center"/>
          </w:tcPr>
          <w:p>
            <w:pPr>
              <w:pStyle w:val="23"/>
              <w:tabs>
                <w:tab w:val="left" w:pos="1260"/>
              </w:tabs>
              <w:snapToGrid w:val="0"/>
              <w:spacing w:line="360" w:lineRule="auto"/>
              <w:jc w:val="center"/>
              <w:rPr>
                <w:rFonts w:ascii="宋体" w:hAnsi="宋体"/>
                <w:szCs w:val="21"/>
                <w:lang w:val="en-GB"/>
              </w:rPr>
            </w:pPr>
          </w:p>
        </w:tc>
      </w:tr>
    </w:tbl>
    <w:p>
      <w:pPr>
        <w:spacing w:line="288" w:lineRule="auto"/>
        <w:ind w:firstLine="420" w:firstLineChars="200"/>
        <w:outlineLvl w:val="0"/>
        <w:rPr>
          <w:rFonts w:ascii="宋体" w:hAnsi="宋体"/>
          <w:szCs w:val="21"/>
        </w:rPr>
      </w:pPr>
      <w:r>
        <w:rPr>
          <w:rFonts w:ascii="宋体" w:hAnsi="宋体"/>
          <w:szCs w:val="21"/>
        </w:rPr>
        <w:t>填报要求：</w:t>
      </w:r>
    </w:p>
    <w:p>
      <w:pPr>
        <w:spacing w:line="288" w:lineRule="auto"/>
        <w:ind w:firstLine="420" w:firstLineChars="200"/>
        <w:outlineLvl w:val="0"/>
        <w:rPr>
          <w:rFonts w:ascii="宋体" w:hAnsi="宋体"/>
          <w:szCs w:val="21"/>
        </w:rPr>
      </w:pPr>
      <w:r>
        <w:rPr>
          <w:rFonts w:ascii="宋体" w:hAnsi="宋体"/>
          <w:szCs w:val="21"/>
        </w:rPr>
        <w:t>1. 本表的</w:t>
      </w:r>
      <w:r>
        <w:rPr>
          <w:rFonts w:hint="eastAsia" w:ascii="宋体" w:hAnsi="宋体"/>
          <w:szCs w:val="21"/>
        </w:rPr>
        <w:t>“</w:t>
      </w:r>
      <w:r>
        <w:rPr>
          <w:rFonts w:ascii="宋体" w:hAnsi="宋体"/>
          <w:szCs w:val="21"/>
        </w:rPr>
        <w:t>产品名称</w:t>
      </w:r>
      <w:r>
        <w:rPr>
          <w:rFonts w:hint="eastAsia" w:ascii="宋体" w:hAnsi="宋体"/>
          <w:szCs w:val="21"/>
        </w:rPr>
        <w:t>”</w:t>
      </w:r>
      <w:r>
        <w:rPr>
          <w:rFonts w:ascii="宋体" w:hAnsi="宋体"/>
          <w:szCs w:val="21"/>
        </w:rPr>
        <w:t>、</w:t>
      </w:r>
      <w:r>
        <w:rPr>
          <w:rFonts w:hint="eastAsia" w:ascii="宋体" w:hAnsi="宋体"/>
          <w:szCs w:val="21"/>
        </w:rPr>
        <w:t>“品牌”、“型号、规格”</w:t>
      </w:r>
      <w:r>
        <w:rPr>
          <w:rFonts w:ascii="宋体" w:hAnsi="宋体"/>
          <w:szCs w:val="21"/>
        </w:rPr>
        <w:t>、金额应与《</w:t>
      </w:r>
      <w:r>
        <w:rPr>
          <w:rFonts w:hint="eastAsia" w:ascii="宋体" w:hAnsi="宋体"/>
          <w:szCs w:val="21"/>
        </w:rPr>
        <w:t>报价明细表</w:t>
      </w:r>
      <w:r>
        <w:rPr>
          <w:rFonts w:ascii="宋体" w:hAnsi="宋体"/>
          <w:szCs w:val="21"/>
        </w:rPr>
        <w:t>》</w:t>
      </w:r>
      <w:r>
        <w:rPr>
          <w:rFonts w:hint="eastAsia" w:ascii="宋体" w:hAnsi="宋体"/>
          <w:szCs w:val="21"/>
        </w:rPr>
        <w:t>的“</w:t>
      </w:r>
      <w:r>
        <w:rPr>
          <w:rFonts w:ascii="宋体" w:hAnsi="宋体"/>
          <w:szCs w:val="21"/>
        </w:rPr>
        <w:t>名称</w:t>
      </w:r>
      <w:r>
        <w:rPr>
          <w:rFonts w:hint="eastAsia" w:ascii="宋体" w:hAnsi="宋体"/>
          <w:szCs w:val="21"/>
        </w:rPr>
        <w:t>”、“</w:t>
      </w:r>
      <w:r>
        <w:rPr>
          <w:rFonts w:ascii="宋体" w:hAnsi="宋体"/>
          <w:szCs w:val="21"/>
        </w:rPr>
        <w:t>品牌</w:t>
      </w:r>
      <w:r>
        <w:rPr>
          <w:rFonts w:hint="eastAsia" w:ascii="宋体" w:hAnsi="宋体"/>
          <w:szCs w:val="21"/>
        </w:rPr>
        <w:t>”、“型号、规格”、“投标报价”</w:t>
      </w:r>
      <w:r>
        <w:rPr>
          <w:rFonts w:ascii="宋体" w:hAnsi="宋体"/>
          <w:szCs w:val="21"/>
        </w:rPr>
        <w:t>一致</w:t>
      </w:r>
      <w:r>
        <w:rPr>
          <w:rFonts w:hint="eastAsia" w:ascii="宋体" w:hAnsi="宋体"/>
          <w:szCs w:val="21"/>
        </w:rPr>
        <w:t>。</w:t>
      </w:r>
    </w:p>
    <w:p>
      <w:pPr>
        <w:spacing w:line="288" w:lineRule="auto"/>
        <w:ind w:firstLine="420" w:firstLineChars="200"/>
        <w:outlineLvl w:val="0"/>
        <w:rPr>
          <w:rFonts w:ascii="宋体" w:hAnsi="宋体"/>
          <w:szCs w:val="21"/>
        </w:rPr>
      </w:pPr>
      <w:r>
        <w:rPr>
          <w:rFonts w:ascii="宋体" w:hAnsi="宋体"/>
          <w:szCs w:val="21"/>
        </w:rPr>
        <w:t>2. “制造商企业类型”栏填写内容</w:t>
      </w:r>
      <w:r>
        <w:rPr>
          <w:rFonts w:hint="eastAsia" w:ascii="宋体" w:hAnsi="宋体"/>
          <w:szCs w:val="21"/>
        </w:rPr>
        <w:t>应</w:t>
      </w:r>
      <w:r>
        <w:rPr>
          <w:rFonts w:ascii="宋体" w:hAnsi="宋体"/>
          <w:szCs w:val="21"/>
        </w:rPr>
        <w:t>为“小型”</w:t>
      </w:r>
      <w:r>
        <w:rPr>
          <w:rFonts w:hint="eastAsia" w:ascii="宋体" w:hAnsi="宋体"/>
          <w:szCs w:val="21"/>
        </w:rPr>
        <w:t>、</w:t>
      </w:r>
      <w:r>
        <w:rPr>
          <w:rFonts w:ascii="宋体" w:hAnsi="宋体"/>
          <w:szCs w:val="21"/>
        </w:rPr>
        <w:t>“微型”</w:t>
      </w:r>
      <w:r>
        <w:rPr>
          <w:rFonts w:hint="eastAsia" w:ascii="宋体" w:hAnsi="宋体"/>
          <w:szCs w:val="21"/>
        </w:rPr>
        <w:t>，并提供制造企业情况表（格式见附件5.5）</w:t>
      </w:r>
      <w:r>
        <w:rPr>
          <w:rFonts w:ascii="宋体" w:hAnsi="宋体"/>
          <w:szCs w:val="21"/>
        </w:rPr>
        <w:t>。</w:t>
      </w:r>
    </w:p>
    <w:p>
      <w:pPr>
        <w:spacing w:line="288" w:lineRule="auto"/>
        <w:ind w:firstLine="420" w:firstLineChars="200"/>
        <w:outlineLvl w:val="0"/>
        <w:rPr>
          <w:rFonts w:ascii="宋体" w:hAnsi="宋体"/>
        </w:rPr>
      </w:pPr>
      <w:r>
        <w:rPr>
          <w:rFonts w:hint="eastAsia" w:ascii="宋体" w:hAnsi="宋体"/>
        </w:rPr>
        <w:t>3</w:t>
      </w:r>
      <w:r>
        <w:rPr>
          <w:rFonts w:ascii="宋体" w:hAnsi="宋体"/>
        </w:rPr>
        <w:t>. 请投标人正确填写本表，所填内容将作为</w:t>
      </w:r>
      <w:r>
        <w:rPr>
          <w:rFonts w:hint="eastAsia" w:ascii="宋体" w:hAnsi="宋体"/>
        </w:rPr>
        <w:t>报价的</w:t>
      </w:r>
      <w:r>
        <w:rPr>
          <w:rFonts w:ascii="宋体" w:hAnsi="宋体"/>
        </w:rPr>
        <w:t>评分依据。如果填写不完整或有误，不再享受上述政策优惠。</w:t>
      </w:r>
    </w:p>
    <w:p>
      <w:pPr>
        <w:spacing w:beforeLines="50" w:line="288" w:lineRule="auto"/>
        <w:ind w:right="-21" w:rightChars="-10" w:firstLine="10080" w:firstLineChars="4800"/>
        <w:rPr>
          <w:rFonts w:ascii="宋体" w:hAnsi="宋体"/>
        </w:rPr>
      </w:pPr>
    </w:p>
    <w:p>
      <w:pPr>
        <w:spacing w:beforeLines="50" w:line="288" w:lineRule="auto"/>
        <w:ind w:right="-21" w:rightChars="-10"/>
        <w:jc w:val="right"/>
        <w:rPr>
          <w:rFonts w:ascii="宋体" w:hAnsi="宋体"/>
        </w:rPr>
      </w:pPr>
      <w:r>
        <w:rPr>
          <w:rFonts w:hint="eastAsia" w:ascii="宋体" w:hAnsi="宋体"/>
        </w:rPr>
        <w:t>投标人（盖章）：</w:t>
      </w:r>
    </w:p>
    <w:p>
      <w:pPr>
        <w:spacing w:beforeLines="50" w:line="288" w:lineRule="auto"/>
        <w:ind w:right="-21" w:rightChars="-10"/>
        <w:jc w:val="right"/>
        <w:rPr>
          <w:rFonts w:ascii="宋体" w:hAnsi="宋体"/>
        </w:rPr>
      </w:pPr>
      <w:r>
        <w:rPr>
          <w:rFonts w:hint="eastAsia" w:ascii="宋体" w:hAnsi="宋体"/>
        </w:rPr>
        <w:t>法定代表人或授权代表（签字或盖章）</w:t>
      </w:r>
    </w:p>
    <w:p>
      <w:pPr>
        <w:spacing w:beforeLines="50" w:line="288" w:lineRule="auto"/>
        <w:ind w:right="-21" w:rightChars="-10"/>
        <w:jc w:val="right"/>
        <w:rPr>
          <w:rFonts w:ascii="宋体" w:hAnsi="宋体"/>
        </w:rPr>
      </w:pPr>
    </w:p>
    <w:p>
      <w:pPr>
        <w:spacing w:beforeLines="50" w:line="288" w:lineRule="auto"/>
        <w:ind w:right="-21" w:rightChars="-10"/>
        <w:jc w:val="right"/>
        <w:rPr>
          <w:rFonts w:ascii="宋体" w:hAnsi="宋体"/>
        </w:rPr>
      </w:pPr>
    </w:p>
    <w:p>
      <w:pPr>
        <w:spacing w:beforeLines="50" w:line="288" w:lineRule="auto"/>
        <w:ind w:right="-21" w:rightChars="-10"/>
        <w:jc w:val="right"/>
        <w:rPr>
          <w:rFonts w:ascii="宋体" w:hAnsi="宋体"/>
        </w:rPr>
      </w:pPr>
    </w:p>
    <w:p>
      <w:pPr>
        <w:spacing w:beforeLines="50" w:line="288" w:lineRule="auto"/>
        <w:ind w:right="-21" w:rightChars="-10"/>
        <w:jc w:val="right"/>
        <w:rPr>
          <w:rFonts w:ascii="宋体" w:hAnsi="宋体"/>
        </w:rPr>
      </w:pPr>
    </w:p>
    <w:p>
      <w:pPr>
        <w:spacing w:beforeLines="50" w:line="288" w:lineRule="auto"/>
        <w:ind w:right="-21" w:rightChars="-10"/>
        <w:rPr>
          <w:rFonts w:ascii="宋体" w:hAnsi="宋体"/>
        </w:rPr>
      </w:pPr>
    </w:p>
    <w:p>
      <w:pPr>
        <w:snapToGrid w:val="0"/>
        <w:spacing w:before="50" w:afterLines="50"/>
        <w:jc w:val="left"/>
        <w:rPr>
          <w:rFonts w:ascii="宋体" w:hAnsi="宋体"/>
          <w:b/>
          <w:sz w:val="24"/>
        </w:rPr>
      </w:pPr>
      <w:r>
        <w:rPr>
          <w:rFonts w:hint="eastAsia" w:ascii="宋体" w:hAnsi="宋体"/>
          <w:b/>
          <w:sz w:val="24"/>
        </w:rPr>
        <w:t>5.6制造企业情况表：（小微企业提供其他小微企业生产的产品时适用）</w:t>
      </w:r>
    </w:p>
    <w:p>
      <w:pPr>
        <w:snapToGrid w:val="0"/>
        <w:spacing w:beforeLines="50" w:after="50" w:line="360" w:lineRule="auto"/>
        <w:jc w:val="center"/>
        <w:rPr>
          <w:rFonts w:ascii="宋体" w:hAnsi="宋体"/>
          <w:b/>
          <w:sz w:val="24"/>
        </w:rPr>
      </w:pPr>
      <w:r>
        <w:rPr>
          <w:rFonts w:hint="eastAsia" w:ascii="宋体" w:hAnsi="宋体"/>
          <w:b/>
          <w:sz w:val="24"/>
        </w:rPr>
        <w:t>制造企业情况表</w:t>
      </w:r>
    </w:p>
    <w:p>
      <w:pPr>
        <w:pStyle w:val="8"/>
        <w:spacing w:before="156" w:after="156" w:line="360" w:lineRule="auto"/>
        <w:rPr>
          <w:rFonts w:ascii="Times New Roman" w:hAnsi="Times New Roman"/>
        </w:rPr>
      </w:pPr>
      <w:r>
        <w:rPr>
          <w:rFonts w:hint="eastAsia" w:ascii="Times New Roman" w:hAnsi="Times New Roman"/>
        </w:rPr>
        <w:t>投标单位：                  标项：                       填表日期：</w:t>
      </w:r>
    </w:p>
    <w:tbl>
      <w:tblPr>
        <w:tblStyle w:val="15"/>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104"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制造企业名称</w:t>
            </w:r>
          </w:p>
        </w:tc>
        <w:tc>
          <w:tcPr>
            <w:tcW w:w="2887" w:type="dxa"/>
            <w:noWrap/>
            <w:vAlign w:val="center"/>
          </w:tcPr>
          <w:p>
            <w:pPr>
              <w:widowControl/>
              <w:spacing w:line="360" w:lineRule="auto"/>
              <w:jc w:val="center"/>
              <w:rPr>
                <w:sz w:val="24"/>
              </w:rPr>
            </w:pPr>
          </w:p>
        </w:tc>
        <w:tc>
          <w:tcPr>
            <w:tcW w:w="1388"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电话</w:t>
            </w:r>
          </w:p>
        </w:tc>
        <w:tc>
          <w:tcPr>
            <w:tcW w:w="2534" w:type="dxa"/>
            <w:noWrap/>
            <w:vAlign w:val="center"/>
          </w:tcPr>
          <w:p>
            <w:pPr>
              <w:pStyle w:val="8"/>
              <w:spacing w:before="156" w:after="156"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2104"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地址</w:t>
            </w:r>
          </w:p>
        </w:tc>
        <w:tc>
          <w:tcPr>
            <w:tcW w:w="2887" w:type="dxa"/>
            <w:noWrap/>
            <w:vAlign w:val="center"/>
          </w:tcPr>
          <w:p>
            <w:pPr>
              <w:pStyle w:val="8"/>
              <w:spacing w:before="156" w:after="156" w:line="360" w:lineRule="auto"/>
              <w:jc w:val="center"/>
              <w:rPr>
                <w:rFonts w:ascii="Times New Roman" w:hAnsi="Times New Roman"/>
              </w:rPr>
            </w:pPr>
          </w:p>
        </w:tc>
        <w:tc>
          <w:tcPr>
            <w:tcW w:w="1388"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传真</w:t>
            </w:r>
          </w:p>
        </w:tc>
        <w:tc>
          <w:tcPr>
            <w:tcW w:w="2534" w:type="dxa"/>
            <w:noWrap/>
            <w:vAlign w:val="center"/>
          </w:tcPr>
          <w:p>
            <w:pPr>
              <w:pStyle w:val="8"/>
              <w:spacing w:before="156" w:after="156"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2104"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主管部门</w:t>
            </w:r>
          </w:p>
        </w:tc>
        <w:tc>
          <w:tcPr>
            <w:tcW w:w="2887" w:type="dxa"/>
            <w:noWrap/>
            <w:vAlign w:val="center"/>
          </w:tcPr>
          <w:p>
            <w:pPr>
              <w:pStyle w:val="8"/>
              <w:spacing w:before="156" w:after="156" w:line="360" w:lineRule="auto"/>
              <w:jc w:val="center"/>
              <w:rPr>
                <w:rFonts w:ascii="Times New Roman" w:hAnsi="Times New Roman"/>
              </w:rPr>
            </w:pPr>
          </w:p>
        </w:tc>
        <w:tc>
          <w:tcPr>
            <w:tcW w:w="1388"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企业性质</w:t>
            </w:r>
          </w:p>
        </w:tc>
        <w:tc>
          <w:tcPr>
            <w:tcW w:w="2534" w:type="dxa"/>
            <w:noWrap/>
            <w:vAlign w:val="center"/>
          </w:tcPr>
          <w:p>
            <w:pPr>
              <w:pStyle w:val="8"/>
              <w:spacing w:before="156" w:after="156"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104"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企业法人</w:t>
            </w:r>
          </w:p>
        </w:tc>
        <w:tc>
          <w:tcPr>
            <w:tcW w:w="2887" w:type="dxa"/>
            <w:noWrap/>
            <w:vAlign w:val="center"/>
          </w:tcPr>
          <w:p>
            <w:pPr>
              <w:pStyle w:val="8"/>
              <w:spacing w:before="156" w:after="156" w:line="360" w:lineRule="auto"/>
              <w:jc w:val="center"/>
              <w:rPr>
                <w:rFonts w:ascii="Times New Roman" w:hAnsi="Times New Roman"/>
              </w:rPr>
            </w:pPr>
          </w:p>
        </w:tc>
        <w:tc>
          <w:tcPr>
            <w:tcW w:w="1388" w:type="dxa"/>
            <w:gridSpan w:val="2"/>
            <w:noWrap/>
            <w:vAlign w:val="center"/>
          </w:tcPr>
          <w:p>
            <w:pPr>
              <w:pStyle w:val="8"/>
              <w:spacing w:before="156" w:after="156" w:line="360" w:lineRule="auto"/>
              <w:rPr>
                <w:rFonts w:ascii="Times New Roman" w:hAnsi="Times New Roman"/>
              </w:rPr>
            </w:pPr>
            <w:r>
              <w:rPr>
                <w:rFonts w:hint="eastAsia"/>
              </w:rPr>
              <w:t>资质等级</w:t>
            </w:r>
          </w:p>
        </w:tc>
        <w:tc>
          <w:tcPr>
            <w:tcW w:w="2534" w:type="dxa"/>
            <w:noWrap/>
            <w:vAlign w:val="center"/>
          </w:tcPr>
          <w:p>
            <w:pPr>
              <w:pStyle w:val="8"/>
              <w:spacing w:before="156" w:after="156"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104"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授权代表</w:t>
            </w:r>
          </w:p>
        </w:tc>
        <w:tc>
          <w:tcPr>
            <w:tcW w:w="2887" w:type="dxa"/>
            <w:noWrap/>
            <w:vAlign w:val="center"/>
          </w:tcPr>
          <w:p>
            <w:pPr>
              <w:pStyle w:val="8"/>
              <w:spacing w:before="156" w:after="156" w:line="360" w:lineRule="auto"/>
              <w:jc w:val="center"/>
              <w:rPr>
                <w:rFonts w:ascii="Times New Roman" w:hAnsi="Times New Roman"/>
              </w:rPr>
            </w:pPr>
          </w:p>
        </w:tc>
        <w:tc>
          <w:tcPr>
            <w:tcW w:w="1388" w:type="dxa"/>
            <w:gridSpan w:val="2"/>
            <w:noWrap/>
            <w:vAlign w:val="center"/>
          </w:tcPr>
          <w:p>
            <w:pPr>
              <w:pStyle w:val="8"/>
              <w:spacing w:before="156" w:after="156" w:line="360" w:lineRule="auto"/>
              <w:rPr>
                <w:rFonts w:ascii="Times New Roman" w:hAnsi="Times New Roman"/>
              </w:rPr>
            </w:pPr>
            <w:r>
              <w:rPr>
                <w:rFonts w:hint="eastAsia" w:ascii="Times New Roman" w:hAnsi="Times New Roman"/>
              </w:rPr>
              <w:t>职务</w:t>
            </w:r>
          </w:p>
        </w:tc>
        <w:tc>
          <w:tcPr>
            <w:tcW w:w="2534" w:type="dxa"/>
            <w:noWrap/>
            <w:vAlign w:val="center"/>
          </w:tcPr>
          <w:p>
            <w:pPr>
              <w:pStyle w:val="8"/>
              <w:spacing w:before="156" w:after="156"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844" w:type="dxa"/>
            <w:vMerge w:val="restart"/>
            <w:noWrap/>
            <w:vAlign w:val="center"/>
          </w:tcPr>
          <w:p>
            <w:pPr>
              <w:pStyle w:val="8"/>
              <w:spacing w:before="156" w:after="156" w:line="360" w:lineRule="auto"/>
              <w:ind w:firstLine="720" w:firstLineChars="300"/>
              <w:jc w:val="center"/>
              <w:rPr>
                <w:rFonts w:ascii="Times New Roman" w:hAnsi="Times New Roman"/>
              </w:rPr>
            </w:pPr>
          </w:p>
          <w:p>
            <w:pPr>
              <w:pStyle w:val="8"/>
              <w:spacing w:before="156" w:after="156" w:line="360" w:lineRule="auto"/>
              <w:jc w:val="center"/>
              <w:rPr>
                <w:rFonts w:ascii="Times New Roman" w:hAnsi="Times New Roman"/>
              </w:rPr>
            </w:pPr>
            <w:r>
              <w:rPr>
                <w:rFonts w:hint="eastAsia" w:ascii="Times New Roman" w:hAnsi="Times New Roman"/>
              </w:rPr>
              <w:t>单位概况</w:t>
            </w:r>
          </w:p>
          <w:p>
            <w:pPr>
              <w:pStyle w:val="8"/>
              <w:spacing w:before="156" w:after="156" w:line="360" w:lineRule="auto"/>
              <w:ind w:firstLine="720" w:firstLineChars="300"/>
              <w:jc w:val="center"/>
              <w:rPr>
                <w:rFonts w:ascii="Times New Roman" w:hAnsi="Times New Roman"/>
              </w:rPr>
            </w:pPr>
          </w:p>
          <w:p>
            <w:pPr>
              <w:pStyle w:val="8"/>
              <w:spacing w:before="156" w:after="156" w:line="360" w:lineRule="auto"/>
              <w:ind w:firstLine="720" w:firstLineChars="300"/>
              <w:jc w:val="center"/>
              <w:rPr>
                <w:rFonts w:ascii="Times New Roman" w:hAnsi="Times New Roman"/>
              </w:rPr>
            </w:pPr>
          </w:p>
          <w:p>
            <w:pPr>
              <w:pStyle w:val="8"/>
              <w:spacing w:before="156" w:after="156" w:line="360" w:lineRule="auto"/>
              <w:ind w:firstLine="720" w:firstLineChars="300"/>
              <w:jc w:val="center"/>
              <w:rPr>
                <w:rFonts w:ascii="Times New Roman" w:hAnsi="Times New Roman"/>
              </w:rPr>
            </w:pPr>
          </w:p>
          <w:p>
            <w:pPr>
              <w:pStyle w:val="8"/>
              <w:spacing w:before="156" w:after="156" w:line="360" w:lineRule="auto"/>
              <w:ind w:firstLine="720" w:firstLineChars="300"/>
              <w:jc w:val="center"/>
              <w:rPr>
                <w:rFonts w:ascii="Times New Roman" w:hAnsi="Times New Roman"/>
              </w:rPr>
            </w:pPr>
          </w:p>
        </w:tc>
        <w:tc>
          <w:tcPr>
            <w:tcW w:w="1260" w:type="dxa"/>
            <w:vMerge w:val="restart"/>
            <w:noWrap/>
            <w:vAlign w:val="center"/>
          </w:tcPr>
          <w:p>
            <w:pPr>
              <w:spacing w:line="360" w:lineRule="auto"/>
              <w:jc w:val="center"/>
              <w:rPr>
                <w:sz w:val="24"/>
              </w:rPr>
            </w:pPr>
            <w:r>
              <w:rPr>
                <w:rFonts w:hint="eastAsia"/>
                <w:sz w:val="24"/>
              </w:rPr>
              <w:t>职工总数</w:t>
            </w:r>
          </w:p>
        </w:tc>
        <w:tc>
          <w:tcPr>
            <w:tcW w:w="2887" w:type="dxa"/>
            <w:noWrap/>
            <w:vAlign w:val="center"/>
          </w:tcPr>
          <w:p>
            <w:pPr>
              <w:pStyle w:val="8"/>
              <w:spacing w:before="156" w:after="156" w:line="360" w:lineRule="auto"/>
              <w:rPr>
                <w:rFonts w:ascii="Times New Roman" w:hAnsi="Times New Roman"/>
              </w:rPr>
            </w:pPr>
            <w:r>
              <w:rPr>
                <w:rFonts w:hint="eastAsia" w:ascii="Times New Roman" w:hAnsi="Times New Roman"/>
              </w:rPr>
              <w:t>员工：           人</w:t>
            </w:r>
          </w:p>
        </w:tc>
        <w:tc>
          <w:tcPr>
            <w:tcW w:w="3922" w:type="dxa"/>
            <w:gridSpan w:val="3"/>
            <w:noWrap/>
            <w:vAlign w:val="center"/>
          </w:tcPr>
          <w:p>
            <w:pPr>
              <w:pStyle w:val="8"/>
              <w:spacing w:before="156" w:after="156" w:line="360" w:lineRule="auto"/>
              <w:rPr>
                <w:rFonts w:ascii="Times New Roman" w:hAnsi="Times New Roman"/>
              </w:rPr>
            </w:pPr>
            <w:r>
              <w:rPr>
                <w:rFonts w:hint="eastAsia" w:ascii="Times New Roman" w:hAnsi="Times New Roman"/>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844" w:type="dxa"/>
            <w:vMerge w:val="continue"/>
            <w:noWrap/>
            <w:vAlign w:val="center"/>
          </w:tcPr>
          <w:p>
            <w:pPr>
              <w:pStyle w:val="8"/>
              <w:spacing w:before="156" w:after="156" w:line="360" w:lineRule="auto"/>
              <w:ind w:firstLine="720" w:firstLineChars="300"/>
              <w:jc w:val="center"/>
              <w:rPr>
                <w:rFonts w:ascii="Times New Roman" w:hAnsi="Times New Roman"/>
              </w:rPr>
            </w:pPr>
          </w:p>
        </w:tc>
        <w:tc>
          <w:tcPr>
            <w:tcW w:w="1260" w:type="dxa"/>
            <w:vMerge w:val="continue"/>
            <w:noWrap/>
            <w:vAlign w:val="center"/>
          </w:tcPr>
          <w:p>
            <w:pPr>
              <w:widowControl/>
              <w:spacing w:line="360" w:lineRule="auto"/>
              <w:jc w:val="center"/>
              <w:rPr>
                <w:sz w:val="24"/>
              </w:rPr>
            </w:pPr>
          </w:p>
        </w:tc>
        <w:tc>
          <w:tcPr>
            <w:tcW w:w="2887" w:type="dxa"/>
            <w:noWrap/>
            <w:vAlign w:val="center"/>
          </w:tcPr>
          <w:p>
            <w:pPr>
              <w:pStyle w:val="8"/>
              <w:spacing w:before="156" w:after="156" w:line="360" w:lineRule="auto"/>
            </w:pPr>
            <w:r>
              <w:rPr>
                <w:rFonts w:hint="eastAsia"/>
              </w:rPr>
              <w:t>高级技师：       人</w:t>
            </w:r>
          </w:p>
        </w:tc>
        <w:tc>
          <w:tcPr>
            <w:tcW w:w="3922" w:type="dxa"/>
            <w:gridSpan w:val="3"/>
            <w:noWrap/>
            <w:vAlign w:val="center"/>
          </w:tcPr>
          <w:p>
            <w:pPr>
              <w:pStyle w:val="8"/>
              <w:spacing w:before="156" w:after="156" w:line="360" w:lineRule="auto"/>
            </w:pPr>
            <w:r>
              <w:rPr>
                <w:rFonts w:hint="eastAsia"/>
              </w:rPr>
              <w:t>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44" w:type="dxa"/>
            <w:vMerge w:val="continue"/>
            <w:noWrap/>
            <w:vAlign w:val="center"/>
          </w:tcPr>
          <w:p>
            <w:pPr>
              <w:pStyle w:val="8"/>
              <w:spacing w:before="156" w:after="156" w:line="360" w:lineRule="auto"/>
              <w:ind w:firstLine="720" w:firstLineChars="300"/>
              <w:jc w:val="center"/>
              <w:rPr>
                <w:rFonts w:ascii="Times New Roman" w:hAnsi="Times New Roman"/>
              </w:rPr>
            </w:pPr>
          </w:p>
        </w:tc>
        <w:tc>
          <w:tcPr>
            <w:tcW w:w="1260" w:type="dxa"/>
            <w:noWrap/>
            <w:vAlign w:val="center"/>
          </w:tcPr>
          <w:p>
            <w:pPr>
              <w:pStyle w:val="8"/>
              <w:spacing w:before="156" w:after="156" w:line="360" w:lineRule="auto"/>
              <w:jc w:val="center"/>
            </w:pPr>
            <w:r>
              <w:rPr>
                <w:rFonts w:hint="eastAsia"/>
              </w:rPr>
              <w:t>流动资金</w:t>
            </w:r>
          </w:p>
        </w:tc>
        <w:tc>
          <w:tcPr>
            <w:tcW w:w="2887" w:type="dxa"/>
            <w:noWrap/>
            <w:vAlign w:val="center"/>
          </w:tcPr>
          <w:p>
            <w:pPr>
              <w:pStyle w:val="8"/>
              <w:spacing w:before="156" w:after="156" w:line="360" w:lineRule="auto"/>
              <w:jc w:val="center"/>
            </w:pPr>
          </w:p>
        </w:tc>
        <w:tc>
          <w:tcPr>
            <w:tcW w:w="1222" w:type="dxa"/>
            <w:noWrap/>
            <w:vAlign w:val="center"/>
          </w:tcPr>
          <w:p>
            <w:pPr>
              <w:pStyle w:val="8"/>
              <w:spacing w:before="156" w:after="156" w:line="360" w:lineRule="auto"/>
              <w:jc w:val="center"/>
            </w:pPr>
            <w:r>
              <w:rPr>
                <w:rFonts w:hint="eastAsia"/>
              </w:rPr>
              <w:t>营业面积</w:t>
            </w:r>
          </w:p>
        </w:tc>
        <w:tc>
          <w:tcPr>
            <w:tcW w:w="2700" w:type="dxa"/>
            <w:gridSpan w:val="2"/>
            <w:noWrap/>
            <w:vAlign w:val="center"/>
          </w:tcPr>
          <w:p>
            <w:pPr>
              <w:pStyle w:val="8"/>
              <w:spacing w:before="156" w:after="156"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exact"/>
          <w:jc w:val="center"/>
        </w:trPr>
        <w:tc>
          <w:tcPr>
            <w:tcW w:w="844" w:type="dxa"/>
            <w:vMerge w:val="continue"/>
            <w:noWrap/>
            <w:vAlign w:val="center"/>
          </w:tcPr>
          <w:p>
            <w:pPr>
              <w:pStyle w:val="8"/>
              <w:spacing w:before="156" w:after="156" w:line="360" w:lineRule="auto"/>
              <w:ind w:firstLine="720" w:firstLineChars="300"/>
              <w:jc w:val="center"/>
              <w:rPr>
                <w:rFonts w:ascii="Times New Roman" w:hAnsi="Times New Roman"/>
              </w:rPr>
            </w:pPr>
          </w:p>
        </w:tc>
        <w:tc>
          <w:tcPr>
            <w:tcW w:w="1260" w:type="dxa"/>
            <w:noWrap/>
            <w:vAlign w:val="center"/>
          </w:tcPr>
          <w:p>
            <w:pPr>
              <w:pStyle w:val="8"/>
              <w:spacing w:before="156" w:after="156" w:line="360" w:lineRule="auto"/>
              <w:jc w:val="center"/>
            </w:pPr>
            <w:r>
              <w:rPr>
                <w:rFonts w:hint="eastAsia"/>
              </w:rPr>
              <w:t>固定资金</w:t>
            </w:r>
          </w:p>
        </w:tc>
        <w:tc>
          <w:tcPr>
            <w:tcW w:w="2887" w:type="dxa"/>
            <w:noWrap/>
            <w:vAlign w:val="center"/>
          </w:tcPr>
          <w:p>
            <w:pPr>
              <w:widowControl/>
              <w:spacing w:line="360" w:lineRule="auto"/>
              <w:jc w:val="center"/>
              <w:rPr>
                <w:sz w:val="24"/>
              </w:rPr>
            </w:pPr>
          </w:p>
        </w:tc>
        <w:tc>
          <w:tcPr>
            <w:tcW w:w="1222" w:type="dxa"/>
            <w:noWrap/>
            <w:vAlign w:val="center"/>
          </w:tcPr>
          <w:p>
            <w:pPr>
              <w:pStyle w:val="8"/>
              <w:spacing w:before="156" w:after="156" w:line="360" w:lineRule="auto"/>
              <w:jc w:val="center"/>
            </w:pPr>
            <w:r>
              <w:rPr>
                <w:rFonts w:hint="eastAsia"/>
              </w:rPr>
              <w:t>上一年营业收入</w:t>
            </w:r>
          </w:p>
        </w:tc>
        <w:tc>
          <w:tcPr>
            <w:tcW w:w="2700" w:type="dxa"/>
            <w:gridSpan w:val="2"/>
            <w:noWrap/>
            <w:vAlign w:val="center"/>
          </w:tcPr>
          <w:p>
            <w:pPr>
              <w:widowControl/>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844" w:type="dxa"/>
            <w:noWrap/>
            <w:vAlign w:val="center"/>
          </w:tcPr>
          <w:p>
            <w:pPr>
              <w:pStyle w:val="8"/>
              <w:spacing w:before="156" w:after="156" w:line="360" w:lineRule="auto"/>
              <w:jc w:val="center"/>
              <w:rPr>
                <w:rFonts w:ascii="Times New Roman" w:hAnsi="Times New Roman"/>
              </w:rPr>
            </w:pPr>
            <w:r>
              <w:rPr>
                <w:rFonts w:hint="eastAsia" w:ascii="Times New Roman" w:hAnsi="Times New Roman"/>
              </w:rPr>
              <w:t>单位简历</w:t>
            </w:r>
          </w:p>
        </w:tc>
        <w:tc>
          <w:tcPr>
            <w:tcW w:w="8069" w:type="dxa"/>
            <w:gridSpan w:val="5"/>
            <w:noWrap/>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2" w:hRule="atLeast"/>
          <w:jc w:val="center"/>
        </w:trPr>
        <w:tc>
          <w:tcPr>
            <w:tcW w:w="844" w:type="dxa"/>
            <w:noWrap/>
            <w:vAlign w:val="center"/>
          </w:tcPr>
          <w:p>
            <w:pPr>
              <w:pStyle w:val="8"/>
              <w:spacing w:before="156" w:after="156" w:line="360" w:lineRule="auto"/>
              <w:jc w:val="center"/>
              <w:rPr>
                <w:rFonts w:ascii="Times New Roman" w:hAnsi="Times New Roman"/>
              </w:rPr>
            </w:pPr>
            <w:r>
              <w:rPr>
                <w:rFonts w:hint="eastAsia" w:ascii="Times New Roman" w:hAnsi="Times New Roman"/>
              </w:rPr>
              <w:t>优势及特长</w:t>
            </w:r>
          </w:p>
        </w:tc>
        <w:tc>
          <w:tcPr>
            <w:tcW w:w="8069" w:type="dxa"/>
            <w:gridSpan w:val="5"/>
            <w:noWrap/>
          </w:tcPr>
          <w:p>
            <w:pPr>
              <w:spacing w:line="360" w:lineRule="auto"/>
              <w:jc w:val="left"/>
              <w:rPr>
                <w:sz w:val="24"/>
              </w:rPr>
            </w:pPr>
          </w:p>
        </w:tc>
      </w:tr>
    </w:tbl>
    <w:p>
      <w:pPr>
        <w:snapToGrid w:val="0"/>
        <w:spacing w:before="50" w:after="50"/>
        <w:ind w:right="25" w:rightChars="12"/>
        <w:rPr>
          <w:rFonts w:ascii="宋体" w:hAnsi="宋体"/>
          <w:color w:val="000000"/>
          <w:sz w:val="24"/>
          <w:u w:val="single"/>
        </w:rPr>
      </w:pPr>
    </w:p>
    <w:p>
      <w:pPr>
        <w:snapToGrid w:val="0"/>
        <w:spacing w:before="50" w:after="50"/>
        <w:ind w:right="25" w:rightChars="12"/>
        <w:rPr>
          <w:rFonts w:ascii="宋体" w:hAnsi="宋体"/>
          <w:color w:val="000000"/>
          <w:sz w:val="24"/>
          <w:u w:val="single"/>
        </w:rPr>
      </w:pPr>
    </w:p>
    <w:p>
      <w:pPr>
        <w:snapToGrid w:val="0"/>
        <w:spacing w:before="50" w:after="50"/>
        <w:ind w:right="25" w:rightChars="12"/>
        <w:rPr>
          <w:rFonts w:ascii="宋体" w:hAnsi="宋体"/>
          <w:color w:val="000000"/>
          <w:sz w:val="24"/>
          <w:u w:val="single"/>
        </w:rPr>
      </w:pPr>
    </w:p>
    <w:p>
      <w:pPr>
        <w:snapToGrid w:val="0"/>
        <w:spacing w:before="50" w:afterLines="50"/>
        <w:jc w:val="left"/>
        <w:rPr>
          <w:rFonts w:ascii="宋体" w:hAnsi="宋体"/>
          <w:b/>
          <w:color w:val="000000"/>
          <w:sz w:val="24"/>
        </w:rPr>
      </w:pPr>
      <w:r>
        <w:rPr>
          <w:rFonts w:hint="eastAsia" w:ascii="宋体" w:hAnsi="宋体"/>
          <w:b/>
          <w:color w:val="000000"/>
          <w:sz w:val="24"/>
        </w:rPr>
        <w:t>6、项目验收单及附件格式：</w:t>
      </w:r>
    </w:p>
    <w:p>
      <w:pPr>
        <w:jc w:val="center"/>
        <w:rPr>
          <w:rFonts w:hAnsi="宋体"/>
          <w:b/>
          <w:sz w:val="44"/>
          <w:szCs w:val="44"/>
        </w:rPr>
      </w:pPr>
      <w:r>
        <w:rPr>
          <w:rFonts w:hint="eastAsia" w:hAnsi="宋体"/>
          <w:b/>
          <w:sz w:val="44"/>
          <w:szCs w:val="44"/>
        </w:rPr>
        <w:t>东阳市政府采购验收报告</w:t>
      </w:r>
    </w:p>
    <w:tbl>
      <w:tblPr>
        <w:tblStyle w:val="15"/>
        <w:tblW w:w="8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noWrap/>
            <w:vAlign w:val="center"/>
          </w:tcPr>
          <w:p>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noWrap/>
            <w:vAlign w:val="center"/>
          </w:tcPr>
          <w:p>
            <w:pPr>
              <w:jc w:val="center"/>
              <w:rPr>
                <w:sz w:val="18"/>
                <w:szCs w:val="18"/>
              </w:rPr>
            </w:pPr>
          </w:p>
        </w:tc>
        <w:tc>
          <w:tcPr>
            <w:tcW w:w="2004" w:type="dxa"/>
            <w:gridSpan w:val="3"/>
            <w:tcBorders>
              <w:top w:val="single" w:color="auto" w:sz="6" w:space="0"/>
              <w:left w:val="single" w:color="auto" w:sz="6" w:space="0"/>
              <w:right w:val="single" w:color="auto" w:sz="4" w:space="0"/>
            </w:tcBorders>
            <w:noWrap/>
            <w:vAlign w:val="center"/>
          </w:tcPr>
          <w:p>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noWrap/>
            <w:vAlign w:val="center"/>
          </w:tcPr>
          <w:p>
            <w:pPr>
              <w:jc w:val="center"/>
              <w:rPr>
                <w:szCs w:val="21"/>
              </w:rPr>
            </w:pPr>
          </w:p>
        </w:tc>
        <w:tc>
          <w:tcPr>
            <w:tcW w:w="2004" w:type="dxa"/>
            <w:gridSpan w:val="3"/>
            <w:tcBorders>
              <w:top w:val="dotted" w:color="auto" w:sz="4" w:space="0"/>
              <w:left w:val="single" w:color="auto" w:sz="6" w:space="0"/>
              <w:right w:val="single" w:color="auto" w:sz="6" w:space="0"/>
            </w:tcBorders>
            <w:noWrap/>
            <w:vAlign w:val="center"/>
          </w:tcPr>
          <w:p>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noWrap/>
            <w:vAlign w:val="center"/>
          </w:tcPr>
          <w:p>
            <w:pPr>
              <w:ind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noWrap/>
            <w:vAlign w:val="center"/>
          </w:tcPr>
          <w:p>
            <w:pPr>
              <w:jc w:val="center"/>
              <w:rPr>
                <w:szCs w:val="21"/>
              </w:rPr>
            </w:pPr>
          </w:p>
        </w:tc>
        <w:tc>
          <w:tcPr>
            <w:tcW w:w="987" w:type="dxa"/>
            <w:gridSpan w:val="2"/>
            <w:tcBorders>
              <w:top w:val="single" w:color="auto" w:sz="6" w:space="0"/>
              <w:left w:val="single" w:color="auto" w:sz="4" w:space="0"/>
              <w:right w:val="single" w:color="auto" w:sz="4" w:space="0"/>
            </w:tcBorders>
            <w:noWrap/>
            <w:vAlign w:val="center"/>
          </w:tcPr>
          <w:p>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noWrap/>
            <w:vAlign w:val="center"/>
          </w:tcPr>
          <w:p>
            <w:pPr>
              <w:ind w:firstLine="105" w:firstLineChars="50"/>
              <w:rPr>
                <w:szCs w:val="21"/>
              </w:rPr>
            </w:pPr>
          </w:p>
        </w:tc>
        <w:tc>
          <w:tcPr>
            <w:tcW w:w="900" w:type="dxa"/>
            <w:tcBorders>
              <w:top w:val="single" w:color="auto" w:sz="6" w:space="0"/>
              <w:left w:val="single" w:color="auto" w:sz="4" w:space="0"/>
              <w:right w:val="single" w:color="auto" w:sz="4" w:space="0"/>
            </w:tcBorders>
            <w:noWrap/>
            <w:vAlign w:val="center"/>
          </w:tcPr>
          <w:p>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noWrap/>
            <w:vAlign w:val="center"/>
          </w:tcPr>
          <w:p>
            <w:pPr>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noWrap/>
            <w:vAlign w:val="center"/>
          </w:tcPr>
          <w:p>
            <w:pPr>
              <w:jc w:val="center"/>
              <w:rPr>
                <w:szCs w:val="21"/>
              </w:rPr>
            </w:pPr>
          </w:p>
        </w:tc>
        <w:tc>
          <w:tcPr>
            <w:tcW w:w="987" w:type="dxa"/>
            <w:gridSpan w:val="2"/>
            <w:tcBorders>
              <w:top w:val="single" w:color="auto" w:sz="6" w:space="0"/>
              <w:left w:val="single" w:color="auto" w:sz="4" w:space="0"/>
              <w:right w:val="single" w:color="auto" w:sz="4" w:space="0"/>
            </w:tcBorders>
            <w:noWrap/>
            <w:vAlign w:val="center"/>
          </w:tcPr>
          <w:p>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noWrap/>
            <w:vAlign w:val="center"/>
          </w:tcPr>
          <w:p>
            <w:pPr>
              <w:ind w:firstLine="105" w:firstLineChars="50"/>
              <w:rPr>
                <w:szCs w:val="21"/>
              </w:rPr>
            </w:pPr>
          </w:p>
        </w:tc>
        <w:tc>
          <w:tcPr>
            <w:tcW w:w="900" w:type="dxa"/>
            <w:tcBorders>
              <w:top w:val="single" w:color="auto" w:sz="6" w:space="0"/>
              <w:left w:val="single" w:color="auto" w:sz="4" w:space="0"/>
              <w:right w:val="single" w:color="auto" w:sz="4" w:space="0"/>
            </w:tcBorders>
            <w:noWrap/>
            <w:vAlign w:val="center"/>
          </w:tcPr>
          <w:p>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noWrap/>
            <w:vAlign w:val="center"/>
          </w:tcPr>
          <w:p>
            <w:pPr>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noWrap/>
            <w:vAlign w:val="center"/>
          </w:tcPr>
          <w:p>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noWrap/>
            <w:vAlign w:val="center"/>
          </w:tcPr>
          <w:p>
            <w:pPr>
              <w:jc w:val="center"/>
              <w:rPr>
                <w:szCs w:val="21"/>
              </w:rPr>
            </w:pPr>
          </w:p>
        </w:tc>
        <w:tc>
          <w:tcPr>
            <w:tcW w:w="924" w:type="dxa"/>
            <w:tcBorders>
              <w:top w:val="single" w:color="auto" w:sz="6" w:space="0"/>
              <w:left w:val="single" w:color="auto" w:sz="4" w:space="0"/>
              <w:right w:val="single" w:color="auto" w:sz="6" w:space="0"/>
            </w:tcBorders>
            <w:noWrap/>
            <w:vAlign w:val="center"/>
          </w:tcPr>
          <w:p>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noWrap/>
            <w:vAlign w:val="center"/>
          </w:tcPr>
          <w:p>
            <w:pPr>
              <w:ind w:firstLine="105" w:firstLineChars="50"/>
              <w:rPr>
                <w:szCs w:val="21"/>
              </w:rPr>
            </w:pPr>
          </w:p>
        </w:tc>
        <w:tc>
          <w:tcPr>
            <w:tcW w:w="1260" w:type="dxa"/>
            <w:gridSpan w:val="2"/>
            <w:tcBorders>
              <w:top w:val="single" w:color="auto" w:sz="6" w:space="0"/>
              <w:left w:val="single" w:color="auto" w:sz="4" w:space="0"/>
              <w:right w:val="single" w:color="auto" w:sz="6" w:space="0"/>
            </w:tcBorders>
            <w:noWrap/>
            <w:vAlign w:val="center"/>
          </w:tcPr>
          <w:p>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noWrap/>
            <w:vAlign w:val="center"/>
          </w:tcPr>
          <w:p>
            <w:pPr>
              <w:ind w:firstLine="105" w:firstLineChars="50"/>
              <w:rPr>
                <w:szCs w:val="21"/>
              </w:rPr>
            </w:pPr>
            <w:r>
              <w:rPr>
                <w:rFonts w:hint="eastAsia"/>
                <w:szCs w:val="21"/>
              </w:rPr>
              <w:t>全验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noWrap/>
            <w:vAlign w:val="center"/>
          </w:tcPr>
          <w:p>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pPr>
              <w:jc w:val="center"/>
              <w:rPr>
                <w:rFonts w:hAnsi="宋体"/>
                <w:b/>
                <w:szCs w:val="21"/>
              </w:rPr>
            </w:pPr>
            <w:r>
              <w:rPr>
                <w:rFonts w:hint="eastAsia" w:hAnsi="宋体"/>
                <w:b/>
                <w:szCs w:val="21"/>
              </w:rPr>
              <w:t>验收</w:t>
            </w:r>
          </w:p>
          <w:p>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noWrap/>
            <w:vAlign w:val="center"/>
          </w:tcPr>
          <w:p>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noWrap/>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noWrap/>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pPr>
              <w:jc w:val="center"/>
              <w:rPr>
                <w:rFonts w:hAnsi="宋体"/>
                <w:szCs w:val="21"/>
              </w:rPr>
            </w:pPr>
            <w:r>
              <w:rPr>
                <w:rFonts w:hint="eastAsia" w:hAnsi="宋体"/>
                <w:szCs w:val="21"/>
              </w:rPr>
              <w:t xml:space="preserve">  产品设备的</w:t>
            </w:r>
            <w:r>
              <w:rPr>
                <w:rFonts w:hAnsi="宋体"/>
                <w:szCs w:val="21"/>
              </w:rPr>
              <w:t>技术参数、</w:t>
            </w:r>
          </w:p>
          <w:p>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noWrap/>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pPr>
              <w:jc w:val="center"/>
              <w:rPr>
                <w:szCs w:val="21"/>
              </w:rPr>
            </w:pPr>
            <w:r>
              <w:rPr>
                <w:rFonts w:hAnsi="宋体"/>
                <w:szCs w:val="21"/>
              </w:rPr>
              <w:t>实现的功能、指标、效果</w:t>
            </w:r>
          </w:p>
          <w:p>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noWrap/>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noWrap/>
            <w:vAlign w:val="center"/>
          </w:tcPr>
          <w:p>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noWrap/>
            <w:vAlign w:val="center"/>
          </w:tcPr>
          <w:p>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0" w:hRule="atLeast"/>
          <w:jc w:val="center"/>
        </w:trPr>
        <w:tc>
          <w:tcPr>
            <w:tcW w:w="8974" w:type="dxa"/>
            <w:gridSpan w:val="10"/>
            <w:tcBorders>
              <w:left w:val="single" w:color="auto" w:sz="6" w:space="0"/>
              <w:bottom w:val="single" w:color="auto" w:sz="6" w:space="0"/>
              <w:right w:val="single" w:color="auto" w:sz="4" w:space="0"/>
            </w:tcBorders>
            <w:noWrap/>
          </w:tcPr>
          <w:p>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pPr>
              <w:rPr>
                <w:szCs w:val="21"/>
              </w:rPr>
            </w:pPr>
          </w:p>
          <w:p>
            <w:pPr>
              <w:rPr>
                <w:szCs w:val="21"/>
              </w:rPr>
            </w:pPr>
          </w:p>
          <w:p>
            <w:pPr>
              <w:rPr>
                <w:szCs w:val="21"/>
              </w:rPr>
            </w:pPr>
          </w:p>
          <w:p>
            <w:pPr>
              <w:spacing w:line="480" w:lineRule="auto"/>
              <w:rPr>
                <w:b/>
                <w:szCs w:val="21"/>
              </w:rPr>
            </w:pPr>
            <w:r>
              <w:rPr>
                <w:rFonts w:hint="eastAsia"/>
                <w:b/>
                <w:szCs w:val="21"/>
              </w:rPr>
              <w:t>整改事项：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noWrap/>
          </w:tcPr>
          <w:p>
            <w:pPr>
              <w:spacing w:line="360" w:lineRule="auto"/>
              <w:rPr>
                <w:b/>
                <w:szCs w:val="21"/>
              </w:rPr>
            </w:pPr>
            <w:r>
              <w:rPr>
                <w:rFonts w:hint="eastAsia" w:hAnsi="宋体"/>
                <w:b/>
                <w:szCs w:val="21"/>
              </w:rPr>
              <w:t>验收人员签名</w:t>
            </w:r>
            <w:r>
              <w:rPr>
                <w:rFonts w:hAnsi="宋体"/>
                <w:b/>
                <w:szCs w:val="21"/>
              </w:rPr>
              <w:t>：</w:t>
            </w:r>
          </w:p>
          <w:p>
            <w:pPr>
              <w:spacing w:line="360" w:lineRule="auto"/>
              <w:rPr>
                <w:b/>
                <w:szCs w:val="21"/>
              </w:rPr>
            </w:pPr>
          </w:p>
          <w:p>
            <w:pPr>
              <w:spacing w:line="360" w:lineRule="auto"/>
              <w:rPr>
                <w:b/>
                <w:szCs w:val="21"/>
              </w:rPr>
            </w:pPr>
            <w:r>
              <w:rPr>
                <w:rFonts w:hint="eastAsia"/>
                <w:b/>
                <w:szCs w:val="21"/>
              </w:rPr>
              <w:t xml:space="preserve">                                              单位（盖章）：</w:t>
            </w:r>
          </w:p>
          <w:p>
            <w:pPr>
              <w:spacing w:line="360" w:lineRule="auto"/>
              <w:rPr>
                <w:b/>
                <w:szCs w:val="21"/>
              </w:rPr>
            </w:pPr>
            <w:r>
              <w:rPr>
                <w:rFonts w:hint="eastAsia"/>
                <w:b/>
                <w:szCs w:val="21"/>
              </w:rPr>
              <w:t xml:space="preserve">                                              法人或委托人签名：</w:t>
            </w:r>
          </w:p>
          <w:p>
            <w:pPr>
              <w:spacing w:line="360" w:lineRule="auto"/>
              <w:ind w:firstLine="4889" w:firstLineChars="2319"/>
              <w:rPr>
                <w:b/>
                <w:szCs w:val="21"/>
              </w:rPr>
            </w:pPr>
            <w:r>
              <w:rPr>
                <w:rFonts w:hint="eastAsia"/>
                <w:b/>
                <w:szCs w:val="21"/>
              </w:rPr>
              <w:t>验收日期：</w:t>
            </w:r>
          </w:p>
        </w:tc>
      </w:tr>
    </w:tbl>
    <w:p>
      <w:pPr>
        <w:rPr>
          <w:rFonts w:hAnsi="宋体"/>
        </w:rPr>
      </w:pPr>
      <w:r>
        <w:rPr>
          <w:rFonts w:hint="eastAsia" w:hAnsi="宋体"/>
        </w:rPr>
        <w:t>1、验收执行标准：采购文件、投标文件、合同、双方确认的一切补充文件。</w:t>
      </w:r>
    </w:p>
    <w:p>
      <w:pPr>
        <w:ind w:left="315" w:hanging="315" w:hangingChars="150"/>
        <w:rPr>
          <w:rFonts w:hAnsi="宋体"/>
        </w:rPr>
      </w:pPr>
      <w:r>
        <w:rPr>
          <w:rFonts w:hint="eastAsia" w:hAnsi="宋体"/>
        </w:rPr>
        <w:t xml:space="preserve">2、150万以上项目验收合格后，将本报告送公共资源交易中心，中心可能组织相关部门对项目进行抽查。 </w:t>
      </w:r>
    </w:p>
    <w:p>
      <w:pPr>
        <w:rPr>
          <w:rFonts w:hAnsi="宋体"/>
        </w:rPr>
      </w:pPr>
      <w:r>
        <w:rPr>
          <w:rFonts w:hint="eastAsia" w:hAnsi="宋体"/>
        </w:rPr>
        <w:t xml:space="preserve">3、此表后应附验收货物清单。 </w:t>
      </w:r>
    </w:p>
    <w:p>
      <w:pPr>
        <w:rPr>
          <w:rFonts w:hAnsi="宋体"/>
        </w:rPr>
        <w:sectPr>
          <w:headerReference r:id="rId13" w:type="first"/>
          <w:footerReference r:id="rId16" w:type="first"/>
          <w:headerReference r:id="rId12" w:type="default"/>
          <w:footerReference r:id="rId14" w:type="default"/>
          <w:footerReference r:id="rId15" w:type="even"/>
          <w:pgSz w:w="11906" w:h="16838"/>
          <w:pgMar w:top="1440" w:right="1800" w:bottom="1440" w:left="1800" w:header="851" w:footer="992" w:gutter="0"/>
          <w:cols w:space="720" w:num="1"/>
          <w:docGrid w:type="lines" w:linePitch="312" w:charSpace="0"/>
        </w:sectPr>
      </w:pPr>
      <w:r>
        <w:rPr>
          <w:rFonts w:hint="eastAsia" w:hAnsi="宋体"/>
        </w:rPr>
        <w:t>4、以上空白处如不够填写，可另附纸张。</w:t>
      </w:r>
    </w:p>
    <w:tbl>
      <w:tblPr>
        <w:tblStyle w:val="15"/>
        <w:tblpPr w:leftFromText="180" w:rightFromText="180" w:horzAnchor="margin" w:tblpY="936"/>
        <w:tblW w:w="138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1" w:hRule="exact"/>
        </w:trPr>
        <w:tc>
          <w:tcPr>
            <w:tcW w:w="919" w:type="dxa"/>
            <w:noWrap/>
            <w:vAlign w:val="center"/>
          </w:tcPr>
          <w:p>
            <w:pPr>
              <w:pStyle w:val="8"/>
              <w:snapToGrid w:val="0"/>
              <w:spacing w:before="156" w:after="156"/>
              <w:ind w:left="-108"/>
              <w:jc w:val="center"/>
              <w:rPr>
                <w:rFonts w:hAnsi="宋体"/>
              </w:rPr>
            </w:pPr>
            <w:r>
              <w:rPr>
                <w:rFonts w:hint="eastAsia" w:hAnsi="宋体"/>
              </w:rPr>
              <w:t>序号</w:t>
            </w:r>
          </w:p>
        </w:tc>
        <w:tc>
          <w:tcPr>
            <w:tcW w:w="5746" w:type="dxa"/>
            <w:noWrap/>
          </w:tcPr>
          <w:p>
            <w:pPr>
              <w:pStyle w:val="8"/>
              <w:snapToGrid w:val="0"/>
              <w:spacing w:before="156" w:after="156"/>
              <w:ind w:left="-108"/>
              <w:jc w:val="center"/>
              <w:rPr>
                <w:rFonts w:hAnsi="宋体"/>
              </w:rPr>
            </w:pPr>
            <w:r>
              <w:rPr>
                <w:rFonts w:hint="eastAsia" w:hAnsi="宋体"/>
              </w:rPr>
              <w:t>货物名称</w:t>
            </w:r>
          </w:p>
        </w:tc>
        <w:tc>
          <w:tcPr>
            <w:tcW w:w="3780" w:type="dxa"/>
            <w:noWrap/>
            <w:vAlign w:val="center"/>
          </w:tcPr>
          <w:p>
            <w:pPr>
              <w:pStyle w:val="8"/>
              <w:snapToGrid w:val="0"/>
              <w:spacing w:before="156" w:after="156"/>
              <w:ind w:left="-108"/>
              <w:jc w:val="center"/>
              <w:rPr>
                <w:rFonts w:hAnsi="宋体"/>
              </w:rPr>
            </w:pPr>
            <w:r>
              <w:rPr>
                <w:rFonts w:hint="eastAsia" w:hAnsi="宋体"/>
              </w:rPr>
              <w:t>品牌型号</w:t>
            </w:r>
          </w:p>
        </w:tc>
        <w:tc>
          <w:tcPr>
            <w:tcW w:w="720" w:type="dxa"/>
            <w:noWrap/>
            <w:vAlign w:val="center"/>
          </w:tcPr>
          <w:p>
            <w:pPr>
              <w:pStyle w:val="8"/>
              <w:snapToGrid w:val="0"/>
              <w:spacing w:before="156" w:after="156"/>
              <w:jc w:val="center"/>
              <w:rPr>
                <w:rFonts w:hAnsi="宋体"/>
              </w:rPr>
            </w:pPr>
            <w:r>
              <w:rPr>
                <w:rFonts w:hint="eastAsia" w:hAnsi="宋体"/>
              </w:rPr>
              <w:t>符合  与否</w:t>
            </w:r>
          </w:p>
        </w:tc>
        <w:tc>
          <w:tcPr>
            <w:tcW w:w="720" w:type="dxa"/>
            <w:noWrap/>
            <w:vAlign w:val="center"/>
          </w:tcPr>
          <w:p>
            <w:pPr>
              <w:pStyle w:val="8"/>
              <w:snapToGrid w:val="0"/>
              <w:spacing w:before="156" w:after="156"/>
              <w:jc w:val="center"/>
              <w:rPr>
                <w:rFonts w:hAnsi="宋体"/>
              </w:rPr>
            </w:pPr>
            <w:r>
              <w:rPr>
                <w:rFonts w:hint="eastAsia" w:hAnsi="宋体"/>
              </w:rPr>
              <w:t>数量</w:t>
            </w:r>
          </w:p>
        </w:tc>
        <w:tc>
          <w:tcPr>
            <w:tcW w:w="718" w:type="dxa"/>
            <w:noWrap/>
            <w:vAlign w:val="center"/>
          </w:tcPr>
          <w:p>
            <w:pPr>
              <w:pStyle w:val="8"/>
              <w:snapToGrid w:val="0"/>
              <w:spacing w:before="156" w:after="156"/>
              <w:ind w:left="-108"/>
              <w:jc w:val="center"/>
              <w:rPr>
                <w:rFonts w:hAnsi="宋体"/>
              </w:rPr>
            </w:pPr>
            <w:r>
              <w:rPr>
                <w:rFonts w:hint="eastAsia" w:hAnsi="宋体"/>
              </w:rPr>
              <w:t>符合   与否</w:t>
            </w:r>
          </w:p>
        </w:tc>
        <w:tc>
          <w:tcPr>
            <w:tcW w:w="1262" w:type="dxa"/>
            <w:noWrap/>
            <w:vAlign w:val="center"/>
          </w:tcPr>
          <w:p>
            <w:pPr>
              <w:pStyle w:val="8"/>
              <w:snapToGrid w:val="0"/>
              <w:spacing w:before="156" w:after="156"/>
              <w:jc w:val="center"/>
              <w:rPr>
                <w:rFonts w:hAnsi="宋体"/>
              </w:rPr>
            </w:pPr>
            <w:r>
              <w:rPr>
                <w:rFonts w:hint="eastAsia" w:hAnsi="宋体"/>
              </w:rPr>
              <w:t>验收人员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919" w:type="dxa"/>
            <w:noWrap/>
            <w:vAlign w:val="center"/>
          </w:tcPr>
          <w:p>
            <w:pPr>
              <w:pStyle w:val="8"/>
              <w:snapToGrid w:val="0"/>
              <w:spacing w:before="156" w:after="156"/>
              <w:ind w:left="-108"/>
              <w:jc w:val="center"/>
              <w:rPr>
                <w:rFonts w:hAnsi="宋体"/>
              </w:rPr>
            </w:pPr>
            <w:r>
              <w:rPr>
                <w:rFonts w:hint="eastAsia" w:hAnsi="宋体"/>
              </w:rPr>
              <w:t>1</w:t>
            </w:r>
          </w:p>
        </w:tc>
        <w:tc>
          <w:tcPr>
            <w:tcW w:w="5746" w:type="dxa"/>
            <w:noWrap/>
          </w:tcPr>
          <w:p>
            <w:pPr>
              <w:pStyle w:val="8"/>
              <w:snapToGrid w:val="0"/>
              <w:spacing w:before="156" w:after="156"/>
              <w:ind w:left="-108"/>
              <w:jc w:val="center"/>
              <w:rPr>
                <w:rFonts w:hAnsi="宋体"/>
              </w:rPr>
            </w:pPr>
          </w:p>
        </w:tc>
        <w:tc>
          <w:tcPr>
            <w:tcW w:w="378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18" w:type="dxa"/>
            <w:noWrap/>
            <w:vAlign w:val="center"/>
          </w:tcPr>
          <w:p>
            <w:pPr>
              <w:pStyle w:val="8"/>
              <w:snapToGrid w:val="0"/>
              <w:spacing w:before="156" w:after="156"/>
              <w:ind w:left="-108"/>
              <w:jc w:val="center"/>
              <w:rPr>
                <w:rFonts w:hAnsi="宋体"/>
              </w:rPr>
            </w:pPr>
          </w:p>
        </w:tc>
        <w:tc>
          <w:tcPr>
            <w:tcW w:w="1262" w:type="dxa"/>
            <w:noWrap/>
            <w:vAlign w:val="center"/>
          </w:tcPr>
          <w:p>
            <w:pPr>
              <w:pStyle w:val="8"/>
              <w:snapToGrid w:val="0"/>
              <w:spacing w:before="156" w:after="156"/>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919" w:type="dxa"/>
            <w:noWrap/>
            <w:vAlign w:val="center"/>
          </w:tcPr>
          <w:p>
            <w:pPr>
              <w:pStyle w:val="8"/>
              <w:snapToGrid w:val="0"/>
              <w:spacing w:before="156" w:after="156"/>
              <w:ind w:left="-108"/>
              <w:jc w:val="center"/>
              <w:rPr>
                <w:rFonts w:hAnsi="宋体"/>
              </w:rPr>
            </w:pPr>
            <w:r>
              <w:rPr>
                <w:rFonts w:hint="eastAsia" w:hAnsi="宋体"/>
              </w:rPr>
              <w:t>2</w:t>
            </w:r>
          </w:p>
        </w:tc>
        <w:tc>
          <w:tcPr>
            <w:tcW w:w="5746" w:type="dxa"/>
            <w:noWrap/>
          </w:tcPr>
          <w:p>
            <w:pPr>
              <w:pStyle w:val="8"/>
              <w:snapToGrid w:val="0"/>
              <w:spacing w:before="156" w:after="156"/>
              <w:ind w:left="-108"/>
              <w:jc w:val="center"/>
              <w:rPr>
                <w:rFonts w:hAnsi="宋体"/>
              </w:rPr>
            </w:pPr>
          </w:p>
        </w:tc>
        <w:tc>
          <w:tcPr>
            <w:tcW w:w="378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18" w:type="dxa"/>
            <w:noWrap/>
            <w:vAlign w:val="center"/>
          </w:tcPr>
          <w:p>
            <w:pPr>
              <w:pStyle w:val="8"/>
              <w:snapToGrid w:val="0"/>
              <w:spacing w:before="156" w:after="156"/>
              <w:ind w:left="-108"/>
              <w:jc w:val="center"/>
              <w:rPr>
                <w:rFonts w:hAnsi="宋体"/>
              </w:rPr>
            </w:pPr>
          </w:p>
        </w:tc>
        <w:tc>
          <w:tcPr>
            <w:tcW w:w="1262" w:type="dxa"/>
            <w:noWrap/>
            <w:vAlign w:val="center"/>
          </w:tcPr>
          <w:p>
            <w:pPr>
              <w:pStyle w:val="8"/>
              <w:snapToGrid w:val="0"/>
              <w:spacing w:before="156" w:after="156"/>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919" w:type="dxa"/>
            <w:noWrap/>
            <w:vAlign w:val="center"/>
          </w:tcPr>
          <w:p>
            <w:pPr>
              <w:pStyle w:val="8"/>
              <w:snapToGrid w:val="0"/>
              <w:spacing w:before="156" w:after="156"/>
              <w:ind w:left="-108"/>
              <w:jc w:val="center"/>
              <w:rPr>
                <w:rFonts w:hAnsi="宋体"/>
              </w:rPr>
            </w:pPr>
            <w:r>
              <w:rPr>
                <w:rFonts w:hint="eastAsia" w:hAnsi="宋体"/>
              </w:rPr>
              <w:t>3</w:t>
            </w:r>
          </w:p>
        </w:tc>
        <w:tc>
          <w:tcPr>
            <w:tcW w:w="5746" w:type="dxa"/>
            <w:noWrap/>
          </w:tcPr>
          <w:p>
            <w:pPr>
              <w:pStyle w:val="8"/>
              <w:snapToGrid w:val="0"/>
              <w:spacing w:before="156" w:after="156"/>
              <w:ind w:left="-108"/>
              <w:jc w:val="center"/>
              <w:rPr>
                <w:rFonts w:hAnsi="宋体"/>
              </w:rPr>
            </w:pPr>
          </w:p>
        </w:tc>
        <w:tc>
          <w:tcPr>
            <w:tcW w:w="378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18" w:type="dxa"/>
            <w:noWrap/>
            <w:vAlign w:val="center"/>
          </w:tcPr>
          <w:p>
            <w:pPr>
              <w:pStyle w:val="8"/>
              <w:snapToGrid w:val="0"/>
              <w:spacing w:before="156" w:after="156"/>
              <w:ind w:left="-108"/>
              <w:jc w:val="center"/>
              <w:rPr>
                <w:rFonts w:hAnsi="宋体"/>
              </w:rPr>
            </w:pPr>
          </w:p>
        </w:tc>
        <w:tc>
          <w:tcPr>
            <w:tcW w:w="1262" w:type="dxa"/>
            <w:noWrap/>
            <w:vAlign w:val="center"/>
          </w:tcPr>
          <w:p>
            <w:pPr>
              <w:pStyle w:val="8"/>
              <w:snapToGrid w:val="0"/>
              <w:spacing w:before="156" w:after="156"/>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919" w:type="dxa"/>
            <w:noWrap/>
            <w:vAlign w:val="center"/>
          </w:tcPr>
          <w:p>
            <w:pPr>
              <w:pStyle w:val="8"/>
              <w:snapToGrid w:val="0"/>
              <w:spacing w:before="156" w:after="156"/>
              <w:ind w:left="-108"/>
              <w:jc w:val="center"/>
              <w:rPr>
                <w:rFonts w:hAnsi="宋体"/>
              </w:rPr>
            </w:pPr>
            <w:r>
              <w:rPr>
                <w:rFonts w:hint="eastAsia" w:hAnsi="宋体"/>
              </w:rPr>
              <w:t>4</w:t>
            </w:r>
          </w:p>
        </w:tc>
        <w:tc>
          <w:tcPr>
            <w:tcW w:w="5746" w:type="dxa"/>
            <w:noWrap/>
          </w:tcPr>
          <w:p>
            <w:pPr>
              <w:pStyle w:val="8"/>
              <w:snapToGrid w:val="0"/>
              <w:spacing w:before="156" w:after="156"/>
              <w:ind w:left="-108"/>
              <w:jc w:val="center"/>
              <w:rPr>
                <w:rFonts w:hAnsi="宋体"/>
              </w:rPr>
            </w:pPr>
          </w:p>
        </w:tc>
        <w:tc>
          <w:tcPr>
            <w:tcW w:w="378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18" w:type="dxa"/>
            <w:noWrap/>
            <w:vAlign w:val="center"/>
          </w:tcPr>
          <w:p>
            <w:pPr>
              <w:pStyle w:val="8"/>
              <w:snapToGrid w:val="0"/>
              <w:spacing w:before="156" w:after="156"/>
              <w:ind w:left="-108"/>
              <w:jc w:val="center"/>
              <w:rPr>
                <w:rFonts w:hAnsi="宋体"/>
              </w:rPr>
            </w:pPr>
          </w:p>
        </w:tc>
        <w:tc>
          <w:tcPr>
            <w:tcW w:w="1262" w:type="dxa"/>
            <w:noWrap/>
            <w:vAlign w:val="center"/>
          </w:tcPr>
          <w:p>
            <w:pPr>
              <w:pStyle w:val="8"/>
              <w:snapToGrid w:val="0"/>
              <w:spacing w:before="156" w:after="156"/>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919" w:type="dxa"/>
            <w:noWrap/>
            <w:vAlign w:val="center"/>
          </w:tcPr>
          <w:p>
            <w:pPr>
              <w:pStyle w:val="8"/>
              <w:snapToGrid w:val="0"/>
              <w:spacing w:before="156" w:after="156"/>
              <w:ind w:left="-108"/>
              <w:jc w:val="center"/>
              <w:rPr>
                <w:rFonts w:hAnsi="宋体"/>
              </w:rPr>
            </w:pPr>
            <w:r>
              <w:rPr>
                <w:rFonts w:hint="eastAsia" w:hAnsi="宋体"/>
              </w:rPr>
              <w:t>5</w:t>
            </w:r>
          </w:p>
        </w:tc>
        <w:tc>
          <w:tcPr>
            <w:tcW w:w="5746" w:type="dxa"/>
            <w:noWrap/>
          </w:tcPr>
          <w:p>
            <w:pPr>
              <w:pStyle w:val="8"/>
              <w:snapToGrid w:val="0"/>
              <w:spacing w:before="156" w:after="156"/>
              <w:ind w:left="-108"/>
              <w:jc w:val="center"/>
              <w:rPr>
                <w:rFonts w:hAnsi="宋体"/>
              </w:rPr>
            </w:pPr>
          </w:p>
        </w:tc>
        <w:tc>
          <w:tcPr>
            <w:tcW w:w="378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18" w:type="dxa"/>
            <w:noWrap/>
            <w:vAlign w:val="center"/>
          </w:tcPr>
          <w:p>
            <w:pPr>
              <w:pStyle w:val="8"/>
              <w:snapToGrid w:val="0"/>
              <w:spacing w:before="156" w:after="156"/>
              <w:ind w:left="-108"/>
              <w:jc w:val="center"/>
              <w:rPr>
                <w:rFonts w:hAnsi="宋体"/>
              </w:rPr>
            </w:pPr>
          </w:p>
        </w:tc>
        <w:tc>
          <w:tcPr>
            <w:tcW w:w="1262" w:type="dxa"/>
            <w:noWrap/>
            <w:vAlign w:val="center"/>
          </w:tcPr>
          <w:p>
            <w:pPr>
              <w:pStyle w:val="8"/>
              <w:snapToGrid w:val="0"/>
              <w:spacing w:before="156" w:after="156"/>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919" w:type="dxa"/>
            <w:noWrap/>
            <w:vAlign w:val="center"/>
          </w:tcPr>
          <w:p>
            <w:pPr>
              <w:pStyle w:val="8"/>
              <w:snapToGrid w:val="0"/>
              <w:spacing w:before="156" w:after="156"/>
              <w:ind w:left="-108"/>
              <w:jc w:val="center"/>
              <w:rPr>
                <w:rFonts w:hAnsi="宋体"/>
              </w:rPr>
            </w:pPr>
            <w:r>
              <w:rPr>
                <w:rFonts w:hint="eastAsia" w:hAnsi="宋体"/>
              </w:rPr>
              <w:t>6</w:t>
            </w:r>
          </w:p>
        </w:tc>
        <w:tc>
          <w:tcPr>
            <w:tcW w:w="5746" w:type="dxa"/>
            <w:noWrap/>
          </w:tcPr>
          <w:p>
            <w:pPr>
              <w:pStyle w:val="8"/>
              <w:snapToGrid w:val="0"/>
              <w:spacing w:before="156" w:after="156"/>
              <w:ind w:left="-108"/>
              <w:jc w:val="center"/>
              <w:rPr>
                <w:rFonts w:hAnsi="宋体"/>
              </w:rPr>
            </w:pPr>
          </w:p>
        </w:tc>
        <w:tc>
          <w:tcPr>
            <w:tcW w:w="378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18" w:type="dxa"/>
            <w:noWrap/>
            <w:vAlign w:val="center"/>
          </w:tcPr>
          <w:p>
            <w:pPr>
              <w:pStyle w:val="8"/>
              <w:snapToGrid w:val="0"/>
              <w:spacing w:before="156" w:after="156"/>
              <w:ind w:left="-108"/>
              <w:jc w:val="center"/>
              <w:rPr>
                <w:rFonts w:hAnsi="宋体"/>
              </w:rPr>
            </w:pPr>
          </w:p>
        </w:tc>
        <w:tc>
          <w:tcPr>
            <w:tcW w:w="1262" w:type="dxa"/>
            <w:noWrap/>
            <w:vAlign w:val="center"/>
          </w:tcPr>
          <w:p>
            <w:pPr>
              <w:pStyle w:val="8"/>
              <w:snapToGrid w:val="0"/>
              <w:spacing w:before="156" w:after="156"/>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exact"/>
        </w:trPr>
        <w:tc>
          <w:tcPr>
            <w:tcW w:w="919" w:type="dxa"/>
            <w:noWrap/>
            <w:vAlign w:val="center"/>
          </w:tcPr>
          <w:p>
            <w:pPr>
              <w:pStyle w:val="8"/>
              <w:snapToGrid w:val="0"/>
              <w:spacing w:before="156" w:after="156"/>
              <w:ind w:left="-108"/>
              <w:jc w:val="center"/>
              <w:rPr>
                <w:rFonts w:hAnsi="宋体"/>
              </w:rPr>
            </w:pPr>
            <w:r>
              <w:rPr>
                <w:rFonts w:hint="eastAsia" w:hAnsi="宋体"/>
              </w:rPr>
              <w:t>7</w:t>
            </w:r>
          </w:p>
        </w:tc>
        <w:tc>
          <w:tcPr>
            <w:tcW w:w="5746" w:type="dxa"/>
            <w:noWrap/>
          </w:tcPr>
          <w:p>
            <w:pPr>
              <w:pStyle w:val="8"/>
              <w:snapToGrid w:val="0"/>
              <w:spacing w:before="156" w:after="156"/>
              <w:ind w:left="-108"/>
              <w:jc w:val="center"/>
              <w:rPr>
                <w:rFonts w:hAnsi="宋体"/>
              </w:rPr>
            </w:pPr>
          </w:p>
        </w:tc>
        <w:tc>
          <w:tcPr>
            <w:tcW w:w="378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20" w:type="dxa"/>
            <w:noWrap/>
            <w:vAlign w:val="center"/>
          </w:tcPr>
          <w:p>
            <w:pPr>
              <w:pStyle w:val="8"/>
              <w:snapToGrid w:val="0"/>
              <w:spacing w:before="156" w:after="156"/>
              <w:ind w:left="-108"/>
              <w:jc w:val="center"/>
              <w:rPr>
                <w:rFonts w:hAnsi="宋体"/>
              </w:rPr>
            </w:pPr>
          </w:p>
        </w:tc>
        <w:tc>
          <w:tcPr>
            <w:tcW w:w="718" w:type="dxa"/>
            <w:noWrap/>
            <w:vAlign w:val="center"/>
          </w:tcPr>
          <w:p>
            <w:pPr>
              <w:pStyle w:val="8"/>
              <w:snapToGrid w:val="0"/>
              <w:spacing w:before="156" w:after="156"/>
              <w:ind w:left="-108"/>
              <w:jc w:val="center"/>
              <w:rPr>
                <w:rFonts w:hAnsi="宋体"/>
              </w:rPr>
            </w:pPr>
          </w:p>
        </w:tc>
        <w:tc>
          <w:tcPr>
            <w:tcW w:w="1262" w:type="dxa"/>
            <w:noWrap/>
            <w:vAlign w:val="center"/>
          </w:tcPr>
          <w:p>
            <w:pPr>
              <w:pStyle w:val="8"/>
              <w:snapToGrid w:val="0"/>
              <w:spacing w:before="156" w:after="156"/>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0" w:hRule="atLeast"/>
        </w:trPr>
        <w:tc>
          <w:tcPr>
            <w:tcW w:w="13865" w:type="dxa"/>
            <w:gridSpan w:val="7"/>
            <w:noWrap/>
            <w:vAlign w:val="center"/>
          </w:tcPr>
          <w:p>
            <w:pPr>
              <w:pStyle w:val="8"/>
              <w:snapToGrid w:val="0"/>
              <w:spacing w:before="156" w:after="156"/>
              <w:ind w:left="-107" w:leftChars="-51" w:firstLine="240" w:firstLineChars="100"/>
              <w:rPr>
                <w:rFonts w:hAnsi="宋体"/>
              </w:rPr>
            </w:pPr>
            <w:r>
              <w:rPr>
                <w:rFonts w:hint="eastAsia" w:hAnsi="宋体"/>
              </w:rPr>
              <w:t>备注：</w:t>
            </w:r>
          </w:p>
        </w:tc>
      </w:tr>
    </w:tbl>
    <w:p>
      <w:pPr>
        <w:jc w:val="center"/>
        <w:rPr>
          <w:b/>
          <w:sz w:val="30"/>
          <w:szCs w:val="30"/>
        </w:rPr>
      </w:pPr>
      <w:r>
        <w:rPr>
          <w:rFonts w:hint="eastAsia"/>
          <w:b/>
          <w:sz w:val="30"/>
          <w:szCs w:val="30"/>
        </w:rPr>
        <w:t>验收货物清单</w:t>
      </w:r>
    </w:p>
    <w:p>
      <w:pPr>
        <w:snapToGrid w:val="0"/>
        <w:spacing w:before="50" w:after="50"/>
        <w:ind w:right="25" w:rightChars="12"/>
        <w:rPr>
          <w:rFonts w:ascii="宋体" w:hAnsi="宋体"/>
          <w:color w:val="000000"/>
          <w:sz w:val="24"/>
          <w:u w:val="single"/>
        </w:rPr>
      </w:pPr>
    </w:p>
    <w:p>
      <w:pPr>
        <w:snapToGrid w:val="0"/>
        <w:spacing w:before="50" w:after="50"/>
        <w:ind w:right="25" w:rightChars="12"/>
        <w:rPr>
          <w:rFonts w:ascii="宋体" w:hAnsi="宋体"/>
          <w:color w:val="000000"/>
          <w:sz w:val="24"/>
          <w:u w:val="single"/>
        </w:rPr>
      </w:pPr>
    </w:p>
    <w:p>
      <w:pPr>
        <w:pStyle w:val="8"/>
        <w:tabs>
          <w:tab w:val="left" w:pos="2472"/>
        </w:tabs>
        <w:snapToGrid w:val="0"/>
        <w:spacing w:beforeLines="0" w:after="156" w:line="240" w:lineRule="auto"/>
        <w:rPr>
          <w:color w:val="000000"/>
        </w:rPr>
        <w:sectPr>
          <w:pgSz w:w="16838" w:h="11906" w:orient="landscape"/>
          <w:pgMar w:top="1797" w:right="1440" w:bottom="1797" w:left="1440" w:header="851" w:footer="992" w:gutter="0"/>
          <w:cols w:space="720" w:num="1"/>
          <w:docGrid w:type="linesAndChars" w:linePitch="312" w:charSpace="0"/>
        </w:sectPr>
      </w:pPr>
      <w:r>
        <w:rPr>
          <w:rFonts w:hint="eastAsia"/>
        </w:rPr>
        <w:t>抄送：东阳市纪律检查委员会监察局、东阳市公共资源交易管理委员会办公室、东阳市财政局政府采购管理办公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right"/>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1</w:t>
    </w:r>
    <w:r>
      <w:rPr>
        <w:rFonts w:ascii="宋体" w:hAnsi="宋体" w:eastAsia="宋体"/>
        <w:sz w:val="28"/>
        <w:szCs w:val="28"/>
      </w:rPr>
      <w:fldChar w:fldCharType="end"/>
    </w:r>
    <w:r>
      <w:rPr>
        <w:rStyle w:val="18"/>
        <w:rFonts w:hint="eastAsia" w:ascii="宋体" w:hAnsi="宋体" w:eastAsia="宋体"/>
        <w:sz w:val="28"/>
        <w:szCs w:val="28"/>
      </w:rPr>
      <w:t xml:space="preserve"> —</w:t>
    </w:r>
  </w:p>
  <w:p>
    <w:pPr>
      <w:pStyle w:val="10"/>
      <w:ind w:right="360"/>
      <w:jc w:val="center"/>
    </w:pPr>
    <w:r>
      <w:rPr>
        <w:rFonts w:hint="eastAsia"/>
      </w:rPr>
      <w:t>金华市公共资源交易中心东阳分中心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26</w: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33</w:t>
    </w:r>
    <w:r>
      <w:rPr>
        <w:rFonts w:ascii="宋体" w:hAnsi="宋体" w:eastAsia="宋体"/>
        <w:sz w:val="28"/>
        <w:szCs w:val="28"/>
      </w:rPr>
      <w:fldChar w:fldCharType="end"/>
    </w:r>
    <w:r>
      <w:rPr>
        <w:rStyle w:val="18"/>
        <w:rFonts w:hint="eastAsia" w:ascii="宋体" w:hAnsi="宋体" w:eastAsia="宋体"/>
        <w:sz w:val="28"/>
        <w:szCs w:val="28"/>
      </w:rPr>
      <w:t xml:space="preserve"> —</w:t>
    </w:r>
  </w:p>
  <w:p>
    <w:pPr>
      <w:pStyle w:val="10"/>
      <w:ind w:right="720" w:rightChars="343" w:firstLine="180" w:firstLineChars="100"/>
      <w:jc w:val="center"/>
    </w:pPr>
    <w:r>
      <w:rPr>
        <w:rFonts w:hint="eastAsia"/>
      </w:rPr>
      <w:t>金华市公共资源交易中心东阳分中心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32</w:t>
    </w:r>
    <w:r>
      <w:fldChar w:fldCharType="end"/>
    </w:r>
  </w:p>
  <w:p>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39</w:t>
    </w:r>
    <w:r>
      <w:rPr>
        <w:rFonts w:ascii="宋体" w:hAnsi="宋体" w:eastAsia="宋体"/>
        <w:sz w:val="28"/>
        <w:szCs w:val="28"/>
      </w:rPr>
      <w:fldChar w:fldCharType="end"/>
    </w:r>
    <w:r>
      <w:rPr>
        <w:rStyle w:val="18"/>
        <w:rFonts w:hint="eastAsia" w:ascii="宋体" w:hAnsi="宋体" w:eastAsia="宋体"/>
        <w:sz w:val="28"/>
        <w:szCs w:val="28"/>
      </w:rPr>
      <w:t xml:space="preserve"> —</w:t>
    </w:r>
  </w:p>
  <w:p>
    <w:pPr>
      <w:pStyle w:val="10"/>
      <w:ind w:right="720" w:firstLine="180" w:firstLineChars="100"/>
      <w:jc w:val="both"/>
    </w:pPr>
    <w:r>
      <w:rPr>
        <w:rFonts w:hint="eastAsia"/>
      </w:rPr>
      <w:t xml:space="preserve">                                                           金华市公共资源交易中心东阳分中心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52</w:t>
    </w:r>
    <w:r>
      <w:rPr>
        <w:rFonts w:ascii="宋体" w:hAnsi="宋体" w:eastAsia="宋体"/>
        <w:sz w:val="28"/>
        <w:szCs w:val="28"/>
      </w:rPr>
      <w:fldChar w:fldCharType="end"/>
    </w:r>
    <w:r>
      <w:rPr>
        <w:rStyle w:val="18"/>
        <w:rFonts w:hint="eastAsia" w:ascii="宋体" w:hAnsi="宋体" w:eastAsia="宋体"/>
        <w:sz w:val="28"/>
        <w:szCs w:val="28"/>
      </w:rPr>
      <w:t xml:space="preserve"> —</w:t>
    </w:r>
  </w:p>
  <w:p>
    <w:pPr>
      <w:pStyle w:val="10"/>
      <w:ind w:right="720" w:rightChars="343" w:firstLine="180" w:firstLineChars="100"/>
      <w:jc w:val="center"/>
    </w:pPr>
    <w:r>
      <w:rPr>
        <w:rFonts w:hint="eastAsia"/>
      </w:rPr>
      <w:t>金华市公共资源交易中心东阳分中心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32</w:t>
    </w:r>
    <w:r>
      <w:fldChar w:fldCharType="end"/>
    </w:r>
  </w:p>
  <w:p>
    <w:pPr>
      <w:pStyle w:val="1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39</w:t>
    </w:r>
    <w:r>
      <w:rPr>
        <w:rFonts w:ascii="宋体" w:hAnsi="宋体" w:eastAsia="宋体"/>
        <w:sz w:val="28"/>
        <w:szCs w:val="28"/>
      </w:rPr>
      <w:fldChar w:fldCharType="end"/>
    </w:r>
    <w:r>
      <w:rPr>
        <w:rStyle w:val="18"/>
        <w:rFonts w:hint="eastAsia" w:ascii="宋体" w:hAnsi="宋体" w:eastAsia="宋体"/>
        <w:sz w:val="28"/>
        <w:szCs w:val="28"/>
      </w:rPr>
      <w:t xml:space="preserve"> —</w:t>
    </w:r>
  </w:p>
  <w:p>
    <w:pPr>
      <w:pStyle w:val="10"/>
      <w:ind w:right="720" w:firstLine="180" w:firstLineChars="100"/>
      <w:jc w:val="both"/>
    </w:pPr>
    <w:r>
      <w:rPr>
        <w:rFonts w:hint="eastAsia"/>
      </w:rPr>
      <w:t xml:space="preserve">                                                           金华市公共资源交易中心东阳分中心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sz w:val="15"/>
        <w:szCs w:val="16"/>
        <w:lang w:eastAsia="zh-CN"/>
      </w:rPr>
    </w:pPr>
    <w:r>
      <w:rPr>
        <w:rFonts w:hint="eastAsia" w:ascii="宋体" w:hAnsi="宋体" w:eastAsia="宋体" w:cs="宋体"/>
        <w:color w:val="000000"/>
        <w:sz w:val="22"/>
        <w:szCs w:val="22"/>
        <w:lang w:eastAsia="zh-CN"/>
      </w:rPr>
      <w:t>东阳市环境卫生管理处填埋场除臭服务、灭蝇药剂、道路清洗除臭剂及雾炮器采购项目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sz w:val="15"/>
        <w:szCs w:val="16"/>
        <w:lang w:eastAsia="zh-CN"/>
      </w:rPr>
    </w:pPr>
    <w:r>
      <w:rPr>
        <w:rFonts w:hint="eastAsia" w:ascii="宋体" w:hAnsi="宋体" w:eastAsia="宋体" w:cs="宋体"/>
        <w:color w:val="000000"/>
        <w:sz w:val="22"/>
        <w:szCs w:val="22"/>
        <w:lang w:eastAsia="zh-CN"/>
      </w:rPr>
      <w:t>东阳市环境卫生管理处填埋场除臭服务、灭蝇药剂、道路清洗除臭剂及雾炮器采购项目</w:t>
    </w:r>
  </w:p>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u w:val="single"/>
      </w:rPr>
    </w:pPr>
    <w:r>
      <w:rPr>
        <w:rFonts w:hint="eastAsia"/>
        <w:u w:val="single"/>
      </w:rPr>
      <w:t xml:space="preserve">东阳市人民医院、东阳市妇幼保健院医疗设备项目                                             </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sz w:val="15"/>
        <w:szCs w:val="16"/>
        <w:lang w:eastAsia="zh-CN"/>
      </w:rPr>
    </w:pPr>
    <w:r>
      <w:rPr>
        <w:rFonts w:hint="eastAsia" w:ascii="宋体" w:hAnsi="宋体" w:eastAsia="宋体" w:cs="宋体"/>
        <w:color w:val="000000"/>
        <w:sz w:val="22"/>
        <w:szCs w:val="22"/>
        <w:lang w:eastAsia="zh-CN"/>
      </w:rPr>
      <w:t>东阳市环境卫生管理处填埋场除臭服务、灭蝇药剂、道路清洗除臭剂及雾炮器采购项目</w:t>
    </w:r>
  </w:p>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u w:val="single"/>
      </w:rPr>
    </w:pPr>
    <w:r>
      <w:rPr>
        <w:rFonts w:hint="eastAsia"/>
        <w:u w:val="single"/>
      </w:rPr>
      <w:t xml:space="preserve">东阳市人民医院、东阳市人民医院医疗设备项目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D786"/>
    <w:multiLevelType w:val="singleLevel"/>
    <w:tmpl w:val="180CD786"/>
    <w:lvl w:ilvl="0" w:tentative="0">
      <w:start w:val="3"/>
      <w:numFmt w:val="decimal"/>
      <w:lvlText w:val="%1."/>
      <w:lvlJc w:val="left"/>
      <w:pPr>
        <w:tabs>
          <w:tab w:val="left" w:pos="312"/>
        </w:tabs>
      </w:pPr>
    </w:lvl>
  </w:abstractNum>
  <w:abstractNum w:abstractNumId="1">
    <w:nsid w:val="2BA156D2"/>
    <w:multiLevelType w:val="multilevel"/>
    <w:tmpl w:val="2BA156D2"/>
    <w:lvl w:ilvl="0" w:tentative="0">
      <w:start w:val="1"/>
      <w:numFmt w:val="decimal"/>
      <w:lvlText w:val="（%1）"/>
      <w:lvlJc w:val="left"/>
      <w:pPr>
        <w:tabs>
          <w:tab w:val="left" w:pos="1260"/>
        </w:tabs>
        <w:ind w:left="1260" w:hanging="720"/>
      </w:pPr>
      <w:rPr>
        <w:rFonts w:hint="default"/>
        <w:lang w:val="en-US"/>
      </w:rPr>
    </w:lvl>
    <w:lvl w:ilvl="1" w:tentative="0">
      <w:start w:val="1"/>
      <w:numFmt w:val="decimal"/>
      <w:lvlText w:val="%2."/>
      <w:lvlJc w:val="left"/>
      <w:pPr>
        <w:tabs>
          <w:tab w:val="left" w:pos="840"/>
        </w:tabs>
        <w:ind w:left="840" w:hanging="42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F10109"/>
    <w:multiLevelType w:val="singleLevel"/>
    <w:tmpl w:val="3CF10109"/>
    <w:lvl w:ilvl="0" w:tentative="0">
      <w:start w:val="2"/>
      <w:numFmt w:val="chineseCounting"/>
      <w:suff w:val="nothing"/>
      <w:lvlText w:val="%1、"/>
      <w:lvlJc w:val="left"/>
      <w:rPr>
        <w:rFonts w:hint="eastAsia"/>
      </w:rPr>
    </w:lvl>
  </w:abstractNum>
  <w:abstractNum w:abstractNumId="3">
    <w:nsid w:val="43F80004"/>
    <w:multiLevelType w:val="singleLevel"/>
    <w:tmpl w:val="43F80004"/>
    <w:lvl w:ilvl="0" w:tentative="0">
      <w:start w:val="2"/>
      <w:numFmt w:val="decimal"/>
      <w:suff w:val="nothing"/>
      <w:lvlText w:val="%1、"/>
      <w:lvlJc w:val="left"/>
    </w:lvl>
  </w:abstractNum>
  <w:abstractNum w:abstractNumId="4">
    <w:nsid w:val="4EA13B20"/>
    <w:multiLevelType w:val="multilevel"/>
    <w:tmpl w:val="4EA13B20"/>
    <w:lvl w:ilvl="0" w:tentative="0">
      <w:start w:val="1"/>
      <w:numFmt w:val="decimal"/>
      <w:lvlText w:val="（%1）"/>
      <w:lvlJc w:val="left"/>
      <w:pPr>
        <w:tabs>
          <w:tab w:val="left" w:pos="1571"/>
        </w:tabs>
        <w:ind w:left="1571" w:hanging="720"/>
      </w:pPr>
      <w:rPr>
        <w:rFonts w:hint="default"/>
        <w:lang w:val="en-US"/>
      </w:rPr>
    </w:lvl>
    <w:lvl w:ilvl="1" w:tentative="0">
      <w:start w:val="1"/>
      <w:numFmt w:val="decimal"/>
      <w:lvlText w:val="%2."/>
      <w:lvlJc w:val="left"/>
      <w:pPr>
        <w:tabs>
          <w:tab w:val="left" w:pos="840"/>
        </w:tabs>
        <w:ind w:left="840" w:hanging="42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10A72D"/>
    <w:multiLevelType w:val="singleLevel"/>
    <w:tmpl w:val="5110A72D"/>
    <w:lvl w:ilvl="0" w:tentative="0">
      <w:start w:val="1"/>
      <w:numFmt w:val="decimal"/>
      <w:pStyle w:val="3"/>
      <w:lvlText w:val="%1."/>
      <w:lvlJc w:val="left"/>
      <w:pPr>
        <w:tabs>
          <w:tab w:val="left" w:pos="360"/>
        </w:tabs>
        <w:ind w:left="360" w:hanging="360"/>
      </w:pPr>
    </w:lvl>
  </w:abstractNum>
  <w:abstractNum w:abstractNumId="6">
    <w:nsid w:val="5F6B4CCE"/>
    <w:multiLevelType w:val="multilevel"/>
    <w:tmpl w:val="5F6B4CCE"/>
    <w:lvl w:ilvl="0" w:tentative="0">
      <w:start w:val="1"/>
      <w:numFmt w:val="decimal"/>
      <w:lvlText w:val="%1."/>
      <w:lvlJc w:val="left"/>
      <w:pPr>
        <w:tabs>
          <w:tab w:val="left" w:pos="1664"/>
        </w:tabs>
        <w:ind w:left="1664" w:hanging="420"/>
      </w:pPr>
      <w:rPr>
        <w:rFonts w:hint="eastAsia"/>
      </w:rPr>
    </w:lvl>
    <w:lvl w:ilvl="1" w:tentative="0">
      <w:start w:val="1"/>
      <w:numFmt w:val="decimal"/>
      <w:lvlText w:val="%2."/>
      <w:lvlJc w:val="left"/>
      <w:pPr>
        <w:tabs>
          <w:tab w:val="left" w:pos="1244"/>
        </w:tabs>
        <w:ind w:left="1244" w:hanging="420"/>
      </w:pPr>
      <w:rPr>
        <w:rFonts w:hint="eastAsia"/>
      </w:rPr>
    </w:lvl>
    <w:lvl w:ilvl="2" w:tentative="0">
      <w:start w:val="1"/>
      <w:numFmt w:val="lowerRoman"/>
      <w:lvlText w:val="%3."/>
      <w:lvlJc w:val="right"/>
      <w:pPr>
        <w:tabs>
          <w:tab w:val="left" w:pos="1664"/>
        </w:tabs>
        <w:ind w:left="1664" w:hanging="420"/>
      </w:pPr>
    </w:lvl>
    <w:lvl w:ilvl="3" w:tentative="0">
      <w:start w:val="1"/>
      <w:numFmt w:val="decimal"/>
      <w:lvlText w:val="%4."/>
      <w:lvlJc w:val="left"/>
      <w:pPr>
        <w:tabs>
          <w:tab w:val="left" w:pos="2084"/>
        </w:tabs>
        <w:ind w:left="2084" w:hanging="420"/>
      </w:pPr>
    </w:lvl>
    <w:lvl w:ilvl="4" w:tentative="0">
      <w:start w:val="1"/>
      <w:numFmt w:val="lowerLetter"/>
      <w:lvlText w:val="%5)"/>
      <w:lvlJc w:val="left"/>
      <w:pPr>
        <w:tabs>
          <w:tab w:val="left" w:pos="2504"/>
        </w:tabs>
        <w:ind w:left="2504" w:hanging="420"/>
      </w:pPr>
    </w:lvl>
    <w:lvl w:ilvl="5" w:tentative="0">
      <w:start w:val="1"/>
      <w:numFmt w:val="lowerRoman"/>
      <w:lvlText w:val="%6."/>
      <w:lvlJc w:val="right"/>
      <w:pPr>
        <w:tabs>
          <w:tab w:val="left" w:pos="2924"/>
        </w:tabs>
        <w:ind w:left="2924" w:hanging="420"/>
      </w:pPr>
    </w:lvl>
    <w:lvl w:ilvl="6" w:tentative="0">
      <w:start w:val="1"/>
      <w:numFmt w:val="decimal"/>
      <w:lvlText w:val="%7."/>
      <w:lvlJc w:val="left"/>
      <w:pPr>
        <w:tabs>
          <w:tab w:val="left" w:pos="3344"/>
        </w:tabs>
        <w:ind w:left="3344" w:hanging="420"/>
      </w:pPr>
    </w:lvl>
    <w:lvl w:ilvl="7" w:tentative="0">
      <w:start w:val="1"/>
      <w:numFmt w:val="lowerLetter"/>
      <w:lvlText w:val="%8)"/>
      <w:lvlJc w:val="left"/>
      <w:pPr>
        <w:tabs>
          <w:tab w:val="left" w:pos="3764"/>
        </w:tabs>
        <w:ind w:left="3764" w:hanging="420"/>
      </w:pPr>
    </w:lvl>
    <w:lvl w:ilvl="8" w:tentative="0">
      <w:start w:val="1"/>
      <w:numFmt w:val="lowerRoman"/>
      <w:lvlText w:val="%9."/>
      <w:lvlJc w:val="right"/>
      <w:pPr>
        <w:tabs>
          <w:tab w:val="left" w:pos="4184"/>
        </w:tabs>
        <w:ind w:left="4184" w:hanging="420"/>
      </w:pPr>
    </w:lvl>
  </w:abstractNum>
  <w:abstractNum w:abstractNumId="7">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8">
    <w:nsid w:val="64695619"/>
    <w:multiLevelType w:val="multilevel"/>
    <w:tmpl w:val="64695619"/>
    <w:lvl w:ilvl="0" w:tentative="0">
      <w:start w:val="1"/>
      <w:numFmt w:val="decimal"/>
      <w:lvlText w:val="%1"/>
      <w:lvlJc w:val="left"/>
      <w:pPr>
        <w:ind w:left="704"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DC6E269"/>
    <w:multiLevelType w:val="singleLevel"/>
    <w:tmpl w:val="6DC6E269"/>
    <w:lvl w:ilvl="0" w:tentative="0">
      <w:start w:val="2"/>
      <w:numFmt w:val="chineseCounting"/>
      <w:suff w:val="space"/>
      <w:lvlText w:val="第%1章"/>
      <w:lvlJc w:val="left"/>
      <w:rPr>
        <w:rFonts w:hint="eastAsia"/>
      </w:rPr>
    </w:lvl>
  </w:abstractNum>
  <w:abstractNum w:abstractNumId="10">
    <w:nsid w:val="763060DB"/>
    <w:multiLevelType w:val="multilevel"/>
    <w:tmpl w:val="763060DB"/>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5"/>
  </w:num>
  <w:num w:numId="2">
    <w:abstractNumId w:val="10"/>
  </w:num>
  <w:num w:numId="3">
    <w:abstractNumId w:val="9"/>
  </w:num>
  <w:num w:numId="4">
    <w:abstractNumId w:val="2"/>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1C03"/>
    <w:rsid w:val="00035351"/>
    <w:rsid w:val="00047EEE"/>
    <w:rsid w:val="0006520F"/>
    <w:rsid w:val="00141CCF"/>
    <w:rsid w:val="001708C6"/>
    <w:rsid w:val="00205640"/>
    <w:rsid w:val="002630C5"/>
    <w:rsid w:val="00493400"/>
    <w:rsid w:val="00561303"/>
    <w:rsid w:val="00717FCD"/>
    <w:rsid w:val="00750577"/>
    <w:rsid w:val="00780C2E"/>
    <w:rsid w:val="007B319A"/>
    <w:rsid w:val="007E7736"/>
    <w:rsid w:val="008221FA"/>
    <w:rsid w:val="00913D0D"/>
    <w:rsid w:val="009A4AA7"/>
    <w:rsid w:val="00AF760D"/>
    <w:rsid w:val="00C57B15"/>
    <w:rsid w:val="00D47318"/>
    <w:rsid w:val="00D61C03"/>
    <w:rsid w:val="00DA5AE1"/>
    <w:rsid w:val="05971CC8"/>
    <w:rsid w:val="06116312"/>
    <w:rsid w:val="09772106"/>
    <w:rsid w:val="09E61C05"/>
    <w:rsid w:val="0B031CAA"/>
    <w:rsid w:val="0C2F2FED"/>
    <w:rsid w:val="10205542"/>
    <w:rsid w:val="10CA3700"/>
    <w:rsid w:val="11AD5A5B"/>
    <w:rsid w:val="13117D69"/>
    <w:rsid w:val="14D96B9D"/>
    <w:rsid w:val="18675982"/>
    <w:rsid w:val="1AED7202"/>
    <w:rsid w:val="1E5C6920"/>
    <w:rsid w:val="225D2913"/>
    <w:rsid w:val="23B459BF"/>
    <w:rsid w:val="2551029B"/>
    <w:rsid w:val="25582366"/>
    <w:rsid w:val="2575625F"/>
    <w:rsid w:val="26290B3D"/>
    <w:rsid w:val="26662DED"/>
    <w:rsid w:val="270D7C51"/>
    <w:rsid w:val="27A13748"/>
    <w:rsid w:val="2A393842"/>
    <w:rsid w:val="2B0D5434"/>
    <w:rsid w:val="32E4064A"/>
    <w:rsid w:val="32F37822"/>
    <w:rsid w:val="331D6741"/>
    <w:rsid w:val="33725EF8"/>
    <w:rsid w:val="35260059"/>
    <w:rsid w:val="35523071"/>
    <w:rsid w:val="38133E60"/>
    <w:rsid w:val="38D26328"/>
    <w:rsid w:val="3A4B50C2"/>
    <w:rsid w:val="3AE8056B"/>
    <w:rsid w:val="3B503CAD"/>
    <w:rsid w:val="3C910439"/>
    <w:rsid w:val="3E721D6A"/>
    <w:rsid w:val="41AB3745"/>
    <w:rsid w:val="43DC27AE"/>
    <w:rsid w:val="4442482D"/>
    <w:rsid w:val="479C5383"/>
    <w:rsid w:val="47D2011F"/>
    <w:rsid w:val="48441764"/>
    <w:rsid w:val="4A994ADC"/>
    <w:rsid w:val="4DA350CB"/>
    <w:rsid w:val="4E702190"/>
    <w:rsid w:val="50AC5218"/>
    <w:rsid w:val="514222BA"/>
    <w:rsid w:val="55C91FAD"/>
    <w:rsid w:val="582B7DFE"/>
    <w:rsid w:val="594A2DF2"/>
    <w:rsid w:val="59581022"/>
    <w:rsid w:val="5B07365E"/>
    <w:rsid w:val="5DDF394B"/>
    <w:rsid w:val="5FAA1B34"/>
    <w:rsid w:val="644A47DD"/>
    <w:rsid w:val="64FA0A82"/>
    <w:rsid w:val="65AC251F"/>
    <w:rsid w:val="65F2201C"/>
    <w:rsid w:val="66560A96"/>
    <w:rsid w:val="68A632E4"/>
    <w:rsid w:val="6A9130BA"/>
    <w:rsid w:val="6F176A11"/>
    <w:rsid w:val="71730C5D"/>
    <w:rsid w:val="736C6189"/>
    <w:rsid w:val="75A856C7"/>
    <w:rsid w:val="79723DEA"/>
    <w:rsid w:val="79FD1466"/>
    <w:rsid w:val="7C253BCA"/>
    <w:rsid w:val="7C3D635A"/>
    <w:rsid w:val="7F2D69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7"/>
    <w:qFormat/>
    <w:uiPriority w:val="0"/>
    <w:pPr>
      <w:keepNext/>
      <w:keepLines/>
      <w:spacing w:before="260" w:after="260" w:line="416" w:lineRule="auto"/>
      <w:outlineLvl w:val="1"/>
    </w:pPr>
    <w:rPr>
      <w:rFonts w:ascii="Arial" w:hAnsi="Arial"/>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3"/>
    <w:basedOn w:val="1"/>
    <w:qFormat/>
    <w:uiPriority w:val="0"/>
    <w:pPr>
      <w:snapToGrid w:val="0"/>
      <w:spacing w:before="50" w:after="50"/>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pPr>
      <w:spacing w:beforeLines="50" w:afterLines="50" w:line="400" w:lineRule="exact"/>
    </w:pPr>
    <w:rPr>
      <w:rFonts w:ascii="宋体" w:hAnsi="Courier New"/>
      <w:sz w:val="24"/>
    </w:rPr>
  </w:style>
  <w:style w:type="paragraph" w:styleId="9">
    <w:name w:val="Body Text Indent 2"/>
    <w:basedOn w:val="1"/>
    <w:qFormat/>
    <w:uiPriority w:val="0"/>
    <w:pPr>
      <w:snapToGrid w:val="0"/>
      <w:ind w:firstLine="542" w:firstLineChars="225"/>
    </w:pPr>
    <w:rPr>
      <w:rFonts w:ascii="仿宋_GB2312" w:hAnsi="宋体" w:cs="Arial"/>
      <w:b/>
      <w:bCs/>
      <w:color w:val="000000"/>
      <w:sz w:val="24"/>
    </w:rPr>
  </w:style>
  <w:style w:type="paragraph" w:styleId="10">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4">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正文段"/>
    <w:basedOn w:val="1"/>
    <w:qFormat/>
    <w:uiPriority w:val="0"/>
    <w:pPr>
      <w:widowControl/>
      <w:snapToGrid w:val="0"/>
      <w:spacing w:afterLines="50"/>
      <w:ind w:firstLine="200" w:firstLineChars="200"/>
    </w:pPr>
    <w:rPr>
      <w:kern w:val="0"/>
      <w:sz w:val="24"/>
      <w:szCs w:val="20"/>
    </w:rPr>
  </w:style>
  <w:style w:type="character" w:customStyle="1" w:styleId="21">
    <w:name w:val="标题 2 Char"/>
    <w:link w:val="2"/>
    <w:qFormat/>
    <w:uiPriority w:val="0"/>
    <w:rPr>
      <w:rFonts w:ascii="Arial" w:hAnsi="Arial"/>
      <w:b/>
      <w:bCs/>
      <w:sz w:val="28"/>
      <w:szCs w:val="32"/>
    </w:rPr>
  </w:style>
  <w:style w:type="paragraph" w:customStyle="1" w:styleId="22">
    <w:name w:val="纯文本1"/>
    <w:basedOn w:val="1"/>
    <w:qFormat/>
    <w:uiPriority w:val="0"/>
    <w:pPr>
      <w:adjustRightInd w:val="0"/>
    </w:pPr>
    <w:rPr>
      <w:rFonts w:hint="eastAsia" w:ascii="宋体" w:hAnsi="Courier New" w:eastAsia="楷体_GB2312"/>
      <w:sz w:val="28"/>
      <w:szCs w:val="20"/>
    </w:rPr>
  </w:style>
  <w:style w:type="paragraph" w:customStyle="1" w:styleId="2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标题 2 Char1"/>
    <w:link w:val="2"/>
    <w:qFormat/>
    <w:uiPriority w:val="0"/>
    <w:rPr>
      <w:rFonts w:ascii="Arial" w:hAnsi="Arial" w:eastAsia="宋体" w:cs="Times New Roman"/>
      <w:b/>
      <w:bCs/>
      <w:sz w:val="28"/>
      <w:szCs w:val="32"/>
    </w:rPr>
  </w:style>
  <w:style w:type="character" w:customStyle="1" w:styleId="25">
    <w:name w:val="标题 2 Char2"/>
    <w:link w:val="2"/>
    <w:qFormat/>
    <w:uiPriority w:val="0"/>
    <w:rPr>
      <w:rFonts w:ascii="Arial" w:hAnsi="Arial" w:eastAsia="宋体"/>
      <w:b/>
      <w:bCs/>
      <w:kern w:val="2"/>
      <w:sz w:val="28"/>
      <w:szCs w:val="32"/>
      <w:lang w:val="en-US" w:eastAsia="zh-CN" w:bidi="ar-SA"/>
    </w:rPr>
  </w:style>
  <w:style w:type="character" w:customStyle="1" w:styleId="26">
    <w:name w:val="Char Char20"/>
    <w:qFormat/>
    <w:uiPriority w:val="0"/>
    <w:rPr>
      <w:rFonts w:ascii="Arial" w:hAnsi="Arial" w:eastAsia="宋体"/>
      <w:b/>
      <w:bCs/>
      <w:kern w:val="2"/>
      <w:sz w:val="28"/>
      <w:szCs w:val="32"/>
      <w:lang w:val="en-US" w:eastAsia="zh-CN" w:bidi="ar-SA"/>
    </w:rPr>
  </w:style>
  <w:style w:type="character" w:customStyle="1" w:styleId="27">
    <w:name w:val="标题 2 Char3"/>
    <w:link w:val="2"/>
    <w:qFormat/>
    <w:uiPriority w:val="0"/>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5074</Words>
  <Characters>28928</Characters>
  <Lines>241</Lines>
  <Paragraphs>67</Paragraphs>
  <TotalTime>317</TotalTime>
  <ScaleCrop>false</ScaleCrop>
  <LinksUpToDate>false</LinksUpToDate>
  <CharactersWithSpaces>33935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2019-05-06T02:01:00Z</dcterms:created>
  <dc:creator>Administrator</dc:creator>
  <cp:lastModifiedBy>浙江八婺工程造价咨询有限公司</cp:lastModifiedBy>
  <cp:lastPrinted>2019-05-27T03:20:00Z</cp:lastPrinted>
  <dcterms:modified xsi:type="dcterms:W3CDTF">2019-05-28T00:46:10Z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