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cs="宋体"/>
          <w:b/>
          <w:bCs/>
          <w:color w:val="000000"/>
          <w:sz w:val="52"/>
          <w:szCs w:val="52"/>
        </w:rPr>
      </w:pPr>
      <w:r>
        <w:rPr>
          <w:rFonts w:hint="eastAsia" w:ascii="宋体" w:hAnsi="宋体" w:cs="宋体"/>
          <w:b/>
          <w:bCs/>
          <w:color w:val="000000"/>
          <w:sz w:val="52"/>
          <w:szCs w:val="52"/>
        </w:rPr>
        <w:t>东阳八婺招标代理有限公司关于东阳市</w:t>
      </w:r>
    </w:p>
    <w:p>
      <w:pPr>
        <w:spacing w:beforeLines="50"/>
        <w:jc w:val="center"/>
        <w:rPr>
          <w:rFonts w:ascii="宋体" w:hAnsi="宋体" w:cs="宋体"/>
          <w:b/>
          <w:bCs/>
          <w:color w:val="000000"/>
          <w:sz w:val="52"/>
          <w:szCs w:val="52"/>
        </w:rPr>
      </w:pPr>
      <w:r>
        <w:rPr>
          <w:rFonts w:hint="eastAsia" w:ascii="宋体" w:hAnsi="宋体" w:cs="宋体"/>
          <w:b/>
          <w:bCs/>
          <w:color w:val="000000"/>
          <w:sz w:val="52"/>
          <w:szCs w:val="52"/>
        </w:rPr>
        <w:t>残疾人康复托养中心公建民营项目</w:t>
      </w:r>
    </w:p>
    <w:p>
      <w:pPr>
        <w:pStyle w:val="6"/>
        <w:rPr>
          <w:rFonts w:hint="eastAsia" w:ascii="微软雅黑" w:hAnsi="微软雅黑" w:eastAsia="微软雅黑" w:cs="微软雅黑"/>
          <w:b/>
          <w:bCs/>
          <w:sz w:val="52"/>
          <w:szCs w:val="52"/>
          <w:lang w:val="en-US" w:eastAsia="zh-CN"/>
        </w:rPr>
      </w:pPr>
      <w:r>
        <w:rPr>
          <w:rFonts w:hint="eastAsia"/>
          <w:lang w:val="en-US" w:eastAsia="zh-CN"/>
        </w:rPr>
        <w:t xml:space="preserve">               </w:t>
      </w:r>
    </w:p>
    <w:p>
      <w:pPr>
        <w:spacing w:beforeLines="50"/>
        <w:rPr>
          <w:rFonts w:ascii="宋体" w:hAnsi="宋体" w:cs="宋体"/>
          <w:b/>
          <w:bCs/>
          <w:sz w:val="72"/>
          <w:szCs w:val="72"/>
        </w:rPr>
      </w:pPr>
    </w:p>
    <w:p>
      <w:pPr>
        <w:spacing w:beforeLines="50"/>
        <w:jc w:val="center"/>
        <w:rPr>
          <w:rFonts w:hint="eastAsia" w:ascii="宋体" w:hAnsi="宋体" w:cs="宋体"/>
          <w:b/>
          <w:bCs/>
          <w:sz w:val="72"/>
          <w:szCs w:val="72"/>
        </w:rPr>
      </w:pPr>
    </w:p>
    <w:p>
      <w:pPr>
        <w:spacing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19"/>
        <w:snapToGrid w:val="0"/>
        <w:spacing w:before="156" w:after="156" w:line="480" w:lineRule="auto"/>
        <w:rPr>
          <w:rFonts w:hAnsi="宋体"/>
          <w:b/>
          <w:bCs/>
          <w:color w:val="000000"/>
          <w:sz w:val="30"/>
          <w:szCs w:val="30"/>
        </w:rPr>
      </w:pPr>
    </w:p>
    <w:p/>
    <w:p>
      <w:pPr>
        <w:pStyle w:val="19"/>
        <w:snapToGrid w:val="0"/>
        <w:spacing w:before="156" w:after="156" w:line="360" w:lineRule="auto"/>
        <w:ind w:firstLine="744" w:firstLineChars="247"/>
        <w:rPr>
          <w:rFonts w:hAnsi="宋体"/>
          <w:b/>
          <w:bCs/>
          <w:color w:val="000000"/>
          <w:sz w:val="30"/>
          <w:szCs w:val="30"/>
        </w:rPr>
      </w:pPr>
    </w:p>
    <w:p>
      <w:pPr>
        <w:pStyle w:val="19"/>
        <w:snapToGrid w:val="0"/>
        <w:spacing w:before="156" w:after="156" w:line="360" w:lineRule="auto"/>
        <w:rPr>
          <w:rFonts w:hAnsi="宋体"/>
          <w:b/>
          <w:bCs/>
          <w:color w:val="000000"/>
          <w:sz w:val="30"/>
          <w:szCs w:val="30"/>
        </w:rPr>
      </w:pPr>
    </w:p>
    <w:p>
      <w:pPr>
        <w:pStyle w:val="19"/>
        <w:snapToGrid w:val="0"/>
        <w:spacing w:before="156" w:after="156" w:line="360" w:lineRule="auto"/>
        <w:ind w:firstLine="1045" w:firstLineChars="347"/>
        <w:rPr>
          <w:rFonts w:hint="eastAsia" w:hAnsi="宋体" w:eastAsia="宋体"/>
          <w:b/>
          <w:bCs/>
          <w:color w:val="000000"/>
          <w:sz w:val="30"/>
          <w:szCs w:val="30"/>
          <w:lang w:eastAsia="zh-CN"/>
        </w:rPr>
      </w:pPr>
      <w:r>
        <w:rPr>
          <w:rFonts w:hint="eastAsia" w:hAnsi="宋体"/>
          <w:b/>
          <w:bCs/>
          <w:color w:val="000000"/>
          <w:sz w:val="30"/>
          <w:szCs w:val="30"/>
        </w:rPr>
        <w:t>项目编号：</w:t>
      </w:r>
      <w:r>
        <w:rPr>
          <w:rFonts w:hint="eastAsia" w:hAnsi="宋体"/>
          <w:b/>
          <w:bCs/>
          <w:color w:val="000000"/>
          <w:sz w:val="30"/>
          <w:szCs w:val="30"/>
          <w:lang w:eastAsia="zh-CN"/>
        </w:rPr>
        <w:t>DYBWCG2022-031</w:t>
      </w:r>
    </w:p>
    <w:p>
      <w:pPr>
        <w:pStyle w:val="19"/>
        <w:snapToGrid w:val="0"/>
        <w:spacing w:before="156" w:after="156" w:line="360" w:lineRule="auto"/>
        <w:ind w:firstLine="1045" w:firstLineChars="347"/>
        <w:rPr>
          <w:rFonts w:hAnsi="宋体"/>
          <w:b/>
          <w:bCs/>
          <w:color w:val="000000"/>
          <w:sz w:val="30"/>
          <w:szCs w:val="30"/>
        </w:rPr>
      </w:pPr>
      <w:r>
        <w:rPr>
          <w:rFonts w:hint="eastAsia" w:hAnsi="宋体"/>
          <w:b/>
          <w:bCs/>
          <w:color w:val="000000"/>
          <w:sz w:val="30"/>
          <w:szCs w:val="30"/>
        </w:rPr>
        <w:t>项目名称：东阳市残疾人康复托养中心公建民营项目</w:t>
      </w:r>
    </w:p>
    <w:p>
      <w:pPr>
        <w:pStyle w:val="19"/>
        <w:snapToGrid w:val="0"/>
        <w:spacing w:before="156" w:after="156" w:line="360" w:lineRule="auto"/>
        <w:ind w:firstLine="1045" w:firstLineChars="347"/>
        <w:rPr>
          <w:rFonts w:hAnsi="宋体"/>
          <w:b/>
          <w:bCs/>
          <w:color w:val="000000"/>
          <w:sz w:val="30"/>
          <w:szCs w:val="30"/>
        </w:rPr>
      </w:pPr>
      <w:r>
        <w:rPr>
          <w:rFonts w:hint="eastAsia" w:hAnsi="宋体"/>
          <w:b/>
          <w:bCs/>
          <w:color w:val="000000"/>
          <w:sz w:val="30"/>
          <w:szCs w:val="30"/>
        </w:rPr>
        <w:t>采购单位：东阳市残疾人联合会</w:t>
      </w:r>
    </w:p>
    <w:p>
      <w:pPr>
        <w:pStyle w:val="19"/>
        <w:snapToGrid w:val="0"/>
        <w:spacing w:before="156" w:after="156" w:line="360" w:lineRule="auto"/>
        <w:ind w:firstLine="1045" w:firstLineChars="347"/>
        <w:rPr>
          <w:rFonts w:hAnsi="宋体"/>
          <w:b/>
          <w:bCs/>
          <w:color w:val="000000"/>
          <w:sz w:val="30"/>
          <w:szCs w:val="30"/>
        </w:rPr>
      </w:pPr>
      <w:r>
        <w:rPr>
          <w:rFonts w:hint="eastAsia" w:hAnsi="宋体"/>
          <w:b/>
          <w:bCs/>
          <w:color w:val="000000"/>
          <w:sz w:val="30"/>
          <w:szCs w:val="30"/>
        </w:rPr>
        <w:t>代理机构：东阳八婺招标代理有限公司</w:t>
      </w:r>
    </w:p>
    <w:p>
      <w:pPr>
        <w:snapToGrid w:val="0"/>
        <w:spacing w:beforeLines="50" w:line="360" w:lineRule="auto"/>
        <w:ind w:firstLine="1128" w:firstLineChars="394"/>
        <w:rPr>
          <w:rFonts w:ascii="宋体" w:hAnsi="宋体" w:cs="宋体"/>
          <w:b/>
          <w:bCs/>
          <w:color w:val="000000"/>
          <w:sz w:val="30"/>
          <w:szCs w:val="30"/>
        </w:rPr>
      </w:pPr>
      <w:r>
        <w:rPr>
          <w:rFonts w:hint="eastAsia" w:ascii="宋体" w:hAnsi="宋体" w:cs="宋体"/>
          <w:b/>
          <w:bCs/>
          <w:color w:val="000000"/>
          <w:w w:val="95"/>
          <w:sz w:val="30"/>
          <w:szCs w:val="30"/>
        </w:rPr>
        <w:t>编制时间：2022年1</w:t>
      </w:r>
      <w:r>
        <w:rPr>
          <w:rFonts w:hint="eastAsia" w:ascii="宋体" w:hAnsi="宋体" w:cs="宋体"/>
          <w:b/>
          <w:bCs/>
          <w:color w:val="000000"/>
          <w:w w:val="95"/>
          <w:sz w:val="30"/>
          <w:szCs w:val="30"/>
          <w:lang w:val="en-US" w:eastAsia="zh-CN"/>
        </w:rPr>
        <w:t>1</w:t>
      </w:r>
      <w:r>
        <w:rPr>
          <w:rFonts w:hint="eastAsia" w:ascii="宋体" w:hAnsi="宋体" w:cs="宋体"/>
          <w:b/>
          <w:bCs/>
          <w:color w:val="000000"/>
          <w:w w:val="95"/>
          <w:sz w:val="30"/>
          <w:szCs w:val="30"/>
        </w:rPr>
        <w:t>月</w:t>
      </w:r>
    </w:p>
    <w:p>
      <w:pPr>
        <w:pStyle w:val="2"/>
        <w:ind w:firstLine="0" w:firstLineChars="0"/>
      </w:pPr>
    </w:p>
    <w:p>
      <w:pPr>
        <w:pStyle w:val="19"/>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19"/>
        <w:snapToGrid w:val="0"/>
        <w:spacing w:before="156" w:after="156" w:line="240" w:lineRule="auto"/>
        <w:ind w:firstLine="2650" w:firstLineChars="1100"/>
        <w:outlineLvl w:val="0"/>
        <w:rPr>
          <w:rFonts w:hAnsi="宋体"/>
          <w:color w:val="000000"/>
          <w:sz w:val="30"/>
          <w:szCs w:val="30"/>
        </w:rPr>
      </w:pPr>
      <w:r>
        <w:rPr>
          <w:rFonts w:hint="eastAsia" w:hAnsi="宋体"/>
          <w:b/>
          <w:bCs/>
          <w:color w:val="000000"/>
        </w:rPr>
        <w:br w:type="page"/>
      </w:r>
      <w:r>
        <w:rPr>
          <w:rFonts w:hint="eastAsia" w:hAnsi="宋体"/>
          <w:color w:val="000000"/>
        </w:rPr>
        <w:t xml:space="preserve">   </w:t>
      </w:r>
      <w:r>
        <w:rPr>
          <w:rFonts w:hint="eastAsia" w:hAnsi="宋体"/>
          <w:b/>
          <w:bCs/>
          <w:color w:val="000000"/>
          <w:sz w:val="30"/>
          <w:szCs w:val="30"/>
        </w:rPr>
        <w:t>第一章   公开招标采购公告</w:t>
      </w:r>
    </w:p>
    <w:tbl>
      <w:tblPr>
        <w:tblStyle w:val="2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8" w:hRule="exact"/>
          <w:jc w:val="center"/>
        </w:trPr>
        <w:tc>
          <w:tcPr>
            <w:tcW w:w="9603" w:type="dxa"/>
            <w:tcBorders>
              <w:top w:val="single" w:color="auto" w:sz="4" w:space="0"/>
              <w:bottom w:val="single" w:color="auto" w:sz="4" w:space="0"/>
              <w:right w:val="single" w:color="auto" w:sz="4" w:space="0"/>
            </w:tcBorders>
            <w:vAlign w:val="center"/>
          </w:tcPr>
          <w:p>
            <w:pPr>
              <w:snapToGrid w:val="0"/>
              <w:spacing w:line="276" w:lineRule="auto"/>
              <w:ind w:firstLine="354" w:firstLineChars="147"/>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sz w:val="24"/>
                <w:szCs w:val="24"/>
              </w:rPr>
              <w:t>项目概况</w:t>
            </w:r>
          </w:p>
          <w:p>
            <w:pPr>
              <w:snapToGrid w:val="0"/>
              <w:spacing w:line="276" w:lineRule="auto"/>
              <w:ind w:firstLine="354" w:firstLineChars="147"/>
              <w:rPr>
                <w:rFonts w:ascii="宋体" w:hAnsi="宋体" w:cs="宋体"/>
                <w:b/>
                <w:bCs/>
                <w:color w:val="000000"/>
                <w:sz w:val="24"/>
                <w:szCs w:val="24"/>
              </w:rPr>
            </w:pPr>
            <w:r>
              <w:rPr>
                <w:rFonts w:hint="eastAsia" w:ascii="宋体" w:hAnsi="宋体" w:cs="宋体"/>
                <w:b/>
                <w:bCs/>
                <w:color w:val="000000"/>
                <w:sz w:val="24"/>
                <w:szCs w:val="24"/>
                <w:u w:val="single"/>
              </w:rPr>
              <w:t>东阳市残疾人康复托养中心公建民营项</w:t>
            </w:r>
            <w:r>
              <w:rPr>
                <w:rFonts w:hint="eastAsia" w:ascii="宋体" w:hAnsi="宋体" w:cs="宋体"/>
                <w:b/>
                <w:bCs/>
                <w:sz w:val="24"/>
                <w:szCs w:val="24"/>
                <w:u w:val="single"/>
              </w:rPr>
              <w:t>目</w:t>
            </w:r>
            <w:r>
              <w:rPr>
                <w:rFonts w:hint="eastAsia" w:ascii="宋体" w:hAnsi="宋体" w:cs="宋体"/>
                <w:b/>
                <w:bCs/>
                <w:sz w:val="24"/>
                <w:szCs w:val="24"/>
              </w:rPr>
              <w:t>的潜在投标人应在</w:t>
            </w:r>
            <w:r>
              <w:rPr>
                <w:rFonts w:hint="eastAsia" w:ascii="宋体" w:hAnsi="宋体" w:cs="宋体"/>
                <w:b/>
                <w:bCs/>
                <w:sz w:val="24"/>
                <w:szCs w:val="24"/>
                <w:u w:val="single"/>
              </w:rPr>
              <w:t>浙江省政府采购网(www.zjzfcg.gov.cn/)</w:t>
            </w:r>
            <w:r>
              <w:rPr>
                <w:rFonts w:hint="eastAsia" w:ascii="宋体" w:hAnsi="宋体" w:cs="宋体"/>
                <w:b/>
                <w:bCs/>
                <w:sz w:val="24"/>
                <w:szCs w:val="24"/>
              </w:rPr>
              <w:t>、</w:t>
            </w:r>
            <w:r>
              <w:rPr>
                <w:rFonts w:hint="eastAsia" w:ascii="宋体" w:hAnsi="宋体" w:cs="宋体"/>
                <w:b/>
                <w:bCs/>
                <w:sz w:val="24"/>
                <w:szCs w:val="24"/>
                <w:u w:val="single"/>
              </w:rPr>
              <w:t>东阳市公共资源交易网(</w:t>
            </w:r>
            <w:r>
              <w:fldChar w:fldCharType="begin"/>
            </w:r>
            <w:r>
              <w:instrText xml:space="preserve"> HYPERLINK "http://www.dongyang.gov.cn/ggzyjy/)获取（下载）招标文件，并于2022年%20%20月" </w:instrText>
            </w:r>
            <w:r>
              <w:fldChar w:fldCharType="separate"/>
            </w:r>
            <w:r>
              <w:rPr>
                <w:rStyle w:val="34"/>
                <w:rFonts w:hint="eastAsia" w:ascii="宋体" w:hAnsi="宋体" w:cs="宋体"/>
                <w:b/>
                <w:bCs/>
                <w:color w:val="auto"/>
                <w:sz w:val="24"/>
                <w:szCs w:val="24"/>
              </w:rPr>
              <w:t>http://www.dongyang.gov.cn/ggzyjy/)获取（下载）招标文件，并于2022年</w:t>
            </w:r>
            <w:r>
              <w:rPr>
                <w:rStyle w:val="34"/>
                <w:rFonts w:hint="eastAsia" w:ascii="宋体" w:hAnsi="宋体" w:cs="宋体"/>
                <w:b/>
                <w:bCs/>
                <w:color w:val="auto"/>
                <w:sz w:val="24"/>
                <w:szCs w:val="24"/>
                <w:lang w:val="en-US" w:eastAsia="zh-CN"/>
              </w:rPr>
              <w:t>12</w:t>
            </w:r>
            <w:r>
              <w:rPr>
                <w:rStyle w:val="34"/>
                <w:rFonts w:hint="eastAsia" w:ascii="宋体" w:hAnsi="宋体" w:cs="宋体"/>
                <w:b/>
                <w:bCs/>
                <w:color w:val="auto"/>
                <w:sz w:val="24"/>
                <w:szCs w:val="24"/>
              </w:rPr>
              <w:t>月</w:t>
            </w:r>
            <w:r>
              <w:rPr>
                <w:rStyle w:val="34"/>
                <w:rFonts w:hint="eastAsia" w:ascii="宋体" w:hAnsi="宋体" w:cs="宋体"/>
                <w:b/>
                <w:bCs/>
                <w:color w:val="auto"/>
                <w:sz w:val="24"/>
                <w:szCs w:val="24"/>
              </w:rPr>
              <w:fldChar w:fldCharType="end"/>
            </w:r>
            <w:r>
              <w:rPr>
                <w:rFonts w:hint="eastAsia" w:ascii="宋体" w:hAnsi="宋体" w:cs="宋体"/>
                <w:b/>
                <w:bCs/>
                <w:sz w:val="24"/>
                <w:szCs w:val="24"/>
                <w:u w:val="single"/>
                <w:lang w:val="en-US" w:eastAsia="zh-CN"/>
              </w:rPr>
              <w:t>1</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08</w:t>
            </w:r>
            <w:r>
              <w:rPr>
                <w:rFonts w:hint="eastAsia" w:ascii="宋体" w:hAnsi="宋体" w:cs="宋体"/>
                <w:b/>
                <w:bCs/>
                <w:sz w:val="24"/>
                <w:szCs w:val="24"/>
                <w:u w:val="single"/>
              </w:rPr>
              <w:t>:</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0</w:t>
            </w:r>
            <w:r>
              <w:rPr>
                <w:rFonts w:hint="eastAsia" w:ascii="宋体" w:hAnsi="宋体" w:cs="宋体"/>
                <w:b/>
                <w:bCs/>
                <w:sz w:val="24"/>
                <w:szCs w:val="24"/>
              </w:rPr>
              <w:t>（北京时间）前</w:t>
            </w:r>
            <w:r>
              <w:rPr>
                <w:rFonts w:hint="eastAsia" w:ascii="宋体" w:hAnsi="宋体" w:cs="宋体"/>
                <w:b/>
                <w:bCs/>
                <w:color w:val="000000"/>
                <w:sz w:val="24"/>
                <w:szCs w:val="24"/>
              </w:rPr>
              <w:t>递交（上传）投标文件。</w:t>
            </w:r>
          </w:p>
        </w:tc>
      </w:tr>
    </w:tbl>
    <w:p>
      <w:pPr>
        <w:pStyle w:val="62"/>
        <w:spacing w:after="156"/>
        <w:ind w:firstLine="0" w:firstLineChars="0"/>
        <w:rPr>
          <w:rFonts w:ascii="宋体" w:hAnsi="宋体" w:cs="宋体"/>
          <w:b/>
          <w:bCs/>
        </w:rPr>
      </w:pPr>
      <w:r>
        <w:rPr>
          <w:rFonts w:hint="eastAsia" w:ascii="宋体" w:hAnsi="宋体" w:cs="宋体"/>
          <w:b/>
          <w:bCs/>
        </w:rPr>
        <w:t>一、项目基本情况</w:t>
      </w:r>
    </w:p>
    <w:p>
      <w:pPr>
        <w:pStyle w:val="62"/>
        <w:spacing w:after="156"/>
        <w:ind w:firstLine="0" w:firstLineChars="0"/>
        <w:rPr>
          <w:rFonts w:ascii="宋体" w:hAnsi="宋体" w:cs="宋体"/>
          <w:b/>
          <w:bCs/>
        </w:rPr>
      </w:pPr>
      <w:r>
        <w:rPr>
          <w:rFonts w:hint="eastAsia" w:ascii="宋体" w:hAnsi="宋体" w:cs="宋体"/>
          <w:b/>
          <w:bCs/>
        </w:rPr>
        <w:t>东阳市政府采购计划书：临【2022】</w:t>
      </w:r>
      <w:r>
        <w:rPr>
          <w:rFonts w:hint="eastAsia" w:ascii="宋体" w:hAnsi="宋体" w:cs="宋体"/>
          <w:b/>
          <w:bCs/>
          <w:lang w:val="en-US" w:eastAsia="zh-CN"/>
        </w:rPr>
        <w:t>4136</w:t>
      </w:r>
      <w:r>
        <w:rPr>
          <w:rFonts w:hint="eastAsia" w:ascii="宋体" w:hAnsi="宋体" w:cs="宋体"/>
          <w:b/>
          <w:bCs/>
        </w:rPr>
        <w:t>号</w:t>
      </w:r>
    </w:p>
    <w:p>
      <w:pPr>
        <w:pStyle w:val="62"/>
        <w:spacing w:after="156"/>
        <w:ind w:firstLine="0" w:firstLineChars="0"/>
        <w:rPr>
          <w:rFonts w:hint="eastAsia" w:ascii="宋体" w:hAnsi="宋体" w:eastAsia="宋体" w:cs="宋体"/>
          <w:lang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DYBWCG2022-031</w:t>
      </w:r>
    </w:p>
    <w:p>
      <w:pPr>
        <w:pStyle w:val="62"/>
        <w:spacing w:after="156"/>
        <w:ind w:firstLine="0" w:firstLineChars="0"/>
        <w:rPr>
          <w:rFonts w:ascii="宋体" w:hAnsi="宋体" w:cs="宋体"/>
        </w:rPr>
      </w:pPr>
      <w:r>
        <w:rPr>
          <w:rFonts w:hint="eastAsia" w:ascii="宋体" w:hAnsi="宋体" w:cs="宋体"/>
          <w:b/>
          <w:bCs/>
        </w:rPr>
        <w:t>项目名称</w:t>
      </w:r>
      <w:r>
        <w:rPr>
          <w:rFonts w:hint="eastAsia" w:ascii="宋体" w:hAnsi="宋体" w:cs="宋体"/>
        </w:rPr>
        <w:t>：东阳市残疾人康复托养中心公建民营项目</w:t>
      </w:r>
    </w:p>
    <w:p>
      <w:pPr>
        <w:pStyle w:val="62"/>
        <w:spacing w:after="156"/>
        <w:ind w:firstLine="0" w:firstLineChars="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38160000</w:t>
      </w:r>
      <w:r>
        <w:rPr>
          <w:rFonts w:hint="eastAsia" w:ascii="宋体" w:hAnsi="宋体" w:cs="宋体"/>
        </w:rPr>
        <w:t>；</w:t>
      </w:r>
    </w:p>
    <w:p>
      <w:pPr>
        <w:pStyle w:val="62"/>
        <w:spacing w:after="156"/>
        <w:ind w:firstLine="0" w:firstLineChars="0"/>
        <w:rPr>
          <w:rFonts w:ascii="宋体" w:hAnsi="宋体" w:cs="宋体"/>
          <w:b/>
          <w:bCs/>
        </w:rPr>
      </w:pPr>
      <w:r>
        <w:rPr>
          <w:rFonts w:hint="eastAsia" w:ascii="宋体" w:hAnsi="宋体" w:cs="宋体"/>
          <w:b/>
          <w:bCs/>
        </w:rPr>
        <w:t>采购需求：</w:t>
      </w:r>
    </w:p>
    <w:p>
      <w:pPr>
        <w:pStyle w:val="62"/>
        <w:spacing w:after="156"/>
        <w:ind w:firstLine="0" w:firstLineChars="0"/>
        <w:rPr>
          <w:rFonts w:ascii="宋体" w:hAnsi="宋体" w:cs="宋体"/>
        </w:rPr>
      </w:pPr>
      <w:r>
        <w:rPr>
          <w:rFonts w:hint="eastAsia" w:ascii="宋体" w:hAnsi="宋体" w:cs="宋体"/>
        </w:rPr>
        <w:t>标项一：</w:t>
      </w:r>
    </w:p>
    <w:p>
      <w:pPr>
        <w:pStyle w:val="62"/>
        <w:spacing w:after="156"/>
        <w:ind w:firstLine="0" w:firstLineChars="0"/>
        <w:rPr>
          <w:rFonts w:ascii="宋体" w:hAnsi="宋体" w:cs="宋体"/>
        </w:rPr>
      </w:pPr>
      <w:r>
        <w:rPr>
          <w:rFonts w:hint="eastAsia" w:ascii="宋体" w:hAnsi="宋体" w:cs="宋体"/>
        </w:rPr>
        <w:t>标项名称：东阳市残疾人康复托养中心公建民营项目</w:t>
      </w:r>
    </w:p>
    <w:p>
      <w:pPr>
        <w:pStyle w:val="62"/>
        <w:spacing w:after="156"/>
        <w:ind w:firstLine="0" w:firstLineChars="0"/>
        <w:rPr>
          <w:rFonts w:ascii="宋体" w:hAnsi="宋体" w:cs="宋体"/>
        </w:rPr>
      </w:pPr>
      <w:r>
        <w:rPr>
          <w:rFonts w:hint="eastAsia" w:ascii="宋体" w:hAnsi="宋体" w:cs="宋体"/>
        </w:rPr>
        <w:t>数量：1项</w:t>
      </w:r>
    </w:p>
    <w:p>
      <w:pPr>
        <w:pStyle w:val="62"/>
        <w:spacing w:after="156"/>
        <w:ind w:firstLine="0" w:firstLineChars="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38160000</w:t>
      </w:r>
      <w:r>
        <w:rPr>
          <w:rFonts w:hint="eastAsia" w:ascii="宋体" w:hAnsi="宋体" w:cs="宋体"/>
        </w:rPr>
        <w:t xml:space="preserve"> ；</w:t>
      </w:r>
    </w:p>
    <w:p>
      <w:pPr>
        <w:snapToGrid w:val="0"/>
        <w:spacing w:line="360" w:lineRule="auto"/>
        <w:jc w:val="left"/>
        <w:rPr>
          <w:rFonts w:ascii="宋体" w:hAnsi="宋体" w:cs="宋体"/>
          <w:sz w:val="24"/>
        </w:rPr>
      </w:pPr>
      <w:r>
        <w:rPr>
          <w:rFonts w:hint="eastAsia" w:ascii="宋体" w:hAnsi="宋体" w:cs="宋体"/>
          <w:sz w:val="24"/>
        </w:rPr>
        <w:t>简要规格描述或项目基本概况介绍、用途：具体要求详见第二章招标需求。</w:t>
      </w:r>
      <w:r>
        <w:rPr>
          <w:rFonts w:hint="eastAsia" w:ascii="宋体" w:hAnsi="宋体" w:cs="宋体"/>
          <w:sz w:val="24"/>
        </w:rPr>
        <w:br w:type="textWrapping"/>
      </w:r>
      <w:r>
        <w:rPr>
          <w:rFonts w:hint="eastAsia" w:ascii="宋体" w:hAnsi="宋体" w:cs="宋体"/>
          <w:sz w:val="24"/>
        </w:rPr>
        <w:t>备注：</w:t>
      </w:r>
    </w:p>
    <w:p>
      <w:pPr>
        <w:snapToGrid w:val="0"/>
        <w:spacing w:line="360" w:lineRule="auto"/>
        <w:jc w:val="left"/>
        <w:rPr>
          <w:rFonts w:ascii="宋体" w:hAnsi="宋体" w:cs="宋体"/>
          <w:sz w:val="24"/>
          <w:szCs w:val="24"/>
        </w:rPr>
      </w:pPr>
      <w:r>
        <w:rPr>
          <w:rFonts w:hint="eastAsia" w:ascii="宋体" w:hAnsi="宋体" w:cs="宋体"/>
          <w:sz w:val="24"/>
          <w:szCs w:val="24"/>
        </w:rPr>
        <w:t>合同履约期限：运营期限为20年，自东阳市残疾人托养中心大楼交付之日起计算。</w:t>
      </w:r>
    </w:p>
    <w:p>
      <w:pPr>
        <w:snapToGrid w:val="0"/>
        <w:spacing w:line="440" w:lineRule="atLeast"/>
        <w:jc w:val="left"/>
        <w:rPr>
          <w:rFonts w:ascii="宋体" w:hAnsi="宋体" w:cs="宋体"/>
          <w:color w:val="000000"/>
          <w:sz w:val="24"/>
        </w:rPr>
      </w:pPr>
      <w:r>
        <w:rPr>
          <w:rFonts w:hint="eastAsia" w:ascii="宋体" w:hAnsi="宋体" w:cs="宋体"/>
          <w:sz w:val="24"/>
          <w:szCs w:val="24"/>
        </w:rPr>
        <w:t>本项目接受联合体投标：</w:t>
      </w:r>
      <w:r>
        <w:rPr>
          <w:rFonts w:hint="eastAsia" w:ascii="宋体" w:hAnsi="宋体" w:cs="宋体"/>
          <w:b/>
          <w:sz w:val="24"/>
        </w:rPr>
        <w:t>（ √ ）是，（  ）否</w:t>
      </w:r>
      <w:r>
        <w:rPr>
          <w:rFonts w:hint="eastAsia" w:ascii="宋体" w:hAnsi="宋体" w:cs="宋体"/>
          <w:bCs/>
          <w:sz w:val="24"/>
        </w:rPr>
        <w:t>。</w:t>
      </w:r>
    </w:p>
    <w:p>
      <w:pPr>
        <w:snapToGrid w:val="0"/>
        <w:spacing w:line="440" w:lineRule="atLeast"/>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pStyle w:val="3"/>
        <w:spacing w:after="0" w:line="440" w:lineRule="atLeast"/>
        <w:ind w:firstLine="480" w:firstLineChars="200"/>
        <w:rPr>
          <w:rFonts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8"/>
        <w:spacing w:line="440" w:lineRule="atLeast"/>
        <w:ind w:firstLine="464"/>
        <w:rPr>
          <w:rFonts w:ascii="宋体" w:hAnsi="宋体" w:eastAsia="宋体"/>
          <w:sz w:val="24"/>
          <w:szCs w:val="24"/>
        </w:rPr>
      </w:pPr>
      <w:r>
        <w:rPr>
          <w:rFonts w:hint="eastAsia" w:ascii="宋体" w:hAnsi="宋体" w:eastAsia="宋体"/>
          <w:sz w:val="24"/>
          <w:szCs w:val="24"/>
        </w:rPr>
        <w:t>2.落实政府采购政策需满足的资格要求：无；</w:t>
      </w:r>
    </w:p>
    <w:p>
      <w:pPr>
        <w:widowControl/>
        <w:adjustRightInd w:val="0"/>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3"/>
        <w:spacing w:after="0" w:line="440" w:lineRule="atLeast"/>
        <w:ind w:firstLine="480" w:firstLineChars="200"/>
        <w:rPr>
          <w:rFonts w:ascii="宋体" w:hAnsi="宋体" w:cs="宋体"/>
        </w:rPr>
      </w:pPr>
      <w:r>
        <w:rPr>
          <w:rFonts w:hint="eastAsia" w:ascii="宋体" w:hAnsi="宋体" w:cs="宋体"/>
        </w:rPr>
        <w:t>3.本项目的特定资格要求：</w:t>
      </w:r>
    </w:p>
    <w:p>
      <w:pPr>
        <w:spacing w:line="360" w:lineRule="auto"/>
        <w:ind w:firstLine="480" w:firstLineChars="200"/>
        <w:rPr>
          <w:rFonts w:ascii="宋体" w:hAnsi="宋体"/>
          <w:sz w:val="24"/>
        </w:rPr>
      </w:pPr>
      <w:r>
        <w:rPr>
          <w:rFonts w:hint="eastAsia" w:ascii="宋体" w:hAnsi="宋体"/>
          <w:sz w:val="24"/>
        </w:rPr>
        <w:t>3.1投标人具有县（市）区（含）以上卫健部门颁发的《医疗机构执业许可证》和养老机构设立许可证；</w:t>
      </w:r>
    </w:p>
    <w:p>
      <w:pPr>
        <w:spacing w:line="440" w:lineRule="atLeast"/>
        <w:ind w:firstLine="480" w:firstLineChars="200"/>
        <w:rPr>
          <w:rFonts w:ascii="宋体" w:hAnsi="宋体" w:cs="宋体"/>
          <w:sz w:val="24"/>
          <w:szCs w:val="22"/>
        </w:rPr>
      </w:pPr>
      <w:r>
        <w:rPr>
          <w:rFonts w:hint="eastAsia" w:ascii="宋体" w:hAnsi="宋体" w:cs="宋体"/>
          <w:sz w:val="24"/>
          <w:szCs w:val="22"/>
        </w:rPr>
        <w:t>3.2投标人须为浙江政府采购网注册的正式供应商或承诺中标后30天内注册为浙江政府采购网正式供应商。</w:t>
      </w:r>
    </w:p>
    <w:p>
      <w:pPr>
        <w:snapToGrid w:val="0"/>
        <w:spacing w:line="440" w:lineRule="atLeast"/>
        <w:rPr>
          <w:rFonts w:ascii="宋体" w:hAnsi="宋体" w:cs="宋体"/>
          <w:b/>
          <w:bCs/>
          <w:sz w:val="24"/>
        </w:rPr>
      </w:pPr>
      <w:r>
        <w:rPr>
          <w:rFonts w:hint="eastAsia" w:ascii="宋体" w:hAnsi="宋体" w:cs="宋体"/>
          <w:b/>
          <w:bCs/>
          <w:sz w:val="24"/>
        </w:rPr>
        <w:t>▲三、招标文件的获取：</w:t>
      </w:r>
    </w:p>
    <w:p>
      <w:pPr>
        <w:spacing w:line="440" w:lineRule="atLeast"/>
        <w:ind w:firstLine="480" w:firstLineChars="200"/>
        <w:rPr>
          <w:rFonts w:ascii="宋体" w:hAnsi="宋体" w:cs="宋体"/>
          <w:sz w:val="24"/>
        </w:rPr>
      </w:pPr>
      <w:r>
        <w:rPr>
          <w:rFonts w:hint="eastAsia" w:ascii="宋体" w:hAnsi="宋体" w:cs="宋体"/>
          <w:sz w:val="24"/>
        </w:rPr>
        <w:t>1、时间：/至2022年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日，每天上午00：00至12:00，下午12:00至23:59（北京时间，线上获取法定节假日均可，线下获取文件法定节假日除外）。</w:t>
      </w:r>
    </w:p>
    <w:p>
      <w:pPr>
        <w:spacing w:line="440" w:lineRule="atLeast"/>
        <w:ind w:firstLine="480" w:firstLineChars="200"/>
        <w:rPr>
          <w:rFonts w:ascii="宋体" w:hAnsi="宋体" w:cs="宋体"/>
          <w:sz w:val="24"/>
        </w:rPr>
      </w:pPr>
      <w:r>
        <w:rPr>
          <w:rFonts w:hint="eastAsia" w:ascii="宋体" w:hAnsi="宋体" w:cs="宋体"/>
          <w:sz w:val="24"/>
        </w:rPr>
        <w:t>2、地点（网址）：浙江政府采购网（www.zjzfcg.gov.cn/）； 东阳市公共资源交易网(http://www.dongyang.gov.cn/ggzyjy/)。</w:t>
      </w:r>
    </w:p>
    <w:p>
      <w:pPr>
        <w:snapToGrid w:val="0"/>
        <w:spacing w:line="440" w:lineRule="atLeas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440" w:lineRule="atLeas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440" w:lineRule="atLeas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440" w:lineRule="atLeas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FF0000"/>
          <w:sz w:val="24"/>
          <w:szCs w:val="24"/>
        </w:rPr>
        <w:t>提交投标文件截止时间：2022年</w:t>
      </w:r>
      <w:r>
        <w:rPr>
          <w:rFonts w:hint="eastAsia" w:ascii="宋体" w:hAnsi="宋体" w:cs="宋体"/>
          <w:b/>
          <w:bCs/>
          <w:color w:val="FF0000"/>
          <w:sz w:val="24"/>
          <w:szCs w:val="24"/>
          <w:lang w:val="en-US" w:eastAsia="zh-CN"/>
        </w:rPr>
        <w:t>12</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1</w:t>
      </w:r>
      <w:r>
        <w:rPr>
          <w:rFonts w:hint="eastAsia" w:ascii="宋体" w:hAnsi="宋体" w:cs="宋体"/>
          <w:b/>
          <w:bCs/>
          <w:color w:val="FF0000"/>
          <w:sz w:val="24"/>
          <w:szCs w:val="24"/>
        </w:rPr>
        <w:t>日</w:t>
      </w:r>
      <w:r>
        <w:rPr>
          <w:rFonts w:hint="eastAsia" w:ascii="宋体" w:hAnsi="宋体" w:cs="宋体"/>
          <w:b/>
          <w:bCs/>
          <w:color w:val="FF0000"/>
          <w:sz w:val="24"/>
          <w:szCs w:val="24"/>
          <w:lang w:val="en-US" w:eastAsia="zh-CN"/>
        </w:rPr>
        <w:t>08</w:t>
      </w:r>
      <w:r>
        <w:rPr>
          <w:rFonts w:hint="eastAsia" w:ascii="宋体" w:hAnsi="宋体" w:cs="宋体"/>
          <w:b/>
          <w:bCs/>
          <w:color w:val="FF0000"/>
          <w:sz w:val="24"/>
          <w:szCs w:val="24"/>
        </w:rPr>
        <w:t>时</w:t>
      </w:r>
      <w:r>
        <w:rPr>
          <w:rFonts w:hint="eastAsia" w:ascii="宋体" w:hAnsi="宋体" w:cs="宋体"/>
          <w:b/>
          <w:bCs/>
          <w:color w:val="FF0000"/>
          <w:sz w:val="24"/>
          <w:szCs w:val="24"/>
          <w:lang w:val="en-US" w:eastAsia="zh-CN"/>
        </w:rPr>
        <w:t>3</w:t>
      </w:r>
      <w:r>
        <w:rPr>
          <w:rFonts w:hint="eastAsia" w:ascii="宋体" w:hAnsi="宋体" w:cs="宋体"/>
          <w:b/>
          <w:bCs/>
          <w:color w:val="FF0000"/>
          <w:sz w:val="24"/>
          <w:szCs w:val="24"/>
        </w:rPr>
        <w:t>0分（北京时间）</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ascii="宋体" w:hAnsi="宋体" w:cs="宋体"/>
          <w:color w:val="FF0000"/>
          <w:sz w:val="24"/>
          <w:szCs w:val="24"/>
        </w:rPr>
      </w:pPr>
      <w:r>
        <w:rPr>
          <w:rFonts w:hint="eastAsia" w:ascii="宋体" w:hAnsi="宋体" w:cs="宋体"/>
          <w:b/>
          <w:bCs/>
          <w:color w:val="FF0000"/>
          <w:sz w:val="24"/>
          <w:szCs w:val="24"/>
        </w:rPr>
        <w:t>开标时间：2022年</w:t>
      </w:r>
      <w:r>
        <w:rPr>
          <w:rFonts w:hint="eastAsia" w:ascii="宋体" w:hAnsi="宋体" w:cs="宋体"/>
          <w:b/>
          <w:bCs/>
          <w:color w:val="FF0000"/>
          <w:sz w:val="24"/>
          <w:szCs w:val="24"/>
          <w:lang w:val="en-US" w:eastAsia="zh-CN"/>
        </w:rPr>
        <w:t>12</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1</w:t>
      </w:r>
      <w:r>
        <w:rPr>
          <w:rFonts w:hint="eastAsia" w:ascii="宋体" w:hAnsi="宋体" w:cs="宋体"/>
          <w:b/>
          <w:bCs/>
          <w:color w:val="FF0000"/>
          <w:sz w:val="24"/>
          <w:szCs w:val="24"/>
        </w:rPr>
        <w:t>日</w:t>
      </w:r>
      <w:r>
        <w:rPr>
          <w:rFonts w:hint="eastAsia" w:ascii="宋体" w:hAnsi="宋体" w:cs="宋体"/>
          <w:b/>
          <w:bCs/>
          <w:color w:val="FF0000"/>
          <w:sz w:val="24"/>
          <w:szCs w:val="24"/>
          <w:lang w:val="en-US" w:eastAsia="zh-CN"/>
        </w:rPr>
        <w:t>08</w:t>
      </w:r>
      <w:r>
        <w:rPr>
          <w:rFonts w:hint="eastAsia" w:ascii="宋体" w:hAnsi="宋体" w:cs="宋体"/>
          <w:b/>
          <w:bCs/>
          <w:color w:val="FF0000"/>
          <w:sz w:val="24"/>
          <w:szCs w:val="24"/>
        </w:rPr>
        <w:t>时</w:t>
      </w:r>
      <w:r>
        <w:rPr>
          <w:rFonts w:hint="eastAsia" w:ascii="宋体" w:hAnsi="宋体" w:cs="宋体"/>
          <w:b/>
          <w:bCs/>
          <w:color w:val="FF0000"/>
          <w:sz w:val="24"/>
          <w:szCs w:val="24"/>
          <w:lang w:val="en-US" w:eastAsia="zh-CN"/>
        </w:rPr>
        <w:t>3</w:t>
      </w:r>
      <w:r>
        <w:rPr>
          <w:rFonts w:hint="eastAsia" w:ascii="宋体" w:hAnsi="宋体" w:cs="宋体"/>
          <w:b/>
          <w:bCs/>
          <w:color w:val="FF0000"/>
          <w:sz w:val="24"/>
          <w:szCs w:val="24"/>
        </w:rPr>
        <w:t>0分</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rPr>
          <w:rFonts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自本公告发布之日起5个工作日。</w:t>
      </w:r>
    </w:p>
    <w:p>
      <w:pPr>
        <w:numPr>
          <w:ilvl w:val="0"/>
          <w:numId w:val="2"/>
        </w:numPr>
        <w:snapToGrid w:val="0"/>
        <w:spacing w:line="440" w:lineRule="atLeast"/>
        <w:rPr>
          <w:rFonts w:ascii="宋体" w:hAnsi="宋体" w:cs="宋体"/>
          <w:b/>
          <w:bCs/>
          <w:sz w:val="24"/>
        </w:rPr>
      </w:pPr>
      <w:r>
        <w:rPr>
          <w:rFonts w:hint="eastAsia" w:ascii="宋体" w:hAnsi="宋体" w:cs="宋体"/>
          <w:b/>
          <w:bCs/>
          <w:sz w:val="24"/>
        </w:rPr>
        <w:t>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p>
      <w:pPr>
        <w:pStyle w:val="28"/>
        <w:spacing w:line="440" w:lineRule="exact"/>
        <w:ind w:firstLine="0" w:firstLineChars="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名称：东阳市残疾人联合会</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地址：</w:t>
      </w:r>
      <w:r>
        <w:rPr>
          <w:rFonts w:hint="eastAsia" w:ascii="宋体" w:cs="宋体"/>
          <w:color w:val="000000"/>
          <w:sz w:val="24"/>
          <w:szCs w:val="24"/>
        </w:rPr>
        <w:t>东阳市城南西路265号</w:t>
      </w:r>
      <w:r>
        <w:rPr>
          <w:rFonts w:hint="eastAsia" w:ascii="宋体" w:hAnsi="宋体" w:cs="宋体"/>
          <w:sz w:val="24"/>
          <w:szCs w:val="24"/>
        </w:rPr>
        <w:t xml:space="preserve"> </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项目联系人（询问）：申屠永军 </w:t>
      </w:r>
    </w:p>
    <w:p>
      <w:pPr>
        <w:snapToGrid w:val="0"/>
        <w:spacing w:line="360" w:lineRule="auto"/>
        <w:ind w:firstLine="540" w:firstLineChars="225"/>
        <w:rPr>
          <w:rFonts w:hint="default" w:ascii="宋体" w:hAnsi="宋体" w:cs="宋体"/>
          <w:color w:val="000000"/>
          <w:sz w:val="24"/>
          <w:szCs w:val="24"/>
          <w:lang w:val="en-US" w:eastAsia="zh-CN"/>
        </w:rPr>
      </w:pPr>
      <w:r>
        <w:rPr>
          <w:rFonts w:hint="eastAsia" w:ascii="宋体" w:hAnsi="宋体" w:cs="宋体"/>
          <w:color w:val="000000"/>
          <w:sz w:val="24"/>
          <w:szCs w:val="24"/>
        </w:rPr>
        <w:t>项目联系方式（询问）：0579-</w:t>
      </w:r>
      <w:r>
        <w:rPr>
          <w:rFonts w:hint="eastAsia" w:ascii="宋体" w:hAnsi="宋体" w:cs="宋体"/>
          <w:color w:val="000000"/>
          <w:sz w:val="24"/>
          <w:szCs w:val="24"/>
          <w:lang w:val="en-US" w:eastAsia="zh-CN"/>
        </w:rPr>
        <w:t>86015725</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质疑联系人：任国洪             </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质疑联系方式：0579-</w:t>
      </w:r>
      <w:r>
        <w:rPr>
          <w:rFonts w:hint="eastAsia" w:ascii="宋体" w:hAnsi="宋体" w:cs="宋体"/>
          <w:color w:val="000000"/>
          <w:sz w:val="24"/>
          <w:szCs w:val="24"/>
          <w:lang w:val="en-US" w:eastAsia="zh-CN"/>
        </w:rPr>
        <w:t>86015705</w:t>
      </w:r>
    </w:p>
    <w:p>
      <w:pPr>
        <w:snapToGrid w:val="0"/>
        <w:spacing w:line="360" w:lineRule="auto"/>
        <w:ind w:left="480" w:leftChars="240"/>
        <w:rPr>
          <w:rFonts w:ascii="宋体" w:hAnsi="宋体" w:cs="宋体"/>
          <w:b/>
          <w:bCs/>
          <w:sz w:val="24"/>
          <w:szCs w:val="24"/>
        </w:rPr>
      </w:pPr>
      <w:r>
        <w:rPr>
          <w:rFonts w:hint="eastAsia" w:ascii="宋体" w:hAnsi="宋体" w:cs="宋体"/>
          <w:b/>
          <w:bCs/>
          <w:sz w:val="24"/>
          <w:szCs w:val="24"/>
        </w:rPr>
        <w:t>2、采购代理机构信息</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名称：东阳八婺招标代理有限公司</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color w:val="000000"/>
          <w:sz w:val="24"/>
          <w:szCs w:val="24"/>
        </w:rPr>
        <w:t>项目联系人</w:t>
      </w:r>
      <w:r>
        <w:rPr>
          <w:rFonts w:hint="eastAsia" w:ascii="宋体" w:hAnsi="宋体" w:cs="宋体"/>
          <w:sz w:val="24"/>
        </w:rPr>
        <w:t>（询问）</w:t>
      </w:r>
      <w:r>
        <w:rPr>
          <w:rFonts w:hint="eastAsia" w:ascii="宋体" w:hAnsi="宋体" w:cs="宋体"/>
          <w:color w:val="000000"/>
          <w:sz w:val="24"/>
          <w:szCs w:val="24"/>
        </w:rPr>
        <w:t xml:space="preserve">：韦张鑫  虞斐   </w:t>
      </w:r>
      <w:r>
        <w:rPr>
          <w:rFonts w:hint="eastAsia" w:ascii="宋体" w:hAnsi="宋体" w:cs="宋体"/>
          <w:sz w:val="24"/>
        </w:rPr>
        <w:t xml:space="preserve"> </w:t>
      </w:r>
    </w:p>
    <w:p>
      <w:pPr>
        <w:snapToGrid w:val="0"/>
        <w:spacing w:line="360" w:lineRule="auto"/>
        <w:ind w:firstLine="480" w:firstLineChars="200"/>
        <w:rPr>
          <w:rFonts w:ascii="宋体" w:hAnsi="宋体" w:cs="宋体"/>
          <w:color w:val="000000"/>
          <w:sz w:val="24"/>
          <w:szCs w:val="24"/>
        </w:rPr>
      </w:pPr>
      <w:r>
        <w:rPr>
          <w:rFonts w:hint="eastAsia" w:ascii="宋体" w:hAnsi="宋体" w:cs="宋体"/>
          <w:sz w:val="24"/>
        </w:rPr>
        <w:t>项目联系方式（询问）</w:t>
      </w:r>
      <w:r>
        <w:rPr>
          <w:rFonts w:hint="eastAsia" w:ascii="宋体" w:hAnsi="宋体" w:cs="宋体"/>
          <w:color w:val="000000"/>
          <w:sz w:val="24"/>
          <w:szCs w:val="24"/>
        </w:rPr>
        <w:t xml:space="preserve">：0579-86090018     </w:t>
      </w:r>
    </w:p>
    <w:p>
      <w:pPr>
        <w:snapToGrid w:val="0"/>
        <w:spacing w:line="360" w:lineRule="auto"/>
        <w:ind w:left="480" w:leftChars="240"/>
        <w:rPr>
          <w:rFonts w:ascii="宋体" w:hAnsi="宋体" w:cs="宋体"/>
          <w:sz w:val="24"/>
        </w:rPr>
      </w:pPr>
      <w:r>
        <w:rPr>
          <w:rFonts w:hint="eastAsia" w:ascii="宋体" w:hAnsi="宋体" w:cs="宋体"/>
          <w:sz w:val="24"/>
        </w:rPr>
        <w:t xml:space="preserve">质疑联系人：童宏艳              </w:t>
      </w:r>
    </w:p>
    <w:p>
      <w:pPr>
        <w:snapToGrid w:val="0"/>
        <w:spacing w:line="360" w:lineRule="auto"/>
        <w:ind w:left="480" w:leftChars="240"/>
        <w:rPr>
          <w:rFonts w:ascii="宋体" w:hAnsi="宋体" w:cs="宋体"/>
          <w:b/>
          <w:bCs/>
          <w:color w:val="000000"/>
          <w:sz w:val="24"/>
          <w:szCs w:val="24"/>
        </w:rPr>
      </w:pPr>
      <w:r>
        <w:rPr>
          <w:rFonts w:hint="eastAsia" w:ascii="宋体" w:hAnsi="宋体" w:cs="宋体"/>
          <w:sz w:val="24"/>
        </w:rPr>
        <w:t>质疑联系方式：0579-86090018</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 xml:space="preserve">名称：东阳市财政局采购办    </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 xml:space="preserve">地址：东阳市人民北路8号 </w:t>
      </w:r>
    </w:p>
    <w:p>
      <w:pPr>
        <w:snapToGrid w:val="0"/>
        <w:spacing w:line="360" w:lineRule="auto"/>
        <w:ind w:left="480" w:leftChars="240"/>
        <w:rPr>
          <w:rFonts w:ascii="宋体" w:hAnsi="宋体" w:cs="宋体"/>
          <w:b/>
          <w:bCs/>
          <w:color w:val="000000"/>
          <w:sz w:val="24"/>
          <w:szCs w:val="24"/>
        </w:rPr>
      </w:pPr>
      <w:r>
        <w:rPr>
          <w:rFonts w:hint="eastAsia" w:ascii="宋体" w:hAnsi="宋体" w:cs="宋体"/>
          <w:color w:val="000000"/>
          <w:sz w:val="24"/>
          <w:szCs w:val="24"/>
        </w:rPr>
        <w:t>监督投诉电话：0579-86662677</w:t>
      </w: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                                              东阳市残疾人联合会</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                                            东阳八婺招标代理有限公司</w:t>
      </w:r>
    </w:p>
    <w:p>
      <w:pPr>
        <w:snapToGrid w:val="0"/>
        <w:spacing w:line="360" w:lineRule="auto"/>
        <w:ind w:firstLine="540" w:firstLineChars="225"/>
        <w:rPr>
          <w:rFonts w:ascii="宋体" w:hAnsi="宋体" w:cs="宋体"/>
          <w:b/>
          <w:bCs/>
          <w:color w:val="000000"/>
          <w:sz w:val="24"/>
          <w:szCs w:val="24"/>
        </w:rPr>
      </w:pPr>
      <w:r>
        <w:rPr>
          <w:rFonts w:hint="eastAsia" w:ascii="宋体" w:hAnsi="宋体" w:cs="宋体"/>
          <w:color w:val="000000"/>
          <w:sz w:val="24"/>
          <w:szCs w:val="24"/>
        </w:rPr>
        <w:t xml:space="preserve">                                                 2022年</w:t>
      </w:r>
      <w:r>
        <w:rPr>
          <w:rFonts w:hint="eastAsia" w:ascii="宋体" w:hAnsi="宋体" w:cs="宋体"/>
          <w:color w:val="000000"/>
          <w:sz w:val="24"/>
          <w:szCs w:val="24"/>
          <w:lang w:val="en-US" w:eastAsia="zh-CN"/>
        </w:rPr>
        <w:t>11</w:t>
      </w:r>
      <w:r>
        <w:rPr>
          <w:rFonts w:hint="eastAsia" w:ascii="宋体" w:hAnsi="宋体" w:cs="宋体"/>
          <w:color w:val="000000"/>
          <w:sz w:val="24"/>
          <w:szCs w:val="24"/>
        </w:rPr>
        <w:t>月</w:t>
      </w:r>
      <w:r>
        <w:rPr>
          <w:rFonts w:hint="eastAsia" w:ascii="宋体" w:hAnsi="宋体" w:cs="宋体"/>
          <w:color w:val="000000"/>
          <w:sz w:val="24"/>
          <w:szCs w:val="24"/>
          <w:lang w:val="en-US" w:eastAsia="zh-CN"/>
        </w:rPr>
        <w:t>10</w:t>
      </w:r>
      <w:r>
        <w:rPr>
          <w:rFonts w:hint="eastAsia" w:ascii="宋体" w:hAnsi="宋体" w:cs="宋体"/>
          <w:color w:val="000000"/>
          <w:sz w:val="24"/>
          <w:szCs w:val="24"/>
        </w:rPr>
        <w:t>日</w:t>
      </w:r>
    </w:p>
    <w:p>
      <w:pPr>
        <w:snapToGrid w:val="0"/>
        <w:spacing w:line="440" w:lineRule="exact"/>
        <w:ind w:firstLine="482" w:firstLineChars="200"/>
        <w:rPr>
          <w:rFonts w:ascii="宋体" w:hAnsi="宋体" w:cs="宋体"/>
          <w:b/>
          <w:bCs/>
          <w:color w:val="000000"/>
          <w:sz w:val="24"/>
          <w:szCs w:val="24"/>
        </w:rPr>
      </w:pPr>
    </w:p>
    <w:p>
      <w:pPr>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tabs>
          <w:tab w:val="left" w:pos="851"/>
        </w:tabs>
        <w:snapToGrid w:val="0"/>
        <w:spacing w:line="360" w:lineRule="auto"/>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ind w:firstLine="3614" w:firstLineChars="1200"/>
        <w:jc w:val="left"/>
        <w:rPr>
          <w:rFonts w:ascii="宋体" w:hAnsi="宋体" w:cs="宋体"/>
          <w:b/>
          <w:bCs/>
          <w:color w:val="000000"/>
          <w:sz w:val="30"/>
          <w:szCs w:val="30"/>
        </w:rPr>
      </w:pPr>
    </w:p>
    <w:p>
      <w:pPr>
        <w:tabs>
          <w:tab w:val="left" w:pos="851"/>
        </w:tabs>
        <w:snapToGrid w:val="0"/>
        <w:spacing w:line="360" w:lineRule="auto"/>
        <w:jc w:val="left"/>
        <w:rPr>
          <w:rFonts w:ascii="宋体" w:hAnsi="宋体" w:cs="宋体"/>
          <w:b/>
          <w:bCs/>
          <w:color w:val="000000"/>
          <w:sz w:val="30"/>
          <w:szCs w:val="30"/>
        </w:rPr>
      </w:pPr>
    </w:p>
    <w:p>
      <w:pPr>
        <w:tabs>
          <w:tab w:val="left" w:pos="851"/>
        </w:tabs>
        <w:snapToGrid w:val="0"/>
        <w:spacing w:line="360" w:lineRule="auto"/>
        <w:ind w:firstLine="3915" w:firstLineChars="1300"/>
        <w:jc w:val="left"/>
        <w:rPr>
          <w:rFonts w:ascii="宋体" w:hAnsi="宋体" w:cs="宋体"/>
          <w:b/>
          <w:bCs/>
          <w:color w:val="000000"/>
          <w:sz w:val="30"/>
          <w:szCs w:val="30"/>
        </w:rPr>
      </w:pPr>
      <w:r>
        <w:rPr>
          <w:rFonts w:hint="eastAsia" w:ascii="宋体" w:hAnsi="宋体" w:cs="宋体"/>
          <w:b/>
          <w:bCs/>
          <w:color w:val="000000"/>
          <w:sz w:val="30"/>
          <w:szCs w:val="30"/>
        </w:rPr>
        <w:t>第二章  招标需求</w:t>
      </w:r>
    </w:p>
    <w:p>
      <w:pPr>
        <w:pStyle w:val="19"/>
        <w:spacing w:beforeLines="0" w:afterLines="0" w:line="440" w:lineRule="exact"/>
        <w:rPr>
          <w:rFonts w:hint="eastAsia" w:eastAsia="宋体"/>
          <w:b/>
          <w:lang w:eastAsia="zh-CN"/>
        </w:rPr>
      </w:pPr>
      <w:r>
        <w:rPr>
          <w:rFonts w:hint="eastAsia"/>
          <w:b/>
        </w:rPr>
        <w:t>一、项目编号：</w:t>
      </w:r>
      <w:r>
        <w:rPr>
          <w:rFonts w:hint="eastAsia"/>
          <w:b/>
          <w:lang w:eastAsia="zh-CN"/>
        </w:rPr>
        <w:t>DYBWCG2022-031</w:t>
      </w:r>
    </w:p>
    <w:p>
      <w:pPr>
        <w:pStyle w:val="19"/>
        <w:spacing w:beforeLines="0" w:afterLines="0" w:line="440" w:lineRule="exact"/>
        <w:rPr>
          <w:b/>
        </w:rPr>
      </w:pPr>
      <w:r>
        <w:rPr>
          <w:rFonts w:hint="eastAsia"/>
          <w:b/>
        </w:rPr>
        <w:t>二、项目名称：东阳市残疾人康复托养中心公建民营项目</w:t>
      </w:r>
    </w:p>
    <w:p>
      <w:pPr>
        <w:spacing w:line="440" w:lineRule="exact"/>
        <w:rPr>
          <w:rFonts w:ascii="宋体" w:hAnsi="宋体" w:cs="宋体"/>
          <w:b/>
          <w:bCs/>
          <w:sz w:val="24"/>
        </w:rPr>
      </w:pPr>
      <w:r>
        <w:rPr>
          <w:rFonts w:hint="eastAsia" w:ascii="宋体" w:hAnsi="宋体" w:cs="宋体"/>
          <w:b/>
          <w:bCs/>
          <w:sz w:val="24"/>
        </w:rPr>
        <w:t>三、项目概况</w:t>
      </w:r>
    </w:p>
    <w:p>
      <w:pPr>
        <w:spacing w:line="440" w:lineRule="exact"/>
        <w:ind w:firstLine="480" w:firstLineChars="200"/>
        <w:rPr>
          <w:rFonts w:ascii="宋体" w:hAnsi="宋体" w:cs="宋体"/>
          <w:sz w:val="24"/>
        </w:rPr>
      </w:pPr>
      <w:r>
        <w:rPr>
          <w:rFonts w:hint="eastAsia" w:ascii="宋体" w:hAnsi="宋体" w:cs="宋体"/>
          <w:sz w:val="24"/>
        </w:rPr>
        <w:t>1、项目地点位于东阳市白云街道城南西路265号，残疾人综合服务中心大院内的中心主楼A、B号楼，不动产权登记证号：浙（2020）东阳市不动产权第0060535号，总层数5层，总建筑面积10793.76平方米，其中残联留用2184.08平方米，公开招投标面积8609.68平方米。另在建项目残疾托养中心，总建筑面积为 5529 平方米（其中地上部分面积5241 平方米，地下室面积288平方米），总层数5层，主要用途为重度残疾人托养服务。</w:t>
      </w:r>
    </w:p>
    <w:p>
      <w:pPr>
        <w:spacing w:line="440" w:lineRule="exact"/>
        <w:ind w:firstLine="480" w:firstLineChars="200"/>
        <w:rPr>
          <w:rFonts w:ascii="宋体" w:hAnsi="宋体" w:cs="宋体"/>
          <w:sz w:val="24"/>
        </w:rPr>
      </w:pPr>
      <w:r>
        <w:rPr>
          <w:rFonts w:hint="eastAsia" w:ascii="宋体" w:hAnsi="宋体" w:cs="宋体"/>
          <w:sz w:val="24"/>
        </w:rPr>
        <w:t>中心主楼A、B楼招标面积如下：</w:t>
      </w:r>
    </w:p>
    <w:tbl>
      <w:tblPr>
        <w:tblStyle w:val="29"/>
        <w:tblW w:w="9600" w:type="dxa"/>
        <w:tblInd w:w="93" w:type="dxa"/>
        <w:tblLayout w:type="fixed"/>
        <w:tblCellMar>
          <w:top w:w="0" w:type="dxa"/>
          <w:left w:w="108" w:type="dxa"/>
          <w:bottom w:w="0" w:type="dxa"/>
          <w:right w:w="108" w:type="dxa"/>
        </w:tblCellMar>
      </w:tblPr>
      <w:tblGrid>
        <w:gridCol w:w="1582"/>
        <w:gridCol w:w="2128"/>
        <w:gridCol w:w="2031"/>
        <w:gridCol w:w="1664"/>
        <w:gridCol w:w="2195"/>
      </w:tblGrid>
      <w:tr>
        <w:tblPrEx>
          <w:tblCellMar>
            <w:top w:w="0" w:type="dxa"/>
            <w:left w:w="108" w:type="dxa"/>
            <w:bottom w:w="0" w:type="dxa"/>
            <w:right w:w="108" w:type="dxa"/>
          </w:tblCellMar>
        </w:tblPrEx>
        <w:trPr>
          <w:trHeight w:val="760" w:hRule="atLeast"/>
        </w:trPr>
        <w:tc>
          <w:tcPr>
            <w:tcW w:w="1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楼层号</w:t>
            </w:r>
          </w:p>
        </w:tc>
        <w:tc>
          <w:tcPr>
            <w:tcW w:w="2128"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不动产登记面积（平方米）</w:t>
            </w:r>
          </w:p>
        </w:tc>
        <w:tc>
          <w:tcPr>
            <w:tcW w:w="2031"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残联留用面积</w:t>
            </w:r>
          </w:p>
          <w:p>
            <w:pPr>
              <w:jc w:val="center"/>
              <w:textAlignment w:val="center"/>
              <w:rPr>
                <w:rFonts w:ascii="宋体" w:hAnsi="宋体" w:cs="宋体"/>
                <w:color w:val="000000"/>
                <w:sz w:val="24"/>
                <w:szCs w:val="24"/>
              </w:rPr>
            </w:pPr>
            <w:r>
              <w:rPr>
                <w:rFonts w:hint="eastAsia" w:ascii="宋体" w:hAnsi="宋体" w:cs="宋体"/>
                <w:color w:val="000000"/>
                <w:sz w:val="24"/>
                <w:szCs w:val="24"/>
              </w:rPr>
              <w:t>（平方米）</w:t>
            </w:r>
          </w:p>
        </w:tc>
        <w:tc>
          <w:tcPr>
            <w:tcW w:w="1664"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出租面积</w:t>
            </w:r>
          </w:p>
          <w:p>
            <w:pPr>
              <w:jc w:val="center"/>
              <w:textAlignment w:val="center"/>
              <w:rPr>
                <w:rFonts w:ascii="宋体" w:hAnsi="宋体" w:cs="宋体"/>
                <w:color w:val="000000"/>
                <w:sz w:val="24"/>
                <w:szCs w:val="24"/>
              </w:rPr>
            </w:pPr>
            <w:r>
              <w:rPr>
                <w:rFonts w:hint="eastAsia" w:ascii="宋体" w:hAnsi="宋体" w:cs="宋体"/>
                <w:color w:val="000000"/>
                <w:sz w:val="24"/>
                <w:szCs w:val="24"/>
              </w:rPr>
              <w:t>（平方米）</w:t>
            </w:r>
          </w:p>
        </w:tc>
        <w:tc>
          <w:tcPr>
            <w:tcW w:w="219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备注（留用面积用途）</w:t>
            </w:r>
          </w:p>
        </w:tc>
      </w:tr>
      <w:tr>
        <w:tblPrEx>
          <w:tblCellMar>
            <w:top w:w="0" w:type="dxa"/>
            <w:left w:w="108" w:type="dxa"/>
            <w:bottom w:w="0" w:type="dxa"/>
            <w:right w:w="108" w:type="dxa"/>
          </w:tblCellMar>
        </w:tblPrEx>
        <w:trPr>
          <w:trHeight w:val="760"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第一层</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2429.99</w:t>
            </w:r>
          </w:p>
        </w:tc>
        <w:tc>
          <w:tcPr>
            <w:tcW w:w="2031"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463.32</w:t>
            </w: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1966.67</w:t>
            </w:r>
          </w:p>
        </w:tc>
        <w:tc>
          <w:tcPr>
            <w:tcW w:w="219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残疾鉴定中心、辅助器具展示室</w:t>
            </w:r>
          </w:p>
        </w:tc>
      </w:tr>
      <w:tr>
        <w:tblPrEx>
          <w:tblCellMar>
            <w:top w:w="0" w:type="dxa"/>
            <w:left w:w="108" w:type="dxa"/>
            <w:bottom w:w="0" w:type="dxa"/>
            <w:right w:w="108" w:type="dxa"/>
          </w:tblCellMar>
        </w:tblPrEx>
        <w:trPr>
          <w:trHeight w:val="760"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第二层</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2180.61</w:t>
            </w:r>
          </w:p>
        </w:tc>
        <w:tc>
          <w:tcPr>
            <w:tcW w:w="2031"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1431.58</w:t>
            </w: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749.03</w:t>
            </w:r>
          </w:p>
        </w:tc>
        <w:tc>
          <w:tcPr>
            <w:tcW w:w="219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特殊幼儿园教室、单位食堂</w:t>
            </w:r>
          </w:p>
        </w:tc>
      </w:tr>
      <w:tr>
        <w:tblPrEx>
          <w:tblCellMar>
            <w:top w:w="0" w:type="dxa"/>
            <w:left w:w="108" w:type="dxa"/>
            <w:bottom w:w="0" w:type="dxa"/>
            <w:right w:w="108" w:type="dxa"/>
          </w:tblCellMar>
        </w:tblPrEx>
        <w:trPr>
          <w:trHeight w:val="5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第三、四层</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3897.22</w:t>
            </w:r>
          </w:p>
        </w:tc>
        <w:tc>
          <w:tcPr>
            <w:tcW w:w="2031"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3897.22</w:t>
            </w:r>
          </w:p>
        </w:tc>
        <w:tc>
          <w:tcPr>
            <w:tcW w:w="2195"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第五层</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1962.07</w:t>
            </w:r>
          </w:p>
        </w:tc>
        <w:tc>
          <w:tcPr>
            <w:tcW w:w="2031"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289.18</w:t>
            </w: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1672.89</w:t>
            </w:r>
          </w:p>
        </w:tc>
        <w:tc>
          <w:tcPr>
            <w:tcW w:w="219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残疾人劳动就业培训教室</w:t>
            </w:r>
          </w:p>
        </w:tc>
      </w:tr>
      <w:tr>
        <w:tblPrEx>
          <w:tblCellMar>
            <w:top w:w="0" w:type="dxa"/>
            <w:left w:w="108" w:type="dxa"/>
            <w:bottom w:w="0" w:type="dxa"/>
            <w:right w:w="108" w:type="dxa"/>
          </w:tblCellMar>
        </w:tblPrEx>
        <w:trPr>
          <w:trHeight w:val="600"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屋面</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251.7</w:t>
            </w:r>
          </w:p>
        </w:tc>
        <w:tc>
          <w:tcPr>
            <w:tcW w:w="2031"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251.7</w:t>
            </w:r>
          </w:p>
        </w:tc>
        <w:tc>
          <w:tcPr>
            <w:tcW w:w="219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电梯机房</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72.18</w:t>
            </w:r>
          </w:p>
        </w:tc>
        <w:tc>
          <w:tcPr>
            <w:tcW w:w="2031"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72.18</w:t>
            </w:r>
          </w:p>
        </w:tc>
        <w:tc>
          <w:tcPr>
            <w:tcW w:w="219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50"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合计</w:t>
            </w:r>
          </w:p>
        </w:tc>
        <w:tc>
          <w:tcPr>
            <w:tcW w:w="2128"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10793.76</w:t>
            </w:r>
          </w:p>
        </w:tc>
        <w:tc>
          <w:tcPr>
            <w:tcW w:w="2031"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2184.08</w:t>
            </w:r>
          </w:p>
        </w:tc>
        <w:tc>
          <w:tcPr>
            <w:tcW w:w="1664"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8609.68</w:t>
            </w:r>
          </w:p>
        </w:tc>
        <w:tc>
          <w:tcPr>
            <w:tcW w:w="219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bl>
    <w:p>
      <w:pPr>
        <w:spacing w:line="440" w:lineRule="exact"/>
        <w:ind w:firstLine="480" w:firstLineChars="200"/>
        <w:rPr>
          <w:rFonts w:ascii="宋体" w:hAnsi="宋体" w:cs="宋体"/>
          <w:sz w:val="24"/>
        </w:rPr>
      </w:pPr>
      <w:r>
        <w:rPr>
          <w:rFonts w:hint="eastAsia" w:ascii="宋体" w:hAnsi="宋体" w:cs="宋体"/>
          <w:sz w:val="24"/>
        </w:rPr>
        <w:t>2、中心项目采用“公建民营”"政府监管"“康养融合”“医护联合”的运营模式运行，入托东阳户籍持证残疾人需报东阳市残联备案后入住，实行人床对应。在保障东阳市残联关于指定重度残疾人员的床位数量的情况下，可面向社会按市场化运作，并按规定收取相关费用。</w:t>
      </w:r>
    </w:p>
    <w:p>
      <w:pPr>
        <w:spacing w:line="440" w:lineRule="exact"/>
        <w:ind w:firstLine="480" w:firstLineChars="200"/>
        <w:rPr>
          <w:rFonts w:ascii="宋体" w:hAnsi="宋体" w:cs="宋体"/>
          <w:sz w:val="24"/>
        </w:rPr>
      </w:pPr>
      <w:r>
        <w:rPr>
          <w:rFonts w:hint="eastAsia" w:ascii="宋体" w:hAnsi="宋体" w:cs="宋体"/>
          <w:sz w:val="24"/>
        </w:rPr>
        <w:t>3、东阳市残疾人托养中心大楼于2023年5月31前完工交付（具体以实际交付时间为准）。</w:t>
      </w:r>
    </w:p>
    <w:p>
      <w:pPr>
        <w:spacing w:line="440" w:lineRule="exact"/>
        <w:rPr>
          <w:rFonts w:ascii="宋体" w:hAnsi="宋体" w:cs="宋体"/>
          <w:b/>
          <w:bCs/>
          <w:sz w:val="24"/>
        </w:rPr>
      </w:pPr>
      <w:r>
        <w:rPr>
          <w:rFonts w:hint="eastAsia" w:ascii="宋体" w:hAnsi="宋体" w:cs="宋体"/>
          <w:b/>
          <w:bCs/>
          <w:sz w:val="24"/>
        </w:rPr>
        <w:t>四、托养对象</w:t>
      </w:r>
    </w:p>
    <w:p>
      <w:pPr>
        <w:spacing w:line="440" w:lineRule="exact"/>
        <w:ind w:firstLine="480" w:firstLineChars="200"/>
        <w:rPr>
          <w:rFonts w:ascii="宋体" w:hAnsi="宋体" w:cs="宋体"/>
          <w:sz w:val="24"/>
        </w:rPr>
      </w:pPr>
      <w:r>
        <w:rPr>
          <w:rFonts w:hint="eastAsia" w:ascii="宋体" w:hAnsi="宋体" w:cs="宋体"/>
          <w:sz w:val="24"/>
        </w:rPr>
        <w:t>本市户籍并持第三代残疾人证，年龄为就业年龄段内的肢体及智力一、二级残疾人；经市级三乙以上医院确诊无传染病、严重心脏病、严重感染疾病、严重心脑血管疾病的残疾人。</w:t>
      </w:r>
    </w:p>
    <w:p>
      <w:pPr>
        <w:spacing w:line="440" w:lineRule="exact"/>
        <w:rPr>
          <w:rFonts w:ascii="宋体" w:hAnsi="宋体" w:cs="宋体"/>
          <w:b/>
          <w:bCs/>
          <w:sz w:val="24"/>
        </w:rPr>
      </w:pPr>
      <w:r>
        <w:rPr>
          <w:rFonts w:hint="eastAsia" w:ascii="宋体" w:hAnsi="宋体" w:cs="宋体"/>
          <w:b/>
          <w:bCs/>
          <w:sz w:val="24"/>
        </w:rPr>
        <w:t>五、运营期限</w:t>
      </w:r>
    </w:p>
    <w:p>
      <w:pPr>
        <w:spacing w:line="440" w:lineRule="exact"/>
        <w:ind w:firstLine="480" w:firstLineChars="200"/>
        <w:rPr>
          <w:rFonts w:ascii="宋体" w:hAnsi="宋体" w:cs="宋体"/>
          <w:sz w:val="24"/>
        </w:rPr>
      </w:pPr>
      <w:r>
        <w:rPr>
          <w:rFonts w:hint="eastAsia" w:ascii="宋体" w:hAnsi="宋体" w:cs="宋体"/>
          <w:sz w:val="24"/>
        </w:rPr>
        <w:t>运营期限为二十年，自东阳市残疾人托养中心大楼交付之日起计算。（</w:t>
      </w:r>
      <w:r>
        <w:rPr>
          <w:rFonts w:hint="eastAsia" w:ascii="宋体" w:hAnsi="宋体" w:cs="宋体"/>
          <w:bCs/>
          <w:sz w:val="24"/>
        </w:rPr>
        <w:t>如运营期未满但上级部门对本项目另有统一安排的，则采购人有权终止合同。</w:t>
      </w:r>
      <w:r>
        <w:rPr>
          <w:rFonts w:hint="eastAsia" w:ascii="宋体" w:hAnsi="宋体" w:cs="宋体"/>
          <w:sz w:val="24"/>
        </w:rPr>
        <w:t>）</w:t>
      </w:r>
    </w:p>
    <w:p>
      <w:pPr>
        <w:spacing w:line="440" w:lineRule="exact"/>
        <w:rPr>
          <w:rFonts w:ascii="宋体" w:hAnsi="宋体" w:cs="宋体"/>
          <w:b/>
          <w:bCs/>
          <w:sz w:val="24"/>
        </w:rPr>
      </w:pPr>
      <w:r>
        <w:rPr>
          <w:rFonts w:hint="eastAsia" w:ascii="宋体" w:hAnsi="宋体" w:cs="宋体"/>
          <w:b/>
          <w:bCs/>
          <w:sz w:val="24"/>
        </w:rPr>
        <w:t>六、管理主体</w:t>
      </w:r>
    </w:p>
    <w:p>
      <w:pPr>
        <w:spacing w:line="440" w:lineRule="exact"/>
        <w:ind w:firstLine="480" w:firstLineChars="200"/>
        <w:rPr>
          <w:rFonts w:ascii="宋体" w:hAnsi="宋体" w:cs="宋体"/>
          <w:sz w:val="24"/>
        </w:rPr>
      </w:pPr>
      <w:r>
        <w:rPr>
          <w:rFonts w:hint="eastAsia" w:ascii="宋体" w:hAnsi="宋体" w:cs="宋体"/>
          <w:sz w:val="24"/>
        </w:rPr>
        <w:t>采购人作为东阳市残疾人康复托养中心项目的行政主管部门。东阳市残疾人康复中心作为项目的具体管理部门，负责对东阳市残疾人托养中心的服务质量、运行情况、财务管理进行指导、监督和检查。成交人应严格按照国家的法律法规、相关政策和东阳市残联的要求，自主经营、自负盈亏，独立承担民事责任。</w:t>
      </w:r>
    </w:p>
    <w:p>
      <w:pPr>
        <w:spacing w:line="440" w:lineRule="exact"/>
        <w:rPr>
          <w:rFonts w:ascii="宋体" w:hAnsi="宋体" w:cs="宋体"/>
          <w:b/>
          <w:bCs/>
          <w:sz w:val="24"/>
        </w:rPr>
      </w:pPr>
      <w:r>
        <w:rPr>
          <w:rFonts w:hint="eastAsia" w:ascii="宋体" w:hAnsi="宋体" w:cs="宋体"/>
          <w:b/>
          <w:bCs/>
          <w:sz w:val="24"/>
        </w:rPr>
        <w:t>七、服务商服务保障要求</w:t>
      </w:r>
    </w:p>
    <w:p>
      <w:pPr>
        <w:spacing w:line="440" w:lineRule="exact"/>
        <w:ind w:firstLine="482" w:firstLineChars="200"/>
        <w:rPr>
          <w:rFonts w:ascii="宋体" w:hAnsi="宋体" w:cs="宋体"/>
          <w:b/>
          <w:sz w:val="24"/>
        </w:rPr>
      </w:pPr>
      <w:r>
        <w:rPr>
          <w:rFonts w:hint="eastAsia" w:ascii="宋体" w:hAnsi="宋体" w:cs="宋体"/>
          <w:b/>
          <w:sz w:val="24"/>
        </w:rPr>
        <w:t>1、机构设置及团队要求</w:t>
      </w:r>
    </w:p>
    <w:p>
      <w:pPr>
        <w:spacing w:line="360" w:lineRule="auto"/>
        <w:ind w:firstLine="480" w:firstLineChars="200"/>
        <w:rPr>
          <w:rFonts w:ascii="宋体" w:hAnsi="宋体" w:cs="宋体"/>
          <w:sz w:val="24"/>
        </w:rPr>
      </w:pPr>
      <w:r>
        <w:rPr>
          <w:rFonts w:hint="eastAsia" w:ascii="宋体" w:hAnsi="宋体" w:cs="宋体"/>
          <w:sz w:val="24"/>
          <w:szCs w:val="22"/>
        </w:rPr>
        <w:t>1.1投标人须</w:t>
      </w:r>
      <w:r>
        <w:rPr>
          <w:rFonts w:hint="eastAsia" w:ascii="宋体" w:hAnsi="宋体"/>
          <w:sz w:val="24"/>
        </w:rPr>
        <w:t>具有三年以上（含）的养老机构、医疗机构成功营运的经验，具备组织本项目实施和采购文件规定的营运管理能力，以及履行合同的资金能力（提供相关业绩证明）。</w:t>
      </w:r>
    </w:p>
    <w:p>
      <w:pPr>
        <w:spacing w:line="440" w:lineRule="exact"/>
        <w:ind w:firstLine="480" w:firstLineChars="200"/>
        <w:rPr>
          <w:rFonts w:ascii="宋体" w:hAnsi="宋体" w:cs="宋体"/>
          <w:sz w:val="24"/>
        </w:rPr>
      </w:pPr>
      <w:r>
        <w:rPr>
          <w:rFonts w:hint="eastAsia" w:ascii="宋体" w:hAnsi="宋体" w:cs="宋体"/>
          <w:sz w:val="24"/>
        </w:rPr>
        <w:t>1.2合同签订后，成交人应在120工作日内注册成立具有独立法人资格的运营机构，为具体运营主体。成交人运营机构必须设立于东阳市境内，注册资本不得低于1000万元人民币，经营范围涵盖具备履行本项目义务的所有内容。</w:t>
      </w:r>
    </w:p>
    <w:p>
      <w:pPr>
        <w:spacing w:line="440" w:lineRule="exact"/>
        <w:ind w:firstLine="482" w:firstLineChars="200"/>
        <w:rPr>
          <w:rFonts w:ascii="宋体" w:hAnsi="宋体" w:cs="宋体"/>
          <w:b/>
          <w:sz w:val="24"/>
        </w:rPr>
      </w:pPr>
      <w:r>
        <w:rPr>
          <w:rFonts w:hint="eastAsia" w:ascii="宋体" w:hAnsi="宋体" w:cs="宋体"/>
          <w:b/>
          <w:sz w:val="24"/>
        </w:rPr>
        <w:t>成交人项目执行期间</w:t>
      </w:r>
      <w:r>
        <w:rPr>
          <w:rFonts w:ascii="宋体" w:hAnsi="宋体" w:cs="宋体"/>
          <w:b/>
          <w:sz w:val="24"/>
        </w:rPr>
        <w:t>未按照</w:t>
      </w:r>
      <w:r>
        <w:rPr>
          <w:rFonts w:hint="eastAsia" w:ascii="宋体" w:hAnsi="宋体" w:cs="宋体"/>
          <w:b/>
          <w:sz w:val="24"/>
        </w:rPr>
        <w:t>上述要求</w:t>
      </w:r>
      <w:r>
        <w:rPr>
          <w:rFonts w:ascii="宋体" w:hAnsi="宋体" w:cs="宋体"/>
          <w:b/>
          <w:sz w:val="24"/>
        </w:rPr>
        <w:t>履</w:t>
      </w:r>
      <w:r>
        <w:rPr>
          <w:rFonts w:hint="eastAsia" w:ascii="宋体" w:hAnsi="宋体" w:cs="宋体"/>
          <w:b/>
          <w:sz w:val="24"/>
        </w:rPr>
        <w:t>约</w:t>
      </w:r>
      <w:r>
        <w:rPr>
          <w:rFonts w:ascii="宋体" w:hAnsi="宋体" w:cs="宋体"/>
          <w:b/>
          <w:sz w:val="24"/>
        </w:rPr>
        <w:t>的，</w:t>
      </w:r>
      <w:r>
        <w:rPr>
          <w:rFonts w:hint="eastAsia" w:ascii="宋体" w:hAnsi="宋体" w:cs="宋体"/>
          <w:b/>
          <w:sz w:val="24"/>
        </w:rPr>
        <w:t>采购人</w:t>
      </w:r>
      <w:r>
        <w:rPr>
          <w:rFonts w:ascii="宋体" w:hAnsi="宋体" w:cs="宋体"/>
          <w:b/>
          <w:sz w:val="24"/>
        </w:rPr>
        <w:t>有权单方解除合同，且不予以返还</w:t>
      </w:r>
      <w:r>
        <w:rPr>
          <w:rFonts w:hint="eastAsia" w:ascii="宋体" w:hAnsi="宋体" w:cs="宋体"/>
          <w:b/>
          <w:sz w:val="24"/>
        </w:rPr>
        <w:t>成交人</w:t>
      </w:r>
      <w:r>
        <w:rPr>
          <w:rFonts w:ascii="宋体" w:hAnsi="宋体" w:cs="宋体"/>
          <w:b/>
          <w:sz w:val="24"/>
        </w:rPr>
        <w:t>支付的履约保证金。</w:t>
      </w:r>
    </w:p>
    <w:p>
      <w:pPr>
        <w:spacing w:line="440" w:lineRule="exact"/>
        <w:ind w:firstLine="480" w:firstLineChars="200"/>
        <w:rPr>
          <w:rFonts w:ascii="宋体" w:hAnsi="宋体" w:cs="宋体"/>
          <w:sz w:val="24"/>
        </w:rPr>
      </w:pPr>
      <w:r>
        <w:rPr>
          <w:rFonts w:hint="eastAsia" w:ascii="宋体" w:hAnsi="宋体" w:cs="宋体"/>
          <w:sz w:val="24"/>
        </w:rPr>
        <w:t>1.3</w:t>
      </w:r>
      <w:r>
        <w:rPr>
          <w:rFonts w:ascii="宋体" w:hAnsi="宋体" w:cs="宋体"/>
          <w:sz w:val="24"/>
        </w:rPr>
        <w:t>运营主体成立后，自然承接本</w:t>
      </w:r>
      <w:r>
        <w:rPr>
          <w:rFonts w:hint="eastAsia" w:ascii="宋体" w:hAnsi="宋体" w:cs="宋体"/>
          <w:sz w:val="24"/>
        </w:rPr>
        <w:t>项目</w:t>
      </w:r>
      <w:r>
        <w:rPr>
          <w:rFonts w:ascii="宋体" w:hAnsi="宋体" w:cs="宋体"/>
          <w:sz w:val="24"/>
        </w:rPr>
        <w:t>中成交人的权利和义务，但成交人仍对所有义务承担连带责任。</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▲1.4该项目团队由管理人员、医生、康复治疗师、护士、护理员、保洁人员、后勤人员等组成。</w:t>
      </w:r>
    </w:p>
    <w:p>
      <w:pPr>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rPr>
        <w:t>1.4.1托养护理员配备及要求：根据《关于进一步健全残疾人康复和托养服务体系的实施意见》的要求，护理人员数量与托养人员按照不低于1：6比例配备</w:t>
      </w:r>
      <w:r>
        <w:rPr>
          <w:rFonts w:hint="eastAsia" w:ascii="宋体" w:hAnsi="宋体" w:cs="宋体"/>
          <w:color w:val="000000" w:themeColor="text1"/>
          <w:sz w:val="24"/>
          <w:highlight w:val="none"/>
        </w:rPr>
        <w:t>，其中全科医生1名，康复治疗师2名；心理咨询和疏导专业1人员、管理人员2名 、财务人员1名，安保人员1名。护理主任1名，护理组长若干名。以上护理人员的配置为最基本的人员配置要求，入托残疾人员护理服务人员的数量不得低于该要求。</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1.4.2康复及医疗、后勤保障人员配备及要求：根据残疾人托养的康复要求及医疗保障要求,项目人员配备须</w:t>
      </w:r>
      <w:r>
        <w:rPr>
          <w:rFonts w:hint="eastAsia" w:ascii="宋体" w:hAnsi="宋体" w:cs="宋体"/>
          <w:sz w:val="24"/>
        </w:rPr>
        <w:t>符合卫健部门相关要求，</w:t>
      </w:r>
      <w:r>
        <w:rPr>
          <w:rFonts w:hint="eastAsia" w:ascii="宋体" w:hAnsi="宋体" w:cs="宋体"/>
          <w:color w:val="000000" w:themeColor="text1"/>
          <w:sz w:val="24"/>
        </w:rPr>
        <w:t>所有费用包含在人员经费项目内。以上专技人员须先满足入托残疾人非医疗康复项目的需求，因服务机构为入托残疾人开展的医疗、康复服务，可参照浙江省医疗机构服务价格另行收费，如开展医疗康复服务项目多，康复治疗师应另行招聘，人员经费由服务机构自行解决。</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1.4.3持证上岗，严格人员录用。服务机构应保证所录用人员身体健康、无传染性疾病、无刑事违法或处分犯罪记录、要求持证上岗，专技人员有职业资格证书。服务机构必须在合同签订前提供所有工作人员的有效职称证、上岗证等原件供审核，所有人员必须专职为东阳市残疾人康复托养中心服务，不得兼职。</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1.4.4规范管理，确保服务质量。各类服务人员按岗位统一着装，言行规范，文明礼貌，体现优质服务。为提高入托残疾人员托养服务质量，所有服务人员还需进行礼仪、残疾人托养服务、优质服务等培训。</w:t>
      </w:r>
    </w:p>
    <w:p>
      <w:pPr>
        <w:spacing w:line="440" w:lineRule="exact"/>
        <w:ind w:firstLine="480" w:firstLineChars="200"/>
        <w:rPr>
          <w:rFonts w:ascii="宋体" w:hAnsi="宋体" w:cs="宋体"/>
          <w:sz w:val="24"/>
        </w:rPr>
      </w:pPr>
      <w:r>
        <w:rPr>
          <w:rFonts w:hint="eastAsia" w:ascii="宋体" w:hAnsi="宋体" w:cs="宋体"/>
          <w:sz w:val="24"/>
        </w:rPr>
        <w:t>1.5为确保项目正常运营管理，成交人必须明确内部管理职能；本项目的主要负责人除培训、会议、休假外，必须常驻该项目。如确因患病、辞职等原因需更换主要负责人，需提前1个月向采购人提出并进行备案。</w:t>
      </w:r>
    </w:p>
    <w:p>
      <w:pPr>
        <w:spacing w:line="440" w:lineRule="exact"/>
        <w:ind w:firstLine="482" w:firstLineChars="200"/>
        <w:rPr>
          <w:rFonts w:ascii="宋体" w:hAnsi="宋体" w:cs="宋体"/>
          <w:sz w:val="24"/>
        </w:rPr>
      </w:pPr>
      <w:r>
        <w:rPr>
          <w:rFonts w:hint="eastAsia" w:ascii="宋体" w:hAnsi="宋体"/>
          <w:b/>
          <w:bCs/>
          <w:sz w:val="24"/>
        </w:rPr>
        <w:t>▲</w:t>
      </w:r>
      <w:r>
        <w:rPr>
          <w:rFonts w:hint="eastAsia" w:ascii="宋体" w:hAnsi="宋体" w:cs="宋体"/>
          <w:sz w:val="24"/>
        </w:rPr>
        <w:t>1.6采购人支持成交人在本项目设置医疗康复机构，审批办理手续由成交人自行负责，医疗康复设备及设施由成交人自行采购建设，同时允许对外开展医疗康复服务。医疗康复机构应设置内科、中医科、康复科、心理咨询科、老年科等有关医技科室。</w:t>
      </w:r>
    </w:p>
    <w:p>
      <w:pPr>
        <w:spacing w:line="440" w:lineRule="exact"/>
        <w:ind w:firstLine="480" w:firstLineChars="200"/>
        <w:rPr>
          <w:rFonts w:ascii="宋体" w:hAnsi="宋体" w:cs="宋体"/>
          <w:sz w:val="24"/>
        </w:rPr>
      </w:pPr>
      <w:r>
        <w:rPr>
          <w:rFonts w:hint="eastAsia" w:ascii="宋体" w:hAnsi="宋体" w:cs="宋体"/>
          <w:sz w:val="24"/>
        </w:rPr>
        <w:t>1.7对有执业资格要求的工作岗位，成交人必须按要求执证上岗。所有工作人员都必须经过身体健康检查合格，并持有健康证，才能上岗。</w:t>
      </w:r>
    </w:p>
    <w:p>
      <w:pPr>
        <w:spacing w:line="440" w:lineRule="exact"/>
        <w:ind w:firstLine="480" w:firstLineChars="200"/>
        <w:rPr>
          <w:rFonts w:ascii="宋体" w:hAnsi="宋体" w:cs="宋体"/>
          <w:sz w:val="24"/>
        </w:rPr>
      </w:pPr>
      <w:r>
        <w:rPr>
          <w:rFonts w:hint="eastAsia" w:ascii="宋体" w:hAnsi="宋体" w:cs="宋体"/>
          <w:sz w:val="24"/>
        </w:rPr>
        <w:t>2、成交人应保证并保障运营主体的经营定位能满足采购人的所有要求。</w:t>
      </w:r>
    </w:p>
    <w:p>
      <w:pPr>
        <w:spacing w:line="440" w:lineRule="exact"/>
        <w:ind w:firstLine="480" w:firstLineChars="200"/>
        <w:rPr>
          <w:rFonts w:ascii="宋体" w:hAnsi="宋体" w:cs="宋体"/>
          <w:sz w:val="24"/>
        </w:rPr>
      </w:pPr>
      <w:r>
        <w:rPr>
          <w:rFonts w:hint="eastAsia" w:ascii="宋体" w:hAnsi="宋体" w:cs="宋体"/>
          <w:sz w:val="24"/>
        </w:rPr>
        <w:t>3、成交人应保证并保障运营主体依法经营，自负盈亏。</w:t>
      </w:r>
    </w:p>
    <w:p>
      <w:pPr>
        <w:spacing w:line="440" w:lineRule="exact"/>
        <w:ind w:firstLine="480" w:firstLineChars="200"/>
        <w:rPr>
          <w:rFonts w:ascii="宋体" w:hAnsi="宋体" w:cs="宋体"/>
          <w:sz w:val="24"/>
        </w:rPr>
      </w:pPr>
      <w:r>
        <w:rPr>
          <w:rFonts w:hint="eastAsia" w:ascii="宋体" w:hAnsi="宋体" w:cs="宋体"/>
          <w:sz w:val="24"/>
        </w:rPr>
        <w:t>4、成交人应保证并保障运营主体在合同终止时，能够确保平稳有序合理稳妥地安置被服务对象。</w:t>
      </w:r>
    </w:p>
    <w:p>
      <w:pPr>
        <w:spacing w:line="440" w:lineRule="exact"/>
        <w:rPr>
          <w:rFonts w:ascii="宋体" w:hAnsi="宋体" w:cs="宋体"/>
          <w:b/>
          <w:bCs/>
          <w:sz w:val="24"/>
        </w:rPr>
      </w:pPr>
      <w:r>
        <w:rPr>
          <w:rFonts w:hint="eastAsia" w:ascii="宋体" w:hAnsi="宋体" w:cs="宋体"/>
          <w:b/>
          <w:bCs/>
          <w:sz w:val="24"/>
        </w:rPr>
        <w:t>八、服务管理</w:t>
      </w:r>
    </w:p>
    <w:p>
      <w:pPr>
        <w:spacing w:line="440" w:lineRule="exact"/>
        <w:ind w:firstLine="482" w:firstLineChars="200"/>
        <w:rPr>
          <w:rFonts w:ascii="宋体" w:hAnsi="宋体" w:cs="宋体"/>
          <w:b/>
          <w:bCs/>
          <w:sz w:val="24"/>
        </w:rPr>
      </w:pPr>
      <w:r>
        <w:rPr>
          <w:rFonts w:hint="eastAsia" w:ascii="宋体" w:hAnsi="宋体" w:cs="宋体"/>
          <w:b/>
          <w:bCs/>
          <w:sz w:val="24"/>
        </w:rPr>
        <w:t>1、规章制度</w:t>
      </w:r>
    </w:p>
    <w:p>
      <w:pPr>
        <w:spacing w:line="440" w:lineRule="exact"/>
        <w:ind w:firstLine="480" w:firstLineChars="200"/>
        <w:rPr>
          <w:rFonts w:ascii="宋体" w:hAnsi="宋体" w:cs="宋体"/>
          <w:sz w:val="24"/>
        </w:rPr>
      </w:pPr>
      <w:r>
        <w:rPr>
          <w:rFonts w:hint="eastAsia" w:ascii="宋体" w:hAnsi="宋体" w:cs="宋体"/>
          <w:sz w:val="24"/>
        </w:rPr>
        <w:t>1.1制定健全各类行政、人事、档案管理等规章和制度。</w:t>
      </w:r>
    </w:p>
    <w:p>
      <w:pPr>
        <w:spacing w:line="440" w:lineRule="exact"/>
        <w:ind w:firstLine="480" w:firstLineChars="200"/>
        <w:rPr>
          <w:rFonts w:ascii="宋体" w:hAnsi="宋体" w:cs="宋体"/>
          <w:sz w:val="24"/>
        </w:rPr>
      </w:pPr>
      <w:r>
        <w:rPr>
          <w:rFonts w:hint="eastAsia" w:ascii="宋体" w:hAnsi="宋体" w:cs="宋体"/>
          <w:sz w:val="24"/>
        </w:rPr>
        <w:t>1.2建立合同责任机制，与托养人员或其家属、监护人签订具有法律效力的托养服务协议。</w:t>
      </w:r>
    </w:p>
    <w:p>
      <w:pPr>
        <w:spacing w:line="440" w:lineRule="exact"/>
        <w:ind w:firstLine="480" w:firstLineChars="200"/>
        <w:rPr>
          <w:rFonts w:ascii="宋体" w:hAnsi="宋体" w:cs="宋体"/>
          <w:sz w:val="24"/>
        </w:rPr>
      </w:pPr>
      <w:r>
        <w:rPr>
          <w:rFonts w:hint="eastAsia" w:ascii="宋体" w:hAnsi="宋体" w:cs="宋体"/>
          <w:sz w:val="24"/>
        </w:rPr>
        <w:t>1.3财务制度健全，凭证、账簿符合财务规定。社会捐助、政府补助资金专款专用，有详尽的使用记录，定期公开财务报表。</w:t>
      </w:r>
    </w:p>
    <w:p>
      <w:pPr>
        <w:spacing w:line="440" w:lineRule="exact"/>
        <w:ind w:firstLine="480" w:firstLineChars="200"/>
        <w:rPr>
          <w:rFonts w:ascii="宋体" w:hAnsi="宋体" w:cs="宋体"/>
          <w:sz w:val="24"/>
        </w:rPr>
      </w:pPr>
      <w:r>
        <w:rPr>
          <w:rFonts w:hint="eastAsia" w:ascii="宋体" w:hAnsi="宋体" w:cs="宋体"/>
          <w:sz w:val="24"/>
        </w:rPr>
        <w:t>1.4制定清晰、准确的服务说明书，包括机构介绍、服务设施、服务内容和项目、收费项目和收费标准、服务承诺、相关费用减免政策等。服务说明书应以适当方式公开。</w:t>
      </w:r>
    </w:p>
    <w:p>
      <w:pPr>
        <w:spacing w:line="440" w:lineRule="exact"/>
        <w:ind w:firstLine="480" w:firstLineChars="200"/>
        <w:rPr>
          <w:rFonts w:ascii="宋体" w:hAnsi="宋体" w:cs="宋体"/>
          <w:sz w:val="24"/>
        </w:rPr>
      </w:pPr>
      <w:r>
        <w:rPr>
          <w:rFonts w:hint="eastAsia" w:ascii="宋体" w:hAnsi="宋体" w:cs="宋体"/>
          <w:sz w:val="24"/>
        </w:rPr>
        <w:t>1.5服务人员岗位职责明确，公开上墙。</w:t>
      </w:r>
    </w:p>
    <w:p>
      <w:pPr>
        <w:spacing w:line="440" w:lineRule="exact"/>
        <w:ind w:firstLine="480" w:firstLineChars="200"/>
        <w:rPr>
          <w:rFonts w:ascii="宋体" w:hAnsi="宋体" w:cs="宋体"/>
          <w:sz w:val="24"/>
        </w:rPr>
      </w:pPr>
      <w:r>
        <w:rPr>
          <w:rFonts w:hint="eastAsia" w:ascii="宋体" w:hAnsi="宋体" w:cs="宋体"/>
          <w:sz w:val="24"/>
        </w:rPr>
        <w:t>1.6应有家属探访制度和服务回访制度。</w:t>
      </w:r>
    </w:p>
    <w:p>
      <w:pPr>
        <w:spacing w:line="440" w:lineRule="exact"/>
        <w:ind w:firstLine="480" w:firstLineChars="200"/>
        <w:rPr>
          <w:rFonts w:ascii="宋体" w:hAnsi="宋体" w:cs="宋体"/>
          <w:sz w:val="24"/>
        </w:rPr>
      </w:pPr>
      <w:r>
        <w:rPr>
          <w:rFonts w:hint="eastAsia" w:ascii="宋体" w:hAnsi="宋体" w:cs="宋体"/>
          <w:sz w:val="24"/>
        </w:rPr>
        <w:t>1.7按照政府要求制定和落实疫情防控制度和措施。</w:t>
      </w:r>
    </w:p>
    <w:p>
      <w:pPr>
        <w:spacing w:line="440" w:lineRule="exact"/>
        <w:rPr>
          <w:rFonts w:ascii="宋体" w:hAnsi="宋体" w:cs="宋体"/>
          <w:b/>
          <w:bCs/>
          <w:sz w:val="24"/>
        </w:rPr>
      </w:pPr>
      <w:r>
        <w:rPr>
          <w:rFonts w:hint="eastAsia" w:ascii="宋体" w:hAnsi="宋体" w:cs="宋体"/>
          <w:b/>
          <w:bCs/>
          <w:sz w:val="24"/>
        </w:rPr>
        <w:t>九、服务协议</w:t>
      </w:r>
    </w:p>
    <w:p>
      <w:pPr>
        <w:spacing w:line="440" w:lineRule="exact"/>
        <w:ind w:firstLine="480" w:firstLineChars="200"/>
        <w:rPr>
          <w:rFonts w:ascii="宋体" w:hAnsi="宋体" w:cs="宋体"/>
          <w:sz w:val="24"/>
        </w:rPr>
      </w:pPr>
      <w:r>
        <w:rPr>
          <w:rFonts w:hint="eastAsia" w:ascii="宋体" w:hAnsi="宋体" w:cs="宋体"/>
          <w:sz w:val="24"/>
        </w:rPr>
        <w:t>1、托养服务机构应对拟托养人员的托养适宜性及护理等级进行评估，评估结果应得到家属或监护人认可。</w:t>
      </w:r>
    </w:p>
    <w:p>
      <w:pPr>
        <w:spacing w:line="440" w:lineRule="exact"/>
        <w:ind w:firstLine="480" w:firstLineChars="200"/>
        <w:rPr>
          <w:rFonts w:ascii="宋体" w:hAnsi="宋体" w:cs="宋体"/>
          <w:sz w:val="24"/>
        </w:rPr>
      </w:pPr>
      <w:r>
        <w:rPr>
          <w:rFonts w:hint="eastAsia" w:ascii="宋体" w:hAnsi="宋体" w:cs="宋体"/>
          <w:sz w:val="24"/>
        </w:rPr>
        <w:t>2、签订协议之前，应有有效途径供托养人员或其监护人进行信息咨询和反馈。</w:t>
      </w:r>
    </w:p>
    <w:p>
      <w:pPr>
        <w:spacing w:line="440" w:lineRule="exact"/>
        <w:ind w:firstLine="480" w:firstLineChars="200"/>
        <w:rPr>
          <w:rFonts w:ascii="宋体" w:hAnsi="宋体" w:cs="宋体"/>
          <w:sz w:val="24"/>
        </w:rPr>
      </w:pPr>
      <w:r>
        <w:rPr>
          <w:rFonts w:hint="eastAsia" w:ascii="宋体" w:hAnsi="宋体" w:cs="宋体"/>
          <w:sz w:val="24"/>
        </w:rPr>
        <w:t>3、入托前应与每一位托养人员或其家属、监护人签订具有法律效力、权责清晰的托养服务协议。</w:t>
      </w:r>
    </w:p>
    <w:p>
      <w:pPr>
        <w:spacing w:line="440" w:lineRule="exact"/>
        <w:ind w:firstLine="480" w:firstLineChars="200"/>
        <w:rPr>
          <w:rFonts w:ascii="宋体" w:hAnsi="宋体" w:cs="宋体"/>
          <w:sz w:val="24"/>
        </w:rPr>
      </w:pPr>
      <w:r>
        <w:rPr>
          <w:rFonts w:hint="eastAsia" w:ascii="宋体" w:hAnsi="宋体" w:cs="宋体"/>
          <w:sz w:val="24"/>
        </w:rPr>
        <w:t>4、协议中应确定服务对象、服务内容、服务方式、服务流程、服务时间、收费标准及其他必要事项。</w:t>
      </w:r>
    </w:p>
    <w:p>
      <w:pPr>
        <w:spacing w:line="440" w:lineRule="exact"/>
        <w:ind w:firstLine="480" w:firstLineChars="200"/>
        <w:rPr>
          <w:rFonts w:ascii="宋体" w:hAnsi="宋体" w:cs="宋体"/>
          <w:sz w:val="24"/>
        </w:rPr>
      </w:pPr>
      <w:r>
        <w:rPr>
          <w:rFonts w:hint="eastAsia" w:ascii="宋体" w:hAnsi="宋体" w:cs="宋体"/>
          <w:sz w:val="24"/>
        </w:rPr>
        <w:t>5、托养服务机构应按照协议提供相应的服务。妥善保存和管理服务对象的个人信息，尊重和保护服务对象个人隐私。</w:t>
      </w:r>
    </w:p>
    <w:p>
      <w:pPr>
        <w:spacing w:line="440" w:lineRule="exact"/>
        <w:rPr>
          <w:rFonts w:ascii="宋体" w:hAnsi="宋体" w:cs="宋体"/>
          <w:b/>
          <w:bCs/>
          <w:sz w:val="24"/>
        </w:rPr>
      </w:pPr>
      <w:r>
        <w:rPr>
          <w:rFonts w:hint="eastAsia" w:ascii="宋体" w:hAnsi="宋体" w:cs="宋体"/>
          <w:b/>
          <w:bCs/>
          <w:sz w:val="24"/>
        </w:rPr>
        <w:t xml:space="preserve">十、安全要求 </w:t>
      </w:r>
    </w:p>
    <w:p>
      <w:pPr>
        <w:spacing w:line="440" w:lineRule="exact"/>
        <w:ind w:firstLine="480" w:firstLineChars="200"/>
        <w:rPr>
          <w:rFonts w:ascii="宋体" w:hAnsi="宋体" w:cs="宋体"/>
          <w:sz w:val="24"/>
        </w:rPr>
      </w:pPr>
      <w:r>
        <w:rPr>
          <w:rFonts w:hint="eastAsia" w:ascii="宋体" w:hAnsi="宋体" w:cs="宋体"/>
          <w:sz w:val="24"/>
        </w:rPr>
        <w:t xml:space="preserve">1、评估托养人员不安全因素，制定意外事故的预防方案，落实各项安全保护措施。 </w:t>
      </w:r>
    </w:p>
    <w:p>
      <w:pPr>
        <w:spacing w:line="440" w:lineRule="exact"/>
        <w:ind w:firstLine="480" w:firstLineChars="200"/>
        <w:rPr>
          <w:rFonts w:ascii="宋体" w:hAnsi="宋体" w:cs="宋体"/>
          <w:sz w:val="24"/>
        </w:rPr>
      </w:pPr>
      <w:r>
        <w:rPr>
          <w:rFonts w:hint="eastAsia" w:ascii="宋体" w:hAnsi="宋体" w:cs="宋体"/>
          <w:sz w:val="24"/>
        </w:rPr>
        <w:t xml:space="preserve">2、对于易发生坠床、座椅意外的托养人员，应正确使用床栏、座椅加保护带等保护器具。 </w:t>
      </w:r>
    </w:p>
    <w:p>
      <w:pPr>
        <w:spacing w:line="440" w:lineRule="exact"/>
        <w:ind w:firstLine="480" w:firstLineChars="200"/>
        <w:rPr>
          <w:rFonts w:ascii="宋体" w:hAnsi="宋体" w:cs="宋体"/>
          <w:sz w:val="24"/>
        </w:rPr>
      </w:pPr>
      <w:r>
        <w:rPr>
          <w:rFonts w:hint="eastAsia" w:ascii="宋体" w:hAnsi="宋体" w:cs="宋体"/>
          <w:sz w:val="24"/>
        </w:rPr>
        <w:t xml:space="preserve">3、对入托人员中发现患有传染病的托养人员要迅速采取隔离保护措施。 </w:t>
      </w:r>
    </w:p>
    <w:p>
      <w:pPr>
        <w:spacing w:line="440" w:lineRule="exact"/>
        <w:ind w:firstLine="480" w:firstLineChars="200"/>
        <w:rPr>
          <w:rFonts w:ascii="宋体" w:hAnsi="宋体" w:cs="宋体"/>
          <w:sz w:val="24"/>
        </w:rPr>
      </w:pPr>
      <w:r>
        <w:rPr>
          <w:rFonts w:hint="eastAsia" w:ascii="宋体" w:hAnsi="宋体" w:cs="宋体"/>
          <w:sz w:val="24"/>
        </w:rPr>
        <w:t xml:space="preserve">4、中标方工作人员在合同期间所发生的工伤、意外伤（亡）害等费用均由中标方承担。 </w:t>
      </w:r>
    </w:p>
    <w:p>
      <w:pPr>
        <w:spacing w:line="440" w:lineRule="exact"/>
        <w:rPr>
          <w:rFonts w:ascii="宋体" w:hAnsi="宋体" w:cs="宋体"/>
          <w:b/>
          <w:bCs/>
          <w:sz w:val="24"/>
        </w:rPr>
      </w:pPr>
      <w:r>
        <w:rPr>
          <w:rFonts w:hint="eastAsia" w:ascii="宋体" w:hAnsi="宋体" w:cs="宋体"/>
          <w:b/>
          <w:bCs/>
          <w:sz w:val="24"/>
        </w:rPr>
        <w:t>十一、意外情况处理</w:t>
      </w:r>
    </w:p>
    <w:p>
      <w:pPr>
        <w:spacing w:line="440" w:lineRule="exact"/>
        <w:ind w:firstLine="480" w:firstLineChars="200"/>
        <w:rPr>
          <w:rFonts w:ascii="宋体" w:hAnsi="宋体" w:cs="宋体"/>
          <w:sz w:val="24"/>
        </w:rPr>
      </w:pPr>
      <w:r>
        <w:rPr>
          <w:rFonts w:hint="eastAsia" w:ascii="宋体" w:hAnsi="宋体" w:cs="宋体"/>
          <w:sz w:val="24"/>
        </w:rPr>
        <w:t xml:space="preserve">托养期间发生的意外情况由中标方负责处理： </w:t>
      </w:r>
    </w:p>
    <w:p>
      <w:pPr>
        <w:spacing w:line="440" w:lineRule="exact"/>
        <w:ind w:firstLine="480" w:firstLineChars="200"/>
        <w:rPr>
          <w:rFonts w:ascii="宋体" w:hAnsi="宋体" w:cs="宋体"/>
          <w:sz w:val="24"/>
        </w:rPr>
      </w:pPr>
      <w:r>
        <w:rPr>
          <w:rFonts w:hint="eastAsia" w:ascii="宋体" w:hAnsi="宋体" w:cs="宋体"/>
          <w:sz w:val="24"/>
        </w:rPr>
        <w:t xml:space="preserve">1、由于中标方工作人员工作不到位而引起的托养人员走失、跌倒、坠床、烫伤、噎食、皮肤压疮、火灾等意外，以及其他由于中标方工作人员工作不到位而引起托养人员伤害及可能引发的不良后果。 </w:t>
      </w:r>
    </w:p>
    <w:p>
      <w:pPr>
        <w:spacing w:line="440" w:lineRule="exact"/>
        <w:ind w:firstLine="480" w:firstLineChars="200"/>
        <w:rPr>
          <w:rFonts w:ascii="宋体" w:hAnsi="宋体" w:cs="宋体"/>
          <w:sz w:val="24"/>
        </w:rPr>
      </w:pPr>
      <w:r>
        <w:rPr>
          <w:rFonts w:hint="eastAsia" w:ascii="宋体" w:hAnsi="宋体" w:cs="宋体"/>
          <w:sz w:val="24"/>
        </w:rPr>
        <w:t>2、若发生其他事故，中标方应按人道主义精神第一时间给予应急帮助，事后分清托养对象和托养机构责任，承担相应责任。</w:t>
      </w:r>
    </w:p>
    <w:p>
      <w:pPr>
        <w:spacing w:line="440" w:lineRule="exact"/>
        <w:rPr>
          <w:rFonts w:ascii="宋体" w:hAnsi="宋体" w:cs="宋体"/>
          <w:b/>
          <w:bCs/>
          <w:sz w:val="24"/>
        </w:rPr>
      </w:pPr>
      <w:r>
        <w:rPr>
          <w:rFonts w:hint="eastAsia" w:ascii="宋体" w:hAnsi="宋体" w:cs="宋体"/>
          <w:b/>
          <w:bCs/>
          <w:sz w:val="24"/>
        </w:rPr>
        <w:t>十二、服务范围</w:t>
      </w:r>
    </w:p>
    <w:p>
      <w:pPr>
        <w:spacing w:line="440" w:lineRule="exact"/>
        <w:ind w:firstLine="480" w:firstLineChars="200"/>
        <w:rPr>
          <w:rFonts w:ascii="宋体" w:hAnsi="宋体" w:cs="宋体"/>
          <w:sz w:val="24"/>
        </w:rPr>
      </w:pPr>
      <w:r>
        <w:rPr>
          <w:rFonts w:hint="eastAsia" w:ascii="宋体" w:hAnsi="宋体" w:cs="宋体"/>
          <w:sz w:val="24"/>
        </w:rPr>
        <w:t>1、为符合条件的智力和肢体残疾人，提供基本生活照料和护理服务、康复训练服务、医疗保健服务、职业康复和劳动技能训练和社会延伸服务。</w:t>
      </w:r>
    </w:p>
    <w:p>
      <w:pPr>
        <w:spacing w:line="440" w:lineRule="exact"/>
        <w:ind w:firstLine="482" w:firstLineChars="200"/>
        <w:rPr>
          <w:rFonts w:ascii="宋体" w:hAnsi="宋体" w:cs="宋体"/>
          <w:sz w:val="24"/>
        </w:rPr>
      </w:pPr>
      <w:r>
        <w:rPr>
          <w:rFonts w:hint="eastAsia" w:ascii="宋体" w:hAnsi="宋体"/>
          <w:b/>
          <w:bCs/>
          <w:sz w:val="24"/>
        </w:rPr>
        <w:t>▲</w:t>
      </w:r>
      <w:r>
        <w:rPr>
          <w:rFonts w:hint="eastAsia" w:ascii="宋体" w:hAnsi="宋体" w:cs="宋体"/>
          <w:sz w:val="24"/>
        </w:rPr>
        <w:t>2、采购人在中心项目中允许成交人设置康复医疗机构，在满足本项目自身的医疗康复需求的基础上，允许对外经营。同时要求成交人配置托养床位不低于150张，供符合条件的东阳市残疾人使用。</w:t>
      </w:r>
    </w:p>
    <w:p>
      <w:pPr>
        <w:spacing w:line="440" w:lineRule="exact"/>
        <w:rPr>
          <w:rFonts w:ascii="宋体" w:hAnsi="宋体" w:cs="宋体"/>
          <w:b/>
          <w:bCs/>
          <w:sz w:val="24"/>
        </w:rPr>
      </w:pPr>
      <w:r>
        <w:rPr>
          <w:rFonts w:hint="eastAsia" w:ascii="宋体" w:hAnsi="宋体" w:cs="宋体"/>
          <w:b/>
          <w:bCs/>
          <w:sz w:val="24"/>
        </w:rPr>
        <w:t>十三、服务标准及要求</w:t>
      </w:r>
    </w:p>
    <w:p>
      <w:pPr>
        <w:spacing w:line="440" w:lineRule="exact"/>
        <w:ind w:firstLine="480" w:firstLineChars="200"/>
        <w:rPr>
          <w:rFonts w:ascii="宋体" w:hAnsi="宋体" w:cs="宋体"/>
          <w:b/>
          <w:sz w:val="24"/>
        </w:rPr>
      </w:pPr>
      <w:r>
        <w:rPr>
          <w:rFonts w:hint="eastAsia" w:ascii="宋体" w:hAnsi="宋体" w:cs="宋体"/>
          <w:sz w:val="24"/>
        </w:rPr>
        <w:t>1、成交人应保持中心项目的公益性，承担一定的社会责任。</w:t>
      </w:r>
    </w:p>
    <w:p>
      <w:pPr>
        <w:spacing w:line="440" w:lineRule="exact"/>
        <w:ind w:firstLine="480" w:firstLineChars="200"/>
        <w:rPr>
          <w:rFonts w:ascii="宋体" w:hAnsi="宋体" w:cs="宋体"/>
          <w:sz w:val="24"/>
        </w:rPr>
      </w:pPr>
      <w:r>
        <w:rPr>
          <w:rFonts w:hint="eastAsia" w:ascii="宋体" w:hAnsi="宋体" w:cs="宋体"/>
          <w:sz w:val="24"/>
        </w:rPr>
        <w:t>2、成交人在运营期间，认真执行《残疾人托养服务基本规范（试行）》为标准的规定要求，健全组织，狠抓服务质量，按照标准配备相关工作人员，定期组织医务人员、康复护理员等工作人员职业资格培训、职称管理，达到持证上岗的要求，切实维护入住残疾人的合法权益，提供优质贴心服务。如上级政府部门各级出台相应新的托养服务规范，以最高护理服务要求规范为标准，及时整改。</w:t>
      </w:r>
    </w:p>
    <w:p>
      <w:pPr>
        <w:spacing w:line="440" w:lineRule="exact"/>
        <w:ind w:firstLine="480" w:firstLineChars="200"/>
        <w:rPr>
          <w:rFonts w:ascii="宋体" w:hAnsi="宋体" w:cs="宋体"/>
          <w:sz w:val="24"/>
        </w:rPr>
      </w:pPr>
      <w:r>
        <w:rPr>
          <w:rFonts w:hint="eastAsia" w:ascii="宋体" w:hAnsi="宋体" w:cs="宋体"/>
          <w:sz w:val="24"/>
        </w:rPr>
        <w:t>3、成交人在运营期间，要按照标准化、专业化、特色化、个性化的服务要求，康养融合、医护结合发展，提高入住率和满意度，避免事故发生。</w:t>
      </w:r>
    </w:p>
    <w:p>
      <w:pPr>
        <w:spacing w:line="440" w:lineRule="exact"/>
        <w:ind w:firstLine="480" w:firstLineChars="200"/>
        <w:rPr>
          <w:rFonts w:ascii="宋体" w:hAnsi="宋体" w:cs="宋体"/>
          <w:sz w:val="24"/>
        </w:rPr>
      </w:pPr>
      <w:r>
        <w:rPr>
          <w:rFonts w:hint="eastAsia" w:ascii="宋体" w:hAnsi="宋体" w:cs="宋体"/>
          <w:sz w:val="24"/>
        </w:rPr>
        <w:t>4、成交人应提供专业的社会工作服务，定期举办各种丰富多彩的文体活动，并组织残疾人参与各种兴趣小组活动，满足残疾人精神文化需求，对于临终的残疾人员要设置临终关怀区域。</w:t>
      </w:r>
    </w:p>
    <w:p>
      <w:pPr>
        <w:spacing w:line="440" w:lineRule="exact"/>
        <w:ind w:firstLine="482" w:firstLineChars="200"/>
        <w:rPr>
          <w:rFonts w:ascii="宋体" w:hAnsi="宋体" w:cs="宋体"/>
          <w:b/>
          <w:sz w:val="24"/>
        </w:rPr>
      </w:pPr>
      <w:r>
        <w:rPr>
          <w:rFonts w:hint="eastAsia" w:ascii="宋体" w:hAnsi="宋体"/>
          <w:b/>
          <w:bCs/>
          <w:sz w:val="24"/>
        </w:rPr>
        <w:t>▲</w:t>
      </w:r>
      <w:r>
        <w:rPr>
          <w:rFonts w:hint="eastAsia" w:ascii="宋体" w:hAnsi="宋体" w:cs="宋体"/>
          <w:b/>
          <w:sz w:val="24"/>
        </w:rPr>
        <w:t>5、本项目要求配置托养床位不低于150张，供东阳市残疾人使用。其中，第一个五年60张，第六年增加至70张；第十一年增加至80张；必须用于低保低边重度残疾人。</w:t>
      </w:r>
    </w:p>
    <w:p>
      <w:pPr>
        <w:numPr>
          <w:ilvl w:val="0"/>
          <w:numId w:val="3"/>
        </w:numPr>
        <w:spacing w:line="440" w:lineRule="exact"/>
        <w:ind w:firstLine="480" w:firstLineChars="200"/>
        <w:rPr>
          <w:rFonts w:ascii="宋体" w:hAnsi="宋体" w:cs="宋体"/>
          <w:sz w:val="24"/>
        </w:rPr>
      </w:pPr>
      <w:r>
        <w:rPr>
          <w:rFonts w:hint="eastAsia" w:ascii="宋体" w:hAnsi="宋体" w:cs="宋体"/>
          <w:sz w:val="24"/>
        </w:rPr>
        <w:t>成交人根据采购人的安排，必须接管托养中心的医疗事务，无偿为托养人员提供日常医疗保障服务如下：</w:t>
      </w:r>
    </w:p>
    <w:p>
      <w:pPr>
        <w:numPr>
          <w:ilvl w:val="0"/>
          <w:numId w:val="4"/>
        </w:numPr>
        <w:spacing w:line="440" w:lineRule="exact"/>
        <w:ind w:firstLine="240" w:firstLineChars="100"/>
        <w:rPr>
          <w:rFonts w:ascii="宋体" w:hAnsi="宋体" w:cs="宋体"/>
          <w:sz w:val="24"/>
        </w:rPr>
      </w:pPr>
      <w:r>
        <w:rPr>
          <w:rFonts w:hint="eastAsia" w:ascii="宋体" w:hAnsi="宋体" w:cs="宋体"/>
          <w:sz w:val="24"/>
        </w:rPr>
        <w:t>一天三次查房；其中医生查房一天不少于一次；</w:t>
      </w:r>
    </w:p>
    <w:p>
      <w:pPr>
        <w:numPr>
          <w:ilvl w:val="0"/>
          <w:numId w:val="4"/>
        </w:numPr>
        <w:spacing w:line="440" w:lineRule="exact"/>
        <w:ind w:firstLine="240" w:firstLineChars="100"/>
        <w:rPr>
          <w:rFonts w:ascii="宋体" w:hAnsi="宋体" w:cs="宋体"/>
          <w:sz w:val="24"/>
        </w:rPr>
      </w:pPr>
      <w:r>
        <w:rPr>
          <w:rFonts w:hint="eastAsia" w:ascii="宋体" w:hAnsi="宋体" w:cs="宋体"/>
          <w:sz w:val="24"/>
        </w:rPr>
        <w:t>特困供养对象中的重度残疾人入住成交人康复机构期间，其餐费、护理费等生活费用实行包干政策，即每人每月费用按特困人员供养补贴、护理补贴标准计算；</w:t>
      </w:r>
    </w:p>
    <w:p>
      <w:pPr>
        <w:numPr>
          <w:ilvl w:val="0"/>
          <w:numId w:val="4"/>
        </w:numPr>
        <w:spacing w:line="440" w:lineRule="exact"/>
        <w:ind w:firstLine="240" w:firstLineChars="100"/>
        <w:rPr>
          <w:rFonts w:ascii="宋体" w:hAnsi="宋体" w:cs="宋体"/>
          <w:sz w:val="24"/>
        </w:rPr>
      </w:pPr>
      <w:r>
        <w:rPr>
          <w:rFonts w:hint="eastAsia" w:ascii="宋体" w:hAnsi="宋体" w:cs="宋体"/>
          <w:sz w:val="24"/>
        </w:rPr>
        <w:t>成交人在取得合法的医疗机构资质，并按规定纳入医保协议管理后，参照东阳市医共</w:t>
      </w:r>
    </w:p>
    <w:p>
      <w:pPr>
        <w:spacing w:line="440" w:lineRule="exact"/>
        <w:rPr>
          <w:rFonts w:ascii="宋体" w:hAnsi="宋体" w:cs="宋体"/>
          <w:sz w:val="24"/>
        </w:rPr>
      </w:pPr>
      <w:r>
        <w:rPr>
          <w:rFonts w:hint="eastAsia" w:ascii="宋体" w:hAnsi="宋体" w:cs="宋体"/>
          <w:sz w:val="24"/>
        </w:rPr>
        <w:t>体支付改革模式管理。</w:t>
      </w:r>
    </w:p>
    <w:p>
      <w:pPr>
        <w:adjustRightInd w:val="0"/>
        <w:spacing w:line="440" w:lineRule="exact"/>
        <w:rPr>
          <w:rFonts w:ascii="宋体" w:hAnsi="宋体" w:cs="宋体"/>
          <w:b/>
          <w:sz w:val="24"/>
          <w:szCs w:val="24"/>
        </w:rPr>
      </w:pPr>
      <w:r>
        <w:rPr>
          <w:rFonts w:hint="eastAsia" w:ascii="宋体" w:hAnsi="宋体" w:cs="宋体"/>
          <w:b/>
          <w:kern w:val="2"/>
          <w:sz w:val="24"/>
          <w:szCs w:val="24"/>
        </w:rPr>
        <w:t>十四、服务项目收费标准</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1、项目托养服务收费参照《浙江省物价局 浙江省民政厅关于印发&lt;浙江省养老服务收费管理暂行办法&gt;的通知》（浙价费〔2014〕235号）,根据服务成本和合理回报测算后确定，并报东阳市物价部门批准后实施。医疗康复服务收费以卫健部门、医保部门的标准为准。</w:t>
      </w:r>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2、低保人员收费标准最高不超过当期每月政府公布的低保救助金，困难残疾人生活补贴和重度残疾人护理补贴（含机构托养增递升的50%）最高标准的总和；低边人员收费标准</w:t>
      </w:r>
      <w:r>
        <w:rPr>
          <w:rFonts w:hint="eastAsia" w:ascii="宋体" w:hAnsi="宋体" w:cs="宋体"/>
          <w:b/>
          <w:sz w:val="24"/>
          <w:highlight w:val="none"/>
          <w:lang w:eastAsia="zh-CN"/>
        </w:rPr>
        <w:t>参照同类型</w:t>
      </w:r>
      <w:r>
        <w:rPr>
          <w:rFonts w:hint="eastAsia" w:ascii="宋体" w:hAnsi="宋体" w:cs="宋体"/>
          <w:b/>
          <w:sz w:val="24"/>
          <w:highlight w:val="none"/>
        </w:rPr>
        <w:t>低保</w:t>
      </w:r>
      <w:r>
        <w:rPr>
          <w:rFonts w:hint="eastAsia" w:ascii="宋体" w:hAnsi="宋体" w:cs="宋体"/>
          <w:b/>
          <w:sz w:val="24"/>
          <w:highlight w:val="none"/>
          <w:lang w:eastAsia="zh-CN"/>
        </w:rPr>
        <w:t>对象</w:t>
      </w:r>
      <w:r>
        <w:rPr>
          <w:rFonts w:hint="eastAsia" w:ascii="宋体" w:hAnsi="宋体" w:cs="宋体"/>
          <w:b/>
          <w:sz w:val="24"/>
          <w:highlight w:val="none"/>
        </w:rPr>
        <w:t>标准，差额部分由托养人自付。</w:t>
      </w:r>
    </w:p>
    <w:p>
      <w:pPr>
        <w:spacing w:line="440" w:lineRule="exact"/>
        <w:ind w:firstLine="480" w:firstLineChars="200"/>
        <w:rPr>
          <w:rFonts w:ascii="宋体" w:hAnsi="宋体" w:cs="宋体"/>
          <w:sz w:val="24"/>
        </w:rPr>
      </w:pPr>
      <w:r>
        <w:rPr>
          <w:rFonts w:hint="eastAsia" w:ascii="宋体" w:hAnsi="宋体" w:cs="宋体"/>
          <w:sz w:val="24"/>
        </w:rPr>
        <w:t>3、管理及服务人员的工资预算中，员工工资、工作时间不得低于本市对于最低工资标准、每月最高工作时间的相关规定，所有工作人员必须交纳包括养老、工伤、失业、医疗等在内的社会保险。</w:t>
      </w:r>
    </w:p>
    <w:p>
      <w:pPr>
        <w:spacing w:line="440" w:lineRule="exact"/>
        <w:ind w:firstLine="480" w:firstLineChars="200"/>
        <w:rPr>
          <w:rFonts w:ascii="宋体" w:hAnsi="宋体" w:cs="宋体"/>
          <w:sz w:val="24"/>
        </w:rPr>
      </w:pPr>
      <w:r>
        <w:rPr>
          <w:rFonts w:hint="eastAsia" w:ascii="宋体" w:hAnsi="宋体" w:cs="宋体"/>
          <w:sz w:val="24"/>
        </w:rPr>
        <w:t>4、入托残疾人员托养服务的劳动用具费、操作实施时所需低值易耗品、清洁用品费、设备器材、办公费及日常维修费由服务机构承担。</w:t>
      </w:r>
    </w:p>
    <w:p>
      <w:pPr>
        <w:spacing w:line="440" w:lineRule="exact"/>
        <w:ind w:firstLine="480" w:firstLineChars="200"/>
        <w:rPr>
          <w:rFonts w:ascii="宋体" w:hAnsi="宋体" w:cs="宋体"/>
          <w:sz w:val="24"/>
        </w:rPr>
      </w:pPr>
      <w:r>
        <w:rPr>
          <w:rFonts w:hint="eastAsia" w:ascii="宋体" w:hAnsi="宋体" w:cs="宋体"/>
          <w:sz w:val="24"/>
        </w:rPr>
        <w:t>5、市残联根据质量考核标准每月进行考核，对于入托残疾人员托养服务质量不达标的，按相应比例扣除服务费。</w:t>
      </w:r>
    </w:p>
    <w:p>
      <w:pPr>
        <w:spacing w:line="440" w:lineRule="exact"/>
        <w:ind w:firstLine="480" w:firstLineChars="200"/>
        <w:rPr>
          <w:rFonts w:ascii="宋体" w:hAnsi="宋体" w:cs="宋体"/>
          <w:sz w:val="24"/>
        </w:rPr>
      </w:pPr>
      <w:r>
        <w:rPr>
          <w:rFonts w:hint="eastAsia" w:ascii="宋体" w:hAnsi="宋体" w:cs="宋体"/>
          <w:sz w:val="24"/>
        </w:rPr>
        <w:t>6、成交人不得对入住被服务对象以优惠、买断等任何名义和形式提前收取若干年的入住费用，收费周期最长为一年。</w:t>
      </w:r>
    </w:p>
    <w:p>
      <w:pPr>
        <w:spacing w:line="440" w:lineRule="exact"/>
        <w:ind w:firstLine="480" w:firstLineChars="200"/>
        <w:rPr>
          <w:rFonts w:ascii="宋体" w:hAnsi="宋体" w:cs="宋体"/>
          <w:sz w:val="24"/>
        </w:rPr>
      </w:pPr>
      <w:r>
        <w:rPr>
          <w:rFonts w:hint="eastAsia" w:ascii="宋体" w:hAnsi="宋体" w:cs="宋体"/>
          <w:sz w:val="24"/>
        </w:rPr>
        <w:t>7、入住的被服务对象收取押金或备用金最高不得超过每人5000元。</w:t>
      </w:r>
    </w:p>
    <w:p>
      <w:pPr>
        <w:spacing w:line="440" w:lineRule="exact"/>
        <w:rPr>
          <w:rFonts w:ascii="宋体" w:hAnsi="宋体" w:cs="宋体"/>
          <w:sz w:val="24"/>
        </w:rPr>
      </w:pPr>
      <w:r>
        <w:rPr>
          <w:rFonts w:hint="eastAsia" w:ascii="宋体" w:hAnsi="宋体" w:cs="宋体"/>
          <w:b/>
          <w:bCs/>
          <w:sz w:val="24"/>
        </w:rPr>
        <w:t>十五、投资要求</w:t>
      </w:r>
    </w:p>
    <w:p>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1、成交人充分考虑项目医疗康复的设施配备要求，添置满足入住残疾人医疗需求的活动器材及医疗设施（清单</w:t>
      </w:r>
      <w:r>
        <w:rPr>
          <w:rFonts w:hint="eastAsia" w:ascii="宋体" w:hAnsi="宋体" w:cs="宋体"/>
          <w:b/>
          <w:bCs/>
          <w:sz w:val="24"/>
          <w:highlight w:val="none"/>
          <w:lang w:eastAsia="zh-CN"/>
        </w:rPr>
        <w:t>详见</w:t>
      </w:r>
      <w:r>
        <w:rPr>
          <w:rFonts w:hint="eastAsia" w:ascii="宋体" w:hAnsi="宋体" w:cs="宋体"/>
          <w:b/>
          <w:bCs/>
          <w:sz w:val="24"/>
          <w:highlight w:val="none"/>
        </w:rPr>
        <w:t>附</w:t>
      </w:r>
      <w:r>
        <w:rPr>
          <w:rFonts w:hint="eastAsia" w:ascii="宋体" w:hAnsi="宋体" w:cs="宋体"/>
          <w:b/>
          <w:bCs/>
          <w:sz w:val="24"/>
          <w:highlight w:val="none"/>
          <w:lang w:eastAsia="zh-CN"/>
        </w:rPr>
        <w:t>件</w:t>
      </w:r>
      <w:r>
        <w:rPr>
          <w:rFonts w:hint="eastAsia" w:ascii="宋体" w:hAnsi="宋体" w:cs="宋体"/>
          <w:b/>
          <w:bCs/>
          <w:sz w:val="24"/>
          <w:highlight w:val="none"/>
        </w:rPr>
        <w:t>），要求成交人承诺3年内投入不少于1500万元的资金（其中活动器材及医疗设施金额为不少于500万元，基本设备配置必须满足托养人员要求），用于房屋装修、消防改造、医疗康复设备购置等经费支出。</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2、服务满三年后，将由采购人委托具有相应资质的中介机构进行审计，以确定上述投资是否足额到位</w:t>
      </w:r>
      <w:r>
        <w:rPr>
          <w:rFonts w:hint="eastAsia" w:ascii="宋体" w:hAnsi="宋体" w:cs="宋体"/>
          <w:sz w:val="24"/>
          <w:lang w:eastAsia="zh-CN"/>
        </w:rPr>
        <w:t>；如审计金额达不到足额，则采购人有权终止合同。</w:t>
      </w:r>
    </w:p>
    <w:p>
      <w:pPr>
        <w:spacing w:line="440" w:lineRule="exact"/>
        <w:rPr>
          <w:rFonts w:ascii="宋体" w:hAnsi="宋体" w:cs="宋体"/>
          <w:b/>
          <w:bCs/>
          <w:sz w:val="24"/>
        </w:rPr>
      </w:pPr>
      <w:r>
        <w:rPr>
          <w:rFonts w:hint="eastAsia" w:ascii="宋体" w:hAnsi="宋体" w:cs="宋体"/>
          <w:b/>
          <w:bCs/>
          <w:sz w:val="24"/>
        </w:rPr>
        <w:t>十六、财务管理</w:t>
      </w:r>
    </w:p>
    <w:p>
      <w:pPr>
        <w:spacing w:line="440" w:lineRule="exact"/>
        <w:ind w:firstLine="480" w:firstLineChars="200"/>
        <w:rPr>
          <w:rFonts w:ascii="宋体" w:hAnsi="宋体" w:cs="宋体"/>
          <w:sz w:val="24"/>
        </w:rPr>
      </w:pPr>
      <w:r>
        <w:rPr>
          <w:rFonts w:hint="eastAsia" w:ascii="宋体" w:hAnsi="宋体" w:cs="宋体"/>
          <w:sz w:val="24"/>
        </w:rPr>
        <w:t>1、成交人实行独立、公开透明的财务制度，每年提交经营情况的审计报告给采购人；对于社会捐赠、政府购买服务、政府补贴等财政收入应实行专款专用，采购人有权进行监管并对此类经费使用管理情况进行审计。</w:t>
      </w:r>
    </w:p>
    <w:p>
      <w:pPr>
        <w:spacing w:line="440" w:lineRule="exact"/>
        <w:ind w:firstLine="480" w:firstLineChars="200"/>
        <w:rPr>
          <w:rFonts w:ascii="宋体" w:hAnsi="宋体" w:cs="宋体"/>
          <w:sz w:val="24"/>
        </w:rPr>
      </w:pPr>
      <w:r>
        <w:rPr>
          <w:rFonts w:hint="eastAsia" w:ascii="宋体" w:hAnsi="宋体" w:cs="宋体"/>
          <w:sz w:val="24"/>
        </w:rPr>
        <w:t>2、成交人须严格执行有关会计制度及有关财经法律、法规。</w:t>
      </w:r>
    </w:p>
    <w:p>
      <w:pPr>
        <w:spacing w:line="440" w:lineRule="exact"/>
        <w:rPr>
          <w:rFonts w:ascii="宋体" w:hAnsi="宋体" w:cs="宋体"/>
          <w:b/>
          <w:bCs/>
          <w:sz w:val="24"/>
        </w:rPr>
      </w:pPr>
      <w:r>
        <w:rPr>
          <w:rFonts w:hint="eastAsia" w:ascii="宋体" w:hAnsi="宋体" w:cs="宋体"/>
          <w:b/>
          <w:bCs/>
          <w:sz w:val="24"/>
        </w:rPr>
        <w:t>十七、安全保障</w:t>
      </w:r>
    </w:p>
    <w:p>
      <w:pPr>
        <w:spacing w:line="440" w:lineRule="exact"/>
        <w:ind w:firstLine="480" w:firstLineChars="200"/>
        <w:rPr>
          <w:rFonts w:ascii="宋体" w:hAnsi="宋体" w:cs="宋体"/>
          <w:sz w:val="24"/>
        </w:rPr>
      </w:pPr>
      <w:r>
        <w:rPr>
          <w:rFonts w:hint="eastAsia" w:ascii="宋体" w:hAnsi="宋体" w:cs="宋体"/>
          <w:sz w:val="24"/>
        </w:rPr>
        <w:t>1、成交人必须切实做好安全保障各项工作，严格执行安全生产规范管理的有关规定，确保经营场所内人员的人身、财产安全。必须做好医疗机构开业前的基本医疗保障工作。按有关要求参加机构运行的各项责任险，并做好投保工作。</w:t>
      </w:r>
    </w:p>
    <w:p>
      <w:pPr>
        <w:spacing w:line="440" w:lineRule="exact"/>
        <w:ind w:firstLine="480" w:firstLineChars="200"/>
        <w:rPr>
          <w:rFonts w:ascii="宋体" w:hAnsi="宋体" w:cs="宋体"/>
          <w:sz w:val="24"/>
        </w:rPr>
      </w:pPr>
      <w:r>
        <w:rPr>
          <w:rFonts w:hint="eastAsia" w:ascii="宋体" w:hAnsi="宋体" w:cs="宋体"/>
          <w:sz w:val="24"/>
        </w:rPr>
        <w:t>2、所有安全责任、所有意外事件处理均由成交人自行承担负责。</w:t>
      </w:r>
    </w:p>
    <w:p>
      <w:pPr>
        <w:spacing w:line="440" w:lineRule="exact"/>
        <w:rPr>
          <w:rFonts w:ascii="宋体" w:hAnsi="宋体" w:cs="宋体"/>
          <w:b/>
          <w:bCs/>
          <w:sz w:val="24"/>
        </w:rPr>
      </w:pPr>
      <w:r>
        <w:rPr>
          <w:rFonts w:hint="eastAsia" w:ascii="宋体" w:hAnsi="宋体" w:cs="宋体"/>
          <w:b/>
          <w:bCs/>
          <w:sz w:val="24"/>
        </w:rPr>
        <w:t>十八、</w:t>
      </w:r>
      <w:r>
        <w:rPr>
          <w:rFonts w:ascii="宋体" w:hAnsi="宋体" w:cs="宋体"/>
          <w:b/>
          <w:bCs/>
          <w:sz w:val="24"/>
        </w:rPr>
        <w:t>资产归属、交接及管理</w:t>
      </w:r>
    </w:p>
    <w:p>
      <w:pPr>
        <w:spacing w:line="440" w:lineRule="exact"/>
        <w:ind w:firstLine="480" w:firstLineChars="200"/>
        <w:rPr>
          <w:rFonts w:ascii="宋体" w:hAnsi="宋体" w:cs="宋体"/>
          <w:sz w:val="24"/>
        </w:rPr>
      </w:pPr>
      <w:r>
        <w:rPr>
          <w:rFonts w:hint="eastAsia" w:ascii="宋体" w:hAnsi="宋体" w:cs="宋体"/>
          <w:sz w:val="24"/>
        </w:rPr>
        <w:t>1、东阳市残疾人托养中心大楼完工交付后移交给成交人使用，移交的所有托养中心房屋及相关设施归采购人所有。</w:t>
      </w:r>
    </w:p>
    <w:p>
      <w:pPr>
        <w:spacing w:line="440" w:lineRule="exact"/>
        <w:ind w:firstLine="480" w:firstLineChars="200"/>
        <w:rPr>
          <w:rFonts w:ascii="宋体" w:hAnsi="宋体" w:cs="宋体"/>
          <w:sz w:val="24"/>
        </w:rPr>
      </w:pPr>
      <w:r>
        <w:rPr>
          <w:rFonts w:hint="eastAsia" w:ascii="宋体" w:hAnsi="宋体" w:cs="宋体"/>
          <w:sz w:val="24"/>
        </w:rPr>
        <w:t>2、成交人在托养中心（含相关设施）交付时应对其进行全面了解，物业交付后，采购人不再为其进行任何投入。但托养中心中如出现房屋主体结构重大质量安全问题，或出现保修范围内的事项的，成交人应及时以书面形式通知采购人，以便采购人向相关责任方主张权利。</w:t>
      </w:r>
    </w:p>
    <w:p>
      <w:pPr>
        <w:spacing w:line="440" w:lineRule="exact"/>
        <w:ind w:firstLine="480" w:firstLineChars="200"/>
        <w:rPr>
          <w:rFonts w:ascii="宋体" w:hAnsi="宋体" w:cs="宋体"/>
          <w:sz w:val="24"/>
        </w:rPr>
      </w:pPr>
      <w:r>
        <w:rPr>
          <w:rFonts w:hint="eastAsia" w:ascii="宋体" w:hAnsi="宋体" w:cs="宋体"/>
          <w:sz w:val="24"/>
        </w:rPr>
        <w:t>3、除上述第2项事由外，成交人接收托养中心（含相关设施）后，其管理、维护由成交人负责并承担所有费用。成交人或运营主体应履行使用和管理的义务，因使用、保养管理不当或自然损坏，由成交人负责维修更新，并每月报采购人登记备案；双方每年进行一次资产核对。</w:t>
      </w:r>
    </w:p>
    <w:p>
      <w:pPr>
        <w:spacing w:line="440" w:lineRule="exact"/>
        <w:ind w:firstLine="480" w:firstLineChars="200"/>
        <w:rPr>
          <w:rFonts w:ascii="宋体" w:hAnsi="宋体" w:cs="宋体"/>
          <w:sz w:val="24"/>
        </w:rPr>
      </w:pPr>
      <w:r>
        <w:rPr>
          <w:rFonts w:hint="eastAsia" w:ascii="宋体" w:hAnsi="宋体" w:cs="宋体"/>
          <w:sz w:val="24"/>
        </w:rPr>
        <w:t>4、成交人因经营需要移动采购人交付相关设施中可移动设施设备或物品的，应经采购人同意，否则应按市场重置价赔偿；使用年限已满确需报废的资产，成交人应报采购人，由采购人按财政规定的报废程序执行。</w:t>
      </w:r>
    </w:p>
    <w:p>
      <w:pPr>
        <w:spacing w:line="440" w:lineRule="exact"/>
        <w:ind w:firstLine="480" w:firstLineChars="200"/>
        <w:rPr>
          <w:rFonts w:ascii="宋体" w:hAnsi="宋体" w:cs="宋体"/>
          <w:sz w:val="24"/>
        </w:rPr>
      </w:pPr>
      <w:r>
        <w:rPr>
          <w:rFonts w:hint="eastAsia" w:ascii="宋体" w:hAnsi="宋体" w:cs="宋体"/>
          <w:sz w:val="24"/>
        </w:rPr>
        <w:t>5、项目运营期限内，成交人不得对托养中心的房屋进行主体结构的变更，需对房屋进行装修、其他设施设备进行改造或变更的，应经采购人审批同意，所需经费由成交人承担，所更换下来材料、原设施设备归采购人所有。</w:t>
      </w:r>
    </w:p>
    <w:p>
      <w:pPr>
        <w:spacing w:line="440" w:lineRule="exact"/>
        <w:ind w:firstLine="480" w:firstLineChars="200"/>
        <w:rPr>
          <w:rFonts w:ascii="宋体" w:hAnsi="宋体" w:cs="宋体"/>
          <w:sz w:val="24"/>
        </w:rPr>
      </w:pPr>
      <w:r>
        <w:rPr>
          <w:rFonts w:hint="eastAsia" w:ascii="宋体" w:hAnsi="宋体" w:cs="宋体"/>
          <w:sz w:val="24"/>
        </w:rPr>
        <w:t>6、项目运营期限内，采购人有权随时对本项目所涉托养中心（含相关设施）进行检查监督，及时纠正成交人的不当行为，如发现托养中心（含相关设施）有损毁的，有权要求成交人在限期内进行修复，如成交人在限期内未予修复或未达到修复要求的，采购人有权代为修复，修复费用由成交人承担。</w:t>
      </w:r>
    </w:p>
    <w:p>
      <w:pPr>
        <w:spacing w:line="440" w:lineRule="exact"/>
        <w:ind w:firstLine="480" w:firstLineChars="200"/>
        <w:rPr>
          <w:rFonts w:ascii="宋体" w:hAnsi="宋体" w:cs="宋体"/>
          <w:sz w:val="24"/>
        </w:rPr>
      </w:pPr>
      <w:r>
        <w:rPr>
          <w:rFonts w:hint="eastAsia" w:ascii="宋体" w:hAnsi="宋体" w:cs="宋体"/>
          <w:sz w:val="24"/>
        </w:rPr>
        <w:t>7、项目合同终止时，成交人投入的医疗设施除特别约定外，成交人投入到本项目经营场所的各类资产均无偿归采购人所有。同时，成交人须确保托养中心之建筑结构、内外装饰、水电管线等的完整性，并在项目合同终止之日起30日内无条件移交给采购人,采购人不做任何补偿。如成交人有拆除或损坏情形，应当按市场重置价予以采购人赔偿。</w:t>
      </w:r>
    </w:p>
    <w:p>
      <w:pPr>
        <w:spacing w:line="440" w:lineRule="exact"/>
        <w:rPr>
          <w:rFonts w:ascii="宋体" w:hAnsi="宋体" w:cs="宋体"/>
          <w:b/>
          <w:bCs/>
          <w:sz w:val="24"/>
        </w:rPr>
      </w:pPr>
      <w:r>
        <w:rPr>
          <w:rFonts w:hint="eastAsia" w:ascii="宋体" w:hAnsi="宋体" w:cs="宋体"/>
          <w:b/>
          <w:bCs/>
          <w:sz w:val="24"/>
        </w:rPr>
        <w:t>十九、物业使用费</w:t>
      </w:r>
      <w:r>
        <w:rPr>
          <w:rFonts w:hint="eastAsia" w:ascii="宋体" w:hAnsi="宋体" w:cs="宋体"/>
          <w:b/>
          <w:bCs/>
          <w:sz w:val="24"/>
          <w:lang w:val="en-US" w:eastAsia="zh-CN"/>
        </w:rPr>
        <w:t xml:space="preserve">  </w:t>
      </w:r>
      <w:r>
        <w:rPr>
          <w:rFonts w:hint="eastAsia" w:ascii="宋体" w:hAnsi="宋体" w:cs="宋体"/>
          <w:b/>
          <w:bCs/>
          <w:sz w:val="24"/>
        </w:rPr>
        <w:t>限价及其要求</w:t>
      </w:r>
    </w:p>
    <w:p>
      <w:pPr>
        <w:spacing w:line="360" w:lineRule="auto"/>
        <w:ind w:firstLine="480" w:firstLineChars="200"/>
        <w:rPr>
          <w:rFonts w:ascii="宋体" w:hAnsi="宋体" w:cs="宋体"/>
          <w:sz w:val="24"/>
        </w:rPr>
      </w:pPr>
      <w:r>
        <w:rPr>
          <w:rFonts w:hint="eastAsia" w:ascii="宋体" w:hAnsi="宋体" w:cs="宋体"/>
          <w:sz w:val="24"/>
        </w:rPr>
        <w:t>1、采购人移交给中标人的房屋及相关设施总称为“物业”；</w:t>
      </w:r>
    </w:p>
    <w:p>
      <w:pPr>
        <w:spacing w:line="360" w:lineRule="auto"/>
        <w:ind w:firstLine="480" w:firstLineChars="200"/>
        <w:rPr>
          <w:rFonts w:ascii="宋体" w:hAnsi="宋体" w:cs="宋体"/>
          <w:sz w:val="24"/>
        </w:rPr>
      </w:pPr>
      <w:r>
        <w:rPr>
          <w:rFonts w:hint="eastAsia" w:ascii="宋体" w:hAnsi="宋体" w:cs="宋体"/>
          <w:sz w:val="24"/>
        </w:rPr>
        <w:t>2、本项目合同期内，采购人按年向成交人收取托养中心物业使用费。</w:t>
      </w:r>
    </w:p>
    <w:p>
      <w:pPr>
        <w:spacing w:line="360" w:lineRule="auto"/>
        <w:ind w:firstLine="482" w:firstLineChars="200"/>
        <w:rPr>
          <w:rFonts w:ascii="宋体" w:hAnsi="宋体" w:cs="宋体"/>
          <w:b/>
          <w:bCs/>
          <w:sz w:val="24"/>
          <w:u w:val="single"/>
        </w:rPr>
      </w:pPr>
      <w:r>
        <w:rPr>
          <w:rFonts w:hint="eastAsia" w:ascii="宋体" w:hAnsi="宋体" w:cs="宋体"/>
          <w:b/>
          <w:bCs/>
          <w:sz w:val="24"/>
        </w:rPr>
        <w:t>3、托养中心物业使用费最低限价为：自交付之日起的第一年至第五年最低的物业使用费为每年人民币20万元；第二个五年按中标价递增20%；第三个五年在第二个五年的基础上再增20%；第四个五年在第三个五年的基础上再增20%。</w:t>
      </w:r>
    </w:p>
    <w:p>
      <w:pPr>
        <w:spacing w:line="360" w:lineRule="auto"/>
        <w:ind w:firstLine="480" w:firstLineChars="200"/>
        <w:rPr>
          <w:rFonts w:ascii="宋体" w:hAnsi="宋体" w:cs="宋体"/>
          <w:sz w:val="24"/>
        </w:rPr>
      </w:pPr>
      <w:r>
        <w:rPr>
          <w:rFonts w:hint="eastAsia" w:ascii="宋体" w:hAnsi="宋体" w:cs="宋体"/>
          <w:sz w:val="24"/>
        </w:rPr>
        <w:t>4、成交人在合同期内负责日常损耗性设施、设备的维护和修缮。国有固定资产投资的设施设备大型维修须由成交人提出维修改造申请，得到采购人书面认可后方可组织实施。</w:t>
      </w:r>
    </w:p>
    <w:p>
      <w:pPr>
        <w:spacing w:line="360" w:lineRule="auto"/>
        <w:ind w:firstLine="480" w:firstLineChars="200"/>
        <w:rPr>
          <w:rFonts w:ascii="宋体" w:hAnsi="宋体" w:cs="宋体"/>
          <w:sz w:val="24"/>
        </w:rPr>
      </w:pPr>
      <w:r>
        <w:rPr>
          <w:rFonts w:hint="eastAsia" w:ascii="宋体" w:hAnsi="宋体" w:cs="宋体"/>
          <w:sz w:val="24"/>
        </w:rPr>
        <w:t>5、因成交人自身经营中产生的任何费用（包括但不仅限于水、电、卫生费、物业费、保洁费、资产维护更新及与安全责任相关的费用等）均由成交人自行承担。涉及到食堂、电梯、消防、污水处理、安保等共用设施设备产生的费用，双方按比例分摊。（比例另行商定）</w:t>
      </w:r>
    </w:p>
    <w:p>
      <w:pPr>
        <w:spacing w:line="360" w:lineRule="auto"/>
        <w:ind w:firstLine="480" w:firstLineChars="200"/>
        <w:rPr>
          <w:rFonts w:ascii="宋体" w:hAnsi="宋体" w:cs="宋体"/>
          <w:sz w:val="24"/>
        </w:rPr>
      </w:pPr>
      <w:r>
        <w:rPr>
          <w:rFonts w:hint="eastAsia" w:ascii="宋体" w:hAnsi="宋体" w:cs="宋体"/>
          <w:sz w:val="24"/>
        </w:rPr>
        <w:t>6、采购人在收到物业使用费后，应当向成交人开具相应的发票。</w:t>
      </w:r>
    </w:p>
    <w:p>
      <w:pPr>
        <w:spacing w:line="360" w:lineRule="auto"/>
        <w:ind w:firstLine="480" w:firstLineChars="200"/>
        <w:rPr>
          <w:rFonts w:ascii="宋体" w:hAnsi="宋体" w:cs="宋体"/>
          <w:sz w:val="24"/>
        </w:rPr>
      </w:pPr>
      <w:r>
        <w:rPr>
          <w:rFonts w:hint="eastAsia" w:ascii="宋体" w:hAnsi="宋体" w:cs="宋体"/>
          <w:sz w:val="24"/>
        </w:rPr>
        <w:t>7、成交人迟延支付物业使用费的，采购人有权按每日千分之一的标准计收违约金，迟延超过90天的，除继续计收违约金外，采购人还有权单方解除合同。</w:t>
      </w:r>
    </w:p>
    <w:p>
      <w:pPr>
        <w:spacing w:line="360" w:lineRule="auto"/>
        <w:rPr>
          <w:rFonts w:ascii="宋体" w:hAnsi="宋体" w:cs="宋体"/>
          <w:b/>
          <w:bCs/>
          <w:sz w:val="24"/>
        </w:rPr>
      </w:pPr>
      <w:bookmarkStart w:id="0" w:name="_Toc450749843"/>
      <w:r>
        <w:rPr>
          <w:rFonts w:hint="eastAsia" w:ascii="宋体" w:hAnsi="宋体" w:cs="宋体"/>
          <w:b/>
          <w:bCs/>
          <w:sz w:val="24"/>
        </w:rPr>
        <w:t>二十、禁止条款</w:t>
      </w:r>
      <w:bookmarkEnd w:id="0"/>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1、成交人不得对任何自然人、法人或其他组织提供任何形式的担保；</w:t>
      </w:r>
    </w:p>
    <w:p>
      <w:pPr>
        <w:spacing w:line="360" w:lineRule="auto"/>
        <w:ind w:firstLine="480" w:firstLineChars="200"/>
        <w:rPr>
          <w:rFonts w:ascii="宋体" w:hAnsi="宋体" w:cs="宋体"/>
          <w:sz w:val="24"/>
        </w:rPr>
      </w:pPr>
      <w:r>
        <w:rPr>
          <w:rFonts w:hint="eastAsia" w:ascii="宋体" w:hAnsi="宋体" w:cs="宋体"/>
          <w:sz w:val="24"/>
        </w:rPr>
        <w:t>2、成交人不得对采购人的财产，以及成交人投入康复区域及残托中心的资产设置抵押或质押，不得有不利于康复区域及残托中心正常运营的其他行为。</w:t>
      </w:r>
    </w:p>
    <w:p>
      <w:pPr>
        <w:spacing w:line="360" w:lineRule="auto"/>
        <w:ind w:firstLine="480" w:firstLineChars="200"/>
        <w:rPr>
          <w:rFonts w:ascii="宋体" w:hAnsi="宋体" w:cs="宋体"/>
          <w:sz w:val="24"/>
        </w:rPr>
      </w:pPr>
      <w:r>
        <w:rPr>
          <w:rFonts w:hint="eastAsia" w:ascii="宋体" w:hAnsi="宋体" w:cs="宋体"/>
          <w:sz w:val="24"/>
        </w:rPr>
        <w:t>3、成交人不得以任何形式将康复区域及残托中心交由任何第三方经营管理。</w:t>
      </w:r>
    </w:p>
    <w:p>
      <w:pPr>
        <w:spacing w:line="360" w:lineRule="auto"/>
        <w:ind w:firstLine="480" w:firstLineChars="200"/>
        <w:rPr>
          <w:rFonts w:ascii="宋体" w:hAnsi="宋体" w:cs="宋体"/>
          <w:sz w:val="24"/>
        </w:rPr>
      </w:pPr>
      <w:r>
        <w:rPr>
          <w:rFonts w:hint="eastAsia" w:ascii="宋体" w:hAnsi="宋体" w:cs="宋体"/>
          <w:sz w:val="24"/>
        </w:rPr>
        <w:t>4、项目合同期间，成交人加强安全管理及经营，确保经营场所各类人员的人身、财产损失安全以及本项目合同所涉物权的安全，如发生各类事故或侵权纠纷，均有成交人出面处理并承担相应责任。</w:t>
      </w:r>
    </w:p>
    <w:p>
      <w:pPr>
        <w:spacing w:line="360" w:lineRule="auto"/>
        <w:ind w:firstLine="480" w:firstLineChars="200"/>
        <w:rPr>
          <w:rFonts w:ascii="宋体" w:hAnsi="宋体" w:cs="宋体"/>
          <w:sz w:val="24"/>
        </w:rPr>
      </w:pPr>
      <w:r>
        <w:rPr>
          <w:rFonts w:hint="eastAsia" w:ascii="宋体" w:hAnsi="宋体" w:cs="宋体"/>
          <w:sz w:val="24"/>
        </w:rPr>
        <w:t>5、成交人不得利用本项目经营场所从事与康复、医疗服务、助残无关的活动。</w:t>
      </w:r>
    </w:p>
    <w:p>
      <w:pPr>
        <w:spacing w:line="360" w:lineRule="auto"/>
        <w:ind w:firstLine="482" w:firstLineChars="200"/>
        <w:rPr>
          <w:rFonts w:ascii="宋体" w:hAnsi="宋体" w:cs="宋体"/>
          <w:b/>
          <w:sz w:val="24"/>
        </w:rPr>
      </w:pPr>
      <w:r>
        <w:rPr>
          <w:rFonts w:hint="eastAsia" w:ascii="宋体" w:hAnsi="宋体" w:cs="宋体"/>
          <w:b/>
          <w:sz w:val="24"/>
        </w:rPr>
        <w:t>成交人违反上述条款中的任何一项的，采购人均有权单方解除合同，并由成交人承担由此给采购人造成的损失。</w:t>
      </w:r>
    </w:p>
    <w:p>
      <w:pPr>
        <w:spacing w:line="360" w:lineRule="auto"/>
        <w:rPr>
          <w:rFonts w:ascii="宋体" w:hAnsi="宋体" w:cs="宋体"/>
          <w:b/>
          <w:bCs/>
          <w:sz w:val="24"/>
        </w:rPr>
      </w:pPr>
      <w:r>
        <w:rPr>
          <w:rFonts w:hint="eastAsia" w:ascii="宋体" w:hAnsi="宋体" w:cs="宋体"/>
          <w:b/>
          <w:bCs/>
          <w:sz w:val="24"/>
        </w:rPr>
        <w:t>二十一、监督考核</w:t>
      </w:r>
    </w:p>
    <w:p>
      <w:pPr>
        <w:spacing w:line="360" w:lineRule="auto"/>
        <w:ind w:firstLine="480" w:firstLineChars="200"/>
        <w:rPr>
          <w:rFonts w:ascii="宋体" w:hAnsi="宋体" w:cs="宋体"/>
          <w:sz w:val="24"/>
        </w:rPr>
      </w:pPr>
      <w:r>
        <w:rPr>
          <w:rFonts w:hint="eastAsia" w:ascii="宋体" w:hAnsi="宋体" w:cs="宋体"/>
          <w:sz w:val="24"/>
        </w:rPr>
        <w:t>1、成交人应依法经营，遵守法律、法规和有关规定的各项服务规范，公开举报监督电话，接受社会各界的监督，并承担管理责任。同时要积极配合上级残联及相关部门的检查指导。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采购人有权每年定期组织人员对托养康复服务工作进行监督和考核。同时在物业使用费中设立物业使用费的20%作为考核结果奖励。采购人每年根据其考核结果向成交人减免物业使用费：考核结果优秀的在下一年度开始支付物业使用费时减少支付100%当年的奖励经费，考核良好的在下一年度开始支付物业使用费时减少支付80%当年的奖励经费，考核合格的不减免物业使用费。考核不合格从</w:t>
      </w:r>
      <w:r>
        <w:rPr>
          <w:rFonts w:ascii="宋体" w:hAnsi="宋体" w:cs="宋体"/>
          <w:sz w:val="24"/>
          <w:highlight w:val="none"/>
        </w:rPr>
        <w:t>履约保证金</w:t>
      </w:r>
      <w:r>
        <w:rPr>
          <w:rFonts w:hint="eastAsia" w:ascii="宋体" w:hAnsi="宋体" w:cs="宋体"/>
          <w:sz w:val="24"/>
          <w:highlight w:val="none"/>
        </w:rPr>
        <w:t>扣除十万元，并限期整改；连续两年考核不合格，视同成交人违约，采购人有权单方解除合同。（考核办法详见附件）</w:t>
      </w:r>
    </w:p>
    <w:p>
      <w:pPr>
        <w:spacing w:line="360" w:lineRule="auto"/>
        <w:rPr>
          <w:rFonts w:ascii="宋体" w:hAnsi="宋体" w:cs="宋体"/>
          <w:b/>
          <w:bCs/>
          <w:sz w:val="24"/>
        </w:rPr>
      </w:pPr>
      <w:r>
        <w:rPr>
          <w:rFonts w:hint="eastAsia" w:ascii="宋体" w:hAnsi="宋体" w:cs="宋体"/>
          <w:b/>
          <w:bCs/>
          <w:sz w:val="24"/>
        </w:rPr>
        <w:t>二十二、项目运营期间的其他违约责任</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、成交人未按采购人要求投资的或未按采购内容要求进行履行报审义务的，采购人有权责令其限期纠正，在限期内仍未纠正的，采购人有权单方解除合同，并没收其全额履约保证金。</w:t>
      </w:r>
    </w:p>
    <w:p>
      <w:pPr>
        <w:spacing w:line="360" w:lineRule="auto"/>
        <w:ind w:firstLine="480" w:firstLineChars="200"/>
        <w:rPr>
          <w:rFonts w:ascii="宋体" w:hAnsi="宋体" w:cs="宋体"/>
          <w:sz w:val="24"/>
        </w:rPr>
      </w:pPr>
      <w:r>
        <w:rPr>
          <w:rFonts w:hint="eastAsia" w:ascii="宋体" w:hAnsi="宋体" w:cs="宋体"/>
          <w:sz w:val="24"/>
        </w:rPr>
        <w:t>2、成交人毁坏设施设备，采购人有权按重置价直接从履约保证金中扣取相应的款项。</w:t>
      </w:r>
    </w:p>
    <w:p>
      <w:pPr>
        <w:spacing w:line="360" w:lineRule="auto"/>
        <w:ind w:firstLine="480" w:firstLineChars="200"/>
        <w:rPr>
          <w:rFonts w:ascii="宋体" w:hAnsi="宋体" w:cs="宋体"/>
          <w:sz w:val="24"/>
        </w:rPr>
      </w:pPr>
      <w:r>
        <w:rPr>
          <w:rFonts w:hint="eastAsia" w:ascii="宋体" w:hAnsi="宋体" w:cs="宋体"/>
          <w:sz w:val="24"/>
        </w:rPr>
        <w:t>3、成交人擅自撤离经营场所的，视为其单方解除合同，采购人有权没收其全部履约保证金，给采购人造成损失的，乙方应承担相应的赔偿责任。</w:t>
      </w:r>
    </w:p>
    <w:p>
      <w:pPr>
        <w:tabs>
          <w:tab w:val="left" w:pos="1134"/>
          <w:tab w:val="left" w:pos="1300"/>
        </w:tabs>
        <w:adjustRightInd w:val="0"/>
        <w:snapToGrid w:val="0"/>
        <w:spacing w:line="440" w:lineRule="atLeast"/>
        <w:rPr>
          <w:rFonts w:ascii="宋体" w:hAnsi="宋体" w:cs="宋体"/>
          <w:b/>
          <w:sz w:val="24"/>
        </w:rPr>
      </w:pPr>
      <w:r>
        <w:rPr>
          <w:rFonts w:hint="eastAsia" w:ascii="宋体" w:hAnsi="宋体" w:cs="宋体"/>
          <w:b/>
          <w:bCs/>
          <w:sz w:val="24"/>
        </w:rPr>
        <w:t>二十三、托养费用支付及物业使用费收取方式</w:t>
      </w:r>
      <w:r>
        <w:rPr>
          <w:rFonts w:hint="eastAsia" w:ascii="宋体" w:hAnsi="宋体" w:cs="宋体"/>
          <w:b/>
          <w:sz w:val="24"/>
        </w:rPr>
        <w:t>：</w:t>
      </w:r>
    </w:p>
    <w:p>
      <w:pPr>
        <w:pStyle w:val="19"/>
        <w:snapToGrid w:val="0"/>
        <w:spacing w:beforeLines="0" w:afterLines="0" w:line="440" w:lineRule="atLeast"/>
        <w:ind w:firstLine="480" w:firstLineChars="200"/>
        <w:rPr>
          <w:rFonts w:hint="eastAsia" w:hAnsi="宋体" w:eastAsia="宋体"/>
          <w:lang w:eastAsia="zh-CN"/>
        </w:rPr>
      </w:pPr>
      <w:r>
        <w:rPr>
          <w:rFonts w:hint="eastAsia" w:hAnsi="宋体"/>
        </w:rPr>
        <w:t>1、托养费用支付：根据相关规定执行。</w:t>
      </w:r>
      <w:r>
        <w:rPr>
          <w:rFonts w:hint="eastAsia" w:hAnsi="宋体"/>
          <w:lang w:eastAsia="zh-CN"/>
        </w:rPr>
        <w:t>（具体按照入住人数进行收费）</w:t>
      </w:r>
    </w:p>
    <w:p>
      <w:pPr>
        <w:pStyle w:val="19"/>
        <w:snapToGrid w:val="0"/>
        <w:spacing w:beforeLines="0" w:afterLines="0" w:line="440" w:lineRule="atLeast"/>
        <w:ind w:firstLine="480" w:firstLineChars="200"/>
        <w:rPr>
          <w:rFonts w:hAnsi="宋体"/>
          <w:highlight w:val="yellow"/>
        </w:rPr>
      </w:pPr>
      <w:r>
        <w:rPr>
          <w:rFonts w:hint="eastAsia" w:hAnsi="宋体"/>
          <w:highlight w:val="none"/>
        </w:rPr>
        <w:t>2、物业使用费收取：采购人在合同签订之日起7天内向成交人收取第一年的物业使用费（物业使用费以残疾人托养中心大楼移交日开始计算），第二年收取物业使用费的时间为第一年合同期满的前7天内支付，之后每年的物业使用费收取以此月份的时间为准上缴。</w:t>
      </w:r>
    </w:p>
    <w:p>
      <w:pPr>
        <w:pStyle w:val="19"/>
        <w:snapToGrid w:val="0"/>
        <w:spacing w:beforeLines="0" w:afterLines="0" w:line="440" w:lineRule="atLeast"/>
        <w:rPr>
          <w:b/>
          <w:bCs/>
        </w:rPr>
      </w:pPr>
      <w:r>
        <w:rPr>
          <w:rFonts w:hint="eastAsia" w:hAnsi="宋体"/>
          <w:b/>
          <w:bCs/>
          <w:szCs w:val="22"/>
        </w:rPr>
        <w:t>二十四</w:t>
      </w:r>
      <w:r>
        <w:rPr>
          <w:rFonts w:hint="eastAsia"/>
          <w:b/>
          <w:bCs/>
        </w:rPr>
        <w:t>、保密</w:t>
      </w:r>
    </w:p>
    <w:p>
      <w:pPr>
        <w:snapToGrid w:val="0"/>
        <w:spacing w:line="440" w:lineRule="atLeast"/>
        <w:ind w:firstLine="480" w:firstLineChars="200"/>
        <w:rPr>
          <w:rFonts w:ascii="宋体" w:hAnsi="宋体" w:cs="宋体"/>
          <w:bCs/>
          <w:sz w:val="24"/>
          <w:szCs w:val="24"/>
        </w:rPr>
      </w:pPr>
      <w:r>
        <w:rPr>
          <w:rFonts w:hint="eastAsia" w:ascii="宋体" w:hAnsi="宋体" w:cs="宋体"/>
          <w:bCs/>
          <w:sz w:val="24"/>
          <w:szCs w:val="24"/>
        </w:rPr>
        <w:t>招投标双方应分别为对方在投标文件和招标文件中涉及的商业和技术等秘密保密，违者应对由此造成的后果承担责任。</w:t>
      </w:r>
    </w:p>
    <w:p>
      <w:pPr>
        <w:pStyle w:val="19"/>
        <w:snapToGrid w:val="0"/>
        <w:spacing w:beforeLines="0" w:afterLines="0" w:line="440" w:lineRule="atLeast"/>
        <w:rPr>
          <w:b/>
          <w:bCs/>
        </w:rPr>
      </w:pPr>
      <w:r>
        <w:rPr>
          <w:rFonts w:hint="eastAsia"/>
          <w:b/>
          <w:bCs/>
        </w:rPr>
        <w:t>二十五、合同的签订</w:t>
      </w:r>
    </w:p>
    <w:p>
      <w:pPr>
        <w:pStyle w:val="19"/>
        <w:snapToGrid w:val="0"/>
        <w:spacing w:beforeLines="0" w:afterLines="0" w:line="440" w:lineRule="atLeast"/>
        <w:ind w:firstLine="482" w:firstLineChars="200"/>
        <w:rPr>
          <w:rFonts w:ascii="黑体" w:hAnsi="宋体" w:eastAsia="黑体"/>
          <w:kern w:val="2"/>
          <w:sz w:val="30"/>
          <w:szCs w:val="30"/>
        </w:rPr>
      </w:pPr>
      <w:r>
        <w:rPr>
          <w:rFonts w:hint="eastAsia"/>
          <w:b/>
          <w:bCs/>
        </w:rPr>
        <w:t>中标单位在收到《中标通知书》后20日内与东阳市残疾人联合会签订合同。</w:t>
      </w:r>
    </w:p>
    <w:p>
      <w:pPr>
        <w:snapToGrid w:val="0"/>
        <w:ind w:firstLine="3600" w:firstLineChars="1200"/>
        <w:rPr>
          <w:rFonts w:ascii="黑体" w:hAnsi="宋体" w:eastAsia="黑体"/>
          <w:kern w:val="2"/>
          <w:sz w:val="30"/>
          <w:szCs w:val="30"/>
        </w:rPr>
      </w:pPr>
      <w:r>
        <w:rPr>
          <w:rFonts w:hint="eastAsia" w:ascii="黑体" w:hAnsi="宋体" w:eastAsia="黑体"/>
          <w:kern w:val="2"/>
          <w:sz w:val="30"/>
          <w:szCs w:val="30"/>
        </w:rPr>
        <w:t>第三章  投标人须知</w:t>
      </w:r>
    </w:p>
    <w:p>
      <w:pPr>
        <w:snapToGrid w:val="0"/>
        <w:ind w:firstLine="4337" w:firstLineChars="18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29"/>
        <w:tblW w:w="10211"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2197"/>
        <w:gridCol w:w="7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450" w:type="dxa"/>
            <w:gridSpan w:val="2"/>
            <w:tcBorders>
              <w:top w:val="single" w:color="auto" w:sz="4" w:space="0"/>
              <w:left w:val="single" w:color="auto" w:sz="4" w:space="0"/>
              <w:bottom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项目名称：东阳市残疾人康复托养中心公建民营项目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w:t>
            </w:r>
          </w:p>
        </w:tc>
        <w:tc>
          <w:tcPr>
            <w:tcW w:w="9450" w:type="dxa"/>
            <w:gridSpan w:val="2"/>
            <w:tcBorders>
              <w:top w:val="single" w:color="auto" w:sz="4" w:space="0"/>
              <w:left w:val="single" w:color="auto" w:sz="4" w:space="0"/>
              <w:bottom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3</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4</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投标文件的组成：</w:t>
            </w:r>
          </w:p>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本项目投标文件由资格审查文件、技术、资信及商务文件、投标报价文件三部份组成。</w:t>
            </w:r>
          </w:p>
          <w:p>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▲1、本项目实行“网上投标、电子评标”，投标人应于投标截止时间前在“政采云”（电子交易平台）上传输、递交电子版投标文件（包括资格审查文件、技术、资信及商务文件和报价文件）；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八婺招标代理有限公司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5</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2022年</w:t>
            </w:r>
            <w:r>
              <w:rPr>
                <w:rFonts w:hint="eastAsia" w:ascii="宋体" w:hAnsi="宋体" w:cs="宋体"/>
                <w:b/>
                <w:bCs/>
                <w:color w:val="FF0000"/>
                <w:sz w:val="24"/>
                <w:szCs w:val="24"/>
                <w:u w:val="single"/>
                <w:lang w:val="en-US" w:eastAsia="zh-CN"/>
              </w:rPr>
              <w:t>12</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2022年</w:t>
            </w:r>
            <w:r>
              <w:rPr>
                <w:rFonts w:hint="eastAsia" w:ascii="宋体" w:hAnsi="宋体" w:cs="宋体"/>
                <w:b/>
                <w:bCs/>
                <w:color w:val="FF0000"/>
                <w:sz w:val="24"/>
                <w:szCs w:val="24"/>
                <w:u w:val="single"/>
                <w:lang w:val="en-US" w:eastAsia="zh-CN"/>
              </w:rPr>
              <w:t>12</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6</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u w:val="single"/>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2022年</w:t>
            </w:r>
            <w:r>
              <w:rPr>
                <w:rFonts w:hint="eastAsia" w:ascii="宋体" w:hAnsi="宋体" w:cs="宋体"/>
                <w:b/>
                <w:bCs/>
                <w:color w:val="FF0000"/>
                <w:sz w:val="24"/>
                <w:szCs w:val="24"/>
                <w:u w:val="single"/>
                <w:lang w:val="en-US" w:eastAsia="zh-CN"/>
              </w:rPr>
              <w:t>12</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7</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8</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9</w:t>
            </w:r>
          </w:p>
        </w:tc>
        <w:tc>
          <w:tcPr>
            <w:tcW w:w="9450" w:type="dxa"/>
            <w:gridSpan w:val="2"/>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t>
            </w:r>
            <w:r>
              <w:rPr>
                <w:rFonts w:hint="eastAsia" w:ascii="宋体" w:hAnsi="宋体" w:cs="宋体"/>
                <w:color w:val="000000"/>
                <w:sz w:val="24"/>
                <w:u w:val="single"/>
              </w:rPr>
              <w:t>(</w:t>
            </w:r>
            <w:r>
              <w:fldChar w:fldCharType="begin"/>
            </w:r>
            <w:r>
              <w:instrText xml:space="preserve"> HYPERLINK "http://www.zjzfcg.gov.cn/" </w:instrText>
            </w:r>
            <w:r>
              <w:fldChar w:fldCharType="separate"/>
            </w:r>
            <w:r>
              <w:rPr>
                <w:rFonts w:hint="eastAsia" w:ascii="宋体" w:hAnsi="宋体" w:cs="宋体"/>
                <w:color w:val="000000"/>
                <w:sz w:val="24"/>
                <w:u w:val="single"/>
              </w:rPr>
              <w:t>www.zjzfcg.gov.cn</w:t>
            </w:r>
            <w:r>
              <w:rPr>
                <w:rFonts w:hint="eastAsia" w:ascii="宋体" w:hAnsi="宋体" w:cs="宋体"/>
                <w:color w:val="000000"/>
                <w:sz w:val="24"/>
                <w:u w:val="single"/>
              </w:rPr>
              <w:fldChar w:fldCharType="end"/>
            </w:r>
            <w:r>
              <w:rPr>
                <w:rFonts w:hint="eastAsia" w:ascii="宋体" w:hAnsi="宋体" w:cs="宋体"/>
                <w:color w:val="000000"/>
                <w:sz w:val="24"/>
                <w:u w:val="single"/>
              </w:rPr>
              <w:t>)</w:t>
            </w:r>
            <w:r>
              <w:rPr>
                <w:rFonts w:hint="eastAsia" w:ascii="宋体" w:hAnsi="宋体" w:cs="宋体"/>
                <w:color w:val="000000"/>
                <w:sz w:val="24"/>
              </w:rPr>
              <w:t>、东阳市公共资源交易网</w:t>
            </w:r>
            <w:r>
              <w:rPr>
                <w:rFonts w:hint="eastAsia" w:ascii="宋体" w:hAnsi="宋体" w:cs="宋体"/>
                <w:color w:val="000000"/>
                <w:sz w:val="24"/>
                <w:u w:val="single"/>
              </w:rPr>
              <w:t>（http://www.dongyang.gov.cn/ggzyjy/）</w:t>
            </w:r>
            <w:r>
              <w:rPr>
                <w:rFonts w:hint="eastAsia" w:ascii="宋体" w:hAnsi="宋体" w:cs="宋体"/>
                <w:color w:val="000000"/>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10</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履约保证金：履约保证金为</w:t>
            </w:r>
            <w:r>
              <w:rPr>
                <w:rFonts w:hint="eastAsia" w:ascii="宋体" w:hAnsi="宋体" w:cs="宋体"/>
                <w:sz w:val="24"/>
                <w:szCs w:val="24"/>
                <w:lang w:eastAsia="zh-CN"/>
              </w:rPr>
              <w:t>人民币</w:t>
            </w:r>
            <w:r>
              <w:rPr>
                <w:rFonts w:hint="eastAsia" w:ascii="宋体" w:hAnsi="宋体" w:cs="宋体"/>
                <w:sz w:val="24"/>
                <w:szCs w:val="24"/>
              </w:rPr>
              <w:t>30万元，在合同签订前缴纳至采购人指定账户（以银行保函或转账的方式缴纳，保函可在“政采云平台线上”申请办理）</w:t>
            </w:r>
            <w:r>
              <w:rPr>
                <w:rFonts w:hint="eastAsia" w:ascii="宋体" w:hAnsi="宋体" w:cs="宋体"/>
                <w:sz w:val="24"/>
                <w:szCs w:val="22"/>
              </w:rPr>
              <w:t>（保函期限应大于履约期限2个月</w:t>
            </w:r>
            <w:r>
              <w:rPr>
                <w:rFonts w:hint="eastAsia" w:ascii="宋体" w:hAnsi="宋体" w:cs="宋体"/>
                <w:sz w:val="24"/>
                <w:szCs w:val="24"/>
              </w:rPr>
              <w:t>），履约保证金在</w:t>
            </w:r>
            <w:r>
              <w:rPr>
                <w:rFonts w:hint="eastAsia" w:ascii="宋体" w:hAnsi="宋体" w:cs="宋体"/>
                <w:sz w:val="24"/>
              </w:rPr>
              <w:t>服务期满后30日内退还（不计息）。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12</w:t>
            </w:r>
          </w:p>
        </w:tc>
        <w:tc>
          <w:tcPr>
            <w:tcW w:w="9450"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13</w:t>
            </w:r>
          </w:p>
        </w:tc>
        <w:tc>
          <w:tcPr>
            <w:tcW w:w="9450" w:type="dxa"/>
            <w:gridSpan w:val="2"/>
            <w:tcBorders>
              <w:top w:val="single" w:color="auto" w:sz="4" w:space="0"/>
              <w:left w:val="single" w:color="auto" w:sz="4" w:space="0"/>
              <w:bottom w:val="single" w:color="auto" w:sz="4" w:space="0"/>
            </w:tcBorders>
            <w:vAlign w:val="center"/>
          </w:tcPr>
          <w:p>
            <w:pPr>
              <w:pStyle w:val="19"/>
              <w:snapToGrid w:val="0"/>
              <w:spacing w:beforeLines="0" w:afterLines="0" w:line="440" w:lineRule="atLeast"/>
              <w:rPr>
                <w:rFonts w:hAnsi="宋体"/>
                <w:b/>
                <w:highlight w:val="none"/>
              </w:rPr>
            </w:pPr>
            <w:r>
              <w:rPr>
                <w:rFonts w:hint="eastAsia" w:hAnsi="宋体"/>
                <w:b/>
                <w:bCs/>
                <w:highlight w:val="none"/>
              </w:rPr>
              <w:t>托养费用支付及物业使用费收取方式</w:t>
            </w:r>
            <w:r>
              <w:rPr>
                <w:rFonts w:hint="eastAsia" w:hAnsi="宋体"/>
                <w:b/>
                <w:highlight w:val="none"/>
              </w:rPr>
              <w:t>：</w:t>
            </w:r>
          </w:p>
          <w:p>
            <w:pPr>
              <w:pStyle w:val="19"/>
              <w:snapToGrid w:val="0"/>
              <w:spacing w:beforeLines="0" w:afterLines="0" w:line="440" w:lineRule="atLeast"/>
              <w:rPr>
                <w:rFonts w:hAnsi="宋体"/>
                <w:highlight w:val="none"/>
              </w:rPr>
            </w:pPr>
            <w:r>
              <w:rPr>
                <w:rFonts w:hint="eastAsia" w:hAnsi="宋体"/>
                <w:highlight w:val="none"/>
              </w:rPr>
              <w:t>1、托养费用支付：根据相关规定执行；</w:t>
            </w:r>
          </w:p>
          <w:p>
            <w:pPr>
              <w:pStyle w:val="19"/>
              <w:snapToGrid w:val="0"/>
              <w:spacing w:beforeLines="0" w:afterLines="0" w:line="440" w:lineRule="atLeast"/>
              <w:rPr>
                <w:rFonts w:hAnsi="宋体"/>
                <w:b/>
              </w:rPr>
            </w:pPr>
            <w:r>
              <w:rPr>
                <w:rFonts w:hint="eastAsia" w:hAnsi="宋体"/>
                <w:highlight w:val="none"/>
              </w:rPr>
              <w:t>2、物业使用费收取：采购人在合同签订之日起7天内向成交人收取第一年的物业使用费（物业使用费以残疾人托养中心大楼移交日开始计算），第二年收取物业使用费的时间为第一年合同期满的前7天内支付，之后每年的物业使用费收取以此月份的时间为准上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16</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90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17</w:t>
            </w:r>
          </w:p>
        </w:tc>
        <w:tc>
          <w:tcPr>
            <w:tcW w:w="9450"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3816</w:t>
            </w:r>
            <w:r>
              <w:rPr>
                <w:rFonts w:hint="eastAsia" w:ascii="宋体" w:hAnsi="宋体" w:cs="宋体"/>
                <w:sz w:val="24"/>
                <w:szCs w:val="24"/>
                <w:u w:val="single"/>
              </w:rPr>
              <w:t xml:space="preserve"> </w:t>
            </w:r>
            <w:r>
              <w:rPr>
                <w:rFonts w:hint="eastAsia" w:ascii="宋体" w:hAnsi="宋体" w:cs="宋体"/>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 </w:t>
            </w:r>
            <w:r>
              <w:rPr>
                <w:rFonts w:hint="eastAsia" w:ascii="宋体" w:hAnsi="宋体" w:cs="仿宋_GB2312"/>
                <w:color w:val="auto"/>
                <w:sz w:val="24"/>
                <w:szCs w:val="24"/>
                <w:u w:val="single"/>
              </w:rPr>
              <w:t>租赁和商业服务业</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否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20 %</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u w:val="single"/>
              </w:rPr>
              <w:t> </w:t>
            </w:r>
            <w:r>
              <w:rPr>
                <w:rFonts w:hint="eastAsia" w:ascii="宋体" w:hAnsi="宋体" w:cs="宋体"/>
                <w:color w:val="0000FF"/>
                <w:sz w:val="24"/>
                <w:szCs w:val="24"/>
                <w:u w:val="single"/>
              </w:rPr>
              <w:t> </w:t>
            </w:r>
            <w:r>
              <w:rPr>
                <w:rFonts w:hint="eastAsia" w:ascii="宋体" w:hAnsi="宋体" w:cs="宋体"/>
                <w:color w:val="auto"/>
                <w:sz w:val="24"/>
                <w:szCs w:val="24"/>
                <w:u w:val="single"/>
              </w:rPr>
              <w:t>6%</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18</w:t>
            </w:r>
          </w:p>
        </w:tc>
        <w:tc>
          <w:tcPr>
            <w:tcW w:w="9450"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w:t>
            </w:r>
          </w:p>
          <w:p>
            <w:pPr>
              <w:snapToGrid w:val="0"/>
              <w:spacing w:line="460" w:lineRule="exact"/>
              <w:rPr>
                <w:rFonts w:ascii="宋体" w:hAnsi="宋体" w:cs="宋体"/>
                <w:sz w:val="24"/>
                <w:szCs w:val="24"/>
              </w:rPr>
            </w:pPr>
            <w:r>
              <w:rPr>
                <w:rFonts w:hint="eastAsia" w:ascii="宋体" w:hAnsi="宋体" w:cs="宋体"/>
                <w:sz w:val="24"/>
                <w:szCs w:val="24"/>
              </w:rPr>
              <w:t>失信行为记录名单及其它不符合《中华人民共和国政府采购法》第二十二条规定条件的，其投标将被拒绝。</w:t>
            </w:r>
          </w:p>
          <w:p>
            <w:pPr>
              <w:snapToGrid w:val="0"/>
              <w:spacing w:line="440" w:lineRule="atLeast"/>
              <w:rPr>
                <w:rFonts w:ascii="宋体" w:hAnsi="宋体" w:cs="宋体"/>
                <w:color w:val="FF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19</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72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w:t>
            </w:r>
            <w:r>
              <w:rPr>
                <w:rFonts w:hint="eastAsia" w:ascii="宋体" w:hAnsi="宋体" w:cs="仿宋_GB2312"/>
                <w:color w:val="auto"/>
                <w:sz w:val="24"/>
                <w:szCs w:val="24"/>
                <w:u w:val="single"/>
              </w:rPr>
              <w:t>租赁和商业服务业</w:t>
            </w:r>
            <w:r>
              <w:rPr>
                <w:rFonts w:hint="eastAsia" w:ascii="宋体" w:hAnsi="宋体" w:cs="仿宋_GB2312"/>
                <w:sz w:val="24"/>
                <w:szCs w:val="24"/>
                <w:u w:val="single"/>
              </w:rPr>
              <w:t xml:space="preserve">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20</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72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rPr>
              <w:t>□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21</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72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1"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22</w:t>
            </w:r>
          </w:p>
        </w:tc>
        <w:tc>
          <w:tcPr>
            <w:tcW w:w="9450"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9"/>
        <w:snapToGrid w:val="0"/>
        <w:spacing w:before="156" w:after="156" w:line="420" w:lineRule="atLeast"/>
        <w:rPr>
          <w:rFonts w:hAnsi="宋体"/>
          <w:b/>
        </w:rPr>
      </w:pPr>
      <w:r>
        <w:rPr>
          <w:rFonts w:hint="eastAsia" w:hAnsi="宋体"/>
          <w:b/>
        </w:rPr>
        <w:t>注：如本招标文件后面的条款与本表有矛盾的以本表的内容为准。</w:t>
      </w:r>
    </w:p>
    <w:p>
      <w:pPr>
        <w:rPr>
          <w:rFonts w:hAnsi="宋体"/>
          <w:b/>
        </w:rPr>
      </w:pPr>
    </w:p>
    <w:p>
      <w:pPr>
        <w:pStyle w:val="19"/>
        <w:snapToGrid w:val="0"/>
        <w:spacing w:before="156" w:after="156" w:line="440" w:lineRule="exact"/>
        <w:rPr>
          <w:rFonts w:hAnsi="宋体"/>
          <w:b/>
          <w:bCs/>
          <w:color w:val="000000"/>
          <w:sz w:val="28"/>
          <w:szCs w:val="28"/>
        </w:rPr>
      </w:pPr>
    </w:p>
    <w:p>
      <w:pPr>
        <w:pStyle w:val="19"/>
        <w:snapToGrid w:val="0"/>
        <w:spacing w:before="156" w:after="156" w:line="440" w:lineRule="exact"/>
        <w:rPr>
          <w:rFonts w:hAnsi="宋体"/>
          <w:b/>
          <w:bCs/>
          <w:color w:val="000000"/>
          <w:sz w:val="28"/>
          <w:szCs w:val="28"/>
        </w:rPr>
      </w:pPr>
    </w:p>
    <w:p>
      <w:pPr>
        <w:pStyle w:val="19"/>
        <w:snapToGrid w:val="0"/>
        <w:spacing w:before="156" w:after="156" w:line="440" w:lineRule="exact"/>
        <w:rPr>
          <w:rFonts w:hAnsi="宋体"/>
          <w:b/>
          <w:bCs/>
          <w:color w:val="000000"/>
          <w:sz w:val="28"/>
          <w:szCs w:val="28"/>
        </w:rPr>
      </w:pPr>
    </w:p>
    <w:p>
      <w:pPr>
        <w:pStyle w:val="19"/>
        <w:snapToGrid w:val="0"/>
        <w:spacing w:before="156" w:after="156" w:line="440" w:lineRule="exact"/>
        <w:rPr>
          <w:rFonts w:hAnsi="宋体"/>
          <w:b/>
          <w:bCs/>
          <w:color w:val="000000"/>
          <w:sz w:val="28"/>
          <w:szCs w:val="28"/>
        </w:rPr>
      </w:pPr>
      <w:r>
        <w:rPr>
          <w:rFonts w:hint="eastAsia" w:hAnsi="宋体"/>
          <w:b/>
          <w:bCs/>
          <w:color w:val="000000"/>
          <w:sz w:val="28"/>
          <w:szCs w:val="28"/>
        </w:rPr>
        <w:t>一、总则</w:t>
      </w:r>
    </w:p>
    <w:p>
      <w:pPr>
        <w:snapToGrid w:val="0"/>
        <w:spacing w:line="440" w:lineRule="exac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本招标文件适用于东阳市残疾人康复托养中心公建民营项目的招标、投标、评标、定标、验收、合同履约、付款等行为（法律、法规另有规定的，从其规定）。</w:t>
      </w:r>
    </w:p>
    <w:p>
      <w:pPr>
        <w:snapToGrid w:val="0"/>
        <w:spacing w:beforeLines="50" w:line="440" w:lineRule="exac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1.招标采购单位系指组织本次招标的东阳市残疾人联合会（“采购人”）和东阳八婺招标代理有限公司（“采购代理机构”）。</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exact"/>
        <w:ind w:firstLine="480" w:firstLineChars="200"/>
        <w:jc w:val="left"/>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“服务”系指招标文件规定供方须须承担的运营</w:t>
      </w:r>
      <w:r>
        <w:rPr>
          <w:rFonts w:hint="eastAsia" w:ascii="宋体" w:hAnsi="宋体" w:cs="宋体"/>
          <w:color w:val="0D0D0D"/>
          <w:sz w:val="24"/>
          <w:szCs w:val="24"/>
        </w:rPr>
        <w:t>服务、设备投入、</w:t>
      </w:r>
      <w:r>
        <w:rPr>
          <w:rFonts w:hint="eastAsia" w:ascii="宋体" w:hAnsi="宋体" w:cs="宋体"/>
          <w:color w:val="0D0D0D"/>
          <w:sz w:val="24"/>
        </w:rPr>
        <w:t>资产维护</w:t>
      </w:r>
      <w:r>
        <w:rPr>
          <w:rFonts w:hint="eastAsia" w:ascii="宋体" w:hAnsi="宋体" w:cs="宋体"/>
          <w:color w:val="0D0D0D"/>
          <w:sz w:val="24"/>
          <w:szCs w:val="24"/>
        </w:rPr>
        <w:t>、</w:t>
      </w:r>
      <w:r>
        <w:rPr>
          <w:rFonts w:hint="eastAsia" w:ascii="宋体" w:hAnsi="宋体" w:cs="宋体"/>
          <w:sz w:val="24"/>
        </w:rPr>
        <w:t>技术协助、培训、技术指导以及其他类似的义务</w:t>
      </w:r>
      <w:r>
        <w:rPr>
          <w:rFonts w:hint="eastAsia" w:ascii="宋体" w:hAnsi="宋体"/>
          <w:color w:val="000000"/>
          <w:sz w:val="24"/>
        </w:rPr>
        <w:t>。</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27"/>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7"/>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pPr>
        <w:pStyle w:val="27"/>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pPr>
        <w:pStyle w:val="27"/>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pPr>
        <w:pStyle w:val="27"/>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pPr>
        <w:pStyle w:val="27"/>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pPr>
        <w:pStyle w:val="27"/>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pPr>
        <w:pStyle w:val="27"/>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pStyle w:val="27"/>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pPr>
        <w:spacing w:line="360" w:lineRule="auto"/>
        <w:ind w:firstLine="480" w:firstLineChars="200"/>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（四）招标方式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本次招标采用公开招标方式进行。</w:t>
      </w:r>
    </w:p>
    <w:p>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（五）投标委托</w:t>
      </w:r>
    </w:p>
    <w:p>
      <w:pPr>
        <w:snapToGrid w:val="0"/>
        <w:spacing w:line="440" w:lineRule="exact"/>
        <w:ind w:firstLine="480" w:firstLineChars="200"/>
        <w:jc w:val="left"/>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beforeLines="50" w:line="440" w:lineRule="exact"/>
        <w:ind w:firstLine="439" w:firstLineChars="182"/>
        <w:jc w:val="left"/>
        <w:outlineLvl w:val="1"/>
        <w:rPr>
          <w:rFonts w:ascii="宋体" w:hAnsi="宋体" w:cs="宋体"/>
          <w:b/>
          <w:bCs/>
          <w:color w:val="000000"/>
          <w:sz w:val="24"/>
          <w:szCs w:val="24"/>
        </w:rPr>
      </w:pPr>
      <w:r>
        <w:rPr>
          <w:rFonts w:hint="eastAsia" w:ascii="宋体" w:hAnsi="宋体" w:cs="宋体"/>
          <w:b/>
          <w:bCs/>
          <w:color w:val="000000"/>
          <w:sz w:val="24"/>
          <w:szCs w:val="24"/>
        </w:rPr>
        <w:t>（六）投标费用</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（七）联合体投标</w:t>
      </w:r>
    </w:p>
    <w:p>
      <w:pPr>
        <w:snapToGrid w:val="0"/>
        <w:spacing w:beforeLines="50" w:line="440" w:lineRule="exact"/>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（八）转包与分包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本项目</w:t>
      </w:r>
      <w:r>
        <w:rPr>
          <w:rFonts w:hint="eastAsia" w:ascii="宋体" w:hAnsi="宋体"/>
          <w:sz w:val="24"/>
        </w:rPr>
        <w:t>允许分包。</w:t>
      </w:r>
    </w:p>
    <w:p>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（九）特别说明</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▲6.</w:t>
      </w:r>
      <w:r>
        <w:rPr>
          <w:rFonts w:hint="eastAsia" w:ascii="宋体" w:hAnsi="宋体" w:cs="宋体"/>
          <w:sz w:val="24"/>
        </w:rPr>
        <w:t>报价评审过程中，评标委员会发现投标人的报价明显高于其他投标报价，使得其投标报价可能高于其成本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xml:space="preserve">    ▲7.招标方不保证最高报价者为中标方。</w:t>
      </w:r>
      <w:r>
        <w:rPr>
          <w:rFonts w:hint="eastAsia" w:ascii="宋体" w:hAnsi="宋体" w:cs="宋体"/>
          <w:sz w:val="24"/>
          <w:szCs w:val="24"/>
        </w:rPr>
        <w:br w:type="textWrapping"/>
      </w:r>
      <w:r>
        <w:rPr>
          <w:rFonts w:hint="eastAsia" w:ascii="宋体" w:hAnsi="宋体" w:cs="宋体"/>
          <w:sz w:val="24"/>
          <w:szCs w:val="24"/>
        </w:rPr>
        <w:t xml:space="preserve">    ▲8.为维护国家利益及招标方自身利益，允许招标方在合同签订之前仍有选择或拒绝任何或全部投标的权力。</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19"/>
        <w:snapToGrid w:val="0"/>
        <w:spacing w:beforeLines="0" w:afterLines="0" w:line="440" w:lineRule="exact"/>
        <w:ind w:firstLine="241" w:firstLineChars="100"/>
        <w:outlineLvl w:val="1"/>
        <w:rPr>
          <w:rFonts w:hAnsi="宋体"/>
          <w:b/>
          <w:bCs/>
          <w:color w:val="000000"/>
        </w:rPr>
      </w:pPr>
      <w:r>
        <w:rPr>
          <w:rFonts w:hint="eastAsia" w:hAnsi="宋体"/>
          <w:b/>
          <w:bCs/>
          <w:color w:val="000000"/>
        </w:rPr>
        <w:t>（十）质疑和投诉</w:t>
      </w:r>
    </w:p>
    <w:p>
      <w:pPr>
        <w:pStyle w:val="19"/>
        <w:snapToGrid w:val="0"/>
        <w:spacing w:beforeLines="0" w:afterLines="0" w:line="440" w:lineRule="exac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9"/>
        <w:snapToGrid w:val="0"/>
        <w:spacing w:beforeLines="0" w:afterLines="0" w:line="440" w:lineRule="exac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snapToGrid w:val="0"/>
        <w:spacing w:beforeLines="0" w:afterLines="0" w:line="440" w:lineRule="exac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9"/>
        <w:snapToGrid w:val="0"/>
        <w:spacing w:beforeLines="0" w:afterLines="0" w:line="440" w:lineRule="exact"/>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pPr>
        <w:pStyle w:val="24"/>
        <w:spacing w:after="0" w:line="440" w:lineRule="exact"/>
        <w:ind w:left="0" w:leftChars="0"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12"/>
        <w:widowControl w:val="0"/>
        <w:tabs>
          <w:tab w:val="clear" w:pos="900"/>
        </w:tabs>
        <w:snapToGrid w:val="0"/>
        <w:spacing w:beforeLines="50" w:afterLines="0" w:line="440" w:lineRule="exact"/>
        <w:ind w:left="0" w:firstLine="472" w:firstLineChars="196"/>
        <w:rPr>
          <w:rFonts w:ascii="宋体" w:hAnsi="宋体" w:cs="宋体"/>
          <w:b/>
          <w:bCs/>
          <w:color w:val="000000"/>
        </w:rPr>
      </w:pPr>
      <w:r>
        <w:rPr>
          <w:rFonts w:hint="eastAsia" w:ascii="宋体" w:hAnsi="宋体" w:cs="宋体"/>
          <w:b/>
          <w:bCs/>
          <w:color w:val="000000"/>
        </w:rPr>
        <w:t>（三）招标文件的澄清与修改</w:t>
      </w:r>
    </w:p>
    <w:p>
      <w:pPr>
        <w:pStyle w:val="19"/>
        <w:snapToGrid w:val="0"/>
        <w:spacing w:beforeLines="0" w:afterLines="0" w:line="440" w:lineRule="exac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9"/>
        <w:snapToGrid w:val="0"/>
        <w:spacing w:beforeLines="0" w:afterLines="0" w:line="440" w:lineRule="exac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9"/>
        <w:snapToGrid w:val="0"/>
        <w:spacing w:beforeLines="0" w:afterLines="0" w:line="440" w:lineRule="exac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9"/>
        <w:snapToGrid w:val="0"/>
        <w:spacing w:beforeLines="0" w:afterLines="0" w:line="440" w:lineRule="exac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9"/>
        <w:snapToGrid w:val="0"/>
        <w:spacing w:beforeLines="0" w:afterLines="0" w:line="440" w:lineRule="exact"/>
        <w:ind w:firstLine="551" w:firstLineChars="196"/>
        <w:outlineLvl w:val="1"/>
        <w:rPr>
          <w:rFonts w:hAnsi="宋体"/>
          <w:b/>
          <w:bCs/>
          <w:color w:val="000000"/>
          <w:sz w:val="28"/>
          <w:szCs w:val="28"/>
        </w:rPr>
      </w:pPr>
      <w:r>
        <w:rPr>
          <w:rFonts w:hint="eastAsia" w:hAnsi="宋体"/>
          <w:b/>
          <w:bCs/>
          <w:color w:val="000000"/>
          <w:sz w:val="28"/>
          <w:szCs w:val="28"/>
        </w:rPr>
        <w:t>三、投标文件的编制</w:t>
      </w:r>
    </w:p>
    <w:p>
      <w:pPr>
        <w:snapToGrid w:val="0"/>
        <w:spacing w:line="440" w:lineRule="exac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pPr>
        <w:pStyle w:val="19"/>
        <w:snapToGrid w:val="0"/>
        <w:spacing w:beforeLines="0" w:afterLines="0" w:line="440" w:lineRule="exact"/>
        <w:ind w:firstLine="482" w:firstLineChars="200"/>
        <w:rPr>
          <w:rFonts w:hAnsi="宋体"/>
          <w:b/>
          <w:bCs/>
          <w:color w:val="000000"/>
          <w:lang w:val="zh-CN"/>
        </w:rPr>
      </w:pPr>
      <w:r>
        <w:rPr>
          <w:rFonts w:hint="eastAsia" w:hAnsi="宋体"/>
          <w:b/>
          <w:bCs/>
          <w:color w:val="000000"/>
          <w:lang w:val="zh-CN"/>
        </w:rPr>
        <w:t>投标文件由资格审查文件、技术、资信及商务文件、投标报价文件三部份组成。</w:t>
      </w:r>
    </w:p>
    <w:p>
      <w:pPr>
        <w:pStyle w:val="19"/>
        <w:snapToGrid w:val="0"/>
        <w:spacing w:beforeLines="0" w:afterLines="0" w:line="440" w:lineRule="exact"/>
        <w:ind w:firstLine="482" w:firstLineChars="200"/>
        <w:rPr>
          <w:rFonts w:hAnsi="宋体"/>
          <w:b/>
          <w:bCs/>
          <w:color w:val="000000"/>
          <w:lang w:val="zh-CN"/>
        </w:rPr>
      </w:pPr>
      <w:r>
        <w:rPr>
          <w:rFonts w:hint="eastAsia" w:hAnsi="宋体"/>
          <w:b/>
          <w:bCs/>
          <w:color w:val="000000"/>
          <w:lang w:val="zh-CN"/>
        </w:rPr>
        <w:t>1、资格审查文件: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（1）有效的营业执照复印件；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（2）法定代表人授权委托书(格式见附件)；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（3）法定代表人身份证复印件或被授权人身份证复印件；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（4）县（市）区（含）以上卫健部门颁发的《医疗机构执业许可证》证书和</w:t>
      </w:r>
      <w:r>
        <w:rPr>
          <w:rFonts w:hint="eastAsia" w:hAnsi="宋体"/>
        </w:rPr>
        <w:t>养老机构设立许可证（或社会福利机构设立批准证书）证书</w:t>
      </w:r>
      <w:r>
        <w:rPr>
          <w:rFonts w:hint="eastAsia" w:hAnsi="宋体"/>
          <w:color w:val="000000"/>
          <w:lang w:val="zh-CN"/>
        </w:rPr>
        <w:t>复印件；</w:t>
      </w:r>
    </w:p>
    <w:p>
      <w:pPr>
        <w:pStyle w:val="19"/>
        <w:snapToGrid w:val="0"/>
        <w:spacing w:beforeLines="0" w:afterLines="0" w:line="440" w:lineRule="exact"/>
        <w:ind w:firstLine="240" w:firstLineChars="100"/>
        <w:rPr>
          <w:rFonts w:hAnsi="宋体"/>
          <w:bCs/>
          <w:szCs w:val="22"/>
        </w:rPr>
      </w:pPr>
      <w:r>
        <w:rPr>
          <w:rFonts w:hint="eastAsia" w:hAnsi="宋体"/>
          <w:color w:val="000000"/>
        </w:rPr>
        <w:t>（5）</w:t>
      </w:r>
      <w:r>
        <w:rPr>
          <w:rFonts w:hint="eastAsia" w:hAnsi="宋体"/>
          <w:bCs/>
          <w:szCs w:val="22"/>
        </w:rPr>
        <w:t xml:space="preserve">符合参加政府采购活动应当具备的一般条件的承诺函(格式见附件) </w:t>
      </w:r>
    </w:p>
    <w:p>
      <w:pPr>
        <w:pStyle w:val="19"/>
        <w:snapToGrid w:val="0"/>
        <w:spacing w:beforeLines="0" w:afterLines="0" w:line="440" w:lineRule="exact"/>
        <w:ind w:firstLine="240" w:firstLineChars="100"/>
        <w:rPr>
          <w:rFonts w:hAnsi="宋体"/>
          <w:color w:val="000000"/>
        </w:rPr>
      </w:pPr>
      <w:r>
        <w:rPr>
          <w:rFonts w:hint="eastAsia" w:hAnsi="宋体"/>
          <w:color w:val="000000"/>
        </w:rPr>
        <w:t>（6）浙江政府采购网注册正式供应商的网络截图或承诺书；</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7</w:t>
      </w:r>
      <w:r>
        <w:rPr>
          <w:rFonts w:hint="eastAsia" w:hAnsi="宋体"/>
          <w:color w:val="000000"/>
          <w:lang w:val="zh-CN"/>
        </w:rPr>
        <w:t>）政府采购活动现场确认声明书 (格式见附件) ；</w:t>
      </w:r>
    </w:p>
    <w:p>
      <w:pPr>
        <w:pStyle w:val="19"/>
        <w:snapToGrid w:val="0"/>
        <w:spacing w:beforeLines="0" w:afterLines="0" w:line="440" w:lineRule="exact"/>
        <w:ind w:firstLine="240" w:firstLineChars="100"/>
        <w:rPr>
          <w:rFonts w:hAnsi="宋体"/>
        </w:rPr>
      </w:pPr>
      <w:r>
        <w:rPr>
          <w:rFonts w:hint="eastAsia" w:hAnsi="宋体"/>
        </w:rPr>
        <w:t>（8）联合体协议（格式见附件，如有）。</w:t>
      </w:r>
    </w:p>
    <w:p>
      <w:pPr>
        <w:pStyle w:val="19"/>
        <w:snapToGrid w:val="0"/>
        <w:spacing w:beforeLines="0" w:afterLines="0" w:line="440" w:lineRule="exact"/>
        <w:ind w:firstLine="482" w:firstLineChars="200"/>
        <w:rPr>
          <w:rFonts w:hAnsi="宋体"/>
          <w:b/>
          <w:bCs/>
          <w:color w:val="000000"/>
          <w:lang w:val="zh-CN"/>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19"/>
        <w:snapToGrid w:val="0"/>
        <w:spacing w:beforeLines="0" w:afterLines="0" w:line="440" w:lineRule="exact"/>
        <w:ind w:firstLine="482" w:firstLineChars="200"/>
        <w:rPr>
          <w:rFonts w:hAnsi="宋体"/>
          <w:b/>
          <w:bCs/>
          <w:color w:val="000000"/>
          <w:lang w:val="zh-CN"/>
        </w:rPr>
      </w:pPr>
      <w:r>
        <w:rPr>
          <w:rFonts w:hint="eastAsia" w:hAnsi="宋体"/>
          <w:b/>
          <w:bCs/>
          <w:color w:val="000000"/>
          <w:lang w:val="zh-CN"/>
        </w:rPr>
        <w:t>2、技术、资信及商务文件：</w:t>
      </w:r>
    </w:p>
    <w:p>
      <w:pPr>
        <w:pStyle w:val="19"/>
        <w:snapToGrid w:val="0"/>
        <w:spacing w:beforeLines="0" w:afterLines="0" w:line="440" w:lineRule="exact"/>
        <w:ind w:firstLine="240" w:firstLineChars="100"/>
        <w:rPr>
          <w:rFonts w:hAnsi="宋体"/>
          <w:color w:val="000000"/>
        </w:rPr>
      </w:pPr>
      <w:r>
        <w:rPr>
          <w:rFonts w:hint="eastAsia" w:hAnsi="宋体"/>
          <w:color w:val="000000"/>
        </w:rPr>
        <w:t>（1）投标人技术、资信及商务自评得分表</w:t>
      </w:r>
      <w:r>
        <w:rPr>
          <w:rFonts w:hint="eastAsia" w:hAnsi="宋体"/>
          <w:color w:val="000000"/>
          <w:lang w:val="zh-CN"/>
        </w:rPr>
        <w:t>（格式见附件）</w:t>
      </w:r>
      <w:r>
        <w:rPr>
          <w:rFonts w:hint="eastAsia" w:hAnsi="宋体"/>
          <w:color w:val="000000"/>
        </w:rPr>
        <w:t>；</w:t>
      </w:r>
    </w:p>
    <w:p>
      <w:pPr>
        <w:pStyle w:val="19"/>
        <w:snapToGrid w:val="0"/>
        <w:spacing w:beforeLines="0" w:afterLines="0" w:line="440" w:lineRule="exact"/>
        <w:ind w:firstLine="240" w:firstLineChars="100"/>
        <w:rPr>
          <w:rFonts w:hAnsi="宋体"/>
          <w:color w:val="000000"/>
        </w:rPr>
      </w:pPr>
      <w:r>
        <w:rPr>
          <w:rFonts w:hint="eastAsia" w:hAnsi="宋体"/>
          <w:color w:val="000000"/>
        </w:rPr>
        <w:t xml:space="preserve">（2）投标声明书 (格式见附件) ； </w:t>
      </w:r>
    </w:p>
    <w:p>
      <w:pPr>
        <w:pStyle w:val="19"/>
        <w:snapToGrid w:val="0"/>
        <w:spacing w:beforeLines="0" w:afterLines="0" w:line="440" w:lineRule="exact"/>
        <w:ind w:firstLine="240" w:firstLineChars="100"/>
        <w:rPr>
          <w:rFonts w:hAnsi="宋体"/>
          <w:color w:val="000000"/>
          <w:lang w:val="zh-CN"/>
        </w:rPr>
      </w:pPr>
      <w:r>
        <w:rPr>
          <w:rFonts w:hint="eastAsia" w:hAnsi="宋体"/>
          <w:color w:val="000000"/>
        </w:rPr>
        <w:t>（3）</w:t>
      </w:r>
      <w:r>
        <w:rPr>
          <w:rFonts w:hint="eastAsia" w:hAnsi="宋体"/>
          <w:color w:val="000000"/>
          <w:lang w:val="zh-CN"/>
        </w:rPr>
        <w:t>投标单位情况表（格式见附件）；</w:t>
      </w:r>
    </w:p>
    <w:p>
      <w:pPr>
        <w:pStyle w:val="19"/>
        <w:snapToGrid w:val="0"/>
        <w:spacing w:beforeLines="0" w:afterLines="0" w:line="440" w:lineRule="exact"/>
        <w:ind w:firstLine="240" w:firstLineChars="100"/>
        <w:rPr>
          <w:rFonts w:hAnsi="宋体"/>
          <w:color w:val="000000"/>
        </w:rPr>
      </w:pPr>
      <w:r>
        <w:rPr>
          <w:rFonts w:hint="eastAsia" w:hAnsi="宋体"/>
          <w:color w:val="000000"/>
        </w:rPr>
        <w:t>（4）投标人</w:t>
      </w:r>
      <w:r>
        <w:rPr>
          <w:rFonts w:hint="eastAsia" w:hAnsi="宋体"/>
          <w:color w:val="000000"/>
          <w:lang w:eastAsia="zh-CN"/>
        </w:rPr>
        <w:t>相关荣誉</w:t>
      </w:r>
      <w:r>
        <w:rPr>
          <w:rFonts w:hint="eastAsia" w:hAnsi="宋体"/>
          <w:color w:val="000000"/>
        </w:rPr>
        <w:t>；</w:t>
      </w:r>
    </w:p>
    <w:p>
      <w:pPr>
        <w:pStyle w:val="19"/>
        <w:snapToGrid w:val="0"/>
        <w:spacing w:beforeLines="0" w:afterLines="0" w:line="440" w:lineRule="exact"/>
        <w:ind w:firstLine="240" w:firstLineChars="100"/>
        <w:rPr>
          <w:rFonts w:hAnsi="宋体"/>
          <w:color w:val="000000"/>
        </w:rPr>
      </w:pPr>
      <w:r>
        <w:rPr>
          <w:rFonts w:hint="eastAsia" w:hAnsi="宋体"/>
          <w:color w:val="000000"/>
        </w:rPr>
        <w:t>（5）承担过的类似项目业绩（格式见附件）；</w:t>
      </w:r>
    </w:p>
    <w:p>
      <w:pPr>
        <w:pStyle w:val="19"/>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（6）投标人相关实力；</w:t>
      </w:r>
    </w:p>
    <w:p>
      <w:pPr>
        <w:pStyle w:val="19"/>
        <w:snapToGrid w:val="0"/>
        <w:spacing w:beforeLines="0" w:afterLines="0" w:line="440" w:lineRule="exact"/>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7</w:t>
      </w:r>
      <w:r>
        <w:rPr>
          <w:rFonts w:hint="eastAsia" w:hAnsi="宋体"/>
          <w:color w:val="000000"/>
          <w:lang w:eastAsia="zh-CN"/>
        </w:rPr>
        <w:t>）管理理念、方式和管理项目；</w:t>
      </w:r>
    </w:p>
    <w:p>
      <w:pPr>
        <w:pStyle w:val="19"/>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（8）财务分析；</w:t>
      </w:r>
    </w:p>
    <w:p>
      <w:pPr>
        <w:pStyle w:val="19"/>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9</w:t>
      </w:r>
      <w:r>
        <w:rPr>
          <w:rFonts w:hint="eastAsia" w:hAnsi="宋体"/>
          <w:color w:val="000000"/>
        </w:rPr>
        <w:t>）拟投入项目成员一览表（格式见附件）；</w:t>
      </w:r>
    </w:p>
    <w:p>
      <w:pPr>
        <w:pStyle w:val="19"/>
        <w:snapToGrid w:val="0"/>
        <w:spacing w:beforeLines="0" w:afterLines="0" w:line="440" w:lineRule="exact"/>
        <w:ind w:firstLine="240" w:firstLineChars="100"/>
        <w:rPr>
          <w:rFonts w:hint="eastAsia" w:hAnsi="宋体" w:eastAsia="宋体"/>
          <w:color w:val="000000"/>
          <w:lang w:eastAsia="zh-CN"/>
        </w:rPr>
      </w:pPr>
      <w:r>
        <w:rPr>
          <w:rFonts w:hint="eastAsia" w:hAnsi="宋体"/>
          <w:color w:val="000000"/>
          <w:lang w:eastAsia="zh-CN"/>
        </w:rPr>
        <w:t>（</w:t>
      </w:r>
      <w:r>
        <w:rPr>
          <w:rFonts w:hint="eastAsia" w:hAnsi="宋体"/>
          <w:color w:val="000000"/>
          <w:lang w:val="en-US" w:eastAsia="zh-CN"/>
        </w:rPr>
        <w:t>10</w:t>
      </w:r>
      <w:r>
        <w:rPr>
          <w:rFonts w:hint="eastAsia" w:hAnsi="宋体"/>
          <w:color w:val="000000"/>
          <w:lang w:eastAsia="zh-CN"/>
        </w:rPr>
        <w:t>）项目服务方案；</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w:t>
      </w:r>
      <w:r>
        <w:rPr>
          <w:rFonts w:hint="eastAsia" w:hAnsi="宋体"/>
          <w:color w:val="000000"/>
          <w:lang w:val="en-US" w:eastAsia="zh-CN"/>
        </w:rPr>
        <w:t>1</w:t>
      </w:r>
      <w:r>
        <w:rPr>
          <w:rFonts w:hint="eastAsia" w:hAnsi="宋体"/>
          <w:color w:val="000000"/>
          <w:lang w:val="zh-CN"/>
        </w:rPr>
        <w:t>）</w:t>
      </w:r>
      <w:r>
        <w:rPr>
          <w:rFonts w:hint="eastAsia" w:hAnsi="宋体"/>
          <w:color w:val="000000"/>
        </w:rPr>
        <w:t>投入装修方案</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12</w:t>
      </w:r>
      <w:r>
        <w:rPr>
          <w:rFonts w:hint="eastAsia" w:hAnsi="宋体"/>
          <w:color w:val="000000"/>
        </w:rPr>
        <w:t>）三年内投入费用清单表（格式见附件）；</w:t>
      </w:r>
    </w:p>
    <w:p>
      <w:pPr>
        <w:pStyle w:val="19"/>
        <w:snapToGrid w:val="0"/>
        <w:spacing w:beforeLines="0" w:afterLines="0" w:line="440" w:lineRule="exact"/>
        <w:ind w:firstLine="240" w:firstLineChars="100"/>
        <w:rPr>
          <w:rFonts w:hint="eastAsia" w:hAnsi="宋体"/>
          <w:color w:val="000000"/>
        </w:rPr>
      </w:pPr>
      <w:r>
        <w:rPr>
          <w:rFonts w:hint="eastAsia" w:hAnsi="宋体"/>
          <w:color w:val="000000"/>
          <w:lang w:val="zh-CN"/>
        </w:rPr>
        <w:t>（</w:t>
      </w:r>
      <w:r>
        <w:rPr>
          <w:rFonts w:hint="eastAsia" w:hAnsi="宋体"/>
          <w:color w:val="000000"/>
        </w:rPr>
        <w:t>13</w:t>
      </w:r>
      <w:r>
        <w:rPr>
          <w:rFonts w:hint="eastAsia" w:hAnsi="宋体"/>
          <w:color w:val="000000"/>
          <w:lang w:val="zh-CN"/>
        </w:rPr>
        <w:t>）</w:t>
      </w:r>
      <w:r>
        <w:rPr>
          <w:rFonts w:hint="eastAsia" w:hAnsi="宋体"/>
          <w:color w:val="000000"/>
        </w:rPr>
        <w:t>管理规章制度及应急、安全保障措施</w:t>
      </w:r>
      <w:r>
        <w:rPr>
          <w:rFonts w:hint="eastAsia" w:hAnsi="宋体"/>
          <w:color w:val="000000"/>
          <w:lang w:val="zh-CN"/>
        </w:rPr>
        <w:t>；</w:t>
      </w:r>
    </w:p>
    <w:p>
      <w:pPr>
        <w:pStyle w:val="19"/>
        <w:snapToGrid w:val="0"/>
        <w:spacing w:beforeLines="0" w:afterLines="0" w:line="440" w:lineRule="exact"/>
        <w:ind w:firstLine="240" w:firstLineChars="100"/>
        <w:rPr>
          <w:rFonts w:hint="eastAsia" w:hAnsi="宋体" w:eastAsia="宋体"/>
          <w:color w:val="000000"/>
          <w:lang w:eastAsia="zh-CN"/>
        </w:rPr>
      </w:pPr>
      <w:r>
        <w:rPr>
          <w:rFonts w:hint="eastAsia" w:hAnsi="宋体"/>
          <w:color w:val="000000"/>
          <w:lang w:eastAsia="zh-CN"/>
        </w:rPr>
        <w:t>（</w:t>
      </w:r>
      <w:r>
        <w:rPr>
          <w:rFonts w:hint="eastAsia" w:hAnsi="宋体"/>
          <w:color w:val="000000"/>
          <w:lang w:val="en-US" w:eastAsia="zh-CN"/>
        </w:rPr>
        <w:t>14</w:t>
      </w:r>
      <w:r>
        <w:rPr>
          <w:rFonts w:hint="eastAsia" w:hAnsi="宋体"/>
          <w:color w:val="000000"/>
          <w:lang w:eastAsia="zh-CN"/>
        </w:rPr>
        <w:t>）</w:t>
      </w:r>
      <w:r>
        <w:rPr>
          <w:rFonts w:hint="eastAsia" w:hAnsi="宋体"/>
          <w:color w:val="000000"/>
        </w:rPr>
        <w:t>关键技术难点、解决方案及合理化建议</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15</w:t>
      </w:r>
      <w:r>
        <w:rPr>
          <w:rFonts w:hint="eastAsia" w:hAnsi="宋体"/>
          <w:color w:val="000000"/>
          <w:lang w:val="zh-CN"/>
        </w:rPr>
        <w:t>）</w:t>
      </w:r>
      <w:r>
        <w:rPr>
          <w:rFonts w:hint="eastAsia" w:hAnsi="宋体"/>
          <w:color w:val="000000"/>
        </w:rPr>
        <w:t>增值服务、优惠承诺</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16</w:t>
      </w:r>
      <w:r>
        <w:rPr>
          <w:rFonts w:hint="eastAsia" w:hAnsi="宋体"/>
          <w:color w:val="000000"/>
          <w:lang w:val="zh-CN"/>
        </w:rPr>
        <w:t>）其他承诺和建议；</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17</w:t>
      </w:r>
      <w:r>
        <w:rPr>
          <w:rFonts w:hint="eastAsia" w:hAnsi="宋体"/>
          <w:color w:val="000000"/>
          <w:lang w:val="zh-CN"/>
        </w:rPr>
        <w:t>）政府采购供应商诚信承诺书（格式见附件）；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18</w:t>
      </w:r>
      <w:r>
        <w:rPr>
          <w:rFonts w:hint="eastAsia" w:hAnsi="宋体"/>
          <w:color w:val="000000"/>
          <w:lang w:val="zh-CN"/>
        </w:rPr>
        <w:t>）服务费承诺书（格式见附件）；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rPr>
        <w:t>（19）其它按照评标办法可加分的内容说明、证明文件；</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20</w:t>
      </w:r>
      <w:r>
        <w:rPr>
          <w:rFonts w:hint="eastAsia" w:hAnsi="宋体"/>
          <w:color w:val="000000"/>
          <w:lang w:val="zh-CN"/>
        </w:rPr>
        <w:t>）投标人认为有必要提供的其它文件。</w:t>
      </w:r>
    </w:p>
    <w:p>
      <w:pPr>
        <w:snapToGrid w:val="0"/>
        <w:spacing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3、报价文件</w:t>
      </w:r>
    </w:p>
    <w:p>
      <w:pPr>
        <w:pStyle w:val="19"/>
        <w:snapToGrid w:val="0"/>
        <w:spacing w:beforeLines="0" w:afterLines="0" w:line="440" w:lineRule="exact"/>
        <w:ind w:firstLine="240" w:firstLineChars="100"/>
        <w:rPr>
          <w:color w:val="000000"/>
        </w:rPr>
      </w:pPr>
      <w:r>
        <w:rPr>
          <w:rFonts w:hint="eastAsia"/>
          <w:color w:val="000000"/>
        </w:rPr>
        <w:t xml:space="preserve">（1）投标函（格式见附件）； </w:t>
      </w:r>
    </w:p>
    <w:p>
      <w:pPr>
        <w:pStyle w:val="19"/>
        <w:snapToGrid w:val="0"/>
        <w:spacing w:beforeLines="0" w:afterLines="0" w:line="440" w:lineRule="exact"/>
        <w:ind w:firstLine="240" w:firstLineChars="100"/>
        <w:rPr>
          <w:color w:val="000000"/>
        </w:rPr>
      </w:pPr>
      <w:r>
        <w:rPr>
          <w:rFonts w:hint="eastAsia"/>
          <w:color w:val="000000"/>
        </w:rPr>
        <w:t>（2）开标一览表（格式见附件）；</w:t>
      </w:r>
    </w:p>
    <w:p>
      <w:pPr>
        <w:pStyle w:val="19"/>
        <w:snapToGrid w:val="0"/>
        <w:spacing w:beforeLines="0" w:afterLines="0" w:line="440" w:lineRule="exact"/>
        <w:ind w:firstLine="240" w:firstLineChars="100"/>
        <w:rPr>
          <w:color w:val="000000"/>
        </w:rPr>
      </w:pPr>
      <w:r>
        <w:rPr>
          <w:rFonts w:hint="eastAsia"/>
          <w:color w:val="000000"/>
        </w:rPr>
        <w:t>（3）中小型企业声明函（格式见附件）；</w:t>
      </w:r>
    </w:p>
    <w:p>
      <w:pPr>
        <w:pStyle w:val="19"/>
        <w:snapToGrid w:val="0"/>
        <w:spacing w:beforeLines="0" w:afterLines="0" w:line="440" w:lineRule="exact"/>
        <w:ind w:firstLine="240" w:firstLineChars="100"/>
        <w:rPr>
          <w:color w:val="000000"/>
        </w:rPr>
      </w:pPr>
      <w:r>
        <w:rPr>
          <w:rFonts w:hint="eastAsia"/>
          <w:color w:val="000000"/>
        </w:rPr>
        <w:t>（4）监狱企业证明文件（如有）；</w:t>
      </w:r>
    </w:p>
    <w:p>
      <w:pPr>
        <w:pStyle w:val="19"/>
        <w:snapToGrid w:val="0"/>
        <w:spacing w:beforeLines="0" w:afterLines="0" w:line="440" w:lineRule="exact"/>
        <w:ind w:firstLine="240" w:firstLineChars="100"/>
        <w:rPr>
          <w:color w:val="000000"/>
        </w:rPr>
      </w:pPr>
      <w:r>
        <w:rPr>
          <w:rFonts w:hint="eastAsia"/>
          <w:color w:val="000000"/>
        </w:rPr>
        <w:t>（5）残疾人福利性单位声明函（如有）；</w:t>
      </w:r>
    </w:p>
    <w:p>
      <w:pPr>
        <w:pStyle w:val="19"/>
        <w:snapToGrid w:val="0"/>
        <w:spacing w:beforeLines="0" w:afterLines="0" w:line="440" w:lineRule="exact"/>
        <w:ind w:firstLine="240" w:firstLineChars="100"/>
        <w:rPr>
          <w:color w:val="000000"/>
        </w:rPr>
      </w:pPr>
      <w:r>
        <w:rPr>
          <w:rFonts w:hint="eastAsia"/>
          <w:color w:val="000000"/>
        </w:rPr>
        <w:t>（6）投标人针对报价需要说明的其他文件和说明。</w:t>
      </w:r>
    </w:p>
    <w:p>
      <w:pPr>
        <w:snapToGrid w:val="0"/>
        <w:spacing w:beforeLines="50" w:line="440" w:lineRule="exac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exac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（三）投标报价</w:t>
      </w:r>
    </w:p>
    <w:p>
      <w:pPr>
        <w:spacing w:line="440" w:lineRule="exact"/>
        <w:ind w:left="458" w:leftChars="229"/>
        <w:rPr>
          <w:rFonts w:ascii="宋体" w:hAnsi="宋体" w:cs="宋体"/>
          <w:b/>
          <w:bCs/>
          <w:color w:val="000000"/>
          <w:sz w:val="24"/>
          <w:szCs w:val="24"/>
        </w:rPr>
      </w:pPr>
      <w:r>
        <w:rPr>
          <w:rFonts w:hint="eastAsia" w:ascii="宋体" w:hAnsi="宋体" w:cs="宋体"/>
          <w:b/>
          <w:bCs/>
          <w:color w:val="000000"/>
          <w:spacing w:val="-4"/>
          <w:sz w:val="24"/>
          <w:szCs w:val="24"/>
        </w:rPr>
        <w:t>1.投</w:t>
      </w:r>
      <w:r>
        <w:rPr>
          <w:rFonts w:hint="eastAsia" w:ascii="宋体" w:hAnsi="宋体" w:cs="宋体"/>
          <w:b/>
          <w:bCs/>
          <w:color w:val="000000"/>
          <w:sz w:val="24"/>
          <w:szCs w:val="24"/>
        </w:rPr>
        <w:t>标报价应按招标文件中相关附表格式填写。</w:t>
      </w:r>
    </w:p>
    <w:p>
      <w:pPr>
        <w:pStyle w:val="19"/>
        <w:spacing w:beforeLines="0" w:afterLines="0" w:line="440" w:lineRule="exact"/>
        <w:ind w:firstLine="482" w:firstLineChars="200"/>
        <w:rPr>
          <w:rFonts w:hAnsi="宋体"/>
          <w:b/>
          <w:bCs/>
          <w:color w:val="000000" w:themeColor="text1"/>
        </w:rPr>
      </w:pPr>
      <w:r>
        <w:rPr>
          <w:rFonts w:hint="eastAsia" w:hAnsi="宋体"/>
          <w:b/>
          <w:bCs/>
          <w:color w:val="000000"/>
        </w:rPr>
        <w:t>▲2.投标报价应在招标文件所附的开标一览表上写明投标单价和投标总价</w:t>
      </w:r>
      <w:r>
        <w:rPr>
          <w:rFonts w:hint="eastAsia" w:hAnsi="宋体"/>
          <w:b/>
          <w:bCs/>
          <w:color w:val="000000" w:themeColor="text1"/>
        </w:rPr>
        <w:t>。</w:t>
      </w:r>
    </w:p>
    <w:p>
      <w:pPr>
        <w:pStyle w:val="19"/>
        <w:spacing w:beforeLines="0" w:afterLines="0" w:line="440" w:lineRule="exact"/>
        <w:ind w:firstLine="482" w:firstLineChars="200"/>
        <w:rPr>
          <w:rFonts w:hAnsi="宋体"/>
          <w:b/>
          <w:bCs/>
          <w:color w:val="000000"/>
        </w:rPr>
      </w:pPr>
      <w:r>
        <w:rPr>
          <w:rFonts w:hint="eastAsia" w:hAnsi="宋体"/>
          <w:b/>
          <w:bCs/>
          <w:color w:val="000000"/>
        </w:rPr>
        <w:t>▲3.投标文件只允许有一个报价，有选择的报价将不予接受。</w:t>
      </w:r>
    </w:p>
    <w:p>
      <w:pPr>
        <w:pStyle w:val="19"/>
        <w:spacing w:beforeLines="0" w:afterLines="0" w:line="440" w:lineRule="exact"/>
        <w:ind w:left="456" w:leftChars="228"/>
        <w:rPr>
          <w:rFonts w:hAnsi="宋体"/>
          <w:b/>
          <w:bCs/>
        </w:rPr>
      </w:pPr>
      <w:r>
        <w:rPr>
          <w:rFonts w:hint="eastAsia" w:hAnsi="宋体"/>
          <w:b/>
          <w:bCs/>
        </w:rPr>
        <w:t>▲4.投标人的报价低于最低限价的按无效标处理。</w:t>
      </w:r>
    </w:p>
    <w:p>
      <w:pPr>
        <w:pStyle w:val="19"/>
        <w:spacing w:beforeLines="0" w:afterLines="0" w:line="440" w:lineRule="exact"/>
        <w:ind w:firstLine="241" w:firstLineChars="100"/>
        <w:rPr>
          <w:rFonts w:hAnsi="宋体"/>
          <w:b/>
          <w:bCs/>
          <w:color w:val="000000"/>
        </w:rPr>
      </w:pPr>
      <w:r>
        <w:rPr>
          <w:rFonts w:hint="eastAsia" w:hAnsi="宋体"/>
          <w:b/>
          <w:bCs/>
          <w:color w:val="000000"/>
        </w:rPr>
        <w:t>（四）投标文件的有效期</w:t>
      </w:r>
    </w:p>
    <w:p>
      <w:pPr>
        <w:pStyle w:val="12"/>
        <w:widowControl w:val="0"/>
        <w:tabs>
          <w:tab w:val="clear" w:pos="900"/>
        </w:tabs>
        <w:snapToGrid w:val="0"/>
        <w:spacing w:afterLines="0" w:line="440" w:lineRule="exac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12"/>
        <w:widowControl w:val="0"/>
        <w:tabs>
          <w:tab w:val="clear" w:pos="900"/>
        </w:tabs>
        <w:snapToGrid w:val="0"/>
        <w:spacing w:afterLines="0" w:line="440" w:lineRule="exac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exac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exac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exac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（五）投标文件的签署和份数</w:t>
      </w:r>
    </w:p>
    <w:p>
      <w:pPr>
        <w:pStyle w:val="12"/>
        <w:widowControl w:val="0"/>
        <w:tabs>
          <w:tab w:val="clear" w:pos="900"/>
        </w:tabs>
        <w:snapToGrid w:val="0"/>
        <w:spacing w:afterLines="0" w:line="440" w:lineRule="exact"/>
        <w:ind w:left="885" w:leftChars="253" w:hanging="379" w:hangingChars="158"/>
        <w:rPr>
          <w:rFonts w:ascii="宋体" w:hAnsi="宋体"/>
        </w:rPr>
      </w:pPr>
      <w:r>
        <w:rPr>
          <w:rFonts w:hint="eastAsia" w:ascii="宋体" w:hAnsi="宋体"/>
        </w:rPr>
        <w:t>1.投标人应认真阅读招标文件所有内容，按本招标文件规定的要求、编制顺序和统一格式</w:t>
      </w:r>
    </w:p>
    <w:p>
      <w:pPr>
        <w:pStyle w:val="12"/>
        <w:widowControl w:val="0"/>
        <w:tabs>
          <w:tab w:val="clear" w:pos="900"/>
        </w:tabs>
        <w:snapToGrid w:val="0"/>
        <w:spacing w:afterLines="0" w:line="440" w:lineRule="exact"/>
        <w:rPr>
          <w:rFonts w:ascii="宋体" w:hAnsi="宋体"/>
        </w:rPr>
      </w:pPr>
      <w:r>
        <w:rPr>
          <w:rFonts w:hint="eastAsia" w:ascii="宋体" w:hAnsi="宋体"/>
        </w:rPr>
        <w:t>编制投标文件并标注页码，电子投标文件须根据评分标准进行关联定位。投标文件因内容不</w:t>
      </w:r>
    </w:p>
    <w:p>
      <w:pPr>
        <w:pStyle w:val="12"/>
        <w:widowControl w:val="0"/>
        <w:tabs>
          <w:tab w:val="clear" w:pos="900"/>
        </w:tabs>
        <w:snapToGrid w:val="0"/>
        <w:spacing w:afterLines="0" w:line="440" w:lineRule="exact"/>
        <w:rPr>
          <w:rFonts w:ascii="宋体" w:hAnsi="宋体"/>
        </w:rPr>
      </w:pPr>
      <w:r>
        <w:rPr>
          <w:rFonts w:hint="eastAsia" w:ascii="宋体" w:hAnsi="宋体"/>
        </w:rPr>
        <w:t>完整、编排混乱，或者电子投标文件未按评分标准进行关联定位或者关联定位不准确，导致</w:t>
      </w:r>
    </w:p>
    <w:p>
      <w:pPr>
        <w:pStyle w:val="12"/>
        <w:widowControl w:val="0"/>
        <w:tabs>
          <w:tab w:val="clear" w:pos="900"/>
        </w:tabs>
        <w:snapToGrid w:val="0"/>
        <w:spacing w:afterLines="0" w:line="440" w:lineRule="exact"/>
        <w:rPr>
          <w:rFonts w:ascii="宋体" w:hAnsi="宋体"/>
        </w:rPr>
      </w:pPr>
      <w:r>
        <w:rPr>
          <w:rFonts w:hint="eastAsia" w:ascii="宋体" w:hAnsi="宋体"/>
        </w:rPr>
        <w:t>投标文件被误读、漏读或者查找不到相关内容的，是投标人的责任。电子投标文件须按政采</w:t>
      </w:r>
    </w:p>
    <w:p>
      <w:pPr>
        <w:pStyle w:val="12"/>
        <w:widowControl w:val="0"/>
        <w:tabs>
          <w:tab w:val="clear" w:pos="900"/>
        </w:tabs>
        <w:snapToGrid w:val="0"/>
        <w:spacing w:afterLines="0" w:line="440" w:lineRule="exact"/>
        <w:rPr>
          <w:rFonts w:ascii="宋体" w:hAnsi="宋体"/>
        </w:rPr>
      </w:pPr>
      <w:r>
        <w:rPr>
          <w:rFonts w:hint="eastAsia" w:ascii="宋体" w:hAnsi="宋体"/>
        </w:rPr>
        <w:t>云平台供应商项目采购-电子招投标操作指南及本招标文件要求制作和加密。（操作指南下</w:t>
      </w:r>
    </w:p>
    <w:p>
      <w:pPr>
        <w:pStyle w:val="12"/>
        <w:widowControl w:val="0"/>
        <w:tabs>
          <w:tab w:val="clear" w:pos="900"/>
        </w:tabs>
        <w:snapToGrid w:val="0"/>
        <w:spacing w:afterLines="0" w:line="440" w:lineRule="exact"/>
        <w:rPr>
          <w:rFonts w:ascii="宋体" w:hAnsi="宋体"/>
        </w:rPr>
      </w:pPr>
      <w:r>
        <w:rPr>
          <w:rFonts w:hint="eastAsia" w:ascii="宋体" w:hAnsi="宋体"/>
        </w:rPr>
        <w:t>载网址：https://help.zcygov.cn/web/site_2/2018/12-28/2573.html）</w:t>
      </w:r>
    </w:p>
    <w:p>
      <w:pPr>
        <w:pStyle w:val="12"/>
        <w:widowControl w:val="0"/>
        <w:tabs>
          <w:tab w:val="clear" w:pos="900"/>
        </w:tabs>
        <w:snapToGrid w:val="0"/>
        <w:spacing w:afterLines="0" w:line="440" w:lineRule="exact"/>
        <w:ind w:left="0" w:firstLine="480" w:firstLineChars="200"/>
        <w:rPr>
          <w:rFonts w:ascii="宋体" w:hAnsi="宋体"/>
        </w:rPr>
      </w:pPr>
      <w:r>
        <w:rPr>
          <w:rFonts w:hint="eastAsia" w:ascii="宋体" w:hAnsi="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exact"/>
        <w:rPr>
          <w:rFonts w:ascii="宋体" w:hAnsi="宋体" w:cs="宋体"/>
          <w:b/>
          <w:sz w:val="24"/>
        </w:rPr>
      </w:pPr>
      <w:r>
        <w:rPr>
          <w:rFonts w:hint="eastAsia" w:ascii="宋体" w:hAnsi="宋体" w:cs="宋体"/>
          <w:b/>
          <w:sz w:val="24"/>
        </w:rPr>
        <w:t>▲（六）投标文件的上传、递交、修改和撤回</w:t>
      </w:r>
    </w:p>
    <w:p>
      <w:pPr>
        <w:spacing w:line="440" w:lineRule="exac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exac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exact"/>
        <w:ind w:firstLine="482" w:firstLineChars="200"/>
        <w:rPr>
          <w:rFonts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exac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exac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exac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exac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exact"/>
        <w:ind w:firstLine="240" w:firstLineChars="100"/>
        <w:rPr>
          <w:rFonts w:ascii="宋体" w:hAnsi="宋体" w:cs="宋体"/>
          <w:sz w:val="24"/>
        </w:rPr>
      </w:pPr>
      <w:r>
        <w:rPr>
          <w:rFonts w:hint="eastAsia" w:ascii="宋体" w:hAnsi="宋体" w:cs="宋体"/>
          <w:sz w:val="24"/>
        </w:rPr>
        <w:t>（10）投标有效期、服务时间、质保期等商务条款不能满足招标文件要求的；</w:t>
      </w:r>
    </w:p>
    <w:p>
      <w:pPr>
        <w:snapToGrid w:val="0"/>
        <w:spacing w:line="440" w:lineRule="exact"/>
        <w:ind w:firstLine="240" w:firstLineChars="100"/>
        <w:rPr>
          <w:rFonts w:ascii="宋体" w:hAnsi="宋体" w:cs="宋体"/>
          <w:sz w:val="24"/>
        </w:rPr>
      </w:pPr>
      <w:r>
        <w:rPr>
          <w:rFonts w:hint="eastAsia" w:ascii="宋体" w:hAnsi="宋体" w:cs="宋体"/>
          <w:sz w:val="24"/>
        </w:rPr>
        <w:t>（10）未实质性响应招标文件中标有“▲、★”条款要求的；</w:t>
      </w:r>
    </w:p>
    <w:p>
      <w:pPr>
        <w:snapToGrid w:val="0"/>
        <w:spacing w:line="440" w:lineRule="exact"/>
        <w:ind w:firstLine="240" w:firstLineChars="100"/>
        <w:rPr>
          <w:rFonts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）条资料的；</w:t>
      </w:r>
    </w:p>
    <w:p>
      <w:pPr>
        <w:snapToGrid w:val="0"/>
        <w:spacing w:line="440" w:lineRule="exac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exac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exac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exac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exac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exac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exac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exac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exact"/>
        <w:ind w:firstLine="482" w:firstLineChars="200"/>
        <w:rPr>
          <w:rFonts w:ascii="宋体" w:hAnsi="宋体" w:cs="宋体"/>
          <w:sz w:val="24"/>
        </w:rPr>
      </w:pPr>
      <w:r>
        <w:rPr>
          <w:rFonts w:hint="eastAsia" w:ascii="宋体" w:hAnsi="宋体" w:cs="宋体"/>
          <w:b/>
          <w:bCs/>
          <w:sz w:val="24"/>
        </w:rPr>
        <w:t>2.在技术评审时，如发现下列情形之一的，投标文件将被视为无效：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exact"/>
        <w:ind w:firstLine="240" w:firstLineChars="100"/>
        <w:rPr>
          <w:rFonts w:ascii="宋体" w:hAnsi="宋体" w:cs="宋体"/>
          <w:sz w:val="24"/>
        </w:rPr>
      </w:pPr>
      <w:r>
        <w:rPr>
          <w:rFonts w:hint="eastAsia" w:ascii="宋体" w:hAnsi="宋体" w:cs="宋体"/>
          <w:sz w:val="24"/>
        </w:rPr>
        <w:t>（4）明显不符合招标文件要求的服务、质量标准，或者与招标文件中标有“▲、★”、</w:t>
      </w:r>
    </w:p>
    <w:p>
      <w:pPr>
        <w:snapToGrid w:val="0"/>
        <w:spacing w:line="440" w:lineRule="exact"/>
        <w:rPr>
          <w:rFonts w:ascii="宋体" w:hAnsi="宋体" w:cs="宋体"/>
          <w:sz w:val="24"/>
        </w:rPr>
      </w:pPr>
      <w:r>
        <w:rPr>
          <w:rFonts w:hint="eastAsia" w:ascii="宋体" w:hAnsi="宋体" w:cs="宋体"/>
          <w:sz w:val="24"/>
        </w:rPr>
        <w:t>的技术指标、主要功能项目发生实质性偏离的；</w:t>
      </w:r>
    </w:p>
    <w:p>
      <w:pPr>
        <w:snapToGrid w:val="0"/>
        <w:spacing w:line="440" w:lineRule="exac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exac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exac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exact"/>
        <w:ind w:firstLine="240" w:firstLineChars="100"/>
        <w:rPr>
          <w:rFonts w:ascii="宋体" w:hAnsi="宋体" w:cs="宋体"/>
          <w:sz w:val="24"/>
        </w:rPr>
      </w:pPr>
      <w:r>
        <w:rPr>
          <w:rFonts w:hint="eastAsia" w:ascii="宋体" w:hAnsi="宋体" w:cs="宋体"/>
          <w:sz w:val="24"/>
        </w:rPr>
        <w:t>（8）法律、法规规定的其它投标无效情况。</w:t>
      </w:r>
    </w:p>
    <w:p>
      <w:pPr>
        <w:snapToGrid w:val="0"/>
        <w:spacing w:line="440" w:lineRule="exact"/>
        <w:ind w:firstLine="241" w:firstLineChars="100"/>
        <w:rPr>
          <w:rFonts w:ascii="宋体" w:hAnsi="宋体" w:cs="宋体"/>
          <w:b/>
          <w:bCs/>
          <w:sz w:val="24"/>
        </w:rPr>
      </w:pPr>
      <w:r>
        <w:rPr>
          <w:rFonts w:hint="eastAsia" w:ascii="宋体" w:hAnsi="宋体" w:cs="宋体"/>
          <w:b/>
          <w:bCs/>
          <w:sz w:val="24"/>
        </w:rPr>
        <w:t>3.在报价评审时，如发现下列情形之一的，投标文件将被视为无效：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w:t>
      </w:r>
    </w:p>
    <w:p>
      <w:pPr>
        <w:snapToGrid w:val="0"/>
        <w:spacing w:line="440" w:lineRule="exact"/>
        <w:ind w:firstLine="240" w:firstLineChars="100"/>
        <w:rPr>
          <w:rFonts w:ascii="宋体" w:hAnsi="宋体" w:cs="宋体"/>
          <w:sz w:val="24"/>
        </w:rPr>
      </w:pPr>
      <w:r>
        <w:rPr>
          <w:rFonts w:hint="eastAsia" w:ascii="宋体" w:hAnsi="宋体" w:cs="宋体"/>
          <w:sz w:val="24"/>
        </w:rPr>
        <w:t>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exact"/>
        <w:ind w:firstLine="240" w:firstLineChars="100"/>
        <w:rPr>
          <w:rFonts w:ascii="宋体" w:hAnsi="宋体" w:cs="宋体"/>
          <w:sz w:val="24"/>
        </w:rPr>
      </w:pPr>
      <w:r>
        <w:rPr>
          <w:rFonts w:hint="eastAsia" w:ascii="宋体" w:hAnsi="宋体" w:cs="宋体"/>
          <w:sz w:val="24"/>
        </w:rPr>
        <w:t>（3）报价低于用户设定的最低限价；</w:t>
      </w:r>
    </w:p>
    <w:p>
      <w:pPr>
        <w:snapToGrid w:val="0"/>
        <w:spacing w:line="440" w:lineRule="exac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exact"/>
        <w:ind w:firstLine="240" w:firstLineChars="100"/>
        <w:rPr>
          <w:rFonts w:ascii="宋体" w:hAnsi="宋体" w:cs="宋体"/>
          <w:sz w:val="24"/>
        </w:rPr>
      </w:pPr>
      <w:r>
        <w:rPr>
          <w:rFonts w:hint="eastAsia" w:ascii="宋体" w:hAnsi="宋体" w:cs="宋体"/>
          <w:sz w:val="24"/>
        </w:rPr>
        <w:t>（5）报价评审过程中，评标委员会发现投标人的报价明显高于其他投标报价，使得其投标报价可能高于其成本的，应当要求其在评标现场合理的时间内提供书面说明，必要时提交相关证明材料；投标人不能证明其报价合理性的，评标委员会应当将其作为无效投标处理。</w:t>
      </w:r>
    </w:p>
    <w:p>
      <w:pPr>
        <w:pStyle w:val="8"/>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4.被拒绝的投标文件为无效。</w:t>
      </w:r>
    </w:p>
    <w:p>
      <w:pPr>
        <w:pStyle w:val="8"/>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5.根据有关法律、法规规定为无效、废标的，按法律、法规规定执行。</w:t>
      </w:r>
    </w:p>
    <w:p>
      <w:pPr>
        <w:snapToGrid w:val="0"/>
        <w:spacing w:beforeLines="50" w:line="440" w:lineRule="exact"/>
        <w:ind w:firstLine="281" w:firstLineChars="100"/>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pPr>
        <w:pStyle w:val="19"/>
        <w:snapToGrid w:val="0"/>
        <w:spacing w:beforeLines="0" w:afterLines="0" w:line="440" w:lineRule="exact"/>
        <w:ind w:firstLine="241" w:firstLineChars="100"/>
        <w:rPr>
          <w:rFonts w:hAnsi="宋体"/>
          <w:b/>
          <w:bCs/>
          <w:color w:val="000000"/>
        </w:rPr>
      </w:pPr>
      <w:r>
        <w:rPr>
          <w:rFonts w:hint="eastAsia" w:hAnsi="宋体"/>
          <w:b/>
          <w:bCs/>
          <w:color w:val="000000"/>
        </w:rPr>
        <w:t>（一）开标准备</w:t>
      </w:r>
    </w:p>
    <w:p>
      <w:pPr>
        <w:spacing w:line="440" w:lineRule="exac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19"/>
        <w:snapToGrid w:val="0"/>
        <w:spacing w:beforeLines="0" w:afterLines="0" w:line="440" w:lineRule="exact"/>
        <w:ind w:firstLine="241" w:firstLineChars="100"/>
        <w:rPr>
          <w:rFonts w:hAnsi="宋体"/>
          <w:b/>
          <w:bCs/>
          <w:color w:val="000000"/>
        </w:rPr>
      </w:pPr>
      <w:r>
        <w:rPr>
          <w:rFonts w:hint="eastAsia" w:hAnsi="宋体"/>
          <w:b/>
          <w:bCs/>
          <w:color w:val="000000"/>
        </w:rPr>
        <w:t>（二）电子投标开标程序</w:t>
      </w:r>
    </w:p>
    <w:p>
      <w:pPr>
        <w:spacing w:line="440" w:lineRule="exac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pPr>
        <w:spacing w:line="440" w:lineRule="exac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exact"/>
        <w:ind w:firstLine="480" w:firstLineChars="200"/>
        <w:rPr>
          <w:rFonts w:ascii="宋体" w:hAnsi="宋体" w:cs="宋体"/>
          <w:sz w:val="24"/>
        </w:rPr>
      </w:pPr>
      <w:r>
        <w:rPr>
          <w:rFonts w:hint="eastAsia" w:ascii="宋体" w:hAnsi="宋体" w:cs="宋体"/>
          <w:sz w:val="24"/>
        </w:rPr>
        <w:t>3.开标及评审程序</w:t>
      </w:r>
    </w:p>
    <w:p>
      <w:pPr>
        <w:spacing w:line="440" w:lineRule="exac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exact"/>
        <w:ind w:left="480" w:leftChars="240"/>
        <w:rPr>
          <w:rFonts w:ascii="宋体" w:hAnsi="宋体" w:cs="宋体"/>
          <w:sz w:val="24"/>
        </w:rPr>
      </w:pPr>
      <w:r>
        <w:rPr>
          <w:rFonts w:hint="eastAsia" w:ascii="宋体" w:hAnsi="宋体" w:cs="宋体"/>
          <w:sz w:val="24"/>
        </w:rPr>
        <w:t>3.2由采购人或代理机构进行资格审查，通过资格审查的投标人进入商务技术响应</w:t>
      </w:r>
    </w:p>
    <w:p>
      <w:pPr>
        <w:spacing w:line="440" w:lineRule="exact"/>
        <w:rPr>
          <w:rFonts w:ascii="宋体" w:hAnsi="宋体" w:cs="宋体"/>
          <w:sz w:val="24"/>
        </w:rPr>
      </w:pPr>
      <w:r>
        <w:rPr>
          <w:rFonts w:hint="eastAsia" w:ascii="宋体" w:hAnsi="宋体" w:cs="宋体"/>
          <w:sz w:val="24"/>
        </w:rPr>
        <w:t>文件进行评审；</w:t>
      </w:r>
    </w:p>
    <w:p>
      <w:pPr>
        <w:spacing w:line="440" w:lineRule="exac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exact"/>
        <w:ind w:firstLine="480" w:firstLineChars="200"/>
        <w:rPr>
          <w:rFonts w:ascii="宋体" w:hAnsi="宋体" w:cs="宋体"/>
          <w:sz w:val="24"/>
        </w:rPr>
      </w:pPr>
      <w:r>
        <w:rPr>
          <w:rFonts w:hint="eastAsia" w:ascii="宋体" w:hAnsi="宋体" w:cs="宋体"/>
          <w:sz w:val="24"/>
        </w:rPr>
        <w:t>3.4在系统上公开报价开标情况；</w:t>
      </w:r>
    </w:p>
    <w:p>
      <w:pPr>
        <w:spacing w:line="440" w:lineRule="exac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exact"/>
        <w:ind w:firstLine="480" w:firstLineChars="200"/>
        <w:rPr>
          <w:rFonts w:ascii="宋体" w:hAnsi="宋体" w:cs="宋体"/>
          <w:sz w:val="24"/>
        </w:rPr>
      </w:pPr>
      <w:r>
        <w:rPr>
          <w:rFonts w:hint="eastAsia" w:ascii="宋体" w:hAnsi="宋体" w:cs="宋体"/>
          <w:sz w:val="24"/>
        </w:rPr>
        <w:t>3.6在系统上公布评审结果。</w:t>
      </w:r>
    </w:p>
    <w:p>
      <w:pPr>
        <w:spacing w:line="440" w:lineRule="exac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exact"/>
        <w:ind w:firstLine="480" w:firstLineChars="200"/>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9"/>
        <w:snapToGrid w:val="0"/>
        <w:spacing w:beforeLines="0" w:afterLines="0" w:line="440" w:lineRule="exact"/>
        <w:ind w:firstLine="281" w:firstLineChars="100"/>
        <w:outlineLvl w:val="1"/>
        <w:rPr>
          <w:rFonts w:hAnsi="宋体"/>
          <w:b/>
          <w:bCs/>
          <w:color w:val="000000"/>
          <w:sz w:val="28"/>
          <w:szCs w:val="28"/>
        </w:rPr>
      </w:pPr>
      <w:r>
        <w:rPr>
          <w:rFonts w:hint="eastAsia" w:hAnsi="宋体"/>
          <w:b/>
          <w:bCs/>
          <w:color w:val="000000"/>
          <w:sz w:val="28"/>
          <w:szCs w:val="28"/>
        </w:rPr>
        <w:t>五、评标</w:t>
      </w:r>
    </w:p>
    <w:p>
      <w:pPr>
        <w:pStyle w:val="19"/>
        <w:snapToGrid w:val="0"/>
        <w:spacing w:beforeLines="0" w:afterLines="0" w:line="440" w:lineRule="atLeast"/>
        <w:ind w:firstLine="241" w:firstLineChars="100"/>
        <w:rPr>
          <w:rFonts w:hAnsi="宋体"/>
          <w:b/>
          <w:bCs/>
          <w:color w:val="000000"/>
        </w:rPr>
      </w:pPr>
      <w:r>
        <w:rPr>
          <w:rFonts w:hint="eastAsia" w:hAnsi="宋体"/>
          <w:b/>
          <w:bCs/>
          <w:color w:val="000000"/>
        </w:rPr>
        <w:t>（一）组建评标委员会</w:t>
      </w:r>
    </w:p>
    <w:p>
      <w:pPr>
        <w:spacing w:line="440" w:lineRule="atLeast"/>
        <w:ind w:firstLine="480" w:firstLineChars="200"/>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（二）评标的方式</w:t>
      </w:r>
    </w:p>
    <w:p>
      <w:pPr>
        <w:spacing w:line="440" w:lineRule="atLeast"/>
        <w:ind w:firstLine="480" w:firstLineChars="200"/>
        <w:rPr>
          <w:rFonts w:ascii="宋体" w:hAnsi="宋体" w:cs="宋体"/>
          <w:sz w:val="24"/>
          <w:szCs w:val="22"/>
        </w:rPr>
      </w:pPr>
      <w:r>
        <w:rPr>
          <w:rFonts w:hint="eastAsia" w:ascii="宋体" w:hAnsi="宋体" w:cs="宋体"/>
          <w:sz w:val="24"/>
          <w:szCs w:val="24"/>
        </w:rPr>
        <w:t>本项目采用不公开方式评标，评标的依据为招标文件和投标文件。</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9"/>
        <w:snapToGrid w:val="0"/>
        <w:spacing w:beforeLines="0" w:afterLines="0" w:line="440" w:lineRule="atLeast"/>
        <w:ind w:firstLine="241" w:firstLineChars="100"/>
        <w:rPr>
          <w:rFonts w:hAnsi="宋体"/>
          <w:b/>
          <w:bCs/>
          <w:color w:val="000000"/>
        </w:rPr>
      </w:pPr>
      <w:r>
        <w:rPr>
          <w:rFonts w:hint="eastAsia" w:hAnsi="宋体"/>
          <w:b/>
          <w:bCs/>
          <w:color w:val="000000"/>
        </w:rPr>
        <w:t>（四）澄清问题的形式</w:t>
      </w:r>
    </w:p>
    <w:p>
      <w:pPr>
        <w:spacing w:line="440" w:lineRule="atLeas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9"/>
        <w:snapToGrid w:val="0"/>
        <w:spacing w:beforeLines="0" w:afterLines="0" w:line="440" w:lineRule="atLeast"/>
        <w:ind w:firstLine="241" w:firstLineChars="100"/>
        <w:rPr>
          <w:rFonts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9"/>
        <w:tabs>
          <w:tab w:val="left" w:pos="630"/>
        </w:tabs>
        <w:snapToGrid w:val="0"/>
        <w:spacing w:beforeLines="0" w:afterLines="0" w:line="440" w:lineRule="atLeast"/>
        <w:ind w:firstLine="472" w:firstLineChars="196"/>
        <w:rPr>
          <w:rFonts w:hAnsi="宋体"/>
          <w:b/>
          <w:bCs/>
          <w:color w:val="000000"/>
        </w:rPr>
      </w:pPr>
      <w:r>
        <w:rPr>
          <w:rFonts w:hint="eastAsia" w:hAnsi="宋体"/>
          <w:b/>
          <w:bCs/>
          <w:color w:val="000000"/>
        </w:rPr>
        <w:t>（六）评标原则和评标办法</w:t>
      </w:r>
    </w:p>
    <w:p>
      <w:pPr>
        <w:pStyle w:val="19"/>
        <w:snapToGrid w:val="0"/>
        <w:spacing w:beforeLines="0" w:afterLines="0" w:line="440" w:lineRule="atLeas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napToGrid w:val="0"/>
        <w:spacing w:beforeLines="0" w:afterLines="0" w:line="440" w:lineRule="atLeast"/>
        <w:ind w:firstLine="480" w:firstLineChars="200"/>
        <w:rPr>
          <w:rFonts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6"/>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9"/>
        <w:snapToGrid w:val="0"/>
        <w:spacing w:beforeLines="0" w:afterLines="0" w:line="440" w:lineRule="atLeast"/>
        <w:ind w:firstLine="241" w:firstLineChars="100"/>
        <w:rPr>
          <w:rFonts w:hAnsi="宋体"/>
          <w:b/>
          <w:bCs/>
          <w:color w:val="000000"/>
        </w:rPr>
      </w:pPr>
      <w:r>
        <w:rPr>
          <w:rFonts w:hint="eastAsia" w:hAnsi="宋体"/>
          <w:b/>
          <w:bCs/>
          <w:color w:val="000000"/>
        </w:rPr>
        <w:t>（</w:t>
      </w:r>
      <w:r>
        <w:rPr>
          <w:rFonts w:hint="eastAsia" w:hAnsi="宋体"/>
          <w:b/>
        </w:rPr>
        <w:t>八</w:t>
      </w:r>
      <w:r>
        <w:rPr>
          <w:rFonts w:hint="eastAsia" w:hAnsi="宋体"/>
          <w:b/>
          <w:bCs/>
          <w:color w:val="000000"/>
        </w:rPr>
        <w:t>）评标过程的监控</w:t>
      </w:r>
    </w:p>
    <w:p>
      <w:pPr>
        <w:pStyle w:val="19"/>
        <w:snapToGrid w:val="0"/>
        <w:spacing w:beforeLines="0" w:afterLines="0" w:line="440" w:lineRule="atLeas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70" w:firstLineChars="196"/>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9"/>
        <w:snapToGrid w:val="0"/>
        <w:spacing w:beforeLines="0" w:afterLines="0" w:line="440" w:lineRule="exact"/>
        <w:ind w:firstLine="562" w:firstLineChars="200"/>
        <w:outlineLvl w:val="1"/>
        <w:rPr>
          <w:rFonts w:hAnsi="宋体"/>
          <w:b/>
          <w:bCs/>
          <w:color w:val="000000"/>
          <w:sz w:val="28"/>
          <w:szCs w:val="28"/>
        </w:rPr>
      </w:pPr>
      <w:r>
        <w:rPr>
          <w:rFonts w:hint="eastAsia" w:hAnsi="宋体"/>
          <w:b/>
          <w:bCs/>
          <w:color w:val="000000"/>
          <w:sz w:val="28"/>
          <w:szCs w:val="28"/>
        </w:rPr>
        <w:t>六、定标</w:t>
      </w:r>
    </w:p>
    <w:p>
      <w:pPr>
        <w:pStyle w:val="19"/>
        <w:snapToGrid w:val="0"/>
        <w:spacing w:beforeLines="0" w:afterLines="0" w:line="440" w:lineRule="exact"/>
        <w:ind w:firstLine="472" w:firstLineChars="196"/>
        <w:rPr>
          <w:rFonts w:hAnsi="宋体"/>
          <w:b/>
          <w:bCs/>
          <w:color w:val="000000"/>
        </w:rPr>
      </w:pPr>
      <w:r>
        <w:rPr>
          <w:rFonts w:hint="eastAsia" w:hAnsi="宋体"/>
          <w:b/>
          <w:bCs/>
          <w:color w:val="000000"/>
        </w:rPr>
        <w:t>（一）确定中标人。本项目由采购人授权评标委员会确定中标人。</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1.采购代理机构在评标结束后2个工作日内将评标报告交采购人确认。</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2.投标</w:t>
      </w:r>
      <w:r>
        <w:rPr>
          <w:rFonts w:hint="eastAsia" w:ascii="宋体" w:hAnsi="宋体" w:cs="宋体"/>
          <w:color w:val="000000"/>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000000"/>
          <w:sz w:val="24"/>
          <w:szCs w:val="24"/>
        </w:rPr>
        <w:t>定中标人。</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3.采购人依法确定中标人后2个工作日内，采购代理机构以书面形式发出《中标通知书》,并同时在相关网站上发布中标公告。</w:t>
      </w:r>
    </w:p>
    <w:p>
      <w:pPr>
        <w:pStyle w:val="19"/>
        <w:snapToGrid w:val="0"/>
        <w:spacing w:beforeLines="0" w:afterLines="0" w:line="440" w:lineRule="exact"/>
        <w:ind w:firstLine="551" w:firstLineChars="196"/>
        <w:outlineLvl w:val="1"/>
        <w:rPr>
          <w:rFonts w:hAnsi="宋体"/>
          <w:b/>
          <w:bCs/>
          <w:color w:val="000000"/>
          <w:sz w:val="28"/>
          <w:szCs w:val="28"/>
        </w:rPr>
      </w:pPr>
      <w:r>
        <w:rPr>
          <w:rFonts w:hint="eastAsia" w:hAnsi="宋体"/>
          <w:b/>
          <w:bCs/>
          <w:color w:val="000000"/>
          <w:sz w:val="28"/>
          <w:szCs w:val="28"/>
        </w:rPr>
        <w:t>七、合同授予</w:t>
      </w:r>
    </w:p>
    <w:p>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exact"/>
        <w:ind w:left="-170" w:leftChars="-85" w:firstLine="689" w:firstLineChars="245"/>
        <w:rPr>
          <w:rFonts w:ascii="宋体" w:hAnsi="宋体" w:cs="宋体"/>
          <w:b/>
          <w:bCs/>
          <w:sz w:val="24"/>
          <w:szCs w:val="22"/>
        </w:rPr>
      </w:pPr>
      <w:r>
        <w:rPr>
          <w:rFonts w:hint="eastAsia" w:ascii="宋体" w:hAnsi="宋体" w:cs="宋体"/>
          <w:b/>
          <w:sz w:val="28"/>
          <w:szCs w:val="28"/>
        </w:rPr>
        <w:t>（二）</w:t>
      </w:r>
      <w:r>
        <w:rPr>
          <w:rFonts w:hint="eastAsia" w:ascii="宋体" w:hAnsi="宋体" w:cs="宋体"/>
          <w:b/>
          <w:bCs/>
          <w:sz w:val="24"/>
          <w:szCs w:val="22"/>
        </w:rPr>
        <w:t>履约保证金：</w:t>
      </w:r>
    </w:p>
    <w:p>
      <w:pPr>
        <w:spacing w:line="440" w:lineRule="atLeast"/>
        <w:ind w:left="-170" w:leftChars="-85" w:firstLine="588" w:firstLineChars="245"/>
        <w:rPr>
          <w:rFonts w:ascii="宋体" w:hAnsi="宋体" w:cs="宋体"/>
          <w:sz w:val="28"/>
          <w:szCs w:val="28"/>
        </w:rPr>
      </w:pPr>
      <w:r>
        <w:rPr>
          <w:rFonts w:hint="eastAsia" w:ascii="宋体" w:hAnsi="宋体" w:cs="宋体"/>
          <w:sz w:val="24"/>
          <w:szCs w:val="24"/>
        </w:rPr>
        <w:t>1.履约保证金为人民币30万元，在合同签订前缴纳至采购人指定账户（以</w:t>
      </w:r>
      <w:r>
        <w:rPr>
          <w:rFonts w:hint="eastAsia" w:ascii="宋体" w:hAnsi="宋体" w:cs="宋体"/>
          <w:sz w:val="24"/>
        </w:rPr>
        <w:t>银行保函或现金转账的</w:t>
      </w:r>
      <w:r>
        <w:rPr>
          <w:rFonts w:hint="eastAsia" w:ascii="宋体" w:hAnsi="宋体" w:cs="宋体"/>
          <w:sz w:val="24"/>
          <w:szCs w:val="24"/>
        </w:rPr>
        <w:t>形式缴纳，保函可在“政采云平台线上”申请办理）</w:t>
      </w:r>
      <w:r>
        <w:rPr>
          <w:rFonts w:hint="eastAsia" w:ascii="宋体" w:hAnsi="宋体" w:cs="宋体"/>
          <w:sz w:val="24"/>
          <w:szCs w:val="22"/>
        </w:rPr>
        <w:t>（保函期限应大于履约期限2个月</w:t>
      </w:r>
      <w:r>
        <w:rPr>
          <w:rFonts w:hint="eastAsia" w:ascii="宋体" w:hAnsi="宋体" w:cs="宋体"/>
          <w:sz w:val="24"/>
          <w:szCs w:val="24"/>
        </w:rPr>
        <w:t>），履约保证金在</w:t>
      </w:r>
      <w:r>
        <w:rPr>
          <w:rFonts w:hint="eastAsia" w:ascii="宋体" w:hAnsi="宋体" w:cs="宋体"/>
          <w:sz w:val="24"/>
        </w:rPr>
        <w:t>服务期满后30日内退还（不计息）。</w:t>
      </w:r>
    </w:p>
    <w:p>
      <w:pPr>
        <w:spacing w:line="440" w:lineRule="exact"/>
        <w:ind w:firstLine="480" w:firstLineChars="200"/>
        <w:rPr>
          <w:rFonts w:ascii="宋体" w:hAnsi="宋体" w:cs="宋体"/>
          <w:bCs/>
          <w:sz w:val="24"/>
          <w:szCs w:val="24"/>
        </w:rPr>
      </w:pPr>
      <w:r>
        <w:rPr>
          <w:rFonts w:hint="eastAsia" w:ascii="宋体" w:hAnsi="宋体" w:cs="宋体"/>
          <w:bCs/>
          <w:sz w:val="24"/>
          <w:szCs w:val="24"/>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440" w:lineRule="atLeast"/>
        <w:ind w:firstLine="480" w:firstLineChars="200"/>
        <w:rPr>
          <w:rFonts w:ascii="宋体" w:hAnsi="宋体" w:cs="宋体"/>
          <w:b/>
          <w:sz w:val="28"/>
          <w:szCs w:val="28"/>
        </w:rPr>
      </w:pPr>
      <w:r>
        <w:rPr>
          <w:rFonts w:hint="eastAsia" w:ascii="宋体" w:hAnsi="宋体" w:cs="宋体"/>
          <w:color w:val="000000"/>
          <w:sz w:val="24"/>
          <w:szCs w:val="24"/>
        </w:rPr>
        <w:t>3.签订合同后，如中标人不按双方合同约定履约，则没收其全部履约保证金，履约保证金不足以赔偿损失的，按实际损失赔偿。</w:t>
      </w:r>
    </w:p>
    <w:p>
      <w:pPr>
        <w:spacing w:line="440" w:lineRule="exact"/>
        <w:rPr>
          <w:rFonts w:ascii="宋体" w:hAnsi="宋体" w:cs="宋体"/>
          <w:b/>
          <w:sz w:val="28"/>
          <w:szCs w:val="28"/>
        </w:rPr>
      </w:pPr>
      <w:r>
        <w:rPr>
          <w:rFonts w:hint="eastAsia" w:ascii="宋体" w:hAnsi="宋体" w:cs="宋体"/>
          <w:b/>
          <w:sz w:val="28"/>
          <w:szCs w:val="28"/>
        </w:rPr>
        <w:t>八、中标服务费</w:t>
      </w:r>
    </w:p>
    <w:p>
      <w:pPr>
        <w:spacing w:line="440" w:lineRule="exact"/>
        <w:ind w:firstLine="480" w:firstLineChars="200"/>
        <w:rPr>
          <w:rFonts w:ascii="宋体" w:hAnsi="宋体" w:cs="宋体"/>
          <w:bCs/>
          <w:sz w:val="24"/>
        </w:rPr>
      </w:pPr>
      <w:r>
        <w:rPr>
          <w:rFonts w:hint="eastAsia" w:ascii="宋体" w:hAnsi="宋体" w:cs="宋体"/>
          <w:bCs/>
          <w:sz w:val="24"/>
          <w:szCs w:val="24"/>
        </w:rPr>
        <w:t>招标代理服务为人民币</w:t>
      </w:r>
      <w:r>
        <w:rPr>
          <w:rFonts w:hint="eastAsia" w:ascii="宋体" w:hAnsi="宋体" w:cs="宋体"/>
          <w:color w:val="333333"/>
          <w:sz w:val="24"/>
          <w:szCs w:val="24"/>
          <w:shd w:val="clear" w:color="auto" w:fill="FFFFFF"/>
        </w:rPr>
        <w:t>28500元</w:t>
      </w:r>
      <w:r>
        <w:rPr>
          <w:rFonts w:hint="eastAsia" w:ascii="宋体" w:hAnsi="宋体" w:cs="宋体"/>
          <w:bCs/>
          <w:sz w:val="24"/>
          <w:szCs w:val="24"/>
        </w:rPr>
        <w:t>，在领取中标通知书时，由中标人向采购代理机构直接交纳，可用现金、转账付款方式</w:t>
      </w:r>
      <w:r>
        <w:rPr>
          <w:rFonts w:hint="eastAsia" w:ascii="宋体" w:hAnsi="宋体" w:cs="宋体"/>
          <w:bCs/>
          <w:sz w:val="24"/>
        </w:rPr>
        <w:t>。</w:t>
      </w:r>
    </w:p>
    <w:p>
      <w:pPr>
        <w:spacing w:line="440" w:lineRule="exact"/>
        <w:ind w:firstLine="470" w:firstLineChars="196"/>
        <w:rPr>
          <w:rFonts w:ascii="宋体" w:hAnsi="宋体" w:cs="宋体"/>
          <w:bCs/>
          <w:sz w:val="24"/>
        </w:rPr>
      </w:pPr>
      <w:r>
        <w:rPr>
          <w:rFonts w:hint="eastAsia" w:ascii="宋体" w:hAnsi="宋体" w:cs="宋体"/>
          <w:bCs/>
          <w:sz w:val="24"/>
        </w:rPr>
        <w:t>帐户名称：东阳八婺招标代理有限公司</w:t>
      </w:r>
    </w:p>
    <w:p>
      <w:pPr>
        <w:spacing w:line="440" w:lineRule="exact"/>
        <w:ind w:firstLine="480" w:firstLineChars="200"/>
        <w:rPr>
          <w:rFonts w:ascii="宋体" w:hAnsi="宋体" w:cs="宋体"/>
          <w:bCs/>
          <w:sz w:val="24"/>
        </w:rPr>
      </w:pPr>
      <w:r>
        <w:rPr>
          <w:rFonts w:hint="eastAsia" w:ascii="宋体" w:hAnsi="宋体" w:cs="宋体"/>
          <w:bCs/>
          <w:sz w:val="24"/>
        </w:rPr>
        <w:t>账    号：1208040009049224461</w:t>
      </w:r>
    </w:p>
    <w:p>
      <w:pPr>
        <w:spacing w:line="440" w:lineRule="exact"/>
        <w:ind w:firstLine="470" w:firstLineChars="196"/>
        <w:rPr>
          <w:rFonts w:ascii="宋体" w:hAnsi="宋体" w:cs="宋体"/>
          <w:bCs/>
          <w:sz w:val="24"/>
        </w:rPr>
      </w:pPr>
      <w:r>
        <w:rPr>
          <w:rFonts w:hint="eastAsia" w:ascii="宋体" w:hAnsi="宋体" w:cs="宋体"/>
          <w:bCs/>
          <w:sz w:val="24"/>
        </w:rPr>
        <w:t>开户银行：中国工商银行东阳支行</w:t>
      </w:r>
    </w:p>
    <w:p>
      <w:pPr>
        <w:pStyle w:val="19"/>
        <w:snapToGrid w:val="0"/>
        <w:spacing w:before="156" w:after="156" w:line="240" w:lineRule="auto"/>
        <w:rPr>
          <w:rFonts w:hAnsi="宋体"/>
          <w:b/>
          <w:bCs/>
          <w:color w:val="000000"/>
          <w:sz w:val="30"/>
          <w:szCs w:val="30"/>
        </w:rPr>
      </w:pPr>
    </w:p>
    <w:p>
      <w:pPr>
        <w:pStyle w:val="19"/>
        <w:snapToGrid w:val="0"/>
        <w:spacing w:before="156" w:after="156" w:line="240" w:lineRule="auto"/>
        <w:ind w:firstLine="3012" w:firstLineChars="1000"/>
        <w:rPr>
          <w:rFonts w:hint="eastAsia" w:hAnsi="宋体"/>
          <w:b/>
          <w:bCs/>
          <w:color w:val="000000"/>
          <w:sz w:val="30"/>
          <w:szCs w:val="30"/>
        </w:rPr>
      </w:pPr>
    </w:p>
    <w:p>
      <w:pPr>
        <w:pStyle w:val="19"/>
        <w:snapToGrid w:val="0"/>
        <w:spacing w:before="156" w:after="156" w:line="240" w:lineRule="auto"/>
        <w:ind w:firstLine="3012" w:firstLineChars="10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本办法适用于东阳市残疾人康复托养中心公建民营项目的评标。</w:t>
      </w:r>
    </w:p>
    <w:p>
      <w:pPr>
        <w:spacing w:beforeLines="50" w:afterLines="50" w:line="300" w:lineRule="exact"/>
        <w:ind w:firstLine="3654" w:firstLineChars="1300"/>
        <w:rPr>
          <w:rFonts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次评标采用综合评分法，总分为100分，其中价格分10分，技术、资信及商务分90分。合格投标人的评标得分为各项目汇总得分，中标候选资格按评标综合得分由高到低顺序排列，得分相同的，按投标报价由低到高顺序排列；得分且投标报价相同的，按技术、资信及商务分由高到低顺序排列。排名第一的投标人为中标候选人,排名第二的投标人为候补中标候选人……其他投标人中标候选资格依此类推。评分过程中采用四舍五入法，并保留小数2位。</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投标人评标综合得分=技术、资信及商务分+报价分</w:t>
      </w:r>
    </w:p>
    <w:p>
      <w:pPr>
        <w:spacing w:beforeLines="50" w:afterLines="50" w:line="300" w:lineRule="exact"/>
        <w:ind w:firstLine="3092" w:firstLineChars="11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Lines="50" w:afterLines="50"/>
        <w:rPr>
          <w:rFonts w:ascii="宋体" w:hAnsi="宋体" w:cs="宋体"/>
          <w:b/>
          <w:bCs/>
          <w:color w:val="000000"/>
          <w:sz w:val="24"/>
          <w:szCs w:val="24"/>
        </w:rPr>
      </w:pPr>
      <w:r>
        <w:rPr>
          <w:rFonts w:hint="eastAsia" w:ascii="宋体" w:hAnsi="宋体" w:cs="宋体"/>
          <w:b/>
          <w:bCs/>
          <w:color w:val="000000"/>
          <w:sz w:val="24"/>
          <w:szCs w:val="24"/>
        </w:rPr>
        <w:t>（一）评分表（技术、资信及商务分共90分）：</w:t>
      </w:r>
    </w:p>
    <w:tbl>
      <w:tblPr>
        <w:tblStyle w:val="29"/>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05"/>
        <w:gridCol w:w="711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xml:space="preserve">                    评分标准</w:t>
            </w: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305" w:type="dxa"/>
            <w:vAlign w:val="center"/>
          </w:tcPr>
          <w:p>
            <w:pPr>
              <w:wordWrap w:val="0"/>
              <w:jc w:val="center"/>
              <w:rPr>
                <w:rFonts w:ascii="宋体" w:hAnsi="宋体" w:cs="宋体"/>
                <w:sz w:val="24"/>
                <w:szCs w:val="24"/>
              </w:rPr>
            </w:pPr>
            <w:r>
              <w:rPr>
                <w:rFonts w:hint="eastAsia" w:ascii="宋体" w:hAnsi="宋体" w:cs="宋体"/>
                <w:sz w:val="24"/>
                <w:szCs w:val="24"/>
              </w:rPr>
              <w:t>荣誉证书</w:t>
            </w:r>
          </w:p>
        </w:tc>
        <w:tc>
          <w:tcPr>
            <w:tcW w:w="7119" w:type="dxa"/>
            <w:vAlign w:val="center"/>
          </w:tcPr>
          <w:p>
            <w:pPr>
              <w:wordWrap w:val="0"/>
              <w:rPr>
                <w:rFonts w:ascii="宋体" w:hAnsi="宋体" w:cs="宋体"/>
                <w:sz w:val="24"/>
                <w:szCs w:val="24"/>
                <w:lang w:val="zh-CN"/>
              </w:rPr>
            </w:pPr>
            <w:r>
              <w:rPr>
                <w:rFonts w:hint="eastAsia" w:ascii="宋体" w:hAnsi="宋体" w:cs="宋体"/>
                <w:sz w:val="24"/>
                <w:szCs w:val="24"/>
                <w:lang w:val="zh-CN"/>
              </w:rPr>
              <w:t>投标人自</w:t>
            </w:r>
            <w:r>
              <w:rPr>
                <w:rFonts w:hint="eastAsia" w:ascii="宋体" w:hAnsi="宋体" w:cs="宋体"/>
                <w:sz w:val="24"/>
                <w:szCs w:val="24"/>
              </w:rPr>
              <w:t>2018年1月以来，获得县市级及以上行政部门颁发</w:t>
            </w:r>
            <w:r>
              <w:rPr>
                <w:rFonts w:hint="eastAsia" w:ascii="宋体" w:hAnsi="宋体" w:cs="宋体"/>
                <w:sz w:val="24"/>
                <w:szCs w:val="24"/>
                <w:lang w:val="zh-CN"/>
              </w:rPr>
              <w:t>荣誉的，得</w:t>
            </w:r>
            <w:r>
              <w:rPr>
                <w:rFonts w:hint="eastAsia" w:ascii="宋体" w:hAnsi="宋体" w:cs="宋体"/>
                <w:sz w:val="24"/>
                <w:szCs w:val="24"/>
              </w:rPr>
              <w:t>2分</w:t>
            </w:r>
            <w:r>
              <w:rPr>
                <w:rFonts w:hint="eastAsia" w:ascii="宋体" w:hAnsi="宋体" w:cs="宋体"/>
                <w:sz w:val="24"/>
                <w:szCs w:val="24"/>
                <w:lang w:val="zh-CN"/>
              </w:rPr>
              <w:t>。</w:t>
            </w:r>
          </w:p>
          <w:p>
            <w:pPr>
              <w:wordWrap w:val="0"/>
              <w:rPr>
                <w:rFonts w:ascii="宋体" w:hAnsi="宋体" w:cs="宋体"/>
                <w:sz w:val="24"/>
                <w:szCs w:val="24"/>
              </w:rPr>
            </w:pPr>
            <w:r>
              <w:rPr>
                <w:rFonts w:hint="eastAsia" w:ascii="宋体" w:hAnsi="宋体" w:cs="宋体"/>
                <w:bCs/>
                <w:sz w:val="24"/>
                <w:szCs w:val="24"/>
                <w:lang w:val="zh-CN"/>
              </w:rPr>
              <w:t>（注：提供相关证明文件复印件加盖单位公章，不提供不得分）</w:t>
            </w:r>
          </w:p>
        </w:tc>
        <w:tc>
          <w:tcPr>
            <w:tcW w:w="999" w:type="dxa"/>
            <w:vAlign w:val="center"/>
          </w:tcPr>
          <w:p>
            <w:pPr>
              <w:jc w:val="center"/>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305" w:type="dxa"/>
            <w:vAlign w:val="center"/>
          </w:tcPr>
          <w:p>
            <w:pPr>
              <w:wordWrap w:val="0"/>
              <w:jc w:val="center"/>
              <w:rPr>
                <w:rFonts w:ascii="宋体" w:hAnsi="宋体" w:cs="宋体"/>
                <w:sz w:val="24"/>
                <w:szCs w:val="24"/>
              </w:rPr>
            </w:pPr>
            <w:r>
              <w:rPr>
                <w:rFonts w:hint="eastAsia" w:ascii="宋体" w:hAnsi="宋体" w:cs="宋体"/>
                <w:sz w:val="24"/>
                <w:szCs w:val="24"/>
              </w:rPr>
              <w:t>项目业绩</w:t>
            </w: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投标人自2018年1月1日以来具有同类项目业绩的，每提供1个业绩得0.5分，本项最高得1分。（注：提供合同复印件）</w:t>
            </w:r>
          </w:p>
        </w:tc>
        <w:tc>
          <w:tcPr>
            <w:tcW w:w="999" w:type="dxa"/>
            <w:vAlign w:val="center"/>
          </w:tcPr>
          <w:p>
            <w:pPr>
              <w:jc w:val="center"/>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305" w:type="dxa"/>
            <w:vAlign w:val="center"/>
          </w:tcPr>
          <w:p>
            <w:pPr>
              <w:wordWrap w:val="0"/>
              <w:jc w:val="center"/>
              <w:rPr>
                <w:rFonts w:ascii="宋体" w:hAnsi="宋体" w:cs="宋体"/>
                <w:sz w:val="24"/>
                <w:szCs w:val="24"/>
              </w:rPr>
            </w:pPr>
            <w:r>
              <w:rPr>
                <w:rFonts w:hint="eastAsia" w:ascii="宋体" w:hAnsi="宋体" w:cs="宋体"/>
                <w:sz w:val="24"/>
                <w:szCs w:val="24"/>
              </w:rPr>
              <w:t>公益捐款</w:t>
            </w:r>
          </w:p>
        </w:tc>
        <w:tc>
          <w:tcPr>
            <w:tcW w:w="7119" w:type="dxa"/>
            <w:vAlign w:val="center"/>
          </w:tcPr>
          <w:p>
            <w:pPr>
              <w:rPr>
                <w:rFonts w:ascii="宋体" w:hAnsi="宋体" w:cs="宋体"/>
                <w:sz w:val="24"/>
                <w:szCs w:val="24"/>
              </w:rPr>
            </w:pPr>
            <w:r>
              <w:rPr>
                <w:rFonts w:hint="eastAsia" w:ascii="宋体" w:hAnsi="宋体" w:cs="宋体"/>
                <w:sz w:val="24"/>
                <w:szCs w:val="24"/>
              </w:rPr>
              <w:t>投标人自2018年1月1日起至今，公益事业或慈善事业捐款累计人民币10万元的得1分，每增加5万元得1分，本项最高得4分。（注：提供相关捐款证明材料）</w:t>
            </w:r>
          </w:p>
        </w:tc>
        <w:tc>
          <w:tcPr>
            <w:tcW w:w="999" w:type="dxa"/>
            <w:vAlign w:val="center"/>
          </w:tcPr>
          <w:p>
            <w:pPr>
              <w:jc w:val="center"/>
              <w:rPr>
                <w:rFonts w:ascii="宋体" w:hAnsi="宋体" w:cs="宋体"/>
                <w:szCs w:val="21"/>
              </w:rPr>
            </w:pPr>
            <w:r>
              <w:rPr>
                <w:rFonts w:hint="eastAsia" w:ascii="宋体" w:hAnsi="宋体" w:cs="宋体"/>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5"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305" w:type="dxa"/>
            <w:vMerge w:val="restart"/>
            <w:vAlign w:val="center"/>
          </w:tcPr>
          <w:p>
            <w:pPr>
              <w:jc w:val="center"/>
              <w:rPr>
                <w:rFonts w:ascii="宋体" w:hAnsi="宋体" w:cs="宋体"/>
                <w:sz w:val="24"/>
              </w:rPr>
            </w:pPr>
            <w:r>
              <w:rPr>
                <w:rFonts w:hint="eastAsia" w:ascii="宋体" w:hAnsi="宋体" w:cs="宋体"/>
                <w:sz w:val="24"/>
              </w:rPr>
              <w:t>企业实力</w:t>
            </w:r>
          </w:p>
        </w:tc>
        <w:tc>
          <w:tcPr>
            <w:tcW w:w="7119" w:type="dxa"/>
            <w:vAlign w:val="center"/>
          </w:tcPr>
          <w:p>
            <w:pPr>
              <w:rPr>
                <w:rFonts w:ascii="宋体" w:hAnsi="宋体" w:cs="宋体"/>
                <w:sz w:val="24"/>
                <w:szCs w:val="24"/>
              </w:rPr>
            </w:pPr>
            <w:r>
              <w:rPr>
                <w:rFonts w:hint="eastAsia" w:ascii="宋体" w:hAnsi="宋体" w:cs="宋体"/>
                <w:sz w:val="24"/>
                <w:szCs w:val="24"/>
                <w:lang w:val="zh-CN"/>
              </w:rPr>
              <w:t>投标人具有单个项目</w:t>
            </w:r>
            <w:r>
              <w:rPr>
                <w:rFonts w:hint="eastAsia" w:ascii="宋体" w:hAnsi="宋体" w:cs="宋体"/>
                <w:sz w:val="24"/>
                <w:szCs w:val="24"/>
              </w:rPr>
              <w:t>养老</w:t>
            </w:r>
            <w:r>
              <w:rPr>
                <w:rFonts w:hint="eastAsia" w:ascii="宋体" w:hAnsi="宋体" w:cs="宋体"/>
                <w:sz w:val="24"/>
                <w:szCs w:val="24"/>
                <w:lang w:val="zh-CN"/>
              </w:rPr>
              <w:t>床位、</w:t>
            </w:r>
            <w:r>
              <w:rPr>
                <w:rFonts w:hint="eastAsia" w:ascii="宋体" w:hAnsi="宋体" w:cs="宋体"/>
                <w:sz w:val="24"/>
                <w:szCs w:val="24"/>
              </w:rPr>
              <w:t>医疗床位200张以上的得2分；</w:t>
            </w:r>
            <w:r>
              <w:rPr>
                <w:rFonts w:hint="eastAsia" w:ascii="宋体" w:hAnsi="宋体" w:cs="宋体"/>
                <w:sz w:val="24"/>
                <w:szCs w:val="24"/>
                <w:lang w:val="zh-CN"/>
              </w:rPr>
              <w:t>单个项目</w:t>
            </w:r>
            <w:r>
              <w:rPr>
                <w:rFonts w:hint="eastAsia" w:ascii="宋体" w:hAnsi="宋体" w:cs="宋体"/>
                <w:sz w:val="24"/>
                <w:szCs w:val="24"/>
              </w:rPr>
              <w:t>养老</w:t>
            </w:r>
            <w:r>
              <w:rPr>
                <w:rFonts w:hint="eastAsia" w:ascii="宋体" w:hAnsi="宋体" w:cs="宋体"/>
                <w:sz w:val="24"/>
                <w:szCs w:val="24"/>
                <w:lang w:val="zh-CN"/>
              </w:rPr>
              <w:t>床位、</w:t>
            </w:r>
            <w:r>
              <w:rPr>
                <w:rFonts w:hint="eastAsia" w:ascii="宋体" w:hAnsi="宋体" w:cs="宋体"/>
                <w:sz w:val="24"/>
                <w:szCs w:val="24"/>
              </w:rPr>
              <w:t>医疗床位300张以上的得3分；本项最高得3分。</w:t>
            </w:r>
          </w:p>
          <w:p>
            <w:pPr>
              <w:rPr>
                <w:rFonts w:ascii="宋体" w:hAnsi="宋体" w:cs="宋体"/>
                <w:sz w:val="24"/>
                <w:szCs w:val="24"/>
              </w:rPr>
            </w:pPr>
            <w:r>
              <w:rPr>
                <w:rFonts w:hint="eastAsia" w:ascii="宋体" w:hAnsi="宋体" w:cs="宋体"/>
                <w:sz w:val="24"/>
                <w:szCs w:val="24"/>
              </w:rPr>
              <w:t>（注：提供相关证明材料，不提供不得分。）</w:t>
            </w:r>
          </w:p>
        </w:tc>
        <w:tc>
          <w:tcPr>
            <w:tcW w:w="999" w:type="dxa"/>
            <w:vAlign w:val="center"/>
          </w:tcPr>
          <w:p>
            <w:pPr>
              <w:jc w:val="center"/>
              <w:rPr>
                <w:rFonts w:ascii="宋体" w:hAnsi="宋体" w:cs="宋体"/>
                <w:b/>
                <w:sz w:val="24"/>
                <w:szCs w:val="24"/>
              </w:rPr>
            </w:pPr>
            <w:r>
              <w:rPr>
                <w:rFonts w:hint="eastAsia" w:ascii="宋体" w:hAnsi="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5" w:type="dxa"/>
            <w:vMerge w:val="continue"/>
            <w:vAlign w:val="center"/>
          </w:tcPr>
          <w:p>
            <w:pPr>
              <w:spacing w:line="360" w:lineRule="auto"/>
              <w:jc w:val="center"/>
              <w:rPr>
                <w:rFonts w:ascii="宋体" w:hAnsi="宋体" w:cs="宋体"/>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rPr>
                <w:rFonts w:ascii="宋体" w:hAnsi="宋体" w:cs="宋体"/>
                <w:sz w:val="24"/>
                <w:szCs w:val="24"/>
              </w:rPr>
            </w:pPr>
            <w:r>
              <w:rPr>
                <w:rFonts w:hint="eastAsia" w:ascii="宋体" w:hAnsi="宋体" w:cs="宋体"/>
                <w:sz w:val="24"/>
                <w:szCs w:val="24"/>
              </w:rPr>
              <w:t>投标人具有连续3年及以上养老、医疗管理经验的得1分 ；具有连续4年及以上养老、医疗管理经验的得2分；具有连续5年及以上养老、医疗管理经验的得3分；本项最高得3分。</w:t>
            </w:r>
          </w:p>
          <w:p>
            <w:pPr>
              <w:rPr>
                <w:rFonts w:ascii="宋体" w:hAnsi="宋体" w:cs="宋体"/>
                <w:sz w:val="24"/>
                <w:szCs w:val="24"/>
              </w:rPr>
            </w:pPr>
            <w:r>
              <w:rPr>
                <w:rFonts w:hint="eastAsia" w:ascii="宋体" w:hAnsi="宋体" w:cs="宋体"/>
                <w:sz w:val="24"/>
                <w:szCs w:val="24"/>
              </w:rPr>
              <w:t>（注：需提供相关证明文件，不提供不得分。）</w:t>
            </w:r>
          </w:p>
        </w:tc>
        <w:tc>
          <w:tcPr>
            <w:tcW w:w="999" w:type="dxa"/>
            <w:vAlign w:val="center"/>
          </w:tcPr>
          <w:p>
            <w:pPr>
              <w:jc w:val="center"/>
              <w:rPr>
                <w:rFonts w:ascii="宋体" w:hAnsi="宋体" w:cs="宋体"/>
                <w:sz w:val="24"/>
                <w:szCs w:val="24"/>
              </w:rPr>
            </w:pPr>
            <w:r>
              <w:rPr>
                <w:rFonts w:hint="eastAsia" w:ascii="宋体" w:hAnsi="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5" w:type="dxa"/>
            <w:vMerge w:val="restar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1305" w:type="dxa"/>
            <w:vMerge w:val="restart"/>
            <w:vAlign w:val="center"/>
          </w:tcPr>
          <w:p>
            <w:pPr>
              <w:jc w:val="center"/>
              <w:rPr>
                <w:rFonts w:ascii="宋体" w:hAnsi="宋体" w:cs="宋体"/>
                <w:sz w:val="24"/>
              </w:rPr>
            </w:pPr>
            <w:r>
              <w:rPr>
                <w:rFonts w:hint="eastAsia" w:ascii="宋体" w:hAnsi="宋体" w:cs="宋体"/>
                <w:sz w:val="24"/>
              </w:rPr>
              <w:t>管理理念、方式和管理项目</w:t>
            </w: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根据投标人对项目整体管理理念、建设计划的科学合理性与可行性情况；</w:t>
            </w:r>
          </w:p>
        </w:tc>
        <w:tc>
          <w:tcPr>
            <w:tcW w:w="999" w:type="dxa"/>
            <w:vAlign w:val="center"/>
          </w:tcPr>
          <w:p>
            <w:pPr>
              <w:jc w:val="center"/>
              <w:rPr>
                <w:rFonts w:ascii="宋体" w:hAnsi="宋体" w:cs="宋体"/>
                <w:sz w:val="24"/>
                <w:szCs w:val="24"/>
              </w:rPr>
            </w:pPr>
            <w:r>
              <w:rPr>
                <w:rFonts w:hint="eastAsia" w:ascii="宋体" w:hAnsi="宋体"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5" w:type="dxa"/>
            <w:vMerge w:val="continue"/>
            <w:vAlign w:val="center"/>
          </w:tcPr>
          <w:p>
            <w:pPr>
              <w:spacing w:line="360" w:lineRule="auto"/>
              <w:jc w:val="center"/>
              <w:rPr>
                <w:rFonts w:ascii="宋体" w:hAnsi="宋体" w:cs="宋体"/>
                <w:color w:val="000000"/>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根据投标人提供的整体运营方案和经营模式的科学性、合理性、可行性及优劣性情况；</w:t>
            </w:r>
          </w:p>
        </w:tc>
        <w:tc>
          <w:tcPr>
            <w:tcW w:w="999" w:type="dxa"/>
            <w:vAlign w:val="center"/>
          </w:tcPr>
          <w:p>
            <w:pPr>
              <w:jc w:val="center"/>
              <w:rPr>
                <w:rFonts w:ascii="宋体" w:hAnsi="宋体" w:cs="宋体"/>
                <w:sz w:val="24"/>
                <w:szCs w:val="24"/>
              </w:rPr>
            </w:pPr>
            <w:r>
              <w:rPr>
                <w:rFonts w:hint="eastAsia" w:ascii="宋体" w:hAnsi="宋体"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5" w:type="dxa"/>
            <w:vMerge w:val="continue"/>
            <w:vAlign w:val="center"/>
          </w:tcPr>
          <w:p>
            <w:pPr>
              <w:spacing w:line="360" w:lineRule="auto"/>
              <w:jc w:val="center"/>
              <w:rPr>
                <w:rFonts w:ascii="宋体" w:hAnsi="宋体" w:cs="宋体"/>
                <w:color w:val="000000"/>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根据投标人提供的康复和医疗服务理念、专业发展定位及服务项目配置是否合理等情况；</w:t>
            </w:r>
          </w:p>
        </w:tc>
        <w:tc>
          <w:tcPr>
            <w:tcW w:w="999" w:type="dxa"/>
            <w:vAlign w:val="center"/>
          </w:tcPr>
          <w:p>
            <w:pPr>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5" w:type="dxa"/>
            <w:vMerge w:val="continue"/>
            <w:vAlign w:val="center"/>
          </w:tcPr>
          <w:p>
            <w:pPr>
              <w:spacing w:line="360" w:lineRule="auto"/>
              <w:jc w:val="center"/>
              <w:rPr>
                <w:rFonts w:ascii="宋体" w:hAnsi="宋体" w:cs="宋体"/>
                <w:color w:val="000000"/>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根据投标人提供的护理等级是否实行分区管理、能否满足残疾人服务需求等情况；</w:t>
            </w:r>
          </w:p>
        </w:tc>
        <w:tc>
          <w:tcPr>
            <w:tcW w:w="999" w:type="dxa"/>
            <w:vAlign w:val="center"/>
          </w:tcPr>
          <w:p>
            <w:pPr>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vMerge w:val="continue"/>
            <w:vAlign w:val="center"/>
          </w:tcPr>
          <w:p>
            <w:pPr>
              <w:spacing w:line="360" w:lineRule="auto"/>
              <w:jc w:val="center"/>
              <w:rPr>
                <w:rFonts w:ascii="宋体" w:hAnsi="宋体" w:cs="宋体"/>
                <w:color w:val="000000"/>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spacing w:line="280" w:lineRule="exact"/>
              <w:rPr>
                <w:rFonts w:hint="eastAsia" w:ascii="宋体" w:hAnsi="宋体" w:eastAsia="宋体" w:cs="宋体"/>
                <w:sz w:val="24"/>
                <w:szCs w:val="24"/>
                <w:lang w:val="en-US" w:eastAsia="zh-CN"/>
              </w:rPr>
            </w:pPr>
            <w:r>
              <w:rPr>
                <w:rFonts w:hint="eastAsia" w:ascii="宋体" w:hAnsi="宋体" w:cs="宋体"/>
                <w:sz w:val="24"/>
                <w:szCs w:val="24"/>
              </w:rPr>
              <w:t>根据投标人提供的收费标准的合理性、可行性及优劣性等情况</w:t>
            </w:r>
            <w:r>
              <w:rPr>
                <w:rFonts w:hint="eastAsia" w:ascii="宋体" w:hAnsi="宋体" w:cs="宋体"/>
                <w:sz w:val="24"/>
                <w:szCs w:val="24"/>
                <w:lang w:eastAsia="zh-CN"/>
              </w:rPr>
              <w:t>。</w:t>
            </w:r>
          </w:p>
        </w:tc>
        <w:tc>
          <w:tcPr>
            <w:tcW w:w="999" w:type="dxa"/>
            <w:vAlign w:val="center"/>
          </w:tcPr>
          <w:p>
            <w:pPr>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5"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w:t>
            </w:r>
          </w:p>
        </w:tc>
        <w:tc>
          <w:tcPr>
            <w:tcW w:w="1305" w:type="dxa"/>
            <w:vAlign w:val="center"/>
          </w:tcPr>
          <w:p>
            <w:pPr>
              <w:jc w:val="center"/>
              <w:rPr>
                <w:rFonts w:ascii="宋体" w:hAnsi="宋体" w:cs="宋体"/>
                <w:sz w:val="24"/>
              </w:rPr>
            </w:pPr>
            <w:r>
              <w:rPr>
                <w:rFonts w:hint="eastAsia" w:ascii="宋体" w:hAnsi="宋体" w:cs="宋体"/>
                <w:sz w:val="24"/>
              </w:rPr>
              <w:t>财务分析</w:t>
            </w:r>
          </w:p>
        </w:tc>
        <w:tc>
          <w:tcPr>
            <w:tcW w:w="7119" w:type="dxa"/>
            <w:vAlign w:val="center"/>
          </w:tcPr>
          <w:p>
            <w:pPr>
              <w:rPr>
                <w:rFonts w:hint="eastAsia" w:ascii="宋体" w:hAnsi="宋体" w:eastAsia="宋体" w:cs="宋体"/>
                <w:sz w:val="24"/>
                <w:szCs w:val="24"/>
                <w:lang w:eastAsia="zh-CN"/>
              </w:rPr>
            </w:pPr>
            <w:r>
              <w:rPr>
                <w:rFonts w:hint="eastAsia" w:ascii="宋体" w:hAnsi="宋体" w:cs="宋体"/>
                <w:sz w:val="24"/>
                <w:szCs w:val="24"/>
              </w:rPr>
              <w:t>运营管理财务分析（包括收费标准、财务管理和使用制度、管理服务期内每年的运营收支及收益预测等）</w:t>
            </w:r>
            <w:r>
              <w:rPr>
                <w:rFonts w:hint="eastAsia" w:ascii="宋体" w:hAnsi="宋体" w:cs="宋体"/>
                <w:sz w:val="24"/>
                <w:szCs w:val="24"/>
                <w:lang w:eastAsia="zh-CN"/>
              </w:rPr>
              <w:t>。</w:t>
            </w:r>
          </w:p>
        </w:tc>
        <w:tc>
          <w:tcPr>
            <w:tcW w:w="999" w:type="dxa"/>
            <w:vAlign w:val="center"/>
          </w:tcPr>
          <w:p>
            <w:pPr>
              <w:jc w:val="center"/>
              <w:rPr>
                <w:rFonts w:ascii="宋体" w:hAnsi="宋体" w:cs="宋体"/>
                <w:sz w:val="24"/>
                <w:szCs w:val="24"/>
              </w:rPr>
            </w:pPr>
            <w:r>
              <w:rPr>
                <w:rFonts w:hint="eastAsia" w:ascii="宋体" w:hAnsi="宋体" w:cs="宋体"/>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5" w:type="dxa"/>
            <w:vMerge w:val="restar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w:t>
            </w:r>
          </w:p>
        </w:tc>
        <w:tc>
          <w:tcPr>
            <w:tcW w:w="1305" w:type="dxa"/>
            <w:vMerge w:val="restart"/>
            <w:vAlign w:val="center"/>
          </w:tcPr>
          <w:p>
            <w:pPr>
              <w:jc w:val="center"/>
              <w:rPr>
                <w:rFonts w:ascii="宋体" w:hAnsi="宋体" w:cs="宋体"/>
                <w:sz w:val="24"/>
              </w:rPr>
            </w:pPr>
            <w:r>
              <w:rPr>
                <w:rFonts w:hint="eastAsia" w:ascii="宋体" w:hAnsi="宋体" w:cs="宋体"/>
                <w:sz w:val="24"/>
              </w:rPr>
              <w:t>人员配备</w:t>
            </w:r>
          </w:p>
        </w:tc>
        <w:tc>
          <w:tcPr>
            <w:tcW w:w="7119" w:type="dxa"/>
            <w:vAlign w:val="center"/>
          </w:tcPr>
          <w:p>
            <w:pPr>
              <w:rPr>
                <w:rFonts w:hint="eastAsia" w:ascii="宋体" w:hAnsi="宋体" w:eastAsia="宋体" w:cs="宋体"/>
                <w:sz w:val="24"/>
                <w:szCs w:val="24"/>
                <w:lang w:eastAsia="zh-CN"/>
              </w:rPr>
            </w:pPr>
            <w:r>
              <w:rPr>
                <w:rFonts w:hint="eastAsia" w:ascii="宋体" w:hAnsi="宋体" w:cs="宋体"/>
                <w:sz w:val="24"/>
                <w:szCs w:val="24"/>
              </w:rPr>
              <w:t>根据服务团队人员的数量、工作经验、专业能力，专业配备人员安排情况的便捷性、科学性、合理性等</w:t>
            </w:r>
            <w:r>
              <w:rPr>
                <w:rFonts w:hint="eastAsia" w:ascii="宋体" w:hAnsi="宋体" w:cs="宋体"/>
                <w:sz w:val="24"/>
                <w:szCs w:val="24"/>
                <w:lang w:eastAsia="zh-CN"/>
              </w:rPr>
              <w:t>。</w:t>
            </w:r>
          </w:p>
        </w:tc>
        <w:tc>
          <w:tcPr>
            <w:tcW w:w="999" w:type="dxa"/>
            <w:vAlign w:val="center"/>
          </w:tcPr>
          <w:p>
            <w:pPr>
              <w:jc w:val="center"/>
              <w:rPr>
                <w:rFonts w:ascii="宋体" w:hAnsi="宋体" w:cs="宋体"/>
                <w:bCs/>
                <w:sz w:val="24"/>
                <w:szCs w:val="24"/>
              </w:rPr>
            </w:pPr>
            <w:r>
              <w:rPr>
                <w:rFonts w:hint="eastAsia" w:ascii="宋体" w:hAnsi="宋体" w:cs="宋体"/>
                <w:bCs/>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5" w:type="dxa"/>
            <w:vMerge w:val="continue"/>
            <w:vAlign w:val="center"/>
          </w:tcPr>
          <w:p>
            <w:pPr>
              <w:spacing w:line="360" w:lineRule="auto"/>
              <w:jc w:val="center"/>
              <w:rPr>
                <w:rFonts w:ascii="宋体" w:hAnsi="宋体" w:cs="宋体"/>
                <w:color w:val="000000"/>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numPr>
                <w:ilvl w:val="0"/>
                <w:numId w:val="5"/>
              </w:numPr>
              <w:jc w:val="left"/>
              <w:rPr>
                <w:rFonts w:ascii="宋体" w:hAnsi="宋体" w:cs="宋体"/>
                <w:sz w:val="24"/>
                <w:szCs w:val="24"/>
              </w:rPr>
            </w:pPr>
            <w:r>
              <w:rPr>
                <w:rFonts w:hint="eastAsia" w:ascii="宋体" w:hAnsi="宋体" w:cs="宋体"/>
                <w:sz w:val="24"/>
                <w:szCs w:val="24"/>
              </w:rPr>
              <w:t xml:space="preserve">项目负责人具有从事养老及医疗服务管理经验的得2分；       2.拟派项目人员中具有副主任康复医师、副主任精神卫生专业及以上职称的，每提供1人得1分，本项最高得4分。               </w:t>
            </w:r>
          </w:p>
          <w:p>
            <w:pPr>
              <w:jc w:val="left"/>
              <w:rPr>
                <w:rFonts w:ascii="宋体" w:hAnsi="宋体" w:cs="宋体"/>
                <w:sz w:val="24"/>
                <w:szCs w:val="24"/>
              </w:rPr>
            </w:pPr>
            <w:r>
              <w:rPr>
                <w:rFonts w:hint="eastAsia" w:ascii="宋体" w:hAnsi="宋体" w:cs="宋体"/>
                <w:sz w:val="24"/>
                <w:szCs w:val="24"/>
              </w:rPr>
              <w:t xml:space="preserve">3.拟派项目人员中具有心理治疗师、老年人能力评估师的，每提供1个得1分，本项最高得2分。 </w:t>
            </w:r>
          </w:p>
          <w:p>
            <w:pPr>
              <w:jc w:val="left"/>
              <w:rPr>
                <w:rFonts w:ascii="宋体" w:hAnsi="宋体" w:cs="宋体"/>
                <w:sz w:val="24"/>
                <w:szCs w:val="24"/>
              </w:rPr>
            </w:pPr>
            <w:r>
              <w:rPr>
                <w:rFonts w:hint="eastAsia" w:ascii="宋体" w:hAnsi="宋体" w:cs="宋体"/>
                <w:sz w:val="24"/>
                <w:szCs w:val="24"/>
              </w:rPr>
              <w:t xml:space="preserve">（注：提供人员相关证明材料）                 </w:t>
            </w:r>
          </w:p>
        </w:tc>
        <w:tc>
          <w:tcPr>
            <w:tcW w:w="999" w:type="dxa"/>
            <w:vAlign w:val="center"/>
          </w:tcPr>
          <w:p>
            <w:pPr>
              <w:jc w:val="center"/>
              <w:rPr>
                <w:rFonts w:ascii="宋体" w:hAnsi="宋体" w:cs="宋体"/>
                <w:bCs/>
                <w:sz w:val="24"/>
                <w:szCs w:val="24"/>
              </w:rPr>
            </w:pPr>
            <w:r>
              <w:rPr>
                <w:rFonts w:hint="eastAsia" w:ascii="宋体" w:hAnsi="宋体" w:cs="宋体"/>
                <w:bCs/>
                <w:sz w:val="24"/>
                <w:szCs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305" w:type="dxa"/>
            <w:vAlign w:val="center"/>
          </w:tcPr>
          <w:p>
            <w:pPr>
              <w:rPr>
                <w:rFonts w:ascii="宋体" w:hAnsi="宋体" w:cs="宋体"/>
                <w:sz w:val="24"/>
              </w:rPr>
            </w:pPr>
            <w:r>
              <w:rPr>
                <w:rFonts w:hint="eastAsia" w:ascii="宋体" w:hAnsi="宋体" w:cs="宋体"/>
                <w:sz w:val="24"/>
              </w:rPr>
              <w:t>服务方案</w:t>
            </w:r>
          </w:p>
        </w:tc>
        <w:tc>
          <w:tcPr>
            <w:tcW w:w="7119" w:type="dxa"/>
            <w:vAlign w:val="center"/>
          </w:tcPr>
          <w:p>
            <w:pPr>
              <w:rPr>
                <w:rFonts w:ascii="宋体" w:hAnsi="宋体" w:cs="宋体"/>
                <w:sz w:val="24"/>
                <w:szCs w:val="24"/>
              </w:rPr>
            </w:pPr>
            <w:r>
              <w:rPr>
                <w:rFonts w:hint="eastAsia" w:ascii="宋体" w:hAnsi="宋体" w:cs="宋体"/>
                <w:sz w:val="24"/>
                <w:szCs w:val="24"/>
              </w:rPr>
              <w:t>对指定重度残疾托养人员的服务质量方案、相关承诺等。</w:t>
            </w:r>
          </w:p>
        </w:tc>
        <w:tc>
          <w:tcPr>
            <w:tcW w:w="999" w:type="dxa"/>
            <w:vAlign w:val="center"/>
          </w:tcPr>
          <w:p>
            <w:pPr>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5"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305" w:type="dxa"/>
            <w:vMerge w:val="restart"/>
            <w:vAlign w:val="center"/>
          </w:tcPr>
          <w:p>
            <w:pPr>
              <w:jc w:val="center"/>
              <w:rPr>
                <w:rFonts w:ascii="宋体" w:hAnsi="宋体" w:cs="宋体"/>
                <w:sz w:val="24"/>
              </w:rPr>
            </w:pPr>
            <w:r>
              <w:rPr>
                <w:rFonts w:hint="eastAsia" w:ascii="宋体" w:hAnsi="宋体" w:cs="宋体"/>
                <w:sz w:val="24"/>
              </w:rPr>
              <w:t>投入装修方案</w:t>
            </w:r>
          </w:p>
        </w:tc>
        <w:tc>
          <w:tcPr>
            <w:tcW w:w="7119" w:type="dxa"/>
            <w:vAlign w:val="center"/>
          </w:tcPr>
          <w:p>
            <w:pPr>
              <w:rPr>
                <w:rFonts w:ascii="宋体" w:hAnsi="宋体" w:cs="宋体"/>
                <w:sz w:val="24"/>
                <w:szCs w:val="24"/>
              </w:rPr>
            </w:pPr>
            <w:r>
              <w:rPr>
                <w:rFonts w:hint="eastAsia" w:ascii="宋体" w:hAnsi="宋体" w:cs="宋体"/>
                <w:sz w:val="24"/>
                <w:szCs w:val="24"/>
              </w:rPr>
              <w:t>根据投标人针对后续装修、改造设施投入的方案及清单，时间安排，相关承诺等情况，进行打分。</w:t>
            </w:r>
          </w:p>
        </w:tc>
        <w:tc>
          <w:tcPr>
            <w:tcW w:w="999" w:type="dxa"/>
            <w:vAlign w:val="center"/>
          </w:tcPr>
          <w:p>
            <w:pPr>
              <w:jc w:val="center"/>
              <w:rPr>
                <w:rFonts w:ascii="宋体" w:hAnsi="宋体" w:cs="宋体"/>
                <w:sz w:val="24"/>
                <w:szCs w:val="24"/>
              </w:rPr>
            </w:pPr>
            <w:r>
              <w:rPr>
                <w:rFonts w:hint="eastAsia" w:ascii="宋体" w:hAnsi="宋体"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55" w:type="dxa"/>
            <w:vMerge w:val="continue"/>
            <w:vAlign w:val="center"/>
          </w:tcPr>
          <w:p>
            <w:pPr>
              <w:spacing w:line="360" w:lineRule="auto"/>
              <w:jc w:val="center"/>
              <w:rPr>
                <w:rFonts w:ascii="宋体" w:hAnsi="宋体" w:cs="宋体"/>
                <w:sz w:val="24"/>
                <w:szCs w:val="24"/>
              </w:rPr>
            </w:pPr>
          </w:p>
        </w:tc>
        <w:tc>
          <w:tcPr>
            <w:tcW w:w="1305" w:type="dxa"/>
            <w:vMerge w:val="continue"/>
            <w:vAlign w:val="center"/>
          </w:tcPr>
          <w:p>
            <w:pPr>
              <w:jc w:val="center"/>
              <w:rPr>
                <w:rFonts w:ascii="宋体" w:hAnsi="宋体" w:cs="宋体"/>
                <w:sz w:val="24"/>
              </w:rPr>
            </w:pPr>
          </w:p>
        </w:tc>
        <w:tc>
          <w:tcPr>
            <w:tcW w:w="7119" w:type="dxa"/>
            <w:vAlign w:val="center"/>
          </w:tcPr>
          <w:p>
            <w:pPr>
              <w:rPr>
                <w:rFonts w:ascii="宋体" w:hAnsi="宋体" w:cs="宋体"/>
                <w:sz w:val="24"/>
                <w:szCs w:val="24"/>
              </w:rPr>
            </w:pPr>
            <w:r>
              <w:rPr>
                <w:rFonts w:hint="eastAsia" w:ascii="宋体" w:hAnsi="宋体" w:cs="宋体"/>
                <w:sz w:val="24"/>
                <w:szCs w:val="24"/>
              </w:rPr>
              <w:t>根据投标人针对后续投入医疗、智能化康复等设备配置清单，时间安排，相关承诺等情况，进行打分。</w:t>
            </w:r>
          </w:p>
        </w:tc>
        <w:tc>
          <w:tcPr>
            <w:tcW w:w="999" w:type="dxa"/>
            <w:vAlign w:val="center"/>
          </w:tcPr>
          <w:p>
            <w:pPr>
              <w:jc w:val="center"/>
              <w:rPr>
                <w:rFonts w:ascii="宋体" w:hAnsi="宋体" w:cs="宋体"/>
                <w:sz w:val="24"/>
                <w:szCs w:val="24"/>
              </w:rPr>
            </w:pPr>
            <w:r>
              <w:rPr>
                <w:rFonts w:hint="eastAsia" w:ascii="宋体" w:hAnsi="宋体"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305" w:type="dxa"/>
            <w:vAlign w:val="center"/>
          </w:tcPr>
          <w:p>
            <w:pPr>
              <w:jc w:val="center"/>
              <w:rPr>
                <w:rFonts w:ascii="宋体" w:hAnsi="宋体" w:cs="宋体"/>
                <w:sz w:val="24"/>
              </w:rPr>
            </w:pPr>
            <w:r>
              <w:rPr>
                <w:rFonts w:hint="eastAsia" w:ascii="宋体" w:hAnsi="宋体" w:cs="宋体"/>
                <w:sz w:val="24"/>
              </w:rPr>
              <w:t>管理规章制度及应急、安全保障措施</w:t>
            </w:r>
          </w:p>
        </w:tc>
        <w:tc>
          <w:tcPr>
            <w:tcW w:w="7119" w:type="dxa"/>
            <w:vAlign w:val="center"/>
          </w:tcPr>
          <w:p>
            <w:pPr>
              <w:rPr>
                <w:rFonts w:ascii="宋体" w:hAnsi="宋体" w:cs="宋体"/>
                <w:sz w:val="24"/>
                <w:szCs w:val="24"/>
              </w:rPr>
            </w:pPr>
            <w:r>
              <w:rPr>
                <w:rFonts w:hint="eastAsia" w:ascii="宋体" w:hAnsi="宋体" w:cs="宋体"/>
                <w:sz w:val="24"/>
                <w:szCs w:val="24"/>
              </w:rPr>
              <w:t>1.根据各项规章制度、岗位责任制度及考核办法的制定情况等（0-2分）</w:t>
            </w:r>
          </w:p>
          <w:p>
            <w:pPr>
              <w:rPr>
                <w:rFonts w:ascii="宋体" w:hAnsi="宋体" w:cs="宋体"/>
                <w:sz w:val="24"/>
                <w:szCs w:val="24"/>
              </w:rPr>
            </w:pPr>
            <w:r>
              <w:rPr>
                <w:rFonts w:hint="eastAsia" w:ascii="宋体" w:hAnsi="宋体" w:cs="宋体"/>
                <w:sz w:val="24"/>
                <w:szCs w:val="24"/>
              </w:rPr>
              <w:t>2.根据提出的服务理念、确保服务质量的措施等情况（0-2分）；</w:t>
            </w:r>
          </w:p>
          <w:p>
            <w:pPr>
              <w:rPr>
                <w:rFonts w:ascii="宋体" w:hAnsi="宋体" w:cs="宋体"/>
                <w:sz w:val="24"/>
                <w:szCs w:val="24"/>
              </w:rPr>
            </w:pPr>
            <w:r>
              <w:rPr>
                <w:rFonts w:hint="eastAsia" w:ascii="宋体" w:hAnsi="宋体" w:cs="宋体"/>
                <w:sz w:val="24"/>
                <w:szCs w:val="24"/>
              </w:rPr>
              <w:t>3.根据提出的安全管理措施是否符合残疾人托养机构的服务规范，是否制定层层落实预防事故的责任追究制度等情况（0-2分）。</w:t>
            </w:r>
          </w:p>
        </w:tc>
        <w:tc>
          <w:tcPr>
            <w:tcW w:w="999" w:type="dxa"/>
            <w:vAlign w:val="center"/>
          </w:tcPr>
          <w:p>
            <w:pPr>
              <w:jc w:val="center"/>
              <w:rPr>
                <w:rFonts w:ascii="宋体" w:hAnsi="宋体" w:cs="宋体"/>
                <w:sz w:val="24"/>
                <w:szCs w:val="24"/>
              </w:rPr>
            </w:pPr>
            <w:r>
              <w:rPr>
                <w:rFonts w:hint="eastAsia" w:ascii="宋体" w:hAnsi="宋体"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305" w:type="dxa"/>
            <w:vAlign w:val="center"/>
          </w:tcPr>
          <w:p>
            <w:pPr>
              <w:jc w:val="center"/>
              <w:rPr>
                <w:rFonts w:ascii="宋体" w:hAnsi="宋体" w:cs="宋体"/>
                <w:sz w:val="24"/>
              </w:rPr>
            </w:pPr>
            <w:r>
              <w:rPr>
                <w:rFonts w:hint="eastAsia" w:ascii="宋体" w:hAnsi="宋体" w:cs="宋体"/>
                <w:sz w:val="24"/>
              </w:rPr>
              <w:t>关键技术难点、解决方案及合理化建议</w:t>
            </w: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根据投标人针对本项目的特点、难点的分析，提供的解决方案及合理化建议等情况。</w:t>
            </w:r>
          </w:p>
        </w:tc>
        <w:tc>
          <w:tcPr>
            <w:tcW w:w="999" w:type="dxa"/>
            <w:vAlign w:val="center"/>
          </w:tcPr>
          <w:p>
            <w:pPr>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305" w:type="dxa"/>
            <w:vAlign w:val="center"/>
          </w:tcPr>
          <w:p>
            <w:pPr>
              <w:jc w:val="center"/>
              <w:rPr>
                <w:rFonts w:ascii="宋体" w:hAnsi="宋体" w:cs="宋体"/>
                <w:sz w:val="24"/>
              </w:rPr>
            </w:pPr>
            <w:r>
              <w:rPr>
                <w:rFonts w:hint="eastAsia" w:ascii="宋体" w:hAnsi="宋体" w:cs="宋体"/>
                <w:sz w:val="24"/>
              </w:rPr>
              <w:t>增值服务、优惠承诺</w:t>
            </w:r>
          </w:p>
        </w:tc>
        <w:tc>
          <w:tcPr>
            <w:tcW w:w="7119" w:type="dxa"/>
            <w:vAlign w:val="center"/>
          </w:tcPr>
          <w:p>
            <w:pPr>
              <w:spacing w:line="280" w:lineRule="exact"/>
              <w:rPr>
                <w:rFonts w:ascii="宋体" w:hAnsi="宋体" w:cs="宋体"/>
                <w:sz w:val="24"/>
                <w:szCs w:val="24"/>
              </w:rPr>
            </w:pPr>
            <w:r>
              <w:rPr>
                <w:rFonts w:hint="eastAsia" w:ascii="宋体" w:hAnsi="宋体" w:cs="宋体"/>
                <w:sz w:val="24"/>
                <w:szCs w:val="24"/>
              </w:rPr>
              <w:t>根据投标人提供的相关增值服务的有效性及服务的优惠承诺等情况。</w:t>
            </w:r>
          </w:p>
        </w:tc>
        <w:tc>
          <w:tcPr>
            <w:tcW w:w="999" w:type="dxa"/>
            <w:vAlign w:val="center"/>
          </w:tcPr>
          <w:p>
            <w:pPr>
              <w:jc w:val="center"/>
              <w:rPr>
                <w:rFonts w:ascii="宋体" w:hAnsi="宋体" w:cs="宋体"/>
                <w:sz w:val="24"/>
                <w:szCs w:val="24"/>
              </w:rPr>
            </w:pPr>
            <w:r>
              <w:rPr>
                <w:rFonts w:hint="eastAsia" w:ascii="宋体" w:hAnsi="宋体" w:cs="宋体"/>
                <w:sz w:val="24"/>
                <w:szCs w:val="24"/>
              </w:rPr>
              <w:t>0-4分</w:t>
            </w:r>
          </w:p>
        </w:tc>
      </w:tr>
    </w:tbl>
    <w:p>
      <w:pPr>
        <w:snapToGrid w:val="0"/>
        <w:spacing w:line="276" w:lineRule="auto"/>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rPr>
          <w:rFonts w:ascii="宋体" w:hAnsi="宋体" w:cs="宋体"/>
          <w:b/>
          <w:bCs/>
          <w:sz w:val="24"/>
          <w:szCs w:val="24"/>
        </w:rPr>
      </w:pPr>
      <w:r>
        <w:rPr>
          <w:rFonts w:hint="eastAsia" w:ascii="宋体" w:hAnsi="宋体" w:cs="宋体"/>
          <w:b/>
          <w:bCs/>
          <w:sz w:val="24"/>
          <w:szCs w:val="24"/>
        </w:rPr>
        <w:t>（三）价格分10分</w:t>
      </w:r>
    </w:p>
    <w:p>
      <w:pPr>
        <w:tabs>
          <w:tab w:val="left" w:pos="1154"/>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w:t>
      </w:r>
      <w:r>
        <w:rPr>
          <w:rFonts w:hint="eastAsia" w:ascii="宋体" w:hAnsi="宋体"/>
          <w:bCs/>
          <w:sz w:val="24"/>
        </w:rPr>
        <w:t>价格分采用高价优先法计算，取所有技术、资信商务得分入围投标人中，投标价格最高的投标报价为评标基准价</w:t>
      </w:r>
      <w:r>
        <w:rPr>
          <w:rFonts w:hint="eastAsia" w:ascii="宋体"/>
          <w:bCs/>
          <w:sz w:val="24"/>
        </w:rPr>
        <w:t>（小型、微型企业待遇报价</w:t>
      </w:r>
      <w:r>
        <w:rPr>
          <w:rFonts w:hint="eastAsia" w:ascii="宋体"/>
          <w:bCs/>
          <w:sz w:val="24"/>
          <w:lang w:eastAsia="zh-CN"/>
        </w:rPr>
        <w:t>高</w:t>
      </w:r>
      <w:r>
        <w:rPr>
          <w:rFonts w:hint="eastAsia" w:ascii="宋体"/>
          <w:bCs/>
          <w:sz w:val="24"/>
        </w:rPr>
        <w:t>于最</w:t>
      </w:r>
      <w:r>
        <w:rPr>
          <w:rFonts w:hint="eastAsia" w:ascii="宋体"/>
          <w:bCs/>
          <w:sz w:val="24"/>
          <w:lang w:eastAsia="zh-CN"/>
        </w:rPr>
        <w:t>高</w:t>
      </w:r>
      <w:r>
        <w:rPr>
          <w:rFonts w:hint="eastAsia" w:ascii="宋体"/>
          <w:bCs/>
          <w:sz w:val="24"/>
        </w:rPr>
        <w:t>投标报价时，小型、微型企业待遇报价为评标基准价）</w:t>
      </w:r>
      <w:r>
        <w:rPr>
          <w:rFonts w:hint="eastAsia" w:ascii="宋体" w:hAnsi="宋体"/>
          <w:bCs/>
          <w:sz w:val="24"/>
        </w:rPr>
        <w:t>，其他投标人的价格分按照下列公式计算：</w:t>
      </w:r>
    </w:p>
    <w:p>
      <w:pPr>
        <w:tabs>
          <w:tab w:val="left" w:pos="1154"/>
        </w:tabs>
        <w:spacing w:line="360" w:lineRule="auto"/>
        <w:ind w:firstLine="480" w:firstLineChars="200"/>
        <w:rPr>
          <w:rFonts w:ascii="宋体" w:hAnsi="宋体"/>
          <w:bCs/>
          <w:sz w:val="24"/>
        </w:rPr>
      </w:pPr>
      <w:r>
        <w:rPr>
          <w:rFonts w:hint="eastAsia" w:ascii="宋体" w:hAnsi="宋体"/>
          <w:bCs/>
          <w:sz w:val="24"/>
        </w:rPr>
        <w:t>价格分=投标报价</w:t>
      </w:r>
      <w:r>
        <w:rPr>
          <w:rFonts w:hint="eastAsia" w:ascii="宋体"/>
          <w:bCs/>
          <w:sz w:val="24"/>
        </w:rPr>
        <w:t>（或小型、微型企业待遇报价）</w:t>
      </w:r>
      <w:r>
        <w:rPr>
          <w:rFonts w:hint="eastAsia" w:ascii="宋体" w:hAnsi="宋体"/>
          <w:bCs/>
          <w:sz w:val="24"/>
        </w:rPr>
        <w:t xml:space="preserve">/评标基准价×10  </w:t>
      </w:r>
    </w:p>
    <w:p>
      <w:pPr>
        <w:numPr>
          <w:ilvl w:val="0"/>
          <w:numId w:val="0"/>
        </w:numPr>
        <w:tabs>
          <w:tab w:val="left" w:pos="1154"/>
        </w:tabs>
        <w:spacing w:line="360" w:lineRule="auto"/>
        <w:ind w:firstLine="240" w:firstLineChars="100"/>
        <w:rPr>
          <w:rFonts w:hint="eastAsia" w:ascii="宋体" w:cs="宋体"/>
          <w:bCs/>
          <w:sz w:val="24"/>
        </w:rPr>
      </w:pPr>
      <w:r>
        <w:rPr>
          <w:rFonts w:hint="eastAsia" w:ascii="宋体" w:cs="宋体"/>
          <w:bCs/>
          <w:sz w:val="24"/>
          <w:lang w:eastAsia="zh-CN"/>
        </w:rPr>
        <w:t>（</w:t>
      </w:r>
      <w:r>
        <w:rPr>
          <w:rFonts w:hint="eastAsia" w:ascii="宋体" w:cs="宋体"/>
          <w:bCs/>
          <w:sz w:val="24"/>
          <w:lang w:val="en-US" w:eastAsia="zh-CN"/>
        </w:rPr>
        <w:t>2</w:t>
      </w:r>
      <w:r>
        <w:rPr>
          <w:rFonts w:hint="eastAsia" w:ascii="宋体" w:cs="宋体"/>
          <w:bCs/>
          <w:sz w:val="24"/>
          <w:lang w:eastAsia="zh-CN"/>
        </w:rPr>
        <w:t>）</w:t>
      </w:r>
      <w:r>
        <w:rPr>
          <w:rFonts w:hint="eastAsia" w:ascii="宋体" w:cs="宋体"/>
          <w:bCs/>
          <w:sz w:val="24"/>
        </w:rPr>
        <w:t>对于未预留份额专门面向中小企业的政府采购货物或服务项目，以及预留份额政府采购货物或服务项目中的非预留部分标项，对小型和微型企业的投标报价给予</w:t>
      </w:r>
      <w:r>
        <w:rPr>
          <w:rFonts w:hint="eastAsia" w:ascii="宋体" w:cs="宋体"/>
          <w:bCs/>
          <w:sz w:val="24"/>
          <w:lang w:val="en-US" w:eastAsia="zh-CN"/>
        </w:rPr>
        <w:t>2</w:t>
      </w:r>
      <w:r>
        <w:rPr>
          <w:rFonts w:hint="eastAsia" w:ascii="宋体" w:cs="宋体"/>
          <w:bCs/>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cs="宋体"/>
          <w:bCs/>
          <w:sz w:val="24"/>
          <w:lang w:val="en-US" w:eastAsia="zh-CN"/>
        </w:rPr>
        <w:t>6</w:t>
      </w:r>
      <w:r>
        <w:rPr>
          <w:rFonts w:hint="eastAsia" w:ascii="宋体" w:cs="宋体"/>
          <w:bCs/>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4.1技术、资信及商务分得分和投标报价得分之和排名第一的投标人为预中标人。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rPr>
          <w:rFonts w:ascii="宋体" w:hAnsi="宋体" w:cs="宋体"/>
          <w:b/>
          <w:bCs/>
          <w:sz w:val="24"/>
          <w:szCs w:val="24"/>
        </w:rPr>
      </w:pPr>
      <w:r>
        <w:rPr>
          <w:rFonts w:hint="eastAsia" w:ascii="宋体" w:hAnsi="宋体" w:cs="宋体"/>
          <w:b/>
          <w:bCs/>
          <w:sz w:val="24"/>
          <w:szCs w:val="24"/>
        </w:rPr>
        <w:t>（五）招标方不保证最高报价者为中标方。</w:t>
      </w:r>
    </w:p>
    <w:p>
      <w:pPr>
        <w:snapToGrid w:val="0"/>
        <w:spacing w:line="360" w:lineRule="auto"/>
        <w:rPr>
          <w:rFonts w:ascii="宋体" w:hAnsi="宋体" w:cs="宋体"/>
          <w:b/>
          <w:bCs/>
          <w:sz w:val="24"/>
          <w:szCs w:val="24"/>
        </w:rPr>
      </w:pPr>
      <w:r>
        <w:rPr>
          <w:rFonts w:hint="eastAsia" w:ascii="宋体" w:hAnsi="宋体" w:cs="宋体"/>
          <w:b/>
          <w:bCs/>
          <w:sz w:val="24"/>
          <w:szCs w:val="24"/>
        </w:rPr>
        <w:t>（六）招标人不对落标原因作任何解释。</w:t>
      </w:r>
    </w:p>
    <w:p>
      <w:pPr>
        <w:pStyle w:val="19"/>
        <w:spacing w:before="156" w:after="156"/>
        <w:rPr>
          <w:rFonts w:hAnsi="宋体"/>
        </w:rPr>
      </w:pPr>
      <w:r>
        <w:rPr>
          <w:rFonts w:hint="eastAsia" w:hAnsi="宋体"/>
        </w:rPr>
        <w:br w:type="page"/>
      </w:r>
    </w:p>
    <w:p>
      <w:pPr>
        <w:adjustRightInd w:val="0"/>
        <w:spacing w:line="480" w:lineRule="auto"/>
        <w:rPr>
          <w:rFonts w:ascii="宋体" w:hAnsi="宋体" w:cs="宋体"/>
          <w:b/>
          <w:bCs/>
          <w:color w:val="000000"/>
          <w:sz w:val="30"/>
          <w:szCs w:val="30"/>
        </w:rPr>
      </w:pPr>
      <w:r>
        <w:rPr>
          <w:rFonts w:hint="eastAsia" w:ascii="宋体" w:hAnsi="宋体" w:cs="宋体"/>
          <w:b/>
          <w:bCs/>
          <w:color w:val="000000"/>
          <w:sz w:val="30"/>
          <w:szCs w:val="30"/>
        </w:rPr>
        <w:t xml:space="preserve"> </w:t>
      </w:r>
      <w:r>
        <w:rPr>
          <w:rFonts w:hint="eastAsia" w:ascii="宋体" w:hAnsi="宋体" w:cs="宋体"/>
          <w:b/>
          <w:bCs/>
          <w:color w:val="000000"/>
          <w:sz w:val="24"/>
          <w:szCs w:val="24"/>
        </w:rPr>
        <w:t>附件1：残疾人托养中心康复器械必备清单</w:t>
      </w:r>
      <w:r>
        <w:rPr>
          <w:rFonts w:hint="eastAsia" w:ascii="宋体" w:hAnsi="宋体" w:cs="宋体"/>
          <w:color w:val="000000"/>
          <w:sz w:val="30"/>
          <w:szCs w:val="30"/>
        </w:rPr>
        <w:t xml:space="preserve"> </w:t>
      </w:r>
      <w:r>
        <w:rPr>
          <w:rFonts w:hint="eastAsia" w:ascii="宋体" w:hAnsi="宋体" w:cs="宋体"/>
          <w:b/>
          <w:bCs/>
          <w:color w:val="000000"/>
          <w:sz w:val="30"/>
          <w:szCs w:val="30"/>
        </w:rPr>
        <w:t xml:space="preserve">                     </w:t>
      </w:r>
    </w:p>
    <w:tbl>
      <w:tblPr>
        <w:tblStyle w:val="29"/>
        <w:tblW w:w="9668" w:type="dxa"/>
        <w:tblInd w:w="93" w:type="dxa"/>
        <w:tblLayout w:type="fixed"/>
        <w:tblCellMar>
          <w:top w:w="0" w:type="dxa"/>
          <w:left w:w="108" w:type="dxa"/>
          <w:bottom w:w="0" w:type="dxa"/>
          <w:right w:w="108" w:type="dxa"/>
        </w:tblCellMar>
      </w:tblPr>
      <w:tblGrid>
        <w:gridCol w:w="3450"/>
        <w:gridCol w:w="4323"/>
        <w:gridCol w:w="1895"/>
      </w:tblGrid>
      <w:tr>
        <w:tblPrEx>
          <w:tblCellMar>
            <w:top w:w="0" w:type="dxa"/>
            <w:left w:w="108" w:type="dxa"/>
            <w:bottom w:w="0" w:type="dxa"/>
            <w:right w:w="108" w:type="dxa"/>
          </w:tblCellMar>
        </w:tblPrEx>
        <w:trPr>
          <w:trHeight w:val="452"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sz w:val="22"/>
                <w:szCs w:val="22"/>
              </w:rPr>
              <w:t xml:space="preserve">  产品名称</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sz w:val="22"/>
                <w:szCs w:val="22"/>
              </w:rPr>
              <w:t xml:space="preserve">       图片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数量</w:t>
            </w:r>
          </w:p>
        </w:tc>
      </w:tr>
      <w:tr>
        <w:tblPrEx>
          <w:tblCellMar>
            <w:top w:w="0" w:type="dxa"/>
            <w:left w:w="108" w:type="dxa"/>
            <w:bottom w:w="0" w:type="dxa"/>
            <w:right w:w="108" w:type="dxa"/>
          </w:tblCellMar>
        </w:tblPrEx>
        <w:trPr>
          <w:trHeight w:val="491"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36"/>
                <w:szCs w:val="36"/>
              </w:rPr>
            </w:pPr>
            <w:r>
              <w:rPr>
                <w:rFonts w:hint="eastAsia" w:ascii="宋体" w:hAnsi="宋体" w:cs="宋体"/>
                <w:b/>
                <w:bCs/>
                <w:color w:val="000000"/>
                <w:sz w:val="24"/>
                <w:szCs w:val="24"/>
              </w:rPr>
              <w:t>言语认知治疗</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r>
      <w:tr>
        <w:tblPrEx>
          <w:tblCellMar>
            <w:top w:w="0" w:type="dxa"/>
            <w:left w:w="108" w:type="dxa"/>
            <w:bottom w:w="0" w:type="dxa"/>
            <w:right w:w="108" w:type="dxa"/>
          </w:tblCellMar>
        </w:tblPrEx>
        <w:trPr>
          <w:trHeight w:val="822"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语言障碍诊疗仪</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ascii="宋体" w:hAnsi="宋体" w:cs="宋体"/>
                <w:color w:val="000000"/>
                <w:sz w:val="22"/>
                <w:szCs w:val="22"/>
              </w:rPr>
              <w:drawing>
                <wp:anchor distT="0" distB="0" distL="114300" distR="114300" simplePos="0" relativeHeight="251659264" behindDoc="0" locked="0" layoutInCell="1" allowOverlap="1">
                  <wp:simplePos x="0" y="0"/>
                  <wp:positionH relativeFrom="column">
                    <wp:posOffset>715010</wp:posOffset>
                  </wp:positionH>
                  <wp:positionV relativeFrom="paragraph">
                    <wp:posOffset>117475</wp:posOffset>
                  </wp:positionV>
                  <wp:extent cx="958850" cy="389890"/>
                  <wp:effectExtent l="0" t="0" r="12700" b="10160"/>
                  <wp:wrapNone/>
                  <wp:docPr id="1" name="图片_36"/>
                  <wp:cNvGraphicFramePr/>
                  <a:graphic xmlns:a="http://schemas.openxmlformats.org/drawingml/2006/main">
                    <a:graphicData uri="http://schemas.openxmlformats.org/drawingml/2006/picture">
                      <pic:pic xmlns:pic="http://schemas.openxmlformats.org/drawingml/2006/picture">
                        <pic:nvPicPr>
                          <pic:cNvPr id="1" name="图片_36"/>
                          <pic:cNvPicPr/>
                        </pic:nvPicPr>
                        <pic:blipFill>
                          <a:blip r:embed="rId6" cstate="print"/>
                          <a:stretch>
                            <a:fillRect/>
                          </a:stretch>
                        </pic:blipFill>
                        <pic:spPr>
                          <a:xfrm>
                            <a:off x="0" y="0"/>
                            <a:ext cx="958850" cy="38989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989"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数字OT评估与训练系统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sz w:val="22"/>
                <w:szCs w:val="22"/>
                <w:lang w:val="en-US"/>
              </w:rPr>
            </w:pPr>
            <w:r>
              <w:rPr>
                <w:rFonts w:hint="eastAsia" w:ascii="宋体" w:hAnsi="宋体" w:cs="宋体"/>
                <w:color w:val="000000"/>
                <w:sz w:val="22"/>
                <w:szCs w:val="22"/>
                <w:bdr w:val="single" w:color="000000" w:sz="4" w:space="0"/>
              </w:rPr>
              <w:drawing>
                <wp:anchor distT="0" distB="0" distL="114300" distR="114300" simplePos="0" relativeHeight="251660288" behindDoc="0" locked="0" layoutInCell="1" allowOverlap="1">
                  <wp:simplePos x="0" y="0"/>
                  <wp:positionH relativeFrom="column">
                    <wp:posOffset>530225</wp:posOffset>
                  </wp:positionH>
                  <wp:positionV relativeFrom="paragraph">
                    <wp:posOffset>107315</wp:posOffset>
                  </wp:positionV>
                  <wp:extent cx="791845" cy="393700"/>
                  <wp:effectExtent l="0" t="0" r="8255" b="6350"/>
                  <wp:wrapNone/>
                  <wp:docPr id="2" name="图片_61"/>
                  <wp:cNvGraphicFramePr/>
                  <a:graphic xmlns:a="http://schemas.openxmlformats.org/drawingml/2006/main">
                    <a:graphicData uri="http://schemas.openxmlformats.org/drawingml/2006/picture">
                      <pic:pic xmlns:pic="http://schemas.openxmlformats.org/drawingml/2006/picture">
                        <pic:nvPicPr>
                          <pic:cNvPr id="2" name="图片_61"/>
                          <pic:cNvPicPr/>
                        </pic:nvPicPr>
                        <pic:blipFill>
                          <a:blip r:embed="rId7" cstate="print"/>
                          <a:stretch>
                            <a:fillRect/>
                          </a:stretch>
                        </pic:blipFill>
                        <pic:spPr>
                          <a:xfrm>
                            <a:off x="0" y="0"/>
                            <a:ext cx="791845" cy="393700"/>
                          </a:xfrm>
                          <a:prstGeom prst="rect">
                            <a:avLst/>
                          </a:prstGeom>
                          <a:noFill/>
                          <a:ln>
                            <a:noFill/>
                          </a:ln>
                        </pic:spPr>
                      </pic:pic>
                    </a:graphicData>
                  </a:graphic>
                </wp:anchor>
              </w:drawing>
            </w:r>
            <w:r>
              <w:rPr>
                <w:rFonts w:hint="eastAsia" w:ascii="宋体" w:hAnsi="宋体" w:cs="宋体"/>
                <w:color w:val="000000"/>
                <w:sz w:val="22"/>
                <w:szCs w:val="22"/>
                <w:lang w:val="en-US" w:eastAsia="zh-CN"/>
              </w:rPr>
              <w:t xml:space="preserve">       </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834"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小数字OT训练系统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ascii="宋体" w:hAnsi="宋体" w:cs="宋体"/>
                <w:color w:val="000000"/>
                <w:sz w:val="22"/>
                <w:szCs w:val="22"/>
              </w:rPr>
              <w:drawing>
                <wp:anchor distT="0" distB="0" distL="114300" distR="114300" simplePos="0" relativeHeight="251661312" behindDoc="0" locked="0" layoutInCell="1" allowOverlap="1">
                  <wp:simplePos x="0" y="0"/>
                  <wp:positionH relativeFrom="column">
                    <wp:posOffset>704215</wp:posOffset>
                  </wp:positionH>
                  <wp:positionV relativeFrom="paragraph">
                    <wp:posOffset>19050</wp:posOffset>
                  </wp:positionV>
                  <wp:extent cx="619125" cy="463550"/>
                  <wp:effectExtent l="0" t="0" r="9525" b="12700"/>
                  <wp:wrapNone/>
                  <wp:docPr id="3" name="图片_19"/>
                  <wp:cNvGraphicFramePr/>
                  <a:graphic xmlns:a="http://schemas.openxmlformats.org/drawingml/2006/main">
                    <a:graphicData uri="http://schemas.openxmlformats.org/drawingml/2006/picture">
                      <pic:pic xmlns:pic="http://schemas.openxmlformats.org/drawingml/2006/picture">
                        <pic:nvPicPr>
                          <pic:cNvPr id="3" name="图片_19"/>
                          <pic:cNvPicPr/>
                        </pic:nvPicPr>
                        <pic:blipFill>
                          <a:blip r:embed="rId8" cstate="print"/>
                          <a:stretch>
                            <a:fillRect/>
                          </a:stretch>
                        </pic:blipFill>
                        <pic:spPr>
                          <a:xfrm>
                            <a:off x="0" y="0"/>
                            <a:ext cx="619125" cy="46355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846"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吞咽障碍治疗仪（便携）</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2336" behindDoc="0" locked="0" layoutInCell="1" allowOverlap="1">
                  <wp:simplePos x="0" y="0"/>
                  <wp:positionH relativeFrom="column">
                    <wp:posOffset>710565</wp:posOffset>
                  </wp:positionH>
                  <wp:positionV relativeFrom="paragraph">
                    <wp:posOffset>6350</wp:posOffset>
                  </wp:positionV>
                  <wp:extent cx="473710" cy="500380"/>
                  <wp:effectExtent l="19050" t="0" r="254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9" cstate="print"/>
                          <a:stretch>
                            <a:fillRect/>
                          </a:stretch>
                        </pic:blipFill>
                        <pic:spPr>
                          <a:xfrm>
                            <a:off x="0" y="0"/>
                            <a:ext cx="473710" cy="50038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557"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24"/>
                <w:szCs w:val="24"/>
              </w:rPr>
              <w:t xml:space="preserve"> 作业治疗</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r>
      <w:tr>
        <w:tblPrEx>
          <w:tblCellMar>
            <w:top w:w="0" w:type="dxa"/>
            <w:left w:w="108" w:type="dxa"/>
            <w:bottom w:w="0" w:type="dxa"/>
            <w:right w:w="108" w:type="dxa"/>
          </w:tblCellMar>
        </w:tblPrEx>
        <w:trPr>
          <w:trHeight w:val="1193"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上肢运动控制训练系统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3360" behindDoc="0" locked="0" layoutInCell="1" allowOverlap="1">
                  <wp:simplePos x="0" y="0"/>
                  <wp:positionH relativeFrom="column">
                    <wp:posOffset>438150</wp:posOffset>
                  </wp:positionH>
                  <wp:positionV relativeFrom="paragraph">
                    <wp:posOffset>36830</wp:posOffset>
                  </wp:positionV>
                  <wp:extent cx="903605" cy="680085"/>
                  <wp:effectExtent l="0" t="0" r="10795" b="571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0" cstate="print"/>
                          <a:stretch>
                            <a:fillRect/>
                          </a:stretch>
                        </pic:blipFill>
                        <pic:spPr>
                          <a:xfrm>
                            <a:off x="0" y="0"/>
                            <a:ext cx="903605" cy="68008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197"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手功能康复机器人</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4384" behindDoc="0" locked="0" layoutInCell="1" allowOverlap="1">
                  <wp:simplePos x="0" y="0"/>
                  <wp:positionH relativeFrom="column">
                    <wp:posOffset>428625</wp:posOffset>
                  </wp:positionH>
                  <wp:positionV relativeFrom="paragraph">
                    <wp:posOffset>152400</wp:posOffset>
                  </wp:positionV>
                  <wp:extent cx="913130" cy="567055"/>
                  <wp:effectExtent l="0" t="0" r="1270" b="4445"/>
                  <wp:wrapNone/>
                  <wp:docPr id="6" name="图片_56"/>
                  <wp:cNvGraphicFramePr/>
                  <a:graphic xmlns:a="http://schemas.openxmlformats.org/drawingml/2006/main">
                    <a:graphicData uri="http://schemas.openxmlformats.org/drawingml/2006/picture">
                      <pic:pic xmlns:pic="http://schemas.openxmlformats.org/drawingml/2006/picture">
                        <pic:nvPicPr>
                          <pic:cNvPr id="6" name="图片_56"/>
                          <pic:cNvPicPr/>
                        </pic:nvPicPr>
                        <pic:blipFill>
                          <a:blip r:embed="rId11" cstate="print"/>
                          <a:stretch>
                            <a:fillRect/>
                          </a:stretch>
                        </pic:blipFill>
                        <pic:spPr>
                          <a:xfrm>
                            <a:off x="0" y="0"/>
                            <a:ext cx="913130" cy="56705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4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手功能评估与训练系统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5408" behindDoc="0" locked="0" layoutInCell="1" allowOverlap="1">
                  <wp:simplePos x="0" y="0"/>
                  <wp:positionH relativeFrom="column">
                    <wp:posOffset>473710</wp:posOffset>
                  </wp:positionH>
                  <wp:positionV relativeFrom="paragraph">
                    <wp:posOffset>116205</wp:posOffset>
                  </wp:positionV>
                  <wp:extent cx="768350" cy="761365"/>
                  <wp:effectExtent l="0" t="0" r="12700" b="635"/>
                  <wp:wrapNone/>
                  <wp:docPr id="7" name="图片_55"/>
                  <wp:cNvGraphicFramePr/>
                  <a:graphic xmlns:a="http://schemas.openxmlformats.org/drawingml/2006/main">
                    <a:graphicData uri="http://schemas.openxmlformats.org/drawingml/2006/picture">
                      <pic:pic xmlns:pic="http://schemas.openxmlformats.org/drawingml/2006/picture">
                        <pic:nvPicPr>
                          <pic:cNvPr id="7" name="图片_55"/>
                          <pic:cNvPicPr/>
                        </pic:nvPicPr>
                        <pic:blipFill>
                          <a:blip r:embed="rId12" cstate="print"/>
                          <a:stretch>
                            <a:fillRect/>
                          </a:stretch>
                        </pic:blipFill>
                        <pic:spPr>
                          <a:xfrm>
                            <a:off x="0" y="0"/>
                            <a:ext cx="768350" cy="76136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1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上肢功率车</w:t>
            </w:r>
          </w:p>
        </w:tc>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6432" behindDoc="0" locked="0" layoutInCell="1" allowOverlap="1">
                  <wp:simplePos x="0" y="0"/>
                  <wp:positionH relativeFrom="column">
                    <wp:posOffset>466725</wp:posOffset>
                  </wp:positionH>
                  <wp:positionV relativeFrom="paragraph">
                    <wp:posOffset>139700</wp:posOffset>
                  </wp:positionV>
                  <wp:extent cx="695960" cy="586740"/>
                  <wp:effectExtent l="0" t="0" r="8890" b="3810"/>
                  <wp:wrapNone/>
                  <wp:docPr id="20" name="图片_62"/>
                  <wp:cNvGraphicFramePr/>
                  <a:graphic xmlns:a="http://schemas.openxmlformats.org/drawingml/2006/main">
                    <a:graphicData uri="http://schemas.openxmlformats.org/drawingml/2006/picture">
                      <pic:pic xmlns:pic="http://schemas.openxmlformats.org/drawingml/2006/picture">
                        <pic:nvPicPr>
                          <pic:cNvPr id="20" name="图片_62"/>
                          <pic:cNvPicPr/>
                        </pic:nvPicPr>
                        <pic:blipFill>
                          <a:blip r:embed="rId13" cstate="print"/>
                          <a:stretch>
                            <a:fillRect/>
                          </a:stretch>
                        </pic:blipFill>
                        <pic:spPr>
                          <a:xfrm>
                            <a:off x="0" y="0"/>
                            <a:ext cx="695960" cy="58674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471"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36"/>
                <w:szCs w:val="36"/>
              </w:rPr>
            </w:pPr>
            <w:r>
              <w:rPr>
                <w:rFonts w:hint="eastAsia" w:ascii="宋体" w:hAnsi="宋体" w:cs="宋体"/>
                <w:b/>
                <w:bCs/>
                <w:color w:val="000000"/>
                <w:sz w:val="24"/>
                <w:szCs w:val="24"/>
              </w:rPr>
              <w:t>运动治疗</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36"/>
                <w:szCs w:val="36"/>
              </w:rPr>
            </w:pPr>
          </w:p>
        </w:tc>
      </w:tr>
      <w:tr>
        <w:tblPrEx>
          <w:tblCellMar>
            <w:top w:w="0" w:type="dxa"/>
            <w:left w:w="108" w:type="dxa"/>
            <w:bottom w:w="0" w:type="dxa"/>
            <w:right w:w="108" w:type="dxa"/>
          </w:tblCellMar>
        </w:tblPrEx>
        <w:trPr>
          <w:trHeight w:val="126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腕关节康复机器人</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7456" behindDoc="0" locked="0" layoutInCell="1" allowOverlap="1">
                  <wp:simplePos x="0" y="0"/>
                  <wp:positionH relativeFrom="column">
                    <wp:posOffset>464185</wp:posOffset>
                  </wp:positionH>
                  <wp:positionV relativeFrom="paragraph">
                    <wp:posOffset>120650</wp:posOffset>
                  </wp:positionV>
                  <wp:extent cx="850900" cy="590550"/>
                  <wp:effectExtent l="0" t="0" r="6350" b="0"/>
                  <wp:wrapNone/>
                  <wp:docPr id="21" name="图片_12"/>
                  <wp:cNvGraphicFramePr/>
                  <a:graphic xmlns:a="http://schemas.openxmlformats.org/drawingml/2006/main">
                    <a:graphicData uri="http://schemas.openxmlformats.org/drawingml/2006/picture">
                      <pic:pic xmlns:pic="http://schemas.openxmlformats.org/drawingml/2006/picture">
                        <pic:nvPicPr>
                          <pic:cNvPr id="21" name="图片_12"/>
                          <pic:cNvPicPr/>
                        </pic:nvPicPr>
                        <pic:blipFill>
                          <a:blip r:embed="rId14" cstate="print"/>
                          <a:stretch>
                            <a:fillRect/>
                          </a:stretch>
                        </pic:blipFill>
                        <pic:spPr>
                          <a:xfrm>
                            <a:off x="0" y="0"/>
                            <a:ext cx="850900" cy="590550"/>
                          </a:xfrm>
                          <a:prstGeom prst="rect">
                            <a:avLst/>
                          </a:prstGeom>
                          <a:noFill/>
                          <a:ln>
                            <a:noFill/>
                          </a:ln>
                        </pic:spPr>
                      </pic:pic>
                    </a:graphicData>
                  </a:graphic>
                </wp:anchor>
              </w:drawing>
            </w:r>
            <w:r>
              <w:rPr>
                <w:rFonts w:hint="eastAsia" w:ascii="宋体" w:hAnsi="宋体" w:cs="宋体"/>
                <w:color w:val="000000"/>
                <w:sz w:val="22"/>
                <w:szCs w:val="22"/>
                <w:bdr w:val="single" w:color="000000" w:sz="4" w:space="0"/>
              </w:rPr>
              <w:drawing>
                <wp:anchor distT="0" distB="0" distL="114300" distR="114300" simplePos="0" relativeHeight="251668480" behindDoc="0" locked="0" layoutInCell="1" allowOverlap="1">
                  <wp:simplePos x="0" y="0"/>
                  <wp:positionH relativeFrom="column">
                    <wp:posOffset>464185</wp:posOffset>
                  </wp:positionH>
                  <wp:positionV relativeFrom="paragraph">
                    <wp:posOffset>192405</wp:posOffset>
                  </wp:positionV>
                  <wp:extent cx="748665" cy="492760"/>
                  <wp:effectExtent l="0" t="0" r="13335" b="2540"/>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5" cstate="print"/>
                          <a:stretch>
                            <a:fillRect/>
                          </a:stretch>
                        </pic:blipFill>
                        <pic:spPr>
                          <a:xfrm>
                            <a:off x="0" y="0"/>
                            <a:ext cx="748665" cy="49276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19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踝关节康复机器人</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69504" behindDoc="0" locked="0" layoutInCell="1" allowOverlap="1">
                  <wp:simplePos x="0" y="0"/>
                  <wp:positionH relativeFrom="column">
                    <wp:posOffset>533400</wp:posOffset>
                  </wp:positionH>
                  <wp:positionV relativeFrom="paragraph">
                    <wp:posOffset>131445</wp:posOffset>
                  </wp:positionV>
                  <wp:extent cx="697865" cy="622300"/>
                  <wp:effectExtent l="0" t="0" r="6985" b="6350"/>
                  <wp:wrapNone/>
                  <wp:docPr id="23" name="图片_17"/>
                  <wp:cNvGraphicFramePr/>
                  <a:graphic xmlns:a="http://schemas.openxmlformats.org/drawingml/2006/main">
                    <a:graphicData uri="http://schemas.openxmlformats.org/drawingml/2006/picture">
                      <pic:pic xmlns:pic="http://schemas.openxmlformats.org/drawingml/2006/picture">
                        <pic:nvPicPr>
                          <pic:cNvPr id="23" name="图片_17"/>
                          <pic:cNvPicPr/>
                        </pic:nvPicPr>
                        <pic:blipFill>
                          <a:blip r:embed="rId16" cstate="print"/>
                          <a:stretch>
                            <a:fillRect/>
                          </a:stretch>
                        </pic:blipFill>
                        <pic:spPr>
                          <a:xfrm>
                            <a:off x="0" y="0"/>
                            <a:ext cx="697865" cy="62230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293"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电动起立床</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0528" behindDoc="0" locked="0" layoutInCell="1" allowOverlap="1">
                  <wp:simplePos x="0" y="0"/>
                  <wp:positionH relativeFrom="column">
                    <wp:posOffset>371475</wp:posOffset>
                  </wp:positionH>
                  <wp:positionV relativeFrom="paragraph">
                    <wp:posOffset>175260</wp:posOffset>
                  </wp:positionV>
                  <wp:extent cx="1016635" cy="600075"/>
                  <wp:effectExtent l="0" t="0" r="12065" b="0"/>
                  <wp:wrapNone/>
                  <wp:docPr id="24" name="图片_54"/>
                  <wp:cNvGraphicFramePr/>
                  <a:graphic xmlns:a="http://schemas.openxmlformats.org/drawingml/2006/main">
                    <a:graphicData uri="http://schemas.openxmlformats.org/drawingml/2006/picture">
                      <pic:pic xmlns:pic="http://schemas.openxmlformats.org/drawingml/2006/picture">
                        <pic:nvPicPr>
                          <pic:cNvPr id="24" name="图片_54"/>
                          <pic:cNvPicPr/>
                        </pic:nvPicPr>
                        <pic:blipFill>
                          <a:blip r:embed="rId17" cstate="print"/>
                          <a:stretch>
                            <a:fillRect/>
                          </a:stretch>
                        </pic:blipFill>
                        <pic:spPr>
                          <a:xfrm>
                            <a:off x="0" y="0"/>
                            <a:ext cx="1016635" cy="60007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13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多体位手法床</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1552" behindDoc="0" locked="0" layoutInCell="1" allowOverlap="1">
                  <wp:simplePos x="0" y="0"/>
                  <wp:positionH relativeFrom="column">
                    <wp:posOffset>355600</wp:posOffset>
                  </wp:positionH>
                  <wp:positionV relativeFrom="paragraph">
                    <wp:posOffset>233045</wp:posOffset>
                  </wp:positionV>
                  <wp:extent cx="932815" cy="519430"/>
                  <wp:effectExtent l="0" t="0" r="635" b="13970"/>
                  <wp:wrapNone/>
                  <wp:docPr id="26" name="图片_9"/>
                  <wp:cNvGraphicFramePr/>
                  <a:graphic xmlns:a="http://schemas.openxmlformats.org/drawingml/2006/main">
                    <a:graphicData uri="http://schemas.openxmlformats.org/drawingml/2006/picture">
                      <pic:pic xmlns:pic="http://schemas.openxmlformats.org/drawingml/2006/picture">
                        <pic:nvPicPr>
                          <pic:cNvPr id="26" name="图片_9"/>
                          <pic:cNvPicPr/>
                        </pic:nvPicPr>
                        <pic:blipFill>
                          <a:blip r:embed="rId18" cstate="print"/>
                          <a:stretch>
                            <a:fillRect/>
                          </a:stretch>
                        </pic:blipFill>
                        <pic:spPr>
                          <a:xfrm>
                            <a:off x="0" y="0"/>
                            <a:ext cx="932815" cy="519430"/>
                          </a:xfrm>
                          <a:prstGeom prst="rect">
                            <a:avLst/>
                          </a:prstGeom>
                          <a:noFill/>
                          <a:ln>
                            <a:noFill/>
                          </a:ln>
                        </pic:spPr>
                      </pic:pic>
                    </a:graphicData>
                  </a:graphic>
                </wp:anchor>
              </w:drawing>
            </w:r>
            <w:r>
              <w:rPr>
                <w:rFonts w:hint="eastAsia" w:ascii="宋体" w:hAnsi="宋体" w:cs="宋体"/>
                <w:color w:val="000000"/>
                <w:sz w:val="22"/>
                <w:szCs w:val="22"/>
                <w:bdr w:val="single" w:color="000000" w:sz="4" w:space="0"/>
              </w:rPr>
              <w:drawing>
                <wp:anchor distT="0" distB="0" distL="114300" distR="114300" simplePos="0" relativeHeight="251672576" behindDoc="0" locked="0" layoutInCell="1" allowOverlap="1">
                  <wp:simplePos x="0" y="0"/>
                  <wp:positionH relativeFrom="column">
                    <wp:posOffset>247650</wp:posOffset>
                  </wp:positionH>
                  <wp:positionV relativeFrom="paragraph">
                    <wp:posOffset>167640</wp:posOffset>
                  </wp:positionV>
                  <wp:extent cx="1070610" cy="548640"/>
                  <wp:effectExtent l="0" t="0" r="15240" b="3810"/>
                  <wp:wrapNone/>
                  <wp:docPr id="25" name="图片_64"/>
                  <wp:cNvGraphicFramePr/>
                  <a:graphic xmlns:a="http://schemas.openxmlformats.org/drawingml/2006/main">
                    <a:graphicData uri="http://schemas.openxmlformats.org/drawingml/2006/picture">
                      <pic:pic xmlns:pic="http://schemas.openxmlformats.org/drawingml/2006/picture">
                        <pic:nvPicPr>
                          <pic:cNvPr id="25" name="图片_64"/>
                          <pic:cNvPicPr/>
                        </pic:nvPicPr>
                        <pic:blipFill>
                          <a:blip r:embed="rId19" cstate="print"/>
                          <a:stretch>
                            <a:fillRect/>
                          </a:stretch>
                        </pic:blipFill>
                        <pic:spPr>
                          <a:xfrm>
                            <a:off x="0" y="0"/>
                            <a:ext cx="1070610" cy="54864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26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四肢联动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3600" behindDoc="0" locked="0" layoutInCell="1" allowOverlap="1">
                  <wp:simplePos x="0" y="0"/>
                  <wp:positionH relativeFrom="column">
                    <wp:posOffset>354330</wp:posOffset>
                  </wp:positionH>
                  <wp:positionV relativeFrom="paragraph">
                    <wp:posOffset>196215</wp:posOffset>
                  </wp:positionV>
                  <wp:extent cx="739775" cy="558165"/>
                  <wp:effectExtent l="0" t="0" r="3175" b="13335"/>
                  <wp:wrapNone/>
                  <wp:docPr id="27" name="图片_4"/>
                  <wp:cNvGraphicFramePr/>
                  <a:graphic xmlns:a="http://schemas.openxmlformats.org/drawingml/2006/main">
                    <a:graphicData uri="http://schemas.openxmlformats.org/drawingml/2006/picture">
                      <pic:pic xmlns:pic="http://schemas.openxmlformats.org/drawingml/2006/picture">
                        <pic:nvPicPr>
                          <pic:cNvPr id="27" name="图片_4"/>
                          <pic:cNvPicPr/>
                        </pic:nvPicPr>
                        <pic:blipFill>
                          <a:blip r:embed="rId20" cstate="print"/>
                          <a:stretch>
                            <a:fillRect/>
                          </a:stretch>
                        </pic:blipFill>
                        <pic:spPr>
                          <a:xfrm>
                            <a:off x="0" y="0"/>
                            <a:ext cx="739775" cy="55816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32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床边上下肢主被动训练仪</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4624" behindDoc="0" locked="0" layoutInCell="1" allowOverlap="1">
                  <wp:simplePos x="0" y="0"/>
                  <wp:positionH relativeFrom="column">
                    <wp:posOffset>628650</wp:posOffset>
                  </wp:positionH>
                  <wp:positionV relativeFrom="paragraph">
                    <wp:posOffset>200025</wp:posOffset>
                  </wp:positionV>
                  <wp:extent cx="421640" cy="511175"/>
                  <wp:effectExtent l="0" t="0" r="16510" b="3175"/>
                  <wp:wrapNone/>
                  <wp:docPr id="28" name="图片_58"/>
                  <wp:cNvGraphicFramePr/>
                  <a:graphic xmlns:a="http://schemas.openxmlformats.org/drawingml/2006/main">
                    <a:graphicData uri="http://schemas.openxmlformats.org/drawingml/2006/picture">
                      <pic:pic xmlns:pic="http://schemas.openxmlformats.org/drawingml/2006/picture">
                        <pic:nvPicPr>
                          <pic:cNvPr id="28" name="图片_58"/>
                          <pic:cNvPicPr/>
                        </pic:nvPicPr>
                        <pic:blipFill>
                          <a:blip r:embed="rId21" cstate="print"/>
                          <a:stretch>
                            <a:fillRect/>
                          </a:stretch>
                        </pic:blipFill>
                        <pic:spPr>
                          <a:xfrm>
                            <a:off x="0" y="0"/>
                            <a:ext cx="421640" cy="51117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14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上下肢主被动训练器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5648" behindDoc="0" locked="0" layoutInCell="1" allowOverlap="1">
                  <wp:simplePos x="0" y="0"/>
                  <wp:positionH relativeFrom="column">
                    <wp:posOffset>504825</wp:posOffset>
                  </wp:positionH>
                  <wp:positionV relativeFrom="paragraph">
                    <wp:posOffset>189865</wp:posOffset>
                  </wp:positionV>
                  <wp:extent cx="728345" cy="761365"/>
                  <wp:effectExtent l="0" t="0" r="14605" b="635"/>
                  <wp:wrapNone/>
                  <wp:docPr id="29" name="图片_66"/>
                  <wp:cNvGraphicFramePr/>
                  <a:graphic xmlns:a="http://schemas.openxmlformats.org/drawingml/2006/main">
                    <a:graphicData uri="http://schemas.openxmlformats.org/drawingml/2006/picture">
                      <pic:pic xmlns:pic="http://schemas.openxmlformats.org/drawingml/2006/picture">
                        <pic:nvPicPr>
                          <pic:cNvPr id="29" name="图片_66"/>
                          <pic:cNvPicPr/>
                        </pic:nvPicPr>
                        <pic:blipFill>
                          <a:blip r:embed="rId22" cstate="print"/>
                          <a:stretch>
                            <a:fillRect/>
                          </a:stretch>
                        </pic:blipFill>
                        <pic:spPr>
                          <a:xfrm>
                            <a:off x="0" y="0"/>
                            <a:ext cx="728345" cy="76136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114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下肢CPM</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6672" behindDoc="0" locked="0" layoutInCell="1" allowOverlap="1">
                  <wp:simplePos x="0" y="0"/>
                  <wp:positionH relativeFrom="column">
                    <wp:posOffset>247650</wp:posOffset>
                  </wp:positionH>
                  <wp:positionV relativeFrom="paragraph">
                    <wp:posOffset>62865</wp:posOffset>
                  </wp:positionV>
                  <wp:extent cx="753745" cy="564515"/>
                  <wp:effectExtent l="0" t="0" r="8255" b="6985"/>
                  <wp:wrapNone/>
                  <wp:docPr id="30" name="图片_52"/>
                  <wp:cNvGraphicFramePr/>
                  <a:graphic xmlns:a="http://schemas.openxmlformats.org/drawingml/2006/main">
                    <a:graphicData uri="http://schemas.openxmlformats.org/drawingml/2006/picture">
                      <pic:pic xmlns:pic="http://schemas.openxmlformats.org/drawingml/2006/picture">
                        <pic:nvPicPr>
                          <pic:cNvPr id="30" name="图片_52"/>
                          <pic:cNvPicPr/>
                        </pic:nvPicPr>
                        <pic:blipFill>
                          <a:blip r:embed="rId23" cstate="print"/>
                          <a:stretch>
                            <a:fillRect/>
                          </a:stretch>
                        </pic:blipFill>
                        <pic:spPr>
                          <a:xfrm>
                            <a:off x="0" y="0"/>
                            <a:ext cx="753745" cy="56451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132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功率自行车（带坐位）</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7696" behindDoc="0" locked="0" layoutInCell="1" allowOverlap="1">
                  <wp:simplePos x="0" y="0"/>
                  <wp:positionH relativeFrom="column">
                    <wp:posOffset>330835</wp:posOffset>
                  </wp:positionH>
                  <wp:positionV relativeFrom="paragraph">
                    <wp:posOffset>133350</wp:posOffset>
                  </wp:positionV>
                  <wp:extent cx="759460" cy="625475"/>
                  <wp:effectExtent l="0" t="0" r="2540" b="3175"/>
                  <wp:wrapNone/>
                  <wp:docPr id="8" name="Picture_1054"/>
                  <wp:cNvGraphicFramePr/>
                  <a:graphic xmlns:a="http://schemas.openxmlformats.org/drawingml/2006/main">
                    <a:graphicData uri="http://schemas.openxmlformats.org/drawingml/2006/picture">
                      <pic:pic xmlns:pic="http://schemas.openxmlformats.org/drawingml/2006/picture">
                        <pic:nvPicPr>
                          <pic:cNvPr id="8" name="Picture_1054"/>
                          <pic:cNvPicPr/>
                        </pic:nvPicPr>
                        <pic:blipFill>
                          <a:blip r:embed="rId24" cstate="print"/>
                          <a:stretch>
                            <a:fillRect/>
                          </a:stretch>
                        </pic:blipFill>
                        <pic:spPr>
                          <a:xfrm>
                            <a:off x="0" y="0"/>
                            <a:ext cx="759460" cy="62547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r>
      <w:tr>
        <w:tblPrEx>
          <w:tblCellMar>
            <w:top w:w="0" w:type="dxa"/>
            <w:left w:w="108" w:type="dxa"/>
            <w:bottom w:w="0" w:type="dxa"/>
            <w:right w:w="108" w:type="dxa"/>
          </w:tblCellMar>
        </w:tblPrEx>
        <w:trPr>
          <w:trHeight w:val="12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康复跑台</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8720" behindDoc="0" locked="0" layoutInCell="1" allowOverlap="1">
                  <wp:simplePos x="0" y="0"/>
                  <wp:positionH relativeFrom="column">
                    <wp:posOffset>573405</wp:posOffset>
                  </wp:positionH>
                  <wp:positionV relativeFrom="paragraph">
                    <wp:posOffset>106680</wp:posOffset>
                  </wp:positionV>
                  <wp:extent cx="817245" cy="673735"/>
                  <wp:effectExtent l="0" t="0" r="1905" b="12065"/>
                  <wp:wrapNone/>
                  <wp:docPr id="9" name="图片_22"/>
                  <wp:cNvGraphicFramePr/>
                  <a:graphic xmlns:a="http://schemas.openxmlformats.org/drawingml/2006/main">
                    <a:graphicData uri="http://schemas.openxmlformats.org/drawingml/2006/picture">
                      <pic:pic xmlns:pic="http://schemas.openxmlformats.org/drawingml/2006/picture">
                        <pic:nvPicPr>
                          <pic:cNvPr id="9" name="图片_22"/>
                          <pic:cNvPicPr/>
                        </pic:nvPicPr>
                        <pic:blipFill>
                          <a:blip r:embed="rId25" cstate="print"/>
                          <a:stretch>
                            <a:fillRect/>
                          </a:stretch>
                        </pic:blipFill>
                        <pic:spPr>
                          <a:xfrm>
                            <a:off x="0" y="0"/>
                            <a:ext cx="817245" cy="67373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52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颈腰椎牵引床</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79744" behindDoc="0" locked="0" layoutInCell="1" allowOverlap="1">
                  <wp:simplePos x="0" y="0"/>
                  <wp:positionH relativeFrom="column">
                    <wp:posOffset>361950</wp:posOffset>
                  </wp:positionH>
                  <wp:positionV relativeFrom="paragraph">
                    <wp:posOffset>266065</wp:posOffset>
                  </wp:positionV>
                  <wp:extent cx="832485" cy="575945"/>
                  <wp:effectExtent l="0" t="0" r="5715" b="14605"/>
                  <wp:wrapNone/>
                  <wp:docPr id="10" name="图片_65"/>
                  <wp:cNvGraphicFramePr/>
                  <a:graphic xmlns:a="http://schemas.openxmlformats.org/drawingml/2006/main">
                    <a:graphicData uri="http://schemas.openxmlformats.org/drawingml/2006/picture">
                      <pic:pic xmlns:pic="http://schemas.openxmlformats.org/drawingml/2006/picture">
                        <pic:nvPicPr>
                          <pic:cNvPr id="10" name="图片_65"/>
                          <pic:cNvPicPr/>
                        </pic:nvPicPr>
                        <pic:blipFill>
                          <a:blip r:embed="rId26" cstate="print"/>
                          <a:stretch>
                            <a:fillRect/>
                          </a:stretch>
                        </pic:blipFill>
                        <pic:spPr>
                          <a:xfrm>
                            <a:off x="0" y="0"/>
                            <a:ext cx="832485" cy="57594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521"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40"/>
                <w:szCs w:val="40"/>
              </w:rPr>
            </w:pPr>
            <w:r>
              <w:rPr>
                <w:rFonts w:hint="eastAsia" w:ascii="宋体" w:hAnsi="宋体" w:cs="宋体"/>
                <w:b/>
                <w:bCs/>
                <w:color w:val="000000"/>
                <w:sz w:val="24"/>
                <w:szCs w:val="24"/>
              </w:rPr>
              <w:t xml:space="preserve"> 康复器材</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539"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平行双杠</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0768" behindDoc="0" locked="0" layoutInCell="1" allowOverlap="1">
                  <wp:simplePos x="0" y="0"/>
                  <wp:positionH relativeFrom="column">
                    <wp:posOffset>336550</wp:posOffset>
                  </wp:positionH>
                  <wp:positionV relativeFrom="paragraph">
                    <wp:posOffset>100965</wp:posOffset>
                  </wp:positionV>
                  <wp:extent cx="1078230" cy="701040"/>
                  <wp:effectExtent l="0" t="0" r="7620" b="3810"/>
                  <wp:wrapNone/>
                  <wp:docPr id="11" name="图片_51"/>
                  <wp:cNvGraphicFramePr/>
                  <a:graphic xmlns:a="http://schemas.openxmlformats.org/drawingml/2006/main">
                    <a:graphicData uri="http://schemas.openxmlformats.org/drawingml/2006/picture">
                      <pic:pic xmlns:pic="http://schemas.openxmlformats.org/drawingml/2006/picture">
                        <pic:nvPicPr>
                          <pic:cNvPr id="11" name="图片_51"/>
                          <pic:cNvPicPr/>
                        </pic:nvPicPr>
                        <pic:blipFill>
                          <a:blip r:embed="rId27" cstate="print"/>
                          <a:stretch>
                            <a:fillRect/>
                          </a:stretch>
                        </pic:blipFill>
                        <pic:spPr>
                          <a:xfrm>
                            <a:off x="0" y="0"/>
                            <a:ext cx="1078230" cy="70104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334"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双人站立架</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1792" behindDoc="0" locked="0" layoutInCell="1" allowOverlap="1">
                  <wp:simplePos x="0" y="0"/>
                  <wp:positionH relativeFrom="column">
                    <wp:posOffset>368935</wp:posOffset>
                  </wp:positionH>
                  <wp:positionV relativeFrom="paragraph">
                    <wp:posOffset>62865</wp:posOffset>
                  </wp:positionV>
                  <wp:extent cx="1009650" cy="680085"/>
                  <wp:effectExtent l="0" t="0" r="0" b="5715"/>
                  <wp:wrapNone/>
                  <wp:docPr id="12" name="图片_50"/>
                  <wp:cNvGraphicFramePr/>
                  <a:graphic xmlns:a="http://schemas.openxmlformats.org/drawingml/2006/main">
                    <a:graphicData uri="http://schemas.openxmlformats.org/drawingml/2006/picture">
                      <pic:pic xmlns:pic="http://schemas.openxmlformats.org/drawingml/2006/picture">
                        <pic:nvPicPr>
                          <pic:cNvPr id="12" name="图片_50"/>
                          <pic:cNvPicPr/>
                        </pic:nvPicPr>
                        <pic:blipFill>
                          <a:blip r:embed="rId28" cstate="print"/>
                          <a:stretch>
                            <a:fillRect/>
                          </a:stretch>
                        </pic:blipFill>
                        <pic:spPr>
                          <a:xfrm>
                            <a:off x="0" y="0"/>
                            <a:ext cx="1009650" cy="68008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r>
      <w:tr>
        <w:tblPrEx>
          <w:tblCellMar>
            <w:top w:w="0" w:type="dxa"/>
            <w:left w:w="108" w:type="dxa"/>
            <w:bottom w:w="0" w:type="dxa"/>
            <w:right w:w="108" w:type="dxa"/>
          </w:tblCellMar>
        </w:tblPrEx>
        <w:trPr>
          <w:trHeight w:val="126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拉力器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2816" behindDoc="0" locked="0" layoutInCell="1" allowOverlap="1">
                  <wp:simplePos x="0" y="0"/>
                  <wp:positionH relativeFrom="column">
                    <wp:posOffset>306070</wp:posOffset>
                  </wp:positionH>
                  <wp:positionV relativeFrom="paragraph">
                    <wp:posOffset>53340</wp:posOffset>
                  </wp:positionV>
                  <wp:extent cx="965835" cy="622935"/>
                  <wp:effectExtent l="0" t="0" r="5715" b="5715"/>
                  <wp:wrapNone/>
                  <wp:docPr id="13" name="Picture_124"/>
                  <wp:cNvGraphicFramePr/>
                  <a:graphic xmlns:a="http://schemas.openxmlformats.org/drawingml/2006/main">
                    <a:graphicData uri="http://schemas.openxmlformats.org/drawingml/2006/picture">
                      <pic:pic xmlns:pic="http://schemas.openxmlformats.org/drawingml/2006/picture">
                        <pic:nvPicPr>
                          <pic:cNvPr id="13" name="Picture_124"/>
                          <pic:cNvPicPr/>
                        </pic:nvPicPr>
                        <pic:blipFill>
                          <a:blip r:embed="rId29" cstate="print"/>
                          <a:stretch>
                            <a:fillRect/>
                          </a:stretch>
                        </pic:blipFill>
                        <pic:spPr>
                          <a:xfrm>
                            <a:off x="0" y="0"/>
                            <a:ext cx="965835" cy="62293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175"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肩关节康复训练器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3840" behindDoc="0" locked="0" layoutInCell="1" allowOverlap="1">
                  <wp:simplePos x="0" y="0"/>
                  <wp:positionH relativeFrom="column">
                    <wp:posOffset>582930</wp:posOffset>
                  </wp:positionH>
                  <wp:positionV relativeFrom="paragraph">
                    <wp:posOffset>100965</wp:posOffset>
                  </wp:positionV>
                  <wp:extent cx="427990" cy="550545"/>
                  <wp:effectExtent l="0" t="0" r="10160" b="1905"/>
                  <wp:wrapNone/>
                  <wp:docPr id="14" name="Picture_53"/>
                  <wp:cNvGraphicFramePr/>
                  <a:graphic xmlns:a="http://schemas.openxmlformats.org/drawingml/2006/main">
                    <a:graphicData uri="http://schemas.openxmlformats.org/drawingml/2006/picture">
                      <pic:pic xmlns:pic="http://schemas.openxmlformats.org/drawingml/2006/picture">
                        <pic:nvPicPr>
                          <pic:cNvPr id="14" name="Picture_53"/>
                          <pic:cNvPicPr/>
                        </pic:nvPicPr>
                        <pic:blipFill>
                          <a:blip r:embed="rId30" cstate="print"/>
                          <a:stretch>
                            <a:fillRect/>
                          </a:stretch>
                        </pic:blipFill>
                        <pic:spPr>
                          <a:xfrm>
                            <a:off x="0" y="0"/>
                            <a:ext cx="427990" cy="55054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028"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前臂康复训练器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4864" behindDoc="0" locked="0" layoutInCell="1" allowOverlap="1">
                  <wp:simplePos x="0" y="0"/>
                  <wp:positionH relativeFrom="column">
                    <wp:posOffset>299720</wp:posOffset>
                  </wp:positionH>
                  <wp:positionV relativeFrom="paragraph">
                    <wp:posOffset>102235</wp:posOffset>
                  </wp:positionV>
                  <wp:extent cx="1120140" cy="488950"/>
                  <wp:effectExtent l="0" t="0" r="3810" b="6350"/>
                  <wp:wrapNone/>
                  <wp:docPr id="15" name="图片_49"/>
                  <wp:cNvGraphicFramePr/>
                  <a:graphic xmlns:a="http://schemas.openxmlformats.org/drawingml/2006/main">
                    <a:graphicData uri="http://schemas.openxmlformats.org/drawingml/2006/picture">
                      <pic:pic xmlns:pic="http://schemas.openxmlformats.org/drawingml/2006/picture">
                        <pic:nvPicPr>
                          <pic:cNvPr id="15" name="图片_49"/>
                          <pic:cNvPicPr/>
                        </pic:nvPicPr>
                        <pic:blipFill>
                          <a:blip r:embed="rId31" cstate="print"/>
                          <a:stretch>
                            <a:fillRect/>
                          </a:stretch>
                        </pic:blipFill>
                        <pic:spPr>
                          <a:xfrm>
                            <a:off x="0" y="0"/>
                            <a:ext cx="1120140" cy="48895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004"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腕关节康复训练器</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5888" behindDoc="0" locked="0" layoutInCell="1" allowOverlap="1">
                  <wp:simplePos x="0" y="0"/>
                  <wp:positionH relativeFrom="column">
                    <wp:posOffset>285750</wp:posOffset>
                  </wp:positionH>
                  <wp:positionV relativeFrom="paragraph">
                    <wp:posOffset>120015</wp:posOffset>
                  </wp:positionV>
                  <wp:extent cx="1077595" cy="486410"/>
                  <wp:effectExtent l="0" t="0" r="8255" b="8890"/>
                  <wp:wrapNone/>
                  <wp:docPr id="16" name="图片_29"/>
                  <wp:cNvGraphicFramePr/>
                  <a:graphic xmlns:a="http://schemas.openxmlformats.org/drawingml/2006/main">
                    <a:graphicData uri="http://schemas.openxmlformats.org/drawingml/2006/picture">
                      <pic:pic xmlns:pic="http://schemas.openxmlformats.org/drawingml/2006/picture">
                        <pic:nvPicPr>
                          <pic:cNvPr id="16" name="图片_29"/>
                          <pic:cNvPicPr/>
                        </pic:nvPicPr>
                        <pic:blipFill>
                          <a:blip r:embed="rId32" cstate="print"/>
                          <a:stretch>
                            <a:fillRect/>
                          </a:stretch>
                        </pic:blipFill>
                        <pic:spPr>
                          <a:xfrm>
                            <a:off x="0" y="0"/>
                            <a:ext cx="1077595" cy="48641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247"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踝关节训练椅</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6912" behindDoc="0" locked="0" layoutInCell="1" allowOverlap="1">
                  <wp:simplePos x="0" y="0"/>
                  <wp:positionH relativeFrom="column">
                    <wp:posOffset>341630</wp:posOffset>
                  </wp:positionH>
                  <wp:positionV relativeFrom="paragraph">
                    <wp:posOffset>144145</wp:posOffset>
                  </wp:positionV>
                  <wp:extent cx="1074420" cy="545465"/>
                  <wp:effectExtent l="0" t="0" r="11430" b="6985"/>
                  <wp:wrapNone/>
                  <wp:docPr id="17" name="图片_35"/>
                  <wp:cNvGraphicFramePr/>
                  <a:graphic xmlns:a="http://schemas.openxmlformats.org/drawingml/2006/main">
                    <a:graphicData uri="http://schemas.openxmlformats.org/drawingml/2006/picture">
                      <pic:pic xmlns:pic="http://schemas.openxmlformats.org/drawingml/2006/picture">
                        <pic:nvPicPr>
                          <pic:cNvPr id="17" name="图片_35"/>
                          <pic:cNvPicPr/>
                        </pic:nvPicPr>
                        <pic:blipFill>
                          <a:blip r:embed="rId33" cstate="print"/>
                          <a:stretch>
                            <a:fillRect/>
                          </a:stretch>
                        </pic:blipFill>
                        <pic:spPr>
                          <a:xfrm>
                            <a:off x="0" y="0"/>
                            <a:ext cx="1074420" cy="54546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174"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髋关节训练椅</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7936" behindDoc="0" locked="0" layoutInCell="1" allowOverlap="1">
                  <wp:simplePos x="0" y="0"/>
                  <wp:positionH relativeFrom="column">
                    <wp:posOffset>328930</wp:posOffset>
                  </wp:positionH>
                  <wp:positionV relativeFrom="paragraph">
                    <wp:posOffset>81280</wp:posOffset>
                  </wp:positionV>
                  <wp:extent cx="1043940" cy="602615"/>
                  <wp:effectExtent l="0" t="0" r="3810" b="6985"/>
                  <wp:wrapNone/>
                  <wp:docPr id="18" name="图片_32"/>
                  <wp:cNvGraphicFramePr/>
                  <a:graphic xmlns:a="http://schemas.openxmlformats.org/drawingml/2006/main">
                    <a:graphicData uri="http://schemas.openxmlformats.org/drawingml/2006/picture">
                      <pic:pic xmlns:pic="http://schemas.openxmlformats.org/drawingml/2006/picture">
                        <pic:nvPicPr>
                          <pic:cNvPr id="18" name="图片_32"/>
                          <pic:cNvPicPr/>
                        </pic:nvPicPr>
                        <pic:blipFill>
                          <a:blip r:embed="rId34" cstate="print"/>
                          <a:stretch>
                            <a:fillRect/>
                          </a:stretch>
                        </pic:blipFill>
                        <pic:spPr>
                          <a:xfrm>
                            <a:off x="0" y="0"/>
                            <a:ext cx="1043940" cy="602615"/>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1580" w:hRule="atLeast"/>
        </w:trPr>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股四头肌训练椅</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bdr w:val="single" w:color="000000" w:sz="4" w:space="0"/>
              </w:rPr>
              <w:drawing>
                <wp:anchor distT="0" distB="0" distL="114300" distR="114300" simplePos="0" relativeHeight="251688960" behindDoc="0" locked="0" layoutInCell="1" allowOverlap="1">
                  <wp:simplePos x="0" y="0"/>
                  <wp:positionH relativeFrom="column">
                    <wp:posOffset>335280</wp:posOffset>
                  </wp:positionH>
                  <wp:positionV relativeFrom="paragraph">
                    <wp:posOffset>163830</wp:posOffset>
                  </wp:positionV>
                  <wp:extent cx="927735" cy="723900"/>
                  <wp:effectExtent l="0" t="0" r="5715" b="0"/>
                  <wp:wrapNone/>
                  <wp:docPr id="19" name="图片_33"/>
                  <wp:cNvGraphicFramePr/>
                  <a:graphic xmlns:a="http://schemas.openxmlformats.org/drawingml/2006/main">
                    <a:graphicData uri="http://schemas.openxmlformats.org/drawingml/2006/picture">
                      <pic:pic xmlns:pic="http://schemas.openxmlformats.org/drawingml/2006/picture">
                        <pic:nvPicPr>
                          <pic:cNvPr id="19" name="图片_33"/>
                          <pic:cNvPicPr/>
                        </pic:nvPicPr>
                        <pic:blipFill>
                          <a:blip r:embed="rId35" cstate="print"/>
                          <a:stretch>
                            <a:fillRect/>
                          </a:stretch>
                        </pic:blipFill>
                        <pic:spPr>
                          <a:xfrm>
                            <a:off x="0" y="0"/>
                            <a:ext cx="927735" cy="723900"/>
                          </a:xfrm>
                          <a:prstGeom prst="rect">
                            <a:avLst/>
                          </a:prstGeom>
                          <a:noFill/>
                          <a:ln>
                            <a:noFill/>
                          </a:ln>
                        </pic:spPr>
                      </pic:pic>
                    </a:graphicData>
                  </a:graphic>
                </wp:anchor>
              </w:drawing>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r>
    </w:tbl>
    <w:p>
      <w:pPr>
        <w:adjustRightInd w:val="0"/>
        <w:spacing w:line="480" w:lineRule="auto"/>
        <w:rPr>
          <w:rFonts w:ascii="宋体" w:hAnsi="宋体" w:cs="宋体"/>
          <w:b/>
          <w:bCs/>
          <w:color w:val="000000"/>
          <w:sz w:val="24"/>
          <w:szCs w:val="2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adjustRightInd w:val="0"/>
        <w:spacing w:line="480" w:lineRule="auto"/>
        <w:rPr>
          <w:rFonts w:ascii="宋体" w:hAnsi="宋体" w:cs="宋体"/>
          <w:b/>
          <w:bCs/>
          <w:color w:val="000000"/>
          <w:sz w:val="24"/>
          <w:szCs w:val="24"/>
        </w:rPr>
      </w:pPr>
      <w:r>
        <w:rPr>
          <w:rFonts w:hint="eastAsia" w:ascii="宋体" w:hAnsi="宋体" w:cs="宋体"/>
          <w:b/>
          <w:bCs/>
          <w:color w:val="000000"/>
          <w:sz w:val="24"/>
          <w:szCs w:val="24"/>
        </w:rPr>
        <w:t>附件2：</w:t>
      </w:r>
      <w:r>
        <w:rPr>
          <w:rFonts w:hint="eastAsia" w:ascii="宋体" w:cs="宋体"/>
          <w:b/>
          <w:bCs/>
          <w:color w:val="000000"/>
          <w:sz w:val="24"/>
          <w:szCs w:val="24"/>
        </w:rPr>
        <w:t>东阳市残疾人康复托养中心考核标准</w:t>
      </w:r>
    </w:p>
    <w:tbl>
      <w:tblPr>
        <w:tblStyle w:val="29"/>
        <w:tblW w:w="14807" w:type="dxa"/>
        <w:tblInd w:w="-238" w:type="dxa"/>
        <w:tblLayout w:type="fixed"/>
        <w:tblCellMar>
          <w:top w:w="0" w:type="dxa"/>
          <w:left w:w="30" w:type="dxa"/>
          <w:bottom w:w="0" w:type="dxa"/>
          <w:right w:w="30" w:type="dxa"/>
        </w:tblCellMar>
      </w:tblPr>
      <w:tblGrid>
        <w:gridCol w:w="1152"/>
        <w:gridCol w:w="5025"/>
        <w:gridCol w:w="832"/>
        <w:gridCol w:w="1588"/>
        <w:gridCol w:w="3870"/>
        <w:gridCol w:w="1410"/>
        <w:gridCol w:w="930"/>
      </w:tblGrid>
      <w:tr>
        <w:tblPrEx>
          <w:tblCellMar>
            <w:top w:w="0" w:type="dxa"/>
            <w:left w:w="30" w:type="dxa"/>
            <w:bottom w:w="0" w:type="dxa"/>
            <w:right w:w="30" w:type="dxa"/>
          </w:tblCellMar>
        </w:tblPrEx>
        <w:trPr>
          <w:trHeight w:val="478" w:hRule="atLeast"/>
        </w:trPr>
        <w:tc>
          <w:tcPr>
            <w:tcW w:w="1152"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项目名称</w:t>
            </w:r>
          </w:p>
        </w:tc>
        <w:tc>
          <w:tcPr>
            <w:tcW w:w="5025"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考核内容</w:t>
            </w:r>
          </w:p>
        </w:tc>
        <w:tc>
          <w:tcPr>
            <w:tcW w:w="832"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分值</w:t>
            </w:r>
          </w:p>
        </w:tc>
        <w:tc>
          <w:tcPr>
            <w:tcW w:w="1588"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检查方法</w:t>
            </w:r>
          </w:p>
        </w:tc>
        <w:tc>
          <w:tcPr>
            <w:tcW w:w="38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评分方法</w:t>
            </w: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扣分理由</w:t>
            </w: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szCs w:val="21"/>
              </w:rPr>
            </w:pPr>
            <w:r>
              <w:rPr>
                <w:rFonts w:hint="eastAsia" w:ascii="宋体" w:cs="宋体"/>
                <w:b/>
                <w:bCs/>
                <w:color w:val="000000"/>
                <w:szCs w:val="21"/>
              </w:rPr>
              <w:t>扣分</w:t>
            </w:r>
          </w:p>
        </w:tc>
      </w:tr>
      <w:tr>
        <w:tblPrEx>
          <w:tblCellMar>
            <w:top w:w="0" w:type="dxa"/>
            <w:left w:w="30" w:type="dxa"/>
            <w:bottom w:w="0" w:type="dxa"/>
            <w:right w:w="30" w:type="dxa"/>
          </w:tblCellMar>
        </w:tblPrEx>
        <w:trPr>
          <w:trHeight w:val="951" w:hRule="atLeast"/>
        </w:trPr>
        <w:tc>
          <w:tcPr>
            <w:tcW w:w="1152" w:type="dxa"/>
            <w:vMerge w:val="restart"/>
            <w:tcBorders>
              <w:top w:val="single" w:color="auto" w:sz="6" w:space="0"/>
              <w:left w:val="single" w:color="auto" w:sz="6"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制度管理</w:t>
            </w:r>
          </w:p>
          <w:p>
            <w:pPr>
              <w:autoSpaceDE w:val="0"/>
              <w:autoSpaceDN w:val="0"/>
              <w:adjustRightInd w:val="0"/>
              <w:jc w:val="center"/>
              <w:rPr>
                <w:rFonts w:ascii="宋体" w:cs="宋体"/>
                <w:color w:val="000000"/>
                <w:sz w:val="21"/>
                <w:szCs w:val="21"/>
              </w:rPr>
            </w:pPr>
            <w:r>
              <w:rPr>
                <w:rFonts w:hint="eastAsia" w:ascii="宋体" w:cs="宋体"/>
                <w:color w:val="000000"/>
                <w:sz w:val="21"/>
                <w:szCs w:val="21"/>
              </w:rPr>
              <w:t>安全管理</w:t>
            </w:r>
          </w:p>
          <w:p>
            <w:pPr>
              <w:autoSpaceDE w:val="0"/>
              <w:autoSpaceDN w:val="0"/>
              <w:adjustRightInd w:val="0"/>
              <w:jc w:val="center"/>
              <w:rPr>
                <w:rFonts w:ascii="宋体" w:cs="宋体"/>
                <w:color w:val="000000"/>
                <w:sz w:val="21"/>
                <w:szCs w:val="21"/>
              </w:rPr>
            </w:pPr>
            <w:r>
              <w:rPr>
                <w:rFonts w:hint="eastAsia" w:ascii="宋体" w:cs="宋体"/>
                <w:color w:val="000000"/>
                <w:sz w:val="21"/>
                <w:szCs w:val="21"/>
              </w:rPr>
              <w:t>（25）</w:t>
            </w:r>
          </w:p>
        </w:tc>
        <w:tc>
          <w:tcPr>
            <w:tcW w:w="502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管理制度和收费标准落实上墙；工作人员熟练掌握各类应急预案、抢救设备操作及发生意外时的应急处理流程。</w:t>
            </w:r>
          </w:p>
        </w:tc>
        <w:tc>
          <w:tcPr>
            <w:tcW w:w="8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58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现场检查提问</w:t>
            </w:r>
          </w:p>
        </w:tc>
        <w:tc>
          <w:tcPr>
            <w:tcW w:w="38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制度未建立扣1分，收费标准未落实扣1分；提问不能回答每次扣1分，回答不全每次扣0.5分。</w:t>
            </w: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color w:val="000000"/>
                <w:sz w:val="21"/>
                <w:szCs w:val="21"/>
              </w:rPr>
            </w:pPr>
          </w:p>
        </w:tc>
        <w:tc>
          <w:tcPr>
            <w:tcW w:w="93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734"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1"/>
                <w:szCs w:val="21"/>
              </w:rPr>
            </w:pPr>
            <w:r>
              <w:rPr>
                <w:rFonts w:hint="eastAsia" w:ascii="宋体" w:cs="宋体"/>
                <w:sz w:val="21"/>
                <w:szCs w:val="21"/>
              </w:rPr>
              <w:t>严格把好入托管理，必须经三乙以上确诊无传染病、严重心脏病、严重感染疾病、严重心血管病。</w:t>
            </w:r>
          </w:p>
        </w:tc>
        <w:tc>
          <w:tcPr>
            <w:tcW w:w="832"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588"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抽查相关资料</w:t>
            </w:r>
          </w:p>
        </w:tc>
        <w:tc>
          <w:tcPr>
            <w:tcW w:w="38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每收住一例不符入托对象扣1分；入托程序不符要求每例扣0.5分。</w:t>
            </w: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color w:val="000000"/>
                <w:sz w:val="21"/>
                <w:szCs w:val="21"/>
              </w:rPr>
            </w:pPr>
          </w:p>
        </w:tc>
        <w:tc>
          <w:tcPr>
            <w:tcW w:w="93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747"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1"/>
                <w:szCs w:val="21"/>
              </w:rPr>
            </w:pPr>
            <w:r>
              <w:rPr>
                <w:rFonts w:hint="eastAsia" w:ascii="宋体" w:cs="宋体"/>
                <w:sz w:val="21"/>
                <w:szCs w:val="21"/>
              </w:rPr>
              <w:t>托养病房禁止携带刀具、剪刀、打火机等危险物品；各类病情及安全告知入托后及时告知谈话，并有签名。</w:t>
            </w:r>
          </w:p>
        </w:tc>
        <w:tc>
          <w:tcPr>
            <w:tcW w:w="832"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588"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center"/>
              <w:rPr>
                <w:rFonts w:ascii="宋体" w:hAnsi="宋体" w:cs="宋体"/>
                <w:sz w:val="21"/>
                <w:szCs w:val="21"/>
              </w:rPr>
            </w:pPr>
            <w:r>
              <w:rPr>
                <w:rFonts w:hint="eastAsia" w:ascii="宋体" w:hAnsi="宋体" w:cs="宋体"/>
                <w:sz w:val="21"/>
                <w:szCs w:val="21"/>
              </w:rPr>
              <w:t>实地检查</w:t>
            </w:r>
          </w:p>
          <w:p>
            <w:pPr>
              <w:autoSpaceDE w:val="0"/>
              <w:autoSpaceDN w:val="0"/>
              <w:adjustRightInd w:val="0"/>
              <w:jc w:val="center"/>
              <w:rPr>
                <w:rFonts w:ascii="宋体" w:cs="宋体"/>
                <w:color w:val="000000"/>
                <w:sz w:val="21"/>
                <w:szCs w:val="21"/>
              </w:rPr>
            </w:pPr>
            <w:r>
              <w:rPr>
                <w:rFonts w:hint="eastAsia" w:ascii="宋体" w:hAnsi="宋体" w:cs="宋体"/>
                <w:sz w:val="21"/>
                <w:szCs w:val="21"/>
              </w:rPr>
              <w:t>查相关资料</w:t>
            </w:r>
          </w:p>
        </w:tc>
        <w:tc>
          <w:tcPr>
            <w:tcW w:w="38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color w:val="000000"/>
                <w:sz w:val="21"/>
                <w:szCs w:val="21"/>
              </w:rPr>
            </w:pPr>
          </w:p>
        </w:tc>
        <w:tc>
          <w:tcPr>
            <w:tcW w:w="93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90"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抢救药品及抢救设施备用完好，定位放置，定期检查，有记录。</w:t>
            </w:r>
          </w:p>
        </w:tc>
        <w:tc>
          <w:tcPr>
            <w:tcW w:w="8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w:t>
            </w:r>
          </w:p>
        </w:tc>
        <w:tc>
          <w:tcPr>
            <w:tcW w:w="158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实地考核</w:t>
            </w:r>
          </w:p>
        </w:tc>
        <w:tc>
          <w:tcPr>
            <w:tcW w:w="387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410" w:type="dxa"/>
            <w:tcBorders>
              <w:top w:val="single" w:color="auto" w:sz="6"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3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 xml:space="preserve">    </w:t>
            </w:r>
          </w:p>
        </w:tc>
      </w:tr>
      <w:tr>
        <w:tblPrEx>
          <w:tblCellMar>
            <w:top w:w="0" w:type="dxa"/>
            <w:left w:w="30" w:type="dxa"/>
            <w:bottom w:w="0" w:type="dxa"/>
            <w:right w:w="30" w:type="dxa"/>
          </w:tblCellMar>
        </w:tblPrEx>
        <w:trPr>
          <w:trHeight w:val="675"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auto" w:sz="4" w:space="0"/>
              <w:left w:val="single" w:color="auto" w:sz="6" w:space="0"/>
              <w:bottom w:val="single" w:color="auto" w:sz="6"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每班交接清点托养人数、去留情况，做到准确无误，请假外出需手续齐全。</w:t>
            </w:r>
          </w:p>
        </w:tc>
        <w:tc>
          <w:tcPr>
            <w:tcW w:w="832" w:type="dxa"/>
            <w:tcBorders>
              <w:top w:val="single" w:color="auto" w:sz="4" w:space="0"/>
              <w:left w:val="single" w:color="auto" w:sz="6" w:space="0"/>
              <w:bottom w:val="single" w:color="auto" w:sz="6"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588" w:type="dxa"/>
            <w:tcBorders>
              <w:top w:val="single" w:color="auto" w:sz="4" w:space="0"/>
              <w:left w:val="single" w:color="auto" w:sz="4" w:space="0"/>
              <w:bottom w:val="single" w:color="auto" w:sz="6"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实地检查</w:t>
            </w:r>
          </w:p>
        </w:tc>
        <w:tc>
          <w:tcPr>
            <w:tcW w:w="3870" w:type="dxa"/>
            <w:tcBorders>
              <w:top w:val="single" w:color="auto" w:sz="4" w:space="0"/>
              <w:left w:val="single" w:color="auto" w:sz="6" w:space="0"/>
              <w:bottom w:val="single" w:color="auto" w:sz="6"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不符要求每项扣0.5分，托养人员外出无请假手续每次扣2分。</w:t>
            </w:r>
          </w:p>
        </w:tc>
        <w:tc>
          <w:tcPr>
            <w:tcW w:w="1410" w:type="dxa"/>
            <w:tcBorders>
              <w:top w:val="single" w:color="auto" w:sz="4" w:space="0"/>
              <w:left w:val="single" w:color="auto" w:sz="6" w:space="0"/>
              <w:bottom w:val="single" w:color="auto" w:sz="6" w:space="0"/>
              <w:right w:val="single" w:color="auto" w:sz="6" w:space="0"/>
            </w:tcBorders>
          </w:tcPr>
          <w:p>
            <w:pPr>
              <w:autoSpaceDE w:val="0"/>
              <w:autoSpaceDN w:val="0"/>
              <w:adjustRightInd w:val="0"/>
              <w:ind w:firstLine="420" w:firstLineChars="200"/>
              <w:rPr>
                <w:color w:val="000000"/>
                <w:sz w:val="21"/>
                <w:szCs w:val="21"/>
              </w:rPr>
            </w:pPr>
          </w:p>
        </w:tc>
        <w:tc>
          <w:tcPr>
            <w:tcW w:w="93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668"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auto" w:sz="6"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巡视及时，并有记录；及</w:t>
            </w:r>
            <w:r>
              <w:rPr>
                <w:rFonts w:hint="eastAsia" w:hAnsi="宋体" w:cs="宋体"/>
                <w:sz w:val="21"/>
                <w:szCs w:val="21"/>
              </w:rPr>
              <w:t>时发现各类病情变化及意外情况，及时处理。</w:t>
            </w:r>
          </w:p>
        </w:tc>
        <w:tc>
          <w:tcPr>
            <w:tcW w:w="832" w:type="dxa"/>
            <w:tcBorders>
              <w:top w:val="single" w:color="auto" w:sz="6"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588" w:type="dxa"/>
            <w:tcBorders>
              <w:top w:val="single" w:color="auto" w:sz="6"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检查巡视记录</w:t>
            </w:r>
          </w:p>
        </w:tc>
        <w:tc>
          <w:tcPr>
            <w:tcW w:w="387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不符要求每次扣0.5分。</w:t>
            </w:r>
          </w:p>
        </w:tc>
        <w:tc>
          <w:tcPr>
            <w:tcW w:w="1410" w:type="dxa"/>
            <w:tcBorders>
              <w:top w:val="single" w:color="auto" w:sz="6"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3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533" w:hRule="atLeast"/>
        </w:trPr>
        <w:tc>
          <w:tcPr>
            <w:tcW w:w="1152"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p>
        </w:tc>
        <w:tc>
          <w:tcPr>
            <w:tcW w:w="5025" w:type="dxa"/>
            <w:tcBorders>
              <w:top w:val="single" w:color="000000" w:sz="2" w:space="0"/>
              <w:left w:val="single" w:color="auto" w:sz="6" w:space="0"/>
              <w:bottom w:val="single" w:color="auto" w:sz="6" w:space="0"/>
              <w:right w:val="single" w:color="auto" w:sz="6" w:space="0"/>
            </w:tcBorders>
          </w:tcPr>
          <w:p>
            <w:pPr>
              <w:tabs>
                <w:tab w:val="left" w:pos="0"/>
              </w:tabs>
              <w:autoSpaceDE w:val="0"/>
              <w:autoSpaceDN w:val="0"/>
              <w:adjustRightInd w:val="0"/>
              <w:rPr>
                <w:rFonts w:ascii="宋体" w:cs="宋体"/>
                <w:color w:val="000000"/>
                <w:sz w:val="21"/>
                <w:szCs w:val="21"/>
              </w:rPr>
            </w:pPr>
            <w:r>
              <w:rPr>
                <w:rFonts w:hint="eastAsia"/>
                <w:sz w:val="21"/>
                <w:szCs w:val="21"/>
              </w:rPr>
              <w:t>床头有明显防跌倒、走失、坠床等警示标识，护理有措施，有记录。</w:t>
            </w:r>
          </w:p>
        </w:tc>
        <w:tc>
          <w:tcPr>
            <w:tcW w:w="832" w:type="dxa"/>
            <w:tcBorders>
              <w:top w:val="nil"/>
              <w:left w:val="single" w:color="auto" w:sz="6" w:space="0"/>
              <w:bottom w:val="single" w:color="auto" w:sz="6"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588" w:type="dxa"/>
            <w:tcBorders>
              <w:top w:val="nil"/>
              <w:left w:val="single" w:color="auto" w:sz="4" w:space="0"/>
              <w:bottom w:val="single" w:color="auto" w:sz="6" w:space="0"/>
              <w:right w:val="single" w:color="auto" w:sz="6" w:space="0"/>
            </w:tcBorders>
          </w:tcPr>
          <w:p>
            <w:pPr>
              <w:autoSpaceDE w:val="0"/>
              <w:autoSpaceDN w:val="0"/>
              <w:adjustRightInd w:val="0"/>
              <w:jc w:val="center"/>
              <w:rPr>
                <w:rFonts w:ascii="宋体" w:hAnsi="宋体" w:cs="宋体"/>
                <w:sz w:val="21"/>
                <w:szCs w:val="21"/>
              </w:rPr>
            </w:pPr>
            <w:r>
              <w:rPr>
                <w:rFonts w:hint="eastAsia" w:ascii="宋体" w:hAnsi="宋体" w:cs="宋体"/>
                <w:sz w:val="21"/>
                <w:szCs w:val="21"/>
              </w:rPr>
              <w:t>实地考核</w:t>
            </w:r>
          </w:p>
          <w:p>
            <w:pPr>
              <w:autoSpaceDE w:val="0"/>
              <w:autoSpaceDN w:val="0"/>
              <w:adjustRightInd w:val="0"/>
              <w:jc w:val="center"/>
              <w:rPr>
                <w:rFonts w:ascii="宋体" w:cs="宋体"/>
                <w:color w:val="000000"/>
                <w:sz w:val="21"/>
                <w:szCs w:val="21"/>
              </w:rPr>
            </w:pPr>
            <w:r>
              <w:rPr>
                <w:rFonts w:hint="eastAsia" w:ascii="宋体" w:hAnsi="宋体" w:cs="宋体"/>
                <w:sz w:val="21"/>
                <w:szCs w:val="21"/>
              </w:rPr>
              <w:t>查护理记录</w:t>
            </w:r>
          </w:p>
        </w:tc>
        <w:tc>
          <w:tcPr>
            <w:tcW w:w="3870" w:type="dxa"/>
            <w:tcBorders>
              <w:top w:val="nil"/>
              <w:left w:val="single" w:color="auto" w:sz="6" w:space="0"/>
              <w:bottom w:val="single" w:color="auto" w:sz="6" w:space="0"/>
              <w:right w:val="single" w:color="auto" w:sz="6" w:space="0"/>
            </w:tcBorders>
          </w:tcPr>
          <w:p>
            <w:pPr>
              <w:autoSpaceDE w:val="0"/>
              <w:autoSpaceDN w:val="0"/>
              <w:adjustRightInd w:val="0"/>
              <w:jc w:val="left"/>
              <w:rPr>
                <w:rFonts w:ascii="宋体" w:cs="宋体"/>
                <w:color w:val="000000"/>
                <w:sz w:val="21"/>
                <w:szCs w:val="21"/>
              </w:rPr>
            </w:pPr>
            <w:r>
              <w:rPr>
                <w:rFonts w:hint="eastAsia"/>
                <w:sz w:val="21"/>
                <w:szCs w:val="21"/>
              </w:rPr>
              <w:t>缺一项扣1分，内容记录不全扣0.5分。</w:t>
            </w:r>
          </w:p>
        </w:tc>
        <w:tc>
          <w:tcPr>
            <w:tcW w:w="1410" w:type="dxa"/>
            <w:tcBorders>
              <w:top w:val="nil"/>
              <w:left w:val="single" w:color="auto" w:sz="6" w:space="0"/>
              <w:bottom w:val="single" w:color="auto" w:sz="6" w:space="0"/>
              <w:right w:val="single" w:color="auto" w:sz="6" w:space="0"/>
            </w:tcBorders>
          </w:tcPr>
          <w:p>
            <w:pPr>
              <w:autoSpaceDE w:val="0"/>
              <w:autoSpaceDN w:val="0"/>
              <w:adjustRightInd w:val="0"/>
              <w:rPr>
                <w:color w:val="000000"/>
                <w:sz w:val="21"/>
                <w:szCs w:val="21"/>
              </w:rPr>
            </w:pPr>
          </w:p>
        </w:tc>
        <w:tc>
          <w:tcPr>
            <w:tcW w:w="930" w:type="dxa"/>
            <w:tcBorders>
              <w:top w:val="nil"/>
              <w:left w:val="single" w:color="auto" w:sz="6" w:space="0"/>
              <w:bottom w:val="single" w:color="auto" w:sz="4" w:space="0"/>
              <w:right w:val="single" w:color="auto" w:sz="6" w:space="0"/>
            </w:tcBorders>
          </w:tcPr>
          <w:p>
            <w:pPr>
              <w:autoSpaceDE w:val="0"/>
              <w:autoSpaceDN w:val="0"/>
              <w:adjustRightInd w:val="0"/>
              <w:ind w:firstLine="420" w:firstLineChars="200"/>
              <w:rPr>
                <w:rFonts w:ascii="宋体" w:cs="宋体"/>
                <w:color w:val="000000"/>
                <w:sz w:val="21"/>
                <w:szCs w:val="21"/>
              </w:rPr>
            </w:pPr>
          </w:p>
        </w:tc>
      </w:tr>
      <w:tr>
        <w:tblPrEx>
          <w:tblCellMar>
            <w:top w:w="0" w:type="dxa"/>
            <w:left w:w="30" w:type="dxa"/>
            <w:bottom w:w="0" w:type="dxa"/>
            <w:right w:w="30" w:type="dxa"/>
          </w:tblCellMar>
        </w:tblPrEx>
        <w:trPr>
          <w:trHeight w:val="799" w:hRule="atLeast"/>
        </w:trPr>
        <w:tc>
          <w:tcPr>
            <w:tcW w:w="1152"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02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严格三查七对；各项康复、医疗、护理操作严格按规范执行，防止发生意外事件或并发症。</w:t>
            </w:r>
          </w:p>
        </w:tc>
        <w:tc>
          <w:tcPr>
            <w:tcW w:w="8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58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实地考核</w:t>
            </w:r>
          </w:p>
        </w:tc>
        <w:tc>
          <w:tcPr>
            <w:tcW w:w="3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sz w:val="21"/>
                <w:szCs w:val="21"/>
              </w:rPr>
            </w:pPr>
            <w:r>
              <w:rPr>
                <w:rFonts w:hint="eastAsia" w:ascii="宋体" w:hAnsi="宋体" w:cs="宋体"/>
                <w:sz w:val="21"/>
                <w:szCs w:val="21"/>
              </w:rPr>
              <w:t>不符要求每项扣1分。</w:t>
            </w: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1"/>
                <w:szCs w:val="21"/>
              </w:rPr>
            </w:pPr>
          </w:p>
          <w:p>
            <w:pPr>
              <w:autoSpaceDE w:val="0"/>
              <w:autoSpaceDN w:val="0"/>
              <w:adjustRightInd w:val="0"/>
              <w:jc w:val="left"/>
              <w:rPr>
                <w:sz w:val="21"/>
                <w:szCs w:val="21"/>
              </w:rPr>
            </w:pPr>
          </w:p>
        </w:tc>
        <w:tc>
          <w:tcPr>
            <w:tcW w:w="93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sz w:val="21"/>
                <w:szCs w:val="21"/>
              </w:rPr>
            </w:pPr>
          </w:p>
          <w:p>
            <w:pPr>
              <w:autoSpaceDE w:val="0"/>
              <w:autoSpaceDN w:val="0"/>
              <w:adjustRightInd w:val="0"/>
              <w:jc w:val="center"/>
              <w:rPr>
                <w:rFonts w:ascii="宋体" w:cs="宋体"/>
                <w:sz w:val="21"/>
                <w:szCs w:val="21"/>
              </w:rPr>
            </w:pPr>
          </w:p>
        </w:tc>
      </w:tr>
      <w:tr>
        <w:tblPrEx>
          <w:tblCellMar>
            <w:top w:w="0" w:type="dxa"/>
            <w:left w:w="30" w:type="dxa"/>
            <w:bottom w:w="0" w:type="dxa"/>
            <w:right w:w="30" w:type="dxa"/>
          </w:tblCellMar>
        </w:tblPrEx>
        <w:trPr>
          <w:trHeight w:val="799" w:hRule="atLeast"/>
        </w:trPr>
        <w:tc>
          <w:tcPr>
            <w:tcW w:w="1152"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025" w:type="dxa"/>
            <w:tcBorders>
              <w:top w:val="single" w:color="auto" w:sz="6" w:space="0"/>
              <w:left w:val="single" w:color="auto" w:sz="6" w:space="0"/>
              <w:bottom w:val="single" w:color="auto" w:sz="4" w:space="0"/>
              <w:right w:val="single" w:color="auto" w:sz="6" w:space="0"/>
            </w:tcBorders>
            <w:vAlign w:val="center"/>
          </w:tcPr>
          <w:p>
            <w:pPr>
              <w:widowControl/>
              <w:ind w:left="-990" w:leftChars="-495" w:firstLine="1039" w:firstLineChars="495"/>
              <w:jc w:val="left"/>
              <w:rPr>
                <w:rFonts w:ascii="宋体" w:hAnsi="宋体" w:cs="宋体"/>
                <w:sz w:val="21"/>
                <w:szCs w:val="21"/>
              </w:rPr>
            </w:pPr>
            <w:r>
              <w:rPr>
                <w:rFonts w:hint="eastAsia" w:ascii="宋体" w:hAnsi="宋体" w:cs="宋体"/>
                <w:sz w:val="21"/>
                <w:szCs w:val="21"/>
              </w:rPr>
              <w:t>主动沟通协调好入托残疾人及家属工作，矛盾无故不上交；无托养纠纷发生。</w:t>
            </w:r>
          </w:p>
        </w:tc>
        <w:tc>
          <w:tcPr>
            <w:tcW w:w="8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4</w:t>
            </w:r>
          </w:p>
        </w:tc>
        <w:tc>
          <w:tcPr>
            <w:tcW w:w="1588"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ind w:firstLine="210" w:firstLineChars="100"/>
              <w:jc w:val="left"/>
              <w:rPr>
                <w:rFonts w:ascii="宋体" w:cs="宋体"/>
                <w:sz w:val="21"/>
                <w:szCs w:val="21"/>
              </w:rPr>
            </w:pPr>
            <w:r>
              <w:rPr>
                <w:rFonts w:hint="eastAsia" w:ascii="宋体" w:cs="宋体"/>
                <w:sz w:val="21"/>
                <w:szCs w:val="21"/>
              </w:rPr>
              <w:t>实地考核</w:t>
            </w:r>
          </w:p>
          <w:p>
            <w:pPr>
              <w:autoSpaceDE w:val="0"/>
              <w:autoSpaceDN w:val="0"/>
              <w:adjustRightInd w:val="0"/>
              <w:ind w:firstLine="210" w:firstLineChars="100"/>
              <w:jc w:val="left"/>
              <w:rPr>
                <w:rFonts w:ascii="宋体" w:hAnsi="宋体" w:cs="宋体"/>
                <w:sz w:val="21"/>
                <w:szCs w:val="21"/>
              </w:rPr>
            </w:pPr>
            <w:r>
              <w:rPr>
                <w:rFonts w:hint="eastAsia" w:ascii="宋体" w:cs="宋体"/>
                <w:sz w:val="21"/>
                <w:szCs w:val="21"/>
              </w:rPr>
              <w:t>抽查相关资料</w:t>
            </w:r>
          </w:p>
        </w:tc>
        <w:tc>
          <w:tcPr>
            <w:tcW w:w="387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r>
              <w:rPr>
                <w:rFonts w:hint="eastAsia" w:ascii="宋体" w:cs="宋体"/>
                <w:sz w:val="21"/>
                <w:szCs w:val="21"/>
              </w:rPr>
              <w:t>矛盾无故不上交,每例扣1分；发生投诉每例扣1分；发生纠纷按情节轻重扣2-4分。</w:t>
            </w:r>
          </w:p>
        </w:tc>
        <w:tc>
          <w:tcPr>
            <w:tcW w:w="1410" w:type="dxa"/>
            <w:tcBorders>
              <w:top w:val="single" w:color="auto" w:sz="6" w:space="0"/>
              <w:left w:val="single" w:color="auto" w:sz="6" w:space="0"/>
              <w:bottom w:val="single" w:color="auto" w:sz="4" w:space="0"/>
              <w:right w:val="single" w:color="auto" w:sz="6" w:space="0"/>
            </w:tcBorders>
          </w:tcPr>
          <w:p>
            <w:pPr>
              <w:autoSpaceDE w:val="0"/>
              <w:autoSpaceDN w:val="0"/>
              <w:adjustRightInd w:val="0"/>
              <w:jc w:val="left"/>
              <w:rPr>
                <w:sz w:val="21"/>
                <w:szCs w:val="21"/>
              </w:rPr>
            </w:pPr>
          </w:p>
        </w:tc>
        <w:tc>
          <w:tcPr>
            <w:tcW w:w="93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sz w:val="21"/>
                <w:szCs w:val="21"/>
              </w:rPr>
            </w:pPr>
          </w:p>
        </w:tc>
      </w:tr>
    </w:tbl>
    <w:tbl>
      <w:tblPr>
        <w:tblStyle w:val="29"/>
        <w:tblpPr w:leftFromText="180" w:rightFromText="180" w:vertAnchor="text" w:horzAnchor="page" w:tblpX="1422" w:tblpY="-3871"/>
        <w:tblOverlap w:val="never"/>
        <w:tblW w:w="14594" w:type="dxa"/>
        <w:tblInd w:w="0" w:type="dxa"/>
        <w:tblLayout w:type="fixed"/>
        <w:tblCellMar>
          <w:top w:w="0" w:type="dxa"/>
          <w:left w:w="30" w:type="dxa"/>
          <w:bottom w:w="0" w:type="dxa"/>
          <w:right w:w="30" w:type="dxa"/>
        </w:tblCellMar>
      </w:tblPr>
      <w:tblGrid>
        <w:gridCol w:w="848"/>
        <w:gridCol w:w="5110"/>
        <w:gridCol w:w="818"/>
        <w:gridCol w:w="1617"/>
        <w:gridCol w:w="3870"/>
        <w:gridCol w:w="1380"/>
        <w:gridCol w:w="951"/>
      </w:tblGrid>
      <w:tr>
        <w:tblPrEx>
          <w:tblCellMar>
            <w:top w:w="0" w:type="dxa"/>
            <w:left w:w="30" w:type="dxa"/>
            <w:bottom w:w="0" w:type="dxa"/>
            <w:right w:w="30" w:type="dxa"/>
          </w:tblCellMar>
        </w:tblPrEx>
        <w:trPr>
          <w:trHeight w:val="1073" w:hRule="atLeast"/>
        </w:trPr>
        <w:tc>
          <w:tcPr>
            <w:tcW w:w="848" w:type="dxa"/>
            <w:vMerge w:val="restart"/>
            <w:tcBorders>
              <w:top w:val="single" w:color="auto" w:sz="4" w:space="0"/>
              <w:left w:val="single" w:color="auto" w:sz="6"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rPr>
                <w:rFonts w:ascii="宋体" w:cs="宋体"/>
                <w:color w:val="000000"/>
                <w:sz w:val="21"/>
                <w:szCs w:val="21"/>
              </w:rPr>
            </w:pPr>
            <w:r>
              <w:rPr>
                <w:rFonts w:hint="eastAsia" w:ascii="宋体" w:cs="宋体"/>
                <w:color w:val="000000"/>
                <w:sz w:val="21"/>
                <w:szCs w:val="21"/>
              </w:rPr>
              <w:t>护理质量（30分）</w:t>
            </w: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p>
          <w:p>
            <w:pPr>
              <w:widowControl/>
              <w:jc w:val="left"/>
              <w:rPr>
                <w:rFonts w:ascii="宋体" w:hAnsi="宋体" w:cs="宋体"/>
                <w:sz w:val="21"/>
                <w:szCs w:val="21"/>
              </w:rPr>
            </w:pPr>
            <w:r>
              <w:rPr>
                <w:rFonts w:hint="eastAsia" w:ascii="宋体" w:hAnsi="宋体" w:cs="宋体"/>
                <w:sz w:val="21"/>
                <w:szCs w:val="21"/>
              </w:rPr>
              <w:t>床单应保持整洁，床单铺平整；</w:t>
            </w:r>
            <w:r>
              <w:rPr>
                <w:rFonts w:hint="eastAsia" w:ascii="宋体" w:hAnsi="宋体" w:cs="Arial"/>
                <w:snapToGrid w:val="0"/>
                <w:sz w:val="21"/>
                <w:szCs w:val="21"/>
              </w:rPr>
              <w:t>床单每半月更换一次，有污染时随脏随换。</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p>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p>
          <w:p>
            <w:pPr>
              <w:widowControl/>
              <w:jc w:val="center"/>
              <w:rPr>
                <w:rFonts w:ascii="宋体" w:hAnsi="宋体" w:cs="宋体"/>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p>
          <w:p>
            <w:pPr>
              <w:autoSpaceDE w:val="0"/>
              <w:autoSpaceDN w:val="0"/>
              <w:adjustRightInd w:val="0"/>
              <w:jc w:val="left"/>
              <w:rPr>
                <w:rFonts w:ascii="宋体" w:hAnsi="宋体" w:cs="宋体"/>
                <w:sz w:val="21"/>
                <w:szCs w:val="21"/>
              </w:rPr>
            </w:pPr>
          </w:p>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930"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宋体"/>
                <w:sz w:val="21"/>
                <w:szCs w:val="21"/>
              </w:rPr>
              <w:t>个人卫生（口腔、皮肤、指趾甲、头发、会阴）做到清洁，剪短指甲。</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ind w:firstLine="105" w:firstLineChars="5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972"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snapToGrid w:val="0"/>
                <w:sz w:val="21"/>
                <w:szCs w:val="21"/>
              </w:rPr>
              <w:t>衣着整洁，无菜渍、口水痕迹，有大小便污染予及时更换；统一着装，服装更换夏季每周二次，冬季每周一次。</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p>
            <w:pPr>
              <w:autoSpaceDE w:val="0"/>
              <w:autoSpaceDN w:val="0"/>
              <w:adjustRightInd w:val="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pStyle w:val="83"/>
              <w:ind w:firstLine="0" w:firstLineChars="0"/>
              <w:jc w:val="both"/>
              <w:rPr>
                <w:rFonts w:ascii="仿宋_GB2312" w:hAnsi="宋体" w:eastAsia="仿宋_GB2312" w:cs="Arial"/>
                <w:snapToGrid w:val="0"/>
                <w:sz w:val="21"/>
                <w:szCs w:val="21"/>
              </w:rPr>
            </w:pPr>
            <w:r>
              <w:rPr>
                <w:rFonts w:hint="eastAsia" w:hAnsi="宋体" w:cs="宋体"/>
                <w:sz w:val="21"/>
                <w:szCs w:val="21"/>
              </w:rPr>
              <w:t>保持皮肤完整、清洁，无异味；</w:t>
            </w:r>
            <w:r>
              <w:rPr>
                <w:rFonts w:hint="eastAsia" w:hAnsi="宋体" w:cs="Arial"/>
                <w:snapToGrid w:val="0"/>
                <w:sz w:val="21"/>
                <w:szCs w:val="21"/>
              </w:rPr>
              <w:t>洗头、洗澡冬季每周一次，春秋季每周两</w:t>
            </w:r>
            <w:r>
              <w:rPr>
                <w:rFonts w:hint="eastAsia" w:hAnsi="宋体"/>
                <w:snapToGrid w:val="0"/>
                <w:sz w:val="21"/>
                <w:szCs w:val="21"/>
              </w:rPr>
              <w:t>次，夏季每日一次（不能下床者每日擦身一次）；男性每日按需刮胡须；短发每月理发一次。</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sz w:val="21"/>
                <w:szCs w:val="21"/>
              </w:rPr>
            </w:pPr>
            <w:r>
              <w:rPr>
                <w:rFonts w:hint="eastAsia" w:ascii="宋体" w:hAnsi="宋体" w:cs="宋体"/>
                <w:sz w:val="21"/>
                <w:szCs w:val="21"/>
              </w:rPr>
              <w:t>卧床者定时翻身，卧位舒适符合要求，无护理并发症（褥疮、烫伤、红臀等）</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不符要求每项扣0.5分；凡发生一例并发症扣1分，并发症未能积极处理有进展扣0.5分。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620"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协助托养人员做好晨晚间生活护理，帮助</w:t>
            </w:r>
          </w:p>
          <w:p>
            <w:pPr>
              <w:autoSpaceDE w:val="0"/>
              <w:autoSpaceDN w:val="0"/>
              <w:adjustRightInd w:val="0"/>
              <w:rPr>
                <w:rFonts w:ascii="宋体" w:cs="宋体"/>
                <w:color w:val="000000"/>
                <w:sz w:val="21"/>
                <w:szCs w:val="21"/>
              </w:rPr>
            </w:pPr>
            <w:r>
              <w:rPr>
                <w:rFonts w:hint="eastAsia" w:ascii="宋体" w:cs="宋体"/>
                <w:color w:val="000000"/>
                <w:sz w:val="21"/>
                <w:szCs w:val="21"/>
              </w:rPr>
              <w:t>洗脚、洗臀部及会阴部；协助如厕；相关记录规范及时。</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r>
              <w:rPr>
                <w:rFonts w:hint="eastAsia" w:ascii="宋体" w:hAnsi="宋体" w:cs="宋体"/>
                <w:sz w:val="21"/>
                <w:szCs w:val="21"/>
              </w:rPr>
              <w:t>饮食与病情、医嘱相符；正确、及时服药，</w:t>
            </w:r>
            <w:r>
              <w:rPr>
                <w:rFonts w:hint="eastAsia" w:ascii="宋体" w:cs="宋体"/>
                <w:sz w:val="21"/>
                <w:szCs w:val="21"/>
              </w:rPr>
              <w:t>药品严格按医嘱执行，代发代管药品，应有有效的委托书或本中心医生医嘱，药品应由专人、专柜保管。</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实地考核</w:t>
            </w:r>
          </w:p>
          <w:p>
            <w:pPr>
              <w:autoSpaceDE w:val="0"/>
              <w:autoSpaceDN w:val="0"/>
              <w:adjustRightInd w:val="0"/>
              <w:jc w:val="center"/>
              <w:rPr>
                <w:rFonts w:ascii="宋体" w:cs="宋体"/>
                <w:color w:val="000000"/>
                <w:sz w:val="21"/>
                <w:szCs w:val="21"/>
              </w:rPr>
            </w:pPr>
            <w:r>
              <w:rPr>
                <w:rFonts w:hint="eastAsia" w:ascii="宋体" w:cs="宋体"/>
                <w:color w:val="000000"/>
                <w:sz w:val="21"/>
                <w:szCs w:val="21"/>
              </w:rPr>
              <w:t>抽查相关资料</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巡视及时，各管道通畅，放置正确符合要求，引流袋更换符合要求。</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实地考核</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根据托养人员情况护理措施到位；护理书写规范，有病情变化时及时记录。</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ind w:firstLine="420" w:firstLineChars="200"/>
              <w:jc w:val="left"/>
              <w:rPr>
                <w:rFonts w:ascii="宋体" w:hAnsi="宋体" w:cs="宋体"/>
                <w:sz w:val="21"/>
                <w:szCs w:val="21"/>
              </w:rPr>
            </w:pPr>
            <w:r>
              <w:rPr>
                <w:rFonts w:hint="eastAsia" w:ascii="宋体" w:hAnsi="宋体" w:cs="宋体"/>
                <w:sz w:val="21"/>
                <w:szCs w:val="21"/>
              </w:rPr>
              <w:t>查</w:t>
            </w:r>
            <w:r>
              <w:rPr>
                <w:rFonts w:hint="eastAsia" w:ascii="宋体" w:cs="宋体"/>
                <w:color w:val="000000"/>
                <w:sz w:val="21"/>
                <w:szCs w:val="21"/>
              </w:rPr>
              <w:t>相关资料</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查二份病历，护病录有专科护理内容，缺一次扣1分，内容不全每次扣0.5分，实际措施未落实扣0.5分。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color w:val="000000"/>
                <w:sz w:val="21"/>
                <w:szCs w:val="21"/>
              </w:rPr>
            </w:pPr>
          </w:p>
          <w:p>
            <w:pPr>
              <w:autoSpaceDE w:val="0"/>
              <w:autoSpaceDN w:val="0"/>
              <w:adjustRightInd w:val="0"/>
              <w:jc w:val="left"/>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按时做好交接班，新入住及I级护理托养员、带管、生活完全不能自理的托养员床头交班。</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cs="宋体"/>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r>
              <w:rPr>
                <w:rFonts w:hint="eastAsia" w:ascii="宋体" w:hAnsi="宋体" w:cs="宋体"/>
                <w:sz w:val="21"/>
                <w:szCs w:val="21"/>
              </w:rPr>
              <w:t>交班不清扣0.5分，接班护士、护理员对交班重点内容掌握不全面扣0.5分，未床头交班扣1分。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541" w:hRule="atLeast"/>
        </w:trPr>
        <w:tc>
          <w:tcPr>
            <w:tcW w:w="848" w:type="dxa"/>
            <w:vMerge w:val="continue"/>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sz w:val="21"/>
                <w:szCs w:val="21"/>
              </w:rPr>
            </w:pPr>
            <w:r>
              <w:rPr>
                <w:rFonts w:hint="eastAsia" w:ascii="宋体" w:hAnsi="宋体" w:cs="宋体"/>
                <w:sz w:val="21"/>
                <w:szCs w:val="21"/>
              </w:rPr>
              <w:t>无菌物品及消毒液正确使用、保存，无过期。</w:t>
            </w:r>
          </w:p>
        </w:tc>
        <w:tc>
          <w:tcPr>
            <w:tcW w:w="818"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cs="宋体"/>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623"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sz w:val="21"/>
                <w:szCs w:val="21"/>
              </w:rPr>
            </w:pPr>
            <w:r>
              <w:rPr>
                <w:rFonts w:hint="eastAsia" w:ascii="宋体" w:hAnsi="宋体" w:cs="宋体"/>
                <w:sz w:val="21"/>
                <w:szCs w:val="21"/>
              </w:rPr>
              <w:t>天气晴好，带托养员室外活动或散步，有记录。</w:t>
            </w:r>
          </w:p>
        </w:tc>
        <w:tc>
          <w:tcPr>
            <w:tcW w:w="818"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cs="宋体"/>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r>
              <w:rPr>
                <w:rFonts w:hint="eastAsia" w:ascii="宋体" w:hAnsi="宋体" w:cs="宋体"/>
                <w:sz w:val="21"/>
                <w:szCs w:val="21"/>
              </w:rPr>
              <w:t>每月不少于3次，缺一次扣0.5分。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top w:val="single" w:color="auto" w:sz="4" w:space="0"/>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托养区室内外环境整洁、安静、安全、无杂物；各通道畅通无阻碍；定时通风，室内每周消毒一次无异味。</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实地查看</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床单位整洁，卫生间、阳台、走廊、地面干燥，无积水，防滑标记醒目。</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物品、器材定位放置、定人管理、定时检查，保持整洁，无积灰。</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794" w:hRule="atLeast"/>
        </w:trPr>
        <w:tc>
          <w:tcPr>
            <w:tcW w:w="848" w:type="dxa"/>
            <w:tcBorders>
              <w:left w:val="single" w:color="auto" w:sz="6"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环境管理</w:t>
            </w:r>
          </w:p>
          <w:p>
            <w:pPr>
              <w:autoSpaceDE w:val="0"/>
              <w:autoSpaceDN w:val="0"/>
              <w:adjustRightInd w:val="0"/>
              <w:rPr>
                <w:rFonts w:ascii="宋体" w:cs="宋体"/>
                <w:color w:val="000000"/>
                <w:sz w:val="21"/>
                <w:szCs w:val="21"/>
              </w:rPr>
            </w:pPr>
            <w:r>
              <w:rPr>
                <w:rFonts w:hint="eastAsia" w:ascii="宋体" w:cs="宋体"/>
                <w:color w:val="000000"/>
                <w:sz w:val="21"/>
                <w:szCs w:val="21"/>
              </w:rPr>
              <w:t>（20分）</w:t>
            </w: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托养人员毛巾、脸盆、水杯、牙杯定位放置、定期清洗；</w:t>
            </w:r>
            <w:r>
              <w:rPr>
                <w:rFonts w:hint="eastAsia" w:cs="宋体"/>
                <w:sz w:val="21"/>
                <w:szCs w:val="21"/>
              </w:rPr>
              <w:t>便盆定期消毒。</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不符要求每次扣0.5分。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tabs>
                <w:tab w:val="left" w:pos="0"/>
              </w:tabs>
              <w:autoSpaceDE w:val="0"/>
              <w:autoSpaceDN w:val="0"/>
              <w:adjustRightInd w:val="0"/>
              <w:rPr>
                <w:rFonts w:ascii="宋体" w:cs="宋体"/>
                <w:sz w:val="21"/>
                <w:szCs w:val="21"/>
              </w:rPr>
            </w:pPr>
            <w:r>
              <w:rPr>
                <w:rFonts w:hint="eastAsia" w:ascii="宋体" w:cs="宋体"/>
                <w:sz w:val="21"/>
                <w:szCs w:val="21"/>
              </w:rPr>
              <w:t>抹布、拖把、扫帚分类标记（居室、厕所、办公室），整洁统一，放置固定、规范；垃圾分类放置。</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hAnsi="宋体" w:cs="宋体"/>
                <w:sz w:val="21"/>
                <w:szCs w:val="21"/>
              </w:rPr>
            </w:pPr>
            <w:r>
              <w:rPr>
                <w:rFonts w:hint="eastAsia" w:ascii="宋体" w:hAnsi="宋体" w:cs="宋体"/>
                <w:sz w:val="21"/>
                <w:szCs w:val="21"/>
              </w:rPr>
              <w:t>实地检查</w:t>
            </w:r>
          </w:p>
          <w:p>
            <w:pPr>
              <w:autoSpaceDE w:val="0"/>
              <w:autoSpaceDN w:val="0"/>
              <w:adjustRightInd w:val="0"/>
              <w:jc w:val="center"/>
              <w:rPr>
                <w:rFonts w:ascii="宋体" w:cs="宋体"/>
                <w:color w:val="000000"/>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不符要求每次扣0.5分。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托养人员出院后床单位需进行终末消毒。床垫、棉被要暴晒，桌凳床用消毒液擦拭，室内紫外线照射消毒。</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各治疗室、护士台不放置私人物品，保持整洁。</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r>
              <w:rPr>
                <w:rFonts w:hint="eastAsia" w:ascii="宋体" w:cs="宋体"/>
                <w:color w:val="000000"/>
                <w:sz w:val="21"/>
                <w:szCs w:val="21"/>
              </w:rPr>
              <w:t>实地检查</w:t>
            </w:r>
          </w:p>
          <w:p>
            <w:pPr>
              <w:autoSpaceDE w:val="0"/>
              <w:autoSpaceDN w:val="0"/>
              <w:adjustRightInd w:val="0"/>
              <w:jc w:val="center"/>
              <w:rPr>
                <w:rFonts w:ascii="宋体" w:cs="宋体"/>
                <w:color w:val="000000"/>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4" w:space="0"/>
              <w:bottom w:val="single" w:color="auto" w:sz="4"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物品、床单、门窗、墙面等破损后及时通知维修，保证正常使用。</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color w:val="000000"/>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top w:val="single" w:color="auto" w:sz="4" w:space="0"/>
              <w:left w:val="single" w:color="auto" w:sz="4"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Arial"/>
                <w:snapToGrid w:val="0"/>
                <w:sz w:val="21"/>
                <w:szCs w:val="21"/>
              </w:rPr>
              <w:t>根据托养人员的残疾类别和实际情况，安排娱疗及康复训练项目，有详细活动及康复计划，有开展情况记录。</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实地查看</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未按要求开展每例扣1分；无活动及康复计划每例扣1分；无记录每例扣0.5分；内容记录不规范每例扣0.2分。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康复娱乐管理（17分）</w:t>
            </w:r>
          </w:p>
        </w:tc>
        <w:tc>
          <w:tcPr>
            <w:tcW w:w="5110" w:type="dxa"/>
            <w:tcBorders>
              <w:top w:val="single" w:color="auto" w:sz="4" w:space="0"/>
              <w:left w:val="single" w:color="auto" w:sz="6" w:space="0"/>
              <w:bottom w:val="single" w:color="auto" w:sz="4"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治疗师和护理员对所管理的托养人员须详细了解其基本情况，客观进行评估，必要时调整康复及活动方案。</w:t>
            </w:r>
          </w:p>
        </w:tc>
        <w:tc>
          <w:tcPr>
            <w:tcW w:w="818"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实地查询</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抽查，对托养员情况不了解的每例扣1分；未及时评估每例扣0.5分。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热情接待托养人员进行康复或活动，并做好环境介绍、康复或活动指导、接送等工作，确保康复及娱疗中的安全。</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sz w:val="21"/>
                <w:szCs w:val="21"/>
              </w:rPr>
            </w:pPr>
            <w:r>
              <w:rPr>
                <w:rFonts w:hint="eastAsia" w:asci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不符要求每项扣0.5分。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pStyle w:val="83"/>
              <w:ind w:firstLine="0" w:firstLineChars="0"/>
              <w:rPr>
                <w:rFonts w:hAnsi="宋体" w:cs="Arial"/>
                <w:snapToGrid w:val="0"/>
                <w:sz w:val="21"/>
                <w:szCs w:val="21"/>
              </w:rPr>
            </w:pPr>
            <w:r>
              <w:rPr>
                <w:rFonts w:hint="eastAsia" w:hAnsi="宋体" w:cs="Arial"/>
                <w:snapToGrid w:val="0"/>
                <w:sz w:val="21"/>
                <w:szCs w:val="21"/>
              </w:rPr>
              <w:t>保持各活动室及治疗室的整洁及环境安全，定时通风、每周消毒；</w:t>
            </w:r>
            <w:r>
              <w:rPr>
                <w:rFonts w:hint="eastAsia" w:cs="宋体"/>
                <w:sz w:val="21"/>
                <w:szCs w:val="21"/>
              </w:rPr>
              <w:t>康复及活动设施设备定位放置，专人保管，保持整洁，功能完好，做好相关检查记录。</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hAnsi="宋体" w:cs="宋体"/>
                <w:sz w:val="21"/>
                <w:szCs w:val="21"/>
              </w:rPr>
            </w:pPr>
            <w:r>
              <w:rPr>
                <w:rFonts w:hint="eastAsia" w:ascii="宋体" w:hAnsi="宋体" w:cs="宋体"/>
                <w:sz w:val="21"/>
                <w:szCs w:val="21"/>
              </w:rPr>
              <w:t>实地检查</w:t>
            </w:r>
          </w:p>
          <w:p>
            <w:pPr>
              <w:autoSpaceDE w:val="0"/>
              <w:autoSpaceDN w:val="0"/>
              <w:adjustRightInd w:val="0"/>
              <w:jc w:val="center"/>
              <w:rPr>
                <w:rFonts w:ascii="宋体" w:cs="宋体"/>
                <w:sz w:val="21"/>
                <w:szCs w:val="21"/>
              </w:rPr>
            </w:pPr>
            <w:r>
              <w:rPr>
                <w:rFonts w:hint="eastAsia" w:ascii="宋体" w:hAnsi="宋体" w:cs="宋体"/>
                <w:sz w:val="21"/>
                <w:szCs w:val="21"/>
              </w:rPr>
              <w:t>抽查相关资料</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hAnsi="宋体" w:cs="宋体"/>
                <w:sz w:val="21"/>
                <w:szCs w:val="21"/>
              </w:rPr>
            </w:pPr>
            <w:r>
              <w:rPr>
                <w:rFonts w:hint="eastAsia" w:ascii="宋体" w:hAnsi="宋体" w:cs="宋体"/>
                <w:sz w:val="21"/>
                <w:szCs w:val="21"/>
              </w:rPr>
              <w:t>发现不符要求每处扣0.5分；</w:t>
            </w:r>
          </w:p>
          <w:p>
            <w:pPr>
              <w:autoSpaceDE w:val="0"/>
              <w:autoSpaceDN w:val="0"/>
              <w:adjustRightInd w:val="0"/>
              <w:jc w:val="left"/>
              <w:rPr>
                <w:rFonts w:ascii="宋体" w:cs="宋体"/>
                <w:sz w:val="21"/>
                <w:szCs w:val="21"/>
              </w:rPr>
            </w:pPr>
            <w:r>
              <w:rPr>
                <w:rFonts w:hint="eastAsia" w:ascii="宋体" w:hAnsi="宋体" w:cs="宋体"/>
                <w:sz w:val="21"/>
                <w:szCs w:val="21"/>
              </w:rPr>
              <w:t>设施设备未定位及专人保管每例扣1分，功能损坏未及时修复影响使用每例扣1分，不洁每例扣0.5分。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tabs>
                <w:tab w:val="left" w:pos="0"/>
              </w:tabs>
              <w:autoSpaceDE w:val="0"/>
              <w:autoSpaceDN w:val="0"/>
              <w:adjustRightInd w:val="0"/>
              <w:rPr>
                <w:rFonts w:ascii="宋体" w:cs="宋体"/>
                <w:sz w:val="21"/>
                <w:szCs w:val="21"/>
              </w:rPr>
            </w:pPr>
            <w:r>
              <w:rPr>
                <w:rFonts w:hint="eastAsia" w:ascii="宋体" w:cs="宋体"/>
                <w:sz w:val="21"/>
                <w:szCs w:val="21"/>
              </w:rPr>
              <w:t>充分利用现有康复娱疗场地及设施开展康复及娱疗工作。</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hAnsi="宋体" w:cs="宋体"/>
                <w:sz w:val="21"/>
                <w:szCs w:val="21"/>
              </w:rPr>
            </w:pPr>
            <w:r>
              <w:rPr>
                <w:rFonts w:hint="eastAsia" w:ascii="宋体" w:hAnsi="宋体" w:cs="宋体"/>
                <w:sz w:val="21"/>
                <w:szCs w:val="21"/>
              </w:rPr>
              <w:t>实地检查</w:t>
            </w:r>
          </w:p>
          <w:p>
            <w:pPr>
              <w:autoSpaceDE w:val="0"/>
              <w:autoSpaceDN w:val="0"/>
              <w:adjustRightInd w:val="0"/>
              <w:jc w:val="center"/>
              <w:rPr>
                <w:rFonts w:ascii="宋体" w:cs="宋体"/>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cs="宋体"/>
                <w:sz w:val="21"/>
                <w:szCs w:val="21"/>
              </w:rPr>
              <w:t>设施及场地闲置3个月以上每项扣1分。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bottom w:val="single" w:color="auto" w:sz="4"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autoSpaceDE w:val="0"/>
              <w:autoSpaceDN w:val="0"/>
              <w:adjustRightInd w:val="0"/>
              <w:rPr>
                <w:rFonts w:ascii="宋体" w:cs="宋体"/>
                <w:sz w:val="21"/>
                <w:szCs w:val="21"/>
              </w:rPr>
            </w:pPr>
            <w:r>
              <w:rPr>
                <w:rFonts w:hint="eastAsia" w:ascii="宋体" w:hAnsi="宋体" w:cs="Arial"/>
                <w:snapToGrid w:val="0"/>
                <w:sz w:val="21"/>
                <w:szCs w:val="21"/>
              </w:rPr>
              <w:t>主动配合康复活动，托养人员有需求时及时协助，如上厕所；在训练中有特殊情况需及时告知医生及护理员。</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不符要求每项扣0.5分；特殊情况未及时告知每例扣1分。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708" w:hRule="atLeast"/>
        </w:trPr>
        <w:tc>
          <w:tcPr>
            <w:tcW w:w="848" w:type="dxa"/>
            <w:tcBorders>
              <w:top w:val="single" w:color="auto" w:sz="4" w:space="0"/>
              <w:left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4" w:space="0"/>
              <w:right w:val="single" w:color="auto" w:sz="6" w:space="0"/>
            </w:tcBorders>
          </w:tcPr>
          <w:p>
            <w:pPr>
              <w:snapToGrid w:val="0"/>
              <w:rPr>
                <w:rFonts w:ascii="宋体" w:hAnsi="宋体" w:cs="Arial"/>
                <w:snapToGrid w:val="0"/>
                <w:sz w:val="21"/>
                <w:szCs w:val="21"/>
              </w:rPr>
            </w:pPr>
            <w:r>
              <w:rPr>
                <w:rFonts w:hint="eastAsia" w:ascii="宋体" w:hAnsi="宋体" w:cs="Arial"/>
                <w:snapToGrid w:val="0"/>
                <w:sz w:val="21"/>
                <w:szCs w:val="21"/>
              </w:rPr>
              <w:t>按要求配备工作人员，有聘用合同，专业人员有国家认可的执业资格。</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3</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sz w:val="21"/>
                <w:szCs w:val="21"/>
              </w:rPr>
            </w:pPr>
            <w:r>
              <w:rPr>
                <w:rFonts w:hint="eastAsia" w:ascii="宋体" w:cs="宋体"/>
                <w:sz w:val="21"/>
                <w:szCs w:val="21"/>
              </w:rPr>
              <w:t>查相关资料</w:t>
            </w:r>
          </w:p>
          <w:p>
            <w:pPr>
              <w:autoSpaceDE w:val="0"/>
              <w:autoSpaceDN w:val="0"/>
              <w:adjustRightInd w:val="0"/>
              <w:jc w:val="center"/>
              <w:rPr>
                <w:rFonts w:ascii="宋体" w:cs="宋体"/>
                <w:sz w:val="21"/>
                <w:szCs w:val="21"/>
              </w:rPr>
            </w:pP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cs="宋体"/>
                <w:sz w:val="21"/>
                <w:szCs w:val="21"/>
              </w:rPr>
              <w:t>未按要求配备每项扣1分；无聘用合同或执业资格的每例扣1分。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552" w:hRule="atLeast"/>
        </w:trPr>
        <w:tc>
          <w:tcPr>
            <w:tcW w:w="848" w:type="dxa"/>
            <w:tcBorders>
              <w:left w:val="single" w:color="auto" w:sz="6" w:space="0"/>
              <w:right w:val="single" w:color="auto" w:sz="6" w:space="0"/>
            </w:tcBorders>
          </w:tcPr>
          <w:p>
            <w:pPr>
              <w:autoSpaceDE w:val="0"/>
              <w:autoSpaceDN w:val="0"/>
              <w:adjustRightInd w:val="0"/>
              <w:rPr>
                <w:rFonts w:ascii="宋体" w:cs="宋体"/>
                <w:color w:val="000000"/>
                <w:sz w:val="21"/>
                <w:szCs w:val="21"/>
              </w:rPr>
            </w:pPr>
            <w:r>
              <w:rPr>
                <w:rFonts w:hint="eastAsia" w:ascii="宋体" w:cs="宋体"/>
                <w:color w:val="000000"/>
                <w:sz w:val="21"/>
                <w:szCs w:val="21"/>
              </w:rPr>
              <w:t>人员管理（8分）</w:t>
            </w:r>
          </w:p>
        </w:tc>
        <w:tc>
          <w:tcPr>
            <w:tcW w:w="5110" w:type="dxa"/>
            <w:tcBorders>
              <w:top w:val="single" w:color="auto" w:sz="4" w:space="0"/>
              <w:left w:val="single" w:color="auto" w:sz="6" w:space="0"/>
              <w:bottom w:val="single" w:color="auto" w:sz="4" w:space="0"/>
              <w:right w:val="single" w:color="auto" w:sz="6" w:space="0"/>
            </w:tcBorders>
          </w:tcPr>
          <w:p>
            <w:pPr>
              <w:snapToGrid w:val="0"/>
              <w:rPr>
                <w:rFonts w:ascii="宋体" w:hAnsi="宋体" w:cs="Arial"/>
                <w:snapToGrid w:val="0"/>
                <w:sz w:val="21"/>
                <w:szCs w:val="21"/>
              </w:rPr>
            </w:pPr>
            <w:r>
              <w:rPr>
                <w:rFonts w:hint="eastAsia" w:ascii="宋体" w:hAnsi="宋体" w:cs="Arial"/>
                <w:snapToGrid w:val="0"/>
                <w:sz w:val="21"/>
                <w:szCs w:val="21"/>
              </w:rPr>
              <w:t>做好每月工作人员的业务培训，并有记录。</w:t>
            </w:r>
          </w:p>
        </w:tc>
        <w:tc>
          <w:tcPr>
            <w:tcW w:w="818" w:type="dxa"/>
            <w:tcBorders>
              <w:top w:val="single" w:color="auto" w:sz="4" w:space="0"/>
              <w:left w:val="single" w:color="auto" w:sz="6" w:space="0"/>
              <w:bottom w:val="single" w:color="auto" w:sz="4" w:space="0"/>
              <w:right w:val="single" w:color="auto" w:sz="4" w:space="0"/>
            </w:tcBorders>
          </w:tcPr>
          <w:p>
            <w:pPr>
              <w:autoSpaceDE w:val="0"/>
              <w:autoSpaceDN w:val="0"/>
              <w:adjustRightInd w:val="0"/>
              <w:jc w:val="center"/>
              <w:rPr>
                <w:rFonts w:ascii="宋体" w:cs="宋体"/>
                <w:sz w:val="21"/>
                <w:szCs w:val="21"/>
              </w:rPr>
            </w:pPr>
            <w:r>
              <w:rPr>
                <w:rFonts w:hint="eastAsia" w:ascii="宋体" w:cs="宋体"/>
                <w:sz w:val="21"/>
                <w:szCs w:val="21"/>
              </w:rPr>
              <w:t>2</w:t>
            </w:r>
          </w:p>
        </w:tc>
        <w:tc>
          <w:tcPr>
            <w:tcW w:w="1617" w:type="dxa"/>
            <w:tcBorders>
              <w:top w:val="single" w:color="auto" w:sz="4" w:space="0"/>
              <w:left w:val="single" w:color="auto" w:sz="4" w:space="0"/>
              <w:bottom w:val="single" w:color="auto" w:sz="4" w:space="0"/>
              <w:right w:val="single" w:color="auto" w:sz="6" w:space="0"/>
            </w:tcBorders>
          </w:tcPr>
          <w:p>
            <w:pPr>
              <w:autoSpaceDE w:val="0"/>
              <w:autoSpaceDN w:val="0"/>
              <w:adjustRightInd w:val="0"/>
              <w:jc w:val="center"/>
              <w:rPr>
                <w:rFonts w:ascii="宋体" w:cs="宋体"/>
                <w:sz w:val="21"/>
                <w:szCs w:val="21"/>
              </w:rPr>
            </w:pPr>
            <w:r>
              <w:rPr>
                <w:rFonts w:hint="eastAsia" w:ascii="宋体" w:cs="宋体"/>
                <w:sz w:val="21"/>
                <w:szCs w:val="21"/>
              </w:rPr>
              <w:t>查相关资料</w:t>
            </w:r>
          </w:p>
        </w:tc>
        <w:tc>
          <w:tcPr>
            <w:tcW w:w="3870"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left"/>
              <w:rPr>
                <w:rFonts w:ascii="宋体" w:cs="宋体"/>
                <w:sz w:val="21"/>
                <w:szCs w:val="21"/>
              </w:rPr>
            </w:pPr>
            <w:r>
              <w:rPr>
                <w:rFonts w:hint="eastAsia" w:ascii="宋体" w:cs="宋体"/>
                <w:sz w:val="21"/>
                <w:szCs w:val="21"/>
              </w:rPr>
              <w:t>缺一次扣1分，无记录每次扣0.5分。</w:t>
            </w:r>
          </w:p>
        </w:tc>
        <w:tc>
          <w:tcPr>
            <w:tcW w:w="1380" w:type="dxa"/>
            <w:tcBorders>
              <w:top w:val="single" w:color="auto" w:sz="4" w:space="0"/>
              <w:left w:val="single" w:color="auto" w:sz="6" w:space="0"/>
              <w:bottom w:val="single" w:color="auto" w:sz="4"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cs="宋体"/>
                <w:color w:val="000000"/>
                <w:sz w:val="21"/>
                <w:szCs w:val="21"/>
              </w:rPr>
            </w:pPr>
          </w:p>
        </w:tc>
      </w:tr>
      <w:tr>
        <w:tblPrEx>
          <w:tblCellMar>
            <w:top w:w="0" w:type="dxa"/>
            <w:left w:w="30" w:type="dxa"/>
            <w:bottom w:w="0" w:type="dxa"/>
            <w:right w:w="30" w:type="dxa"/>
          </w:tblCellMar>
        </w:tblPrEx>
        <w:trPr>
          <w:trHeight w:val="804" w:hRule="atLeast"/>
        </w:trPr>
        <w:tc>
          <w:tcPr>
            <w:tcW w:w="848" w:type="dxa"/>
            <w:tcBorders>
              <w:left w:val="single" w:color="auto" w:sz="6" w:space="0"/>
              <w:bottom w:val="single" w:color="auto" w:sz="6" w:space="0"/>
              <w:right w:val="single" w:color="auto" w:sz="6" w:space="0"/>
            </w:tcBorders>
          </w:tcPr>
          <w:p>
            <w:pPr>
              <w:autoSpaceDE w:val="0"/>
              <w:autoSpaceDN w:val="0"/>
              <w:adjustRightInd w:val="0"/>
              <w:rPr>
                <w:rFonts w:ascii="宋体" w:cs="宋体"/>
                <w:color w:val="000000"/>
                <w:sz w:val="21"/>
                <w:szCs w:val="21"/>
              </w:rPr>
            </w:pPr>
          </w:p>
        </w:tc>
        <w:tc>
          <w:tcPr>
            <w:tcW w:w="5110"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sz w:val="21"/>
                <w:szCs w:val="21"/>
              </w:rPr>
            </w:pPr>
            <w:r>
              <w:rPr>
                <w:rFonts w:hint="eastAsia" w:ascii="宋体" w:hAnsi="宋体" w:cs="宋体"/>
                <w:sz w:val="21"/>
                <w:szCs w:val="21"/>
              </w:rPr>
              <w:t>遵守劳动纪律，不擅自离岗，不私自聊天、看电视、玩手机等。</w:t>
            </w:r>
          </w:p>
        </w:tc>
        <w:tc>
          <w:tcPr>
            <w:tcW w:w="818"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161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sz w:val="21"/>
                <w:szCs w:val="21"/>
              </w:rPr>
            </w:pPr>
            <w:r>
              <w:rPr>
                <w:rFonts w:hint="eastAsia" w:ascii="宋体" w:hAnsi="宋体" w:cs="宋体"/>
                <w:sz w:val="21"/>
                <w:szCs w:val="21"/>
              </w:rPr>
              <w:t>实地检查</w:t>
            </w:r>
          </w:p>
        </w:tc>
        <w:tc>
          <w:tcPr>
            <w:tcW w:w="3870" w:type="dxa"/>
            <w:tcBorders>
              <w:top w:val="single" w:color="auto" w:sz="4" w:space="0"/>
              <w:left w:val="single" w:color="auto" w:sz="6" w:space="0"/>
              <w:bottom w:val="single" w:color="auto" w:sz="6" w:space="0"/>
              <w:right w:val="single" w:color="auto" w:sz="6" w:space="0"/>
            </w:tcBorders>
          </w:tcPr>
          <w:p>
            <w:pPr>
              <w:autoSpaceDE w:val="0"/>
              <w:autoSpaceDN w:val="0"/>
              <w:adjustRightInd w:val="0"/>
              <w:jc w:val="left"/>
              <w:rPr>
                <w:rFonts w:ascii="宋体" w:cs="宋体"/>
                <w:sz w:val="21"/>
                <w:szCs w:val="21"/>
              </w:rPr>
            </w:pPr>
            <w:r>
              <w:rPr>
                <w:rFonts w:hint="eastAsia" w:ascii="宋体" w:hAnsi="宋体" w:cs="宋体"/>
                <w:sz w:val="21"/>
                <w:szCs w:val="21"/>
              </w:rPr>
              <w:t>发现不符要求每次扣0.5分。</w:t>
            </w:r>
          </w:p>
        </w:tc>
        <w:tc>
          <w:tcPr>
            <w:tcW w:w="1380" w:type="dxa"/>
            <w:tcBorders>
              <w:top w:val="single" w:color="auto" w:sz="4" w:space="0"/>
              <w:left w:val="single" w:color="auto" w:sz="6" w:space="0"/>
              <w:bottom w:val="single" w:color="auto" w:sz="6" w:space="0"/>
              <w:right w:val="single" w:color="auto" w:sz="6" w:space="0"/>
            </w:tcBorders>
          </w:tcPr>
          <w:p>
            <w:pPr>
              <w:autoSpaceDE w:val="0"/>
              <w:autoSpaceDN w:val="0"/>
              <w:adjustRightInd w:val="0"/>
              <w:ind w:right="60" w:rightChars="30"/>
              <w:rPr>
                <w:color w:val="000000"/>
                <w:sz w:val="21"/>
                <w:szCs w:val="21"/>
              </w:rPr>
            </w:pPr>
          </w:p>
        </w:tc>
        <w:tc>
          <w:tcPr>
            <w:tcW w:w="951" w:type="dxa"/>
            <w:tcBorders>
              <w:top w:val="single" w:color="auto" w:sz="4"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sz w:val="21"/>
                <w:szCs w:val="21"/>
              </w:rPr>
            </w:pPr>
          </w:p>
        </w:tc>
      </w:tr>
    </w:tbl>
    <w:p>
      <w:pPr>
        <w:spacing w:line="264" w:lineRule="auto"/>
        <w:ind w:firstLine="240" w:firstLineChars="100"/>
        <w:rPr>
          <w:sz w:val="24"/>
        </w:rPr>
      </w:pPr>
    </w:p>
    <w:p>
      <w:r>
        <w:rPr>
          <w:rFonts w:hint="eastAsia"/>
          <w:sz w:val="24"/>
        </w:rPr>
        <w:t>科室</w:t>
      </w:r>
      <w:r>
        <w:rPr>
          <w:sz w:val="24"/>
          <w:u w:val="single"/>
        </w:rPr>
        <w:t xml:space="preserve">  </w:t>
      </w:r>
      <w:r>
        <w:rPr>
          <w:rFonts w:hint="eastAsia"/>
          <w:sz w:val="24"/>
          <w:u w:val="single"/>
        </w:rPr>
        <w:t xml:space="preserve">    </w:t>
      </w:r>
      <w:r>
        <w:rPr>
          <w:szCs w:val="21"/>
          <w:u w:val="single"/>
        </w:rPr>
        <w:t xml:space="preserve"> </w:t>
      </w:r>
      <w:r>
        <w:rPr>
          <w:sz w:val="24"/>
          <w:u w:val="single"/>
        </w:rPr>
        <w:t xml:space="preserve">         </w:t>
      </w:r>
      <w:r>
        <w:rPr>
          <w:rFonts w:hint="eastAsia"/>
          <w:sz w:val="24"/>
          <w:u w:val="single"/>
        </w:rPr>
        <w:t xml:space="preserve">    </w:t>
      </w:r>
      <w:r>
        <w:rPr>
          <w:rFonts w:hint="eastAsia"/>
          <w:sz w:val="24"/>
        </w:rPr>
        <w:t>考核人：</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考核日期</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总得分</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
    <w:p>
      <w:pPr>
        <w:spacing w:line="264" w:lineRule="auto"/>
        <w:rPr>
          <w:rFonts w:ascii="宋体" w:hAnsi="宋体" w:cs="宋体"/>
          <w:b/>
          <w:bCs/>
          <w:color w:val="000000"/>
          <w:sz w:val="30"/>
          <w:szCs w:val="30"/>
        </w:rPr>
      </w:pPr>
      <w:r>
        <w:rPr>
          <w:rFonts w:hint="eastAsia" w:ascii="宋体" w:hAnsi="宋体" w:cs="宋体"/>
          <w:b/>
          <w:bCs/>
          <w:color w:val="000000"/>
          <w:sz w:val="30"/>
          <w:szCs w:val="30"/>
        </w:rPr>
        <w:br w:type="page"/>
      </w:r>
    </w:p>
    <w:p>
      <w:pPr>
        <w:adjustRightInd w:val="0"/>
        <w:spacing w:line="480" w:lineRule="auto"/>
        <w:rPr>
          <w:rFonts w:ascii="宋体" w:hAnsi="宋体" w:cs="宋体"/>
          <w:b/>
          <w:bCs/>
          <w:color w:val="000000"/>
          <w:sz w:val="30"/>
          <w:szCs w:val="30"/>
        </w:rPr>
        <w:sectPr>
          <w:pgSz w:w="16838" w:h="11906" w:orient="landscape"/>
          <w:pgMar w:top="1080" w:right="1440" w:bottom="1080" w:left="1440" w:header="851" w:footer="992" w:gutter="0"/>
          <w:cols w:space="425" w:num="1"/>
          <w:docGrid w:type="lines" w:linePitch="312" w:charSpace="0"/>
        </w:sectPr>
      </w:pPr>
    </w:p>
    <w:p>
      <w:pPr>
        <w:adjustRightInd w:val="0"/>
        <w:spacing w:line="480" w:lineRule="auto"/>
        <w:ind w:firstLine="3313" w:firstLineChars="1100"/>
        <w:rPr>
          <w:rFonts w:ascii="宋体" w:hAnsi="宋体" w:cs="宋体"/>
          <w:b/>
          <w:bCs/>
          <w:color w:val="000000"/>
          <w:sz w:val="30"/>
          <w:szCs w:val="30"/>
        </w:rPr>
      </w:pPr>
      <w:r>
        <w:rPr>
          <w:rFonts w:hint="eastAsia" w:ascii="宋体" w:hAnsi="宋体" w:cs="宋体"/>
          <w:b/>
          <w:bCs/>
          <w:color w:val="000000"/>
          <w:sz w:val="30"/>
          <w:szCs w:val="30"/>
        </w:rPr>
        <w:t>第五章  合同主要条款</w:t>
      </w:r>
    </w:p>
    <w:p>
      <w:pPr>
        <w:snapToGrid w:val="0"/>
        <w:spacing w:line="440" w:lineRule="exact"/>
        <w:ind w:firstLine="480" w:firstLineChars="200"/>
        <w:rPr>
          <w:rFonts w:ascii="宋体" w:cs="宋体"/>
          <w:sz w:val="24"/>
        </w:rPr>
      </w:pPr>
      <w:bookmarkStart w:id="1" w:name="_Toc17278025"/>
      <w:r>
        <w:rPr>
          <w:rFonts w:hint="eastAsia" w:ascii="宋体" w:cs="宋体"/>
          <w:sz w:val="24"/>
        </w:rPr>
        <w:t xml:space="preserve">               </w:t>
      </w:r>
      <w:r>
        <w:rPr>
          <w:rFonts w:hint="eastAsia" w:ascii="宋体" w:hAnsi="宋体" w:cs="宋体"/>
          <w:b/>
          <w:bCs/>
          <w:color w:val="000000"/>
          <w:sz w:val="24"/>
          <w:szCs w:val="24"/>
        </w:rPr>
        <w:t xml:space="preserve">东阳市政府采购合同（范本，可按实际需求修改） </w:t>
      </w:r>
    </w:p>
    <w:p>
      <w:pPr>
        <w:snapToGrid w:val="0"/>
        <w:spacing w:line="440" w:lineRule="exact"/>
        <w:ind w:firstLine="480" w:firstLineChars="200"/>
        <w:rPr>
          <w:rFonts w:ascii="宋体" w:cs="宋体"/>
          <w:sz w:val="24"/>
        </w:rPr>
      </w:pPr>
      <w:r>
        <w:rPr>
          <w:rFonts w:hint="eastAsia" w:ascii="宋体" w:cs="宋体"/>
          <w:sz w:val="24"/>
        </w:rPr>
        <w:t>项目名称：                   项目编号：               合同号：</w:t>
      </w:r>
    </w:p>
    <w:p>
      <w:pPr>
        <w:snapToGrid w:val="0"/>
        <w:spacing w:line="440" w:lineRule="exact"/>
        <w:ind w:firstLine="480" w:firstLineChars="200"/>
        <w:rPr>
          <w:rFonts w:ascii="宋体" w:cs="宋体"/>
          <w:sz w:val="24"/>
        </w:rPr>
      </w:pPr>
      <w:r>
        <w:rPr>
          <w:rFonts w:hint="eastAsia" w:ascii="宋体" w:cs="宋体"/>
          <w:sz w:val="24"/>
        </w:rPr>
        <w:t>甲方（买方）：</w:t>
      </w:r>
    </w:p>
    <w:p>
      <w:pPr>
        <w:snapToGrid w:val="0"/>
        <w:spacing w:line="440" w:lineRule="exact"/>
        <w:ind w:firstLine="480" w:firstLineChars="200"/>
        <w:rPr>
          <w:rFonts w:ascii="宋体" w:cs="宋体"/>
          <w:sz w:val="24"/>
        </w:rPr>
      </w:pPr>
      <w:r>
        <w:rPr>
          <w:rFonts w:hint="eastAsia" w:ascii="宋体" w:cs="宋体"/>
          <w:sz w:val="24"/>
        </w:rPr>
        <w:t>乙方（卖方）：</w:t>
      </w:r>
    </w:p>
    <w:p>
      <w:pPr>
        <w:autoSpaceDE w:val="0"/>
        <w:autoSpaceDN w:val="0"/>
        <w:adjustRightInd w:val="0"/>
        <w:spacing w:line="360" w:lineRule="auto"/>
        <w:ind w:firstLine="480" w:firstLineChars="200"/>
        <w:jc w:val="left"/>
        <w:rPr>
          <w:rFonts w:ascii="宋体" w:cs="宋体"/>
          <w:color w:val="000000"/>
          <w:sz w:val="24"/>
        </w:rPr>
      </w:pPr>
      <w:r>
        <w:rPr>
          <w:rFonts w:hint="eastAsia" w:ascii="宋体" w:cs="宋体"/>
          <w:color w:val="000000"/>
          <w:sz w:val="24"/>
        </w:rPr>
        <w:t xml:space="preserve">根据 </w:t>
      </w:r>
      <w:r>
        <w:rPr>
          <w:rFonts w:hint="eastAsia" w:ascii="宋体" w:cs="宋体"/>
          <w:color w:val="000000"/>
          <w:sz w:val="24"/>
          <w:u w:val="single"/>
        </w:rPr>
        <w:t xml:space="preserve">          </w:t>
      </w:r>
      <w:r>
        <w:rPr>
          <w:rFonts w:hint="eastAsia" w:ascii="宋体" w:cs="宋体"/>
          <w:color w:val="000000"/>
          <w:sz w:val="24"/>
        </w:rPr>
        <w:t xml:space="preserve"> 项目的采购结果，按照《中华人民共和国政府采购法》、《中华人民共和国民法典》的规定，经双方协商，本着平等互利和诚实信用的原则，一致同意签订本合同如下。 </w:t>
      </w:r>
    </w:p>
    <w:p>
      <w:pPr>
        <w:snapToGrid w:val="0"/>
        <w:spacing w:line="440" w:lineRule="atLeast"/>
        <w:rPr>
          <w:rFonts w:ascii="宋体" w:hAnsi="宋体" w:cs="宋体"/>
          <w:b/>
          <w:bCs/>
          <w:sz w:val="24"/>
        </w:rPr>
      </w:pPr>
      <w:r>
        <w:rPr>
          <w:rFonts w:hint="eastAsia" w:ascii="宋体" w:hAnsi="宋体"/>
          <w:b/>
          <w:sz w:val="24"/>
        </w:rPr>
        <w:t>一、合同文件：</w:t>
      </w:r>
      <w:r>
        <w:rPr>
          <w:rFonts w:hint="eastAsia" w:ascii="宋体" w:hAnsi="宋体" w:cs="宋体"/>
          <w:sz w:val="24"/>
        </w:rPr>
        <w:t>招标文件、投标文件、技术澄清及询标答复的所有内容是构成合同不可分割的部分，与本合同具有同等法律效力，当文件之间、文件与本合同之间有相互矛盾之处，以有利于甲方之解释为准。</w:t>
      </w:r>
    </w:p>
    <w:p>
      <w:pPr>
        <w:snapToGrid w:val="0"/>
        <w:spacing w:line="440" w:lineRule="atLeast"/>
        <w:rPr>
          <w:rFonts w:ascii="宋体" w:hAnsi="宋体"/>
          <w:b/>
          <w:sz w:val="24"/>
        </w:rPr>
      </w:pPr>
      <w:r>
        <w:rPr>
          <w:rFonts w:hint="eastAsia" w:ascii="宋体" w:hAnsi="宋体"/>
          <w:b/>
          <w:sz w:val="24"/>
        </w:rPr>
        <w:t>二、项目概况</w:t>
      </w:r>
    </w:p>
    <w:p>
      <w:pPr>
        <w:spacing w:line="360" w:lineRule="auto"/>
        <w:ind w:firstLine="360" w:firstLineChars="150"/>
        <w:rPr>
          <w:rFonts w:ascii="宋体" w:hAnsi="宋体" w:cs="宋体"/>
          <w:sz w:val="24"/>
        </w:rPr>
      </w:pPr>
      <w:r>
        <w:rPr>
          <w:rFonts w:hint="eastAsia" w:ascii="宋体" w:hAnsi="宋体" w:cs="宋体"/>
          <w:sz w:val="24"/>
        </w:rPr>
        <w:t>1、项目地点位于东阳市白云街道城南西路265号，残疾人综合服务中心大院内的中心主楼A、B号楼，不动产权登记证号：浙（2020）东阳市不动产权第0060535号，总层数5层，总建筑面积10793.76平方米，其中残联留用2184.08平方米，公开招投标面积8609.68平方米。另在建项目残疾托养中心，总建筑面积为 5529 平方米（其中地上部分面积5241 平方米，地下室面积288平方米），总层数5层，主要用途为重度残疾人托养服务。</w:t>
      </w:r>
    </w:p>
    <w:p>
      <w:pPr>
        <w:spacing w:line="360" w:lineRule="auto"/>
        <w:ind w:firstLine="480" w:firstLineChars="200"/>
        <w:rPr>
          <w:rFonts w:ascii="宋体" w:hAnsi="宋体" w:cs="宋体"/>
          <w:sz w:val="24"/>
        </w:rPr>
      </w:pPr>
      <w:r>
        <w:rPr>
          <w:rFonts w:hint="eastAsia" w:ascii="宋体" w:hAnsi="宋体" w:cs="宋体"/>
          <w:sz w:val="24"/>
        </w:rPr>
        <w:t>中心主楼A、B楼招标面积如下：</w:t>
      </w:r>
    </w:p>
    <w:tbl>
      <w:tblPr>
        <w:tblStyle w:val="29"/>
        <w:tblW w:w="9273" w:type="dxa"/>
        <w:tblInd w:w="393" w:type="dxa"/>
        <w:tblLayout w:type="fixed"/>
        <w:tblCellMar>
          <w:top w:w="0" w:type="dxa"/>
          <w:left w:w="108" w:type="dxa"/>
          <w:bottom w:w="0" w:type="dxa"/>
          <w:right w:w="108" w:type="dxa"/>
        </w:tblCellMar>
      </w:tblPr>
      <w:tblGrid>
        <w:gridCol w:w="1514"/>
        <w:gridCol w:w="1909"/>
        <w:gridCol w:w="2005"/>
        <w:gridCol w:w="1595"/>
        <w:gridCol w:w="2250"/>
      </w:tblGrid>
      <w:tr>
        <w:tblPrEx>
          <w:tblCellMar>
            <w:top w:w="0" w:type="dxa"/>
            <w:left w:w="108" w:type="dxa"/>
            <w:bottom w:w="0" w:type="dxa"/>
            <w:right w:w="108" w:type="dxa"/>
          </w:tblCellMar>
        </w:tblPrEx>
        <w:trPr>
          <w:trHeight w:val="760" w:hRule="atLeast"/>
        </w:trPr>
        <w:tc>
          <w:tcPr>
            <w:tcW w:w="15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楼层号</w:t>
            </w:r>
          </w:p>
        </w:tc>
        <w:tc>
          <w:tcPr>
            <w:tcW w:w="190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不动产登记面积（平方米）</w:t>
            </w:r>
          </w:p>
        </w:tc>
        <w:tc>
          <w:tcPr>
            <w:tcW w:w="200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残联留用面积（平方米）</w:t>
            </w:r>
          </w:p>
        </w:tc>
        <w:tc>
          <w:tcPr>
            <w:tcW w:w="159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出租面积</w:t>
            </w:r>
          </w:p>
          <w:p>
            <w:pPr>
              <w:jc w:val="center"/>
              <w:textAlignment w:val="center"/>
              <w:rPr>
                <w:rFonts w:ascii="宋体" w:hAnsi="宋体" w:cs="宋体"/>
                <w:color w:val="000000"/>
                <w:sz w:val="24"/>
                <w:szCs w:val="24"/>
              </w:rPr>
            </w:pPr>
            <w:r>
              <w:rPr>
                <w:rFonts w:hint="eastAsia" w:ascii="宋体" w:hAnsi="宋体" w:cs="宋体"/>
                <w:color w:val="000000"/>
                <w:sz w:val="24"/>
                <w:szCs w:val="24"/>
              </w:rPr>
              <w:t>（平方米）</w:t>
            </w:r>
          </w:p>
        </w:tc>
        <w:tc>
          <w:tcPr>
            <w:tcW w:w="2250"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备注（留用面积用途）</w:t>
            </w:r>
          </w:p>
        </w:tc>
      </w:tr>
      <w:tr>
        <w:tblPrEx>
          <w:tblCellMar>
            <w:top w:w="0" w:type="dxa"/>
            <w:left w:w="108" w:type="dxa"/>
            <w:bottom w:w="0" w:type="dxa"/>
            <w:right w:w="108" w:type="dxa"/>
          </w:tblCellMar>
        </w:tblPrEx>
        <w:trPr>
          <w:trHeight w:val="760"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第一层</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2429.99</w:t>
            </w:r>
          </w:p>
        </w:tc>
        <w:tc>
          <w:tcPr>
            <w:tcW w:w="200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463.32</w:t>
            </w: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1966.67</w:t>
            </w:r>
          </w:p>
        </w:tc>
        <w:tc>
          <w:tcPr>
            <w:tcW w:w="2250"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残疾鉴定中心、辅助器具展示室</w:t>
            </w:r>
          </w:p>
        </w:tc>
      </w:tr>
      <w:tr>
        <w:tblPrEx>
          <w:tblCellMar>
            <w:top w:w="0" w:type="dxa"/>
            <w:left w:w="108" w:type="dxa"/>
            <w:bottom w:w="0" w:type="dxa"/>
            <w:right w:w="108" w:type="dxa"/>
          </w:tblCellMar>
        </w:tblPrEx>
        <w:trPr>
          <w:trHeight w:val="760"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第二层</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2180.61</w:t>
            </w:r>
          </w:p>
        </w:tc>
        <w:tc>
          <w:tcPr>
            <w:tcW w:w="200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1431.58</w:t>
            </w: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749.03</w:t>
            </w:r>
          </w:p>
        </w:tc>
        <w:tc>
          <w:tcPr>
            <w:tcW w:w="2250"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特殊幼儿园教室、单位食堂</w:t>
            </w:r>
          </w:p>
        </w:tc>
      </w:tr>
      <w:tr>
        <w:tblPrEx>
          <w:tblCellMar>
            <w:top w:w="0" w:type="dxa"/>
            <w:left w:w="108" w:type="dxa"/>
            <w:bottom w:w="0" w:type="dxa"/>
            <w:right w:w="108" w:type="dxa"/>
          </w:tblCellMar>
        </w:tblPrEx>
        <w:trPr>
          <w:trHeight w:val="585"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第三、四层</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3897.22</w:t>
            </w:r>
          </w:p>
        </w:tc>
        <w:tc>
          <w:tcPr>
            <w:tcW w:w="200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3897.22</w:t>
            </w:r>
          </w:p>
        </w:tc>
        <w:tc>
          <w:tcPr>
            <w:tcW w:w="2250"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第五层</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1962.07</w:t>
            </w:r>
          </w:p>
        </w:tc>
        <w:tc>
          <w:tcPr>
            <w:tcW w:w="200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289.18</w:t>
            </w: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1672.89</w:t>
            </w:r>
          </w:p>
        </w:tc>
        <w:tc>
          <w:tcPr>
            <w:tcW w:w="2250"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残疾人劳动就业培训教室</w:t>
            </w:r>
          </w:p>
        </w:tc>
      </w:tr>
      <w:tr>
        <w:tblPrEx>
          <w:tblCellMar>
            <w:top w:w="0" w:type="dxa"/>
            <w:left w:w="108" w:type="dxa"/>
            <w:bottom w:w="0" w:type="dxa"/>
            <w:right w:w="108" w:type="dxa"/>
          </w:tblCellMar>
        </w:tblPrEx>
        <w:trPr>
          <w:trHeight w:val="600"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屋面</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251.7</w:t>
            </w:r>
          </w:p>
        </w:tc>
        <w:tc>
          <w:tcPr>
            <w:tcW w:w="200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251.7</w:t>
            </w:r>
          </w:p>
        </w:tc>
        <w:tc>
          <w:tcPr>
            <w:tcW w:w="2250"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85"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电梯机房</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72.18</w:t>
            </w:r>
          </w:p>
        </w:tc>
        <w:tc>
          <w:tcPr>
            <w:tcW w:w="2005"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72.18</w:t>
            </w:r>
          </w:p>
        </w:tc>
        <w:tc>
          <w:tcPr>
            <w:tcW w:w="2250"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50" w:hRule="atLeast"/>
        </w:trPr>
        <w:tc>
          <w:tcPr>
            <w:tcW w:w="151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合计</w:t>
            </w:r>
          </w:p>
        </w:tc>
        <w:tc>
          <w:tcPr>
            <w:tcW w:w="1909"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10793.76</w:t>
            </w:r>
          </w:p>
        </w:tc>
        <w:tc>
          <w:tcPr>
            <w:tcW w:w="200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2184.08</w:t>
            </w:r>
          </w:p>
        </w:tc>
        <w:tc>
          <w:tcPr>
            <w:tcW w:w="1595" w:type="dxa"/>
            <w:tcBorders>
              <w:top w:val="single" w:color="000000" w:sz="4" w:space="0"/>
              <w:left w:val="nil"/>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8609.68</w:t>
            </w:r>
          </w:p>
        </w:tc>
        <w:tc>
          <w:tcPr>
            <w:tcW w:w="2250"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szCs w:val="24"/>
              </w:rPr>
            </w:pPr>
          </w:p>
        </w:tc>
      </w:tr>
    </w:tbl>
    <w:p>
      <w:pPr>
        <w:spacing w:line="430" w:lineRule="exact"/>
        <w:ind w:firstLine="360" w:firstLineChars="150"/>
        <w:rPr>
          <w:rFonts w:ascii="宋体" w:hAnsi="宋体" w:cs="宋体"/>
          <w:sz w:val="24"/>
        </w:rPr>
      </w:pPr>
      <w:r>
        <w:rPr>
          <w:rFonts w:hint="eastAsia" w:ascii="宋体" w:hAnsi="宋体" w:cs="宋体"/>
          <w:sz w:val="24"/>
        </w:rPr>
        <w:t>2、中心项目采用“公建民营”"政府监管"“康养融合”“医护联合”的运营模式运行，入托东阳户籍持证残疾人需报东阳市残联备案后入住，实行人床对应。在保障东阳市残联关于指定重度残疾人员的床位数量的情况下，可面向社会按市场化运作，并按规定收取相关费用。</w:t>
      </w:r>
    </w:p>
    <w:p>
      <w:pPr>
        <w:spacing w:line="430" w:lineRule="exact"/>
        <w:ind w:firstLine="480" w:firstLineChars="200"/>
        <w:rPr>
          <w:rFonts w:ascii="宋体" w:hAnsi="宋体" w:cs="宋体"/>
          <w:sz w:val="24"/>
          <w:highlight w:val="green"/>
        </w:rPr>
      </w:pPr>
      <w:r>
        <w:rPr>
          <w:rFonts w:hint="eastAsia" w:ascii="宋体" w:hAnsi="宋体" w:cs="宋体"/>
          <w:sz w:val="24"/>
        </w:rPr>
        <w:t>3、东阳市残疾人托养中心大楼于2023年5月31前完工交付（具体以实际交付时间为准）。</w:t>
      </w:r>
    </w:p>
    <w:p>
      <w:pPr>
        <w:snapToGrid w:val="0"/>
        <w:spacing w:line="430" w:lineRule="exact"/>
        <w:rPr>
          <w:rFonts w:ascii="宋体" w:hAnsi="宋体"/>
          <w:b/>
          <w:sz w:val="24"/>
        </w:rPr>
      </w:pPr>
      <w:r>
        <w:rPr>
          <w:rFonts w:hint="eastAsia" w:ascii="宋体" w:hAnsi="宋体"/>
          <w:b/>
          <w:sz w:val="24"/>
        </w:rPr>
        <w:t>三、运营期限</w:t>
      </w:r>
    </w:p>
    <w:p>
      <w:pPr>
        <w:spacing w:line="430" w:lineRule="exact"/>
        <w:ind w:firstLine="440" w:firstLineChars="200"/>
        <w:jc w:val="left"/>
        <w:rPr>
          <w:rFonts w:ascii="宋体" w:cs="宋体"/>
          <w:bCs/>
          <w:spacing w:val="-10"/>
          <w:sz w:val="24"/>
          <w:szCs w:val="24"/>
        </w:rPr>
      </w:pPr>
      <w:r>
        <w:rPr>
          <w:rFonts w:hint="eastAsia" w:ascii="宋体" w:cs="宋体"/>
          <w:bCs/>
          <w:spacing w:val="-10"/>
          <w:sz w:val="24"/>
          <w:szCs w:val="24"/>
        </w:rPr>
        <w:t>运营期限为二十年，自东阳市残疾人托养中心大楼交付之日起计算。</w:t>
      </w:r>
    </w:p>
    <w:p>
      <w:pPr>
        <w:snapToGrid w:val="0"/>
        <w:spacing w:line="430" w:lineRule="exact"/>
        <w:rPr>
          <w:rFonts w:ascii="宋体" w:hAnsi="宋体"/>
          <w:b/>
          <w:sz w:val="24"/>
        </w:rPr>
      </w:pPr>
      <w:r>
        <w:rPr>
          <w:rFonts w:hint="eastAsia" w:ascii="宋体" w:hAnsi="宋体"/>
          <w:b/>
          <w:sz w:val="24"/>
        </w:rPr>
        <w:t>四、服务保障要求</w:t>
      </w:r>
    </w:p>
    <w:p>
      <w:pPr>
        <w:spacing w:line="430" w:lineRule="exact"/>
        <w:ind w:firstLine="480" w:firstLineChars="200"/>
        <w:rPr>
          <w:rFonts w:ascii="宋体" w:hAnsi="宋体" w:cs="宋体"/>
          <w:sz w:val="24"/>
        </w:rPr>
      </w:pPr>
      <w:r>
        <w:rPr>
          <w:rFonts w:hint="eastAsia" w:ascii="宋体" w:hAnsi="宋体" w:cs="宋体"/>
          <w:sz w:val="24"/>
        </w:rPr>
        <w:t>1、合同签订后，成交人应在120工作日内注册成立具有独立法人资格的运营机构，为具体运营主体。成交人运营机构必须设立于东阳市境内，注册资本不得低于1000万元人民币，经营范围涵盖具备履行本项目义务的所有内容。</w:t>
      </w:r>
    </w:p>
    <w:p>
      <w:pPr>
        <w:spacing w:line="43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运营主体成立后，自然承接本</w:t>
      </w:r>
      <w:r>
        <w:rPr>
          <w:rFonts w:hint="eastAsia" w:ascii="宋体" w:hAnsi="宋体" w:cs="宋体"/>
          <w:sz w:val="24"/>
        </w:rPr>
        <w:t>项目</w:t>
      </w:r>
      <w:r>
        <w:rPr>
          <w:rFonts w:ascii="宋体" w:hAnsi="宋体" w:cs="宋体"/>
          <w:sz w:val="24"/>
        </w:rPr>
        <w:t>中成交人的权利和义务，但成交人仍对所有义务承担连带责任。</w:t>
      </w:r>
    </w:p>
    <w:p>
      <w:pPr>
        <w:spacing w:line="43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▲3、该项目团队由医生、康复治疗师、护士、护理员、保洁人员、后勤人员、管理人员等组成。</w:t>
      </w:r>
    </w:p>
    <w:p>
      <w:pPr>
        <w:spacing w:line="430" w:lineRule="exact"/>
        <w:ind w:firstLine="480" w:firstLineChars="200"/>
        <w:rPr>
          <w:rFonts w:ascii="宋体" w:hAnsi="宋体" w:cs="宋体"/>
          <w:color w:val="000000" w:themeColor="text1"/>
          <w:sz w:val="24"/>
        </w:rPr>
      </w:pPr>
      <w:r>
        <w:rPr>
          <w:rFonts w:hint="eastAsia" w:ascii="宋体" w:hAnsi="宋体" w:cs="宋体"/>
          <w:sz w:val="24"/>
        </w:rPr>
        <w:t>3.1</w:t>
      </w:r>
      <w:r>
        <w:rPr>
          <w:rFonts w:hint="eastAsia" w:ascii="宋体" w:hAnsi="宋体" w:cs="宋体"/>
          <w:color w:val="000000" w:themeColor="text1"/>
          <w:sz w:val="24"/>
        </w:rPr>
        <w:t>托养护理员配备及要求：根据《关于进一步健全残疾人康复和托养服务体系的实施意见》的要求，护理人员数量与托养人员按照不低于1：6比例配备，其中全科医生1名，康复治疗师2名；心理咨询和疏导专业1人员、管理人员2名 、财务人员1名，安保人员1名。护理主任1名，护理组长若干名。以上护理人员的配置为最基本的人员配置要求，入托残疾人员护理服务人员的数量不得低于该要求。</w:t>
      </w:r>
    </w:p>
    <w:p>
      <w:pPr>
        <w:spacing w:line="43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3.2康复及医疗、后勤保障人员配备及要求：根据残疾人托养的康复要求及医疗保障要求,项目人员配备须</w:t>
      </w:r>
      <w:r>
        <w:rPr>
          <w:rFonts w:hint="eastAsia" w:ascii="宋体" w:hAnsi="宋体" w:cs="宋体"/>
          <w:sz w:val="24"/>
        </w:rPr>
        <w:t>符合卫健部门相关要求，</w:t>
      </w:r>
      <w:r>
        <w:rPr>
          <w:rFonts w:hint="eastAsia" w:ascii="宋体" w:hAnsi="宋体" w:cs="宋体"/>
          <w:color w:val="000000" w:themeColor="text1"/>
          <w:sz w:val="24"/>
        </w:rPr>
        <w:t>所有费用包含在人员经费项目内。以上专技人员须先满足入托残疾人非医疗康复项目的需求，因服务机构为入托残疾人开展的医疗、康复服务，可参照浙江省医疗机构服务价格另行收费，如开展医疗康复服务项目多，康复治疗师应另行招聘，人员经费由服务机构自行解决。</w:t>
      </w:r>
    </w:p>
    <w:p>
      <w:pPr>
        <w:spacing w:line="43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持证上岗，严格人员录用。服务机构应保证所录用人员身体健康、无传染性疾病、无刑事违法或处分犯罪记录、要求持证上岗，专技人员有职业资格证书。服务机构必须在合同签订前提供所有工作人员的有效职称证、上岗证等原件供审核，所有人员必须专职为东阳市残疾人康复托养中心服务，不得兼职。</w:t>
      </w:r>
    </w:p>
    <w:p>
      <w:pPr>
        <w:spacing w:line="43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3.4规范管理，确保服务质量。各类服务人员按岗位统一着装，言行规范，文明礼貌，体现优质服务。为提高入托残疾人员托养服务质量，所有服务人员还需进行礼仪、残疾人托养服务、优质服务等培训。</w:t>
      </w:r>
    </w:p>
    <w:p>
      <w:pPr>
        <w:spacing w:line="360" w:lineRule="auto"/>
        <w:ind w:firstLine="480" w:firstLineChars="200"/>
        <w:rPr>
          <w:rFonts w:ascii="宋体" w:hAnsi="宋体" w:cs="宋体"/>
          <w:sz w:val="24"/>
        </w:rPr>
      </w:pPr>
      <w:r>
        <w:rPr>
          <w:rFonts w:hint="eastAsia" w:ascii="宋体" w:hAnsi="宋体" w:cs="宋体"/>
          <w:sz w:val="24"/>
        </w:rPr>
        <w:t>4、为确保项目正常运营管理，成交人必须明确内部管理职能；本项目的主要负责人除培</w:t>
      </w:r>
    </w:p>
    <w:p>
      <w:pPr>
        <w:pStyle w:val="8"/>
        <w:ind w:left="400"/>
        <w:sectPr>
          <w:pgSz w:w="11906" w:h="16838"/>
          <w:pgMar w:top="1440" w:right="1080" w:bottom="1440" w:left="1080" w:header="851" w:footer="992" w:gutter="0"/>
          <w:cols w:space="425" w:num="1"/>
          <w:docGrid w:type="lines" w:linePitch="312" w:charSpace="0"/>
        </w:sectPr>
      </w:pPr>
    </w:p>
    <w:p>
      <w:pPr>
        <w:spacing w:line="440" w:lineRule="exact"/>
        <w:rPr>
          <w:rFonts w:ascii="宋体" w:hAnsi="宋体" w:cs="宋体"/>
          <w:sz w:val="24"/>
        </w:rPr>
      </w:pPr>
      <w:r>
        <w:rPr>
          <w:rFonts w:hint="eastAsia" w:ascii="宋体" w:hAnsi="宋体" w:cs="宋体"/>
          <w:sz w:val="24"/>
        </w:rPr>
        <w:t>训、会议、休假外，必须常驻该项目。如确因患病、辞职等原因需更换主要负责人，需提前1个月向采购人提出并进行备案。</w:t>
      </w:r>
    </w:p>
    <w:p>
      <w:pPr>
        <w:spacing w:line="440" w:lineRule="exact"/>
        <w:ind w:firstLine="480" w:firstLineChars="200"/>
        <w:rPr>
          <w:rFonts w:ascii="宋体" w:hAnsi="宋体" w:cs="宋体"/>
          <w:sz w:val="24"/>
        </w:rPr>
      </w:pPr>
      <w:r>
        <w:rPr>
          <w:rFonts w:hint="eastAsia" w:ascii="宋体" w:hAnsi="宋体"/>
          <w:sz w:val="24"/>
        </w:rPr>
        <w:t>5、</w:t>
      </w:r>
      <w:r>
        <w:rPr>
          <w:rFonts w:hint="eastAsia" w:ascii="宋体" w:hAnsi="宋体" w:cs="宋体"/>
          <w:sz w:val="24"/>
        </w:rPr>
        <w:t>采购人支持成交人在本项目设置医疗康复机构，审批办理手续由成交人自行负责，医疗康复设备及设施由成交人自行采购建设，同时允许对外开展医疗康复服务。医疗康复机构应设置内科、中医科、康复科、心理咨询科、老年科等有关医技科室。</w:t>
      </w:r>
    </w:p>
    <w:p>
      <w:pPr>
        <w:spacing w:line="440" w:lineRule="exact"/>
        <w:ind w:firstLine="480" w:firstLineChars="200"/>
        <w:rPr>
          <w:rFonts w:ascii="宋体" w:hAnsi="宋体" w:cs="宋体"/>
          <w:sz w:val="24"/>
        </w:rPr>
      </w:pPr>
      <w:r>
        <w:rPr>
          <w:rFonts w:hint="eastAsia" w:ascii="宋体" w:hAnsi="宋体" w:cs="宋体"/>
          <w:sz w:val="24"/>
        </w:rPr>
        <w:t>6、对有执业资格要求的工作岗位，成交人必须按要求执证上岗。所有工作人员都必须经过身体健康检查合格，并持有健康证，才能上岗。</w:t>
      </w:r>
    </w:p>
    <w:p>
      <w:pPr>
        <w:spacing w:line="440" w:lineRule="exact"/>
        <w:ind w:firstLine="480" w:firstLineChars="200"/>
        <w:rPr>
          <w:rFonts w:ascii="宋体" w:hAnsi="宋体" w:cs="宋体"/>
          <w:sz w:val="24"/>
        </w:rPr>
      </w:pPr>
      <w:r>
        <w:rPr>
          <w:rFonts w:hint="eastAsia" w:ascii="宋体" w:hAnsi="宋体" w:cs="宋体"/>
          <w:sz w:val="24"/>
        </w:rPr>
        <w:t>7、成交人应保证并保障运营主体的经营定位能满足采购人的所有要求。</w:t>
      </w:r>
    </w:p>
    <w:p>
      <w:pPr>
        <w:spacing w:line="440" w:lineRule="exact"/>
        <w:ind w:firstLine="480" w:firstLineChars="200"/>
        <w:rPr>
          <w:rFonts w:ascii="宋体" w:hAnsi="宋体" w:cs="宋体"/>
          <w:sz w:val="24"/>
        </w:rPr>
      </w:pPr>
      <w:r>
        <w:rPr>
          <w:rFonts w:hint="eastAsia" w:ascii="宋体" w:hAnsi="宋体" w:cs="宋体"/>
          <w:sz w:val="24"/>
        </w:rPr>
        <w:t>8、成交人应保证并保障运营主体依法经营，自负盈亏。</w:t>
      </w:r>
    </w:p>
    <w:p>
      <w:pPr>
        <w:spacing w:line="440" w:lineRule="exact"/>
        <w:ind w:firstLine="480" w:firstLineChars="200"/>
        <w:rPr>
          <w:rFonts w:ascii="宋体" w:hAnsi="宋体" w:cs="宋体"/>
          <w:sz w:val="24"/>
        </w:rPr>
      </w:pPr>
      <w:r>
        <w:rPr>
          <w:rFonts w:hint="eastAsia" w:ascii="宋体" w:hAnsi="宋体" w:cs="宋体"/>
          <w:sz w:val="24"/>
        </w:rPr>
        <w:t>9、成交人应保证并保障运营主体在合同终止时，能够确保平稳有序合理稳妥地安置被服务对象。</w:t>
      </w:r>
    </w:p>
    <w:p>
      <w:pPr>
        <w:snapToGrid w:val="0"/>
        <w:spacing w:line="440" w:lineRule="atLeast"/>
        <w:rPr>
          <w:rFonts w:ascii="宋体" w:hAnsi="宋体"/>
          <w:b/>
          <w:sz w:val="24"/>
        </w:rPr>
      </w:pPr>
      <w:r>
        <w:rPr>
          <w:rFonts w:hint="eastAsia" w:ascii="宋体" w:hAnsi="宋体"/>
          <w:b/>
          <w:sz w:val="24"/>
        </w:rPr>
        <w:t>五、资产归属、交接及管理</w:t>
      </w:r>
    </w:p>
    <w:p>
      <w:pPr>
        <w:spacing w:line="440" w:lineRule="exact"/>
        <w:ind w:firstLine="480" w:firstLineChars="200"/>
        <w:rPr>
          <w:rFonts w:ascii="宋体" w:hAnsi="宋体" w:cs="宋体"/>
          <w:sz w:val="24"/>
        </w:rPr>
      </w:pPr>
      <w:r>
        <w:rPr>
          <w:rFonts w:hint="eastAsia" w:ascii="宋体" w:hAnsi="宋体" w:cs="宋体"/>
          <w:sz w:val="24"/>
        </w:rPr>
        <w:t>1.东阳市残疾人托养中心大楼完工交付后移交给成交人使用，移交的所有托养中心房屋及相关设施归甲方所有。</w:t>
      </w:r>
    </w:p>
    <w:p>
      <w:pPr>
        <w:spacing w:line="440" w:lineRule="exact"/>
        <w:ind w:firstLine="480" w:firstLineChars="200"/>
        <w:rPr>
          <w:rFonts w:ascii="宋体" w:hAnsi="宋体" w:cs="宋体"/>
          <w:sz w:val="24"/>
        </w:rPr>
      </w:pPr>
      <w:r>
        <w:rPr>
          <w:rFonts w:hint="eastAsia" w:ascii="宋体" w:hAnsi="宋体" w:cs="宋体"/>
          <w:sz w:val="24"/>
        </w:rPr>
        <w:t>2.乙方在托养中心（含相关设施）交付时应对其进行全面了解，物业交付后，甲方不再为其进行任何投入。但托养中心中如出现房屋主体结构重大质量安全问题，或出现保修范围内的事项的，乙方应及时以书面形式通知甲方，以便甲方向相关责任方主张权利。</w:t>
      </w:r>
    </w:p>
    <w:p>
      <w:pPr>
        <w:spacing w:line="440" w:lineRule="exact"/>
        <w:ind w:firstLine="480" w:firstLineChars="200"/>
        <w:rPr>
          <w:rFonts w:ascii="宋体" w:hAnsi="宋体" w:cs="宋体"/>
          <w:sz w:val="24"/>
        </w:rPr>
      </w:pPr>
      <w:r>
        <w:rPr>
          <w:rFonts w:hint="eastAsia" w:ascii="宋体" w:hAnsi="宋体" w:cs="宋体"/>
          <w:sz w:val="24"/>
        </w:rPr>
        <w:t>3.除上述第2项事由外，乙方接收托养中心（含相关设施）后，其管理、维护由乙方负责并承担所有费用。乙方或运营主体应履行使用和管理的义务，因使用、保养管理不当或自然损坏，由乙方负责维修更新，并每月报甲方登记备案；双方每年进行一次资产核对。</w:t>
      </w:r>
    </w:p>
    <w:p>
      <w:pPr>
        <w:spacing w:line="440" w:lineRule="exact"/>
        <w:ind w:firstLine="480" w:firstLineChars="200"/>
        <w:rPr>
          <w:rFonts w:ascii="宋体" w:hAnsi="宋体" w:cs="宋体"/>
          <w:sz w:val="24"/>
        </w:rPr>
      </w:pPr>
      <w:r>
        <w:rPr>
          <w:rFonts w:hint="eastAsia" w:ascii="宋体" w:hAnsi="宋体" w:cs="宋体"/>
          <w:sz w:val="24"/>
        </w:rPr>
        <w:t>4.乙方因经营需要移动甲方交付相关设施中可移动设施设备或物品的，应经甲方同意，否则应按市场重置价赔偿；使用年限已满确需报废的资产，乙方应报甲方，由甲方按财政规定的报废程序执行。</w:t>
      </w:r>
    </w:p>
    <w:p>
      <w:pPr>
        <w:spacing w:line="440" w:lineRule="exact"/>
        <w:ind w:firstLine="480" w:firstLineChars="200"/>
        <w:rPr>
          <w:rFonts w:ascii="宋体" w:hAnsi="宋体" w:cs="宋体"/>
          <w:sz w:val="24"/>
        </w:rPr>
      </w:pPr>
      <w:r>
        <w:rPr>
          <w:rFonts w:hint="eastAsia" w:ascii="宋体" w:hAnsi="宋体" w:cs="宋体"/>
          <w:sz w:val="24"/>
        </w:rPr>
        <w:t>5.项目运营期限内，乙方不得对托养中心的房屋进行主体结构的变更，需对房屋进行装修、其他设施设备进行改造或变更的，应经甲方审批同意，所需经费由乙方承担，所更换下来材料、原设施设备归甲方所有。</w:t>
      </w:r>
    </w:p>
    <w:p>
      <w:pPr>
        <w:spacing w:line="440" w:lineRule="exact"/>
        <w:ind w:firstLine="480" w:firstLineChars="200"/>
        <w:rPr>
          <w:rFonts w:ascii="宋体" w:hAnsi="宋体" w:cs="宋体"/>
          <w:sz w:val="24"/>
        </w:rPr>
      </w:pPr>
      <w:r>
        <w:rPr>
          <w:rFonts w:hint="eastAsia" w:ascii="宋体" w:hAnsi="宋体" w:cs="宋体"/>
          <w:sz w:val="24"/>
        </w:rPr>
        <w:t>6.项目运营期限内，甲方有权随时对本项目所涉托养中心（含相关设施）进行检查监督，及时纠正乙方的不当行为，如发现托养中心（含相关设施）有损毁的，有权要求乙方在限期内进行修复，如乙方在限期内未予修复或未达到修复要求的，甲方有权代为修复，修复费用由乙方承担。</w:t>
      </w:r>
    </w:p>
    <w:p>
      <w:pPr>
        <w:spacing w:line="440" w:lineRule="exact"/>
        <w:ind w:firstLine="480" w:firstLineChars="200"/>
        <w:rPr>
          <w:rFonts w:ascii="宋体" w:hAnsi="宋体" w:cs="宋体"/>
          <w:sz w:val="24"/>
        </w:rPr>
      </w:pPr>
      <w:r>
        <w:rPr>
          <w:rFonts w:hint="eastAsia" w:ascii="宋体" w:hAnsi="宋体" w:cs="宋体"/>
          <w:sz w:val="24"/>
        </w:rPr>
        <w:t>7.项目合同终止时，乙方投入的医疗设施除特别约定外，乙方投入到本项目经营场所的各类资产均无偿归甲方所有。同时，乙方须确保托养中心之建筑结构、内外装饰、水电管线等的完整性，并在项目合同终止之日起30日内无条件移交给甲方,甲方不做任何补偿。如乙方有拆除或损坏情形，应当按市场重置价予以甲方赔偿。</w:t>
      </w:r>
    </w:p>
    <w:p>
      <w:pPr>
        <w:pStyle w:val="3"/>
        <w:adjustRightInd w:val="0"/>
        <w:spacing w:after="0" w:line="360" w:lineRule="auto"/>
        <w:rPr>
          <w:rFonts w:ascii="宋体" w:hAnsi="宋体" w:cs="黑体"/>
          <w:b/>
          <w:bCs/>
        </w:rPr>
      </w:pPr>
      <w:r>
        <w:rPr>
          <w:rFonts w:hint="eastAsia" w:ascii="宋体" w:hAnsi="宋体"/>
          <w:b/>
        </w:rPr>
        <w:t>六</w:t>
      </w:r>
      <w:r>
        <w:rPr>
          <w:rFonts w:hint="eastAsia" w:ascii="宋体" w:hAnsi="宋体" w:cs="宋体"/>
          <w:b/>
          <w:bCs/>
        </w:rPr>
        <w:t>、托养费用支付</w:t>
      </w:r>
    </w:p>
    <w:p>
      <w:pPr>
        <w:snapToGrid w:val="0"/>
        <w:spacing w:line="440" w:lineRule="atLeast"/>
        <w:rPr>
          <w:rFonts w:ascii="宋体" w:hAnsi="宋体"/>
          <w:b/>
          <w:sz w:val="24"/>
        </w:rPr>
      </w:pPr>
    </w:p>
    <w:p>
      <w:pPr>
        <w:snapToGrid w:val="0"/>
        <w:spacing w:line="440" w:lineRule="atLeast"/>
        <w:rPr>
          <w:rFonts w:ascii="宋体" w:hAnsi="宋体"/>
          <w:b/>
          <w:sz w:val="24"/>
        </w:rPr>
      </w:pPr>
      <w:r>
        <w:rPr>
          <w:rFonts w:hint="eastAsia" w:ascii="宋体" w:hAnsi="宋体" w:cs="黑体"/>
          <w:b/>
          <w:bCs/>
        </w:rPr>
        <w:t>七</w:t>
      </w:r>
      <w:r>
        <w:rPr>
          <w:rFonts w:hint="eastAsia" w:ascii="宋体" w:hAnsi="宋体"/>
          <w:b/>
          <w:sz w:val="24"/>
        </w:rPr>
        <w:t>、物业使用费中标价及其要求</w:t>
      </w:r>
    </w:p>
    <w:p>
      <w:pPr>
        <w:spacing w:line="360" w:lineRule="auto"/>
        <w:ind w:firstLine="480" w:firstLineChars="200"/>
        <w:rPr>
          <w:rFonts w:ascii="宋体" w:hAnsi="宋体" w:cs="宋体"/>
          <w:sz w:val="24"/>
        </w:rPr>
      </w:pPr>
      <w:r>
        <w:rPr>
          <w:rFonts w:hint="eastAsia" w:ascii="宋体" w:hAnsi="宋体" w:cs="宋体"/>
          <w:sz w:val="24"/>
        </w:rPr>
        <w:t>1、采购人移交给中标人的房屋及相关设施总称为“物业”；</w:t>
      </w:r>
    </w:p>
    <w:p>
      <w:pPr>
        <w:spacing w:line="360" w:lineRule="auto"/>
        <w:ind w:firstLine="480" w:firstLineChars="200"/>
        <w:rPr>
          <w:rFonts w:ascii="宋体" w:hAnsi="宋体" w:cs="宋体"/>
          <w:sz w:val="24"/>
        </w:rPr>
      </w:pPr>
      <w:r>
        <w:rPr>
          <w:rFonts w:hint="eastAsia" w:ascii="宋体" w:hAnsi="宋体" w:cs="宋体"/>
          <w:sz w:val="24"/>
        </w:rPr>
        <w:t>2.本合同期内，甲方按年向乙方收取托养中心物业使用费。</w:t>
      </w:r>
    </w:p>
    <w:p>
      <w:pPr>
        <w:spacing w:line="360" w:lineRule="auto"/>
        <w:ind w:firstLine="480" w:firstLineChars="200"/>
        <w:rPr>
          <w:rFonts w:ascii="宋体" w:hAnsi="宋体" w:cs="宋体"/>
          <w:sz w:val="24"/>
          <w:u w:val="single"/>
        </w:rPr>
      </w:pPr>
      <w:r>
        <w:rPr>
          <w:rFonts w:hint="eastAsia" w:ascii="宋体" w:hAnsi="宋体" w:cs="宋体"/>
          <w:sz w:val="24"/>
        </w:rPr>
        <w:t>3.托养中心物业使用费自交付之日起的第一年至第五年的物业使用费为人民币  万元/年；第二个五年按中标价递增20%，物业使用费为人民币  万元/年；第三个五年在第二个五年的基础上再增20%，物业使用费为人民币  万元/年；第四个五年在第三个五年的基础上再增20%，物业使用费为人民币  万元/年。</w:t>
      </w:r>
    </w:p>
    <w:p>
      <w:pPr>
        <w:spacing w:line="360" w:lineRule="auto"/>
        <w:ind w:firstLine="480" w:firstLineChars="200"/>
        <w:rPr>
          <w:rFonts w:ascii="宋体" w:hAnsi="宋体" w:cs="宋体"/>
          <w:sz w:val="24"/>
        </w:rPr>
      </w:pPr>
      <w:r>
        <w:rPr>
          <w:rFonts w:hint="eastAsia" w:ascii="宋体" w:hAnsi="宋体" w:cs="宋体"/>
          <w:sz w:val="24"/>
        </w:rPr>
        <w:t>4.成交人在合同期内负责日常损耗性设施、设备的维护和修缮。国有固定资产投资的设施设备大型维修须由成交人提出维修改造申请，得到采购人书面认可后方可组织实施。</w:t>
      </w:r>
    </w:p>
    <w:p>
      <w:pPr>
        <w:spacing w:line="360" w:lineRule="auto"/>
        <w:ind w:firstLine="480" w:firstLineChars="200"/>
        <w:rPr>
          <w:rFonts w:ascii="宋体" w:hAnsi="宋体" w:cs="宋体"/>
          <w:sz w:val="24"/>
        </w:rPr>
      </w:pPr>
      <w:r>
        <w:rPr>
          <w:rFonts w:hint="eastAsia" w:ascii="宋体" w:hAnsi="宋体" w:cs="宋体"/>
          <w:sz w:val="24"/>
        </w:rPr>
        <w:t>5.因乙方自身经营中产生的任何费用（包括但不仅限于水、电、卫生费、物业费、保洁费、资产维护更新及与安全责任相关的费用等）均由乙方自行承担。涉及到食堂、电梯、消防、污水处理、安保等共用设施设备产生的费用，双方按比例分摊。（比例另行商定）</w:t>
      </w:r>
    </w:p>
    <w:p>
      <w:pPr>
        <w:spacing w:line="360" w:lineRule="auto"/>
        <w:ind w:firstLine="480" w:firstLineChars="200"/>
        <w:rPr>
          <w:rFonts w:ascii="宋体" w:hAnsi="宋体" w:cs="黑体"/>
          <w:b/>
          <w:bCs/>
        </w:rPr>
      </w:pPr>
      <w:r>
        <w:rPr>
          <w:rFonts w:hint="eastAsia" w:ascii="宋体" w:hAnsi="宋体" w:cs="宋体"/>
          <w:sz w:val="24"/>
        </w:rPr>
        <w:t>6.甲方在收到物业使用费后，应当向成交人开具相应的发票。</w:t>
      </w:r>
    </w:p>
    <w:p>
      <w:pPr>
        <w:spacing w:line="360" w:lineRule="auto"/>
        <w:ind w:firstLine="480" w:firstLineChars="200"/>
      </w:pPr>
      <w:r>
        <w:rPr>
          <w:rFonts w:hint="eastAsia" w:ascii="宋体" w:hAnsi="宋体" w:cs="宋体"/>
          <w:sz w:val="24"/>
        </w:rPr>
        <w:t>7.成交人迟延支付物业使用费的，采购人有权按每日千分之一的标准计收违约金，迟延超过90天的，除继续计收违约金外，采购人还有权单方解除合同。</w:t>
      </w:r>
    </w:p>
    <w:p>
      <w:pPr>
        <w:pStyle w:val="3"/>
        <w:adjustRightInd w:val="0"/>
        <w:spacing w:after="0" w:line="360" w:lineRule="auto"/>
        <w:rPr>
          <w:rFonts w:ascii="宋体" w:hAnsi="宋体" w:cs="黑体"/>
          <w:b/>
          <w:bCs/>
        </w:rPr>
      </w:pPr>
      <w:r>
        <w:rPr>
          <w:rFonts w:hint="eastAsia" w:ascii="宋体" w:hAnsi="宋体" w:cs="黑体"/>
          <w:b/>
          <w:bCs/>
        </w:rPr>
        <w:t>八、</w:t>
      </w:r>
      <w:r>
        <w:rPr>
          <w:rFonts w:ascii="宋体" w:hAnsi="宋体" w:cs="黑体"/>
          <w:b/>
          <w:bCs/>
        </w:rPr>
        <w:t xml:space="preserve">禁止条款 </w:t>
      </w:r>
    </w:p>
    <w:p>
      <w:pPr>
        <w:spacing w:line="360" w:lineRule="auto"/>
        <w:ind w:firstLine="480" w:firstLineChars="200"/>
        <w:rPr>
          <w:rFonts w:ascii="宋体" w:hAnsi="宋体" w:cs="宋体"/>
          <w:sz w:val="24"/>
        </w:rPr>
      </w:pPr>
      <w:r>
        <w:rPr>
          <w:rFonts w:hint="eastAsia" w:ascii="宋体" w:hAnsi="宋体" w:cs="宋体"/>
          <w:sz w:val="24"/>
        </w:rPr>
        <w:t>1.乙方不得对任何自然人、法人或其他组织提供任何形式的担保；</w:t>
      </w:r>
    </w:p>
    <w:p>
      <w:pPr>
        <w:spacing w:line="360" w:lineRule="auto"/>
        <w:ind w:firstLine="480" w:firstLineChars="200"/>
        <w:rPr>
          <w:rFonts w:ascii="宋体" w:hAnsi="宋体" w:cs="宋体"/>
          <w:sz w:val="24"/>
        </w:rPr>
      </w:pPr>
      <w:r>
        <w:rPr>
          <w:rFonts w:hint="eastAsia" w:ascii="宋体" w:hAnsi="宋体" w:cs="宋体"/>
          <w:sz w:val="24"/>
        </w:rPr>
        <w:t>2.乙方不得对甲方的财产，以及乙方投入养老区域及残托中心的资产设置抵押或质押，不得有不利于养老区域及残托中心正常运营的其他行为。</w:t>
      </w:r>
    </w:p>
    <w:p>
      <w:pPr>
        <w:spacing w:line="360" w:lineRule="auto"/>
        <w:ind w:firstLine="480" w:firstLineChars="200"/>
        <w:rPr>
          <w:rFonts w:ascii="宋体" w:hAnsi="宋体" w:cs="宋体"/>
          <w:sz w:val="24"/>
        </w:rPr>
      </w:pPr>
      <w:r>
        <w:rPr>
          <w:rFonts w:hint="eastAsia" w:ascii="宋体" w:hAnsi="宋体" w:cs="宋体"/>
          <w:sz w:val="24"/>
        </w:rPr>
        <w:t>3.乙方不得以任何形式将养老区域及残托中心交由任何第三方经营管理。</w:t>
      </w:r>
    </w:p>
    <w:p>
      <w:pPr>
        <w:spacing w:line="360" w:lineRule="auto"/>
        <w:ind w:firstLine="480" w:firstLineChars="200"/>
        <w:rPr>
          <w:rFonts w:ascii="宋体" w:hAnsi="宋体" w:cs="宋体"/>
          <w:sz w:val="24"/>
        </w:rPr>
      </w:pPr>
      <w:r>
        <w:rPr>
          <w:rFonts w:hint="eastAsia" w:ascii="宋体" w:hAnsi="宋体" w:cs="宋体"/>
          <w:sz w:val="24"/>
        </w:rPr>
        <w:t>4.合同期间，乙方加强安全管理及经营，确保经营场所各类人员的人身、财产损失安全以及本合同所涉物权的安全，如发生各类事故或侵权纠纷，均有乙方出面处理并承担相应责任。</w:t>
      </w:r>
    </w:p>
    <w:p>
      <w:pPr>
        <w:spacing w:line="360" w:lineRule="auto"/>
        <w:ind w:firstLine="480" w:firstLineChars="200"/>
        <w:rPr>
          <w:rFonts w:ascii="宋体" w:hAnsi="宋体" w:cs="宋体"/>
          <w:sz w:val="24"/>
        </w:rPr>
      </w:pPr>
      <w:r>
        <w:rPr>
          <w:rFonts w:hint="eastAsia" w:ascii="宋体" w:hAnsi="宋体" w:cs="宋体"/>
          <w:sz w:val="24"/>
        </w:rPr>
        <w:t>5.乙方不得利用本合同经营场所从事与养老、医疗服务、助残无关的活动。</w:t>
      </w:r>
    </w:p>
    <w:p>
      <w:pPr>
        <w:pStyle w:val="3"/>
        <w:adjustRightInd w:val="0"/>
        <w:spacing w:after="0" w:line="360" w:lineRule="auto"/>
        <w:rPr>
          <w:rFonts w:ascii="宋体" w:hAnsi="宋体" w:cs="黑体"/>
          <w:b/>
          <w:bCs/>
        </w:rPr>
      </w:pPr>
      <w:bookmarkStart w:id="2" w:name="_Toc450749844"/>
      <w:r>
        <w:rPr>
          <w:rFonts w:hint="eastAsia" w:ascii="宋体" w:hAnsi="宋体" w:cs="黑体"/>
          <w:b/>
          <w:bCs/>
        </w:rPr>
        <w:t>九、</w:t>
      </w:r>
      <w:r>
        <w:rPr>
          <w:rFonts w:ascii="宋体" w:hAnsi="宋体" w:cs="黑体"/>
          <w:b/>
          <w:bCs/>
        </w:rPr>
        <w:t>履约保证金</w:t>
      </w:r>
      <w:bookmarkEnd w:id="2"/>
    </w:p>
    <w:p>
      <w:pPr>
        <w:spacing w:line="360" w:lineRule="auto"/>
        <w:ind w:firstLine="480" w:firstLineChars="200"/>
        <w:rPr>
          <w:rFonts w:ascii="宋体" w:hAnsi="宋体" w:cs="宋体"/>
          <w:sz w:val="24"/>
        </w:rPr>
      </w:pPr>
      <w:r>
        <w:rPr>
          <w:rFonts w:hint="eastAsia" w:ascii="宋体" w:hAnsi="宋体" w:cs="宋体"/>
          <w:sz w:val="24"/>
        </w:rPr>
        <w:t>1.为了保证本合同的履行，乙方应在合同签订之日起五个工作日内向甲方支付30万元人民币（以银行保函或现金转账的方式递交），</w:t>
      </w:r>
      <w:r>
        <w:rPr>
          <w:rFonts w:hint="eastAsia" w:ascii="宋体" w:hAnsi="宋体" w:cs="宋体"/>
          <w:sz w:val="24"/>
          <w:szCs w:val="24"/>
        </w:rPr>
        <w:t>履约保证金在</w:t>
      </w:r>
      <w:r>
        <w:rPr>
          <w:rFonts w:hint="eastAsia" w:ascii="宋体" w:hAnsi="宋体" w:cs="宋体"/>
          <w:sz w:val="24"/>
        </w:rPr>
        <w:t>服务期满后30日内退还（不计息）。</w:t>
      </w:r>
    </w:p>
    <w:p>
      <w:pPr>
        <w:spacing w:line="360" w:lineRule="auto"/>
        <w:ind w:firstLine="480" w:firstLineChars="200"/>
        <w:rPr>
          <w:rFonts w:ascii="宋体" w:hAnsi="宋体" w:cs="宋体"/>
          <w:sz w:val="24"/>
        </w:rPr>
      </w:pPr>
      <w:r>
        <w:rPr>
          <w:rFonts w:hint="eastAsia" w:ascii="宋体" w:hAnsi="宋体" w:cs="宋体"/>
          <w:sz w:val="24"/>
        </w:rPr>
        <w:t>2.在本合同履行期间乙方有违约行为的，甲方有权直接从履约保证金中扣除违约金或赔款；甲方按约定扣除履约保证金的，乙方应在15个工作日之内补足。</w:t>
      </w:r>
    </w:p>
    <w:p>
      <w:pPr>
        <w:spacing w:line="360" w:lineRule="auto"/>
        <w:ind w:firstLine="480" w:firstLineChars="200"/>
        <w:rPr>
          <w:rFonts w:ascii="宋体" w:hAnsi="宋体" w:cs="宋体"/>
          <w:sz w:val="24"/>
        </w:rPr>
      </w:pPr>
      <w:r>
        <w:rPr>
          <w:rFonts w:hint="eastAsia" w:ascii="宋体" w:hAnsi="宋体" w:cs="宋体"/>
          <w:sz w:val="24"/>
        </w:rPr>
        <w:t>3.本合同终止后，乙方依照本合同约定移交托养中心（含相关设施）、结清水电等各种费用、注销营业执照或变更营业地址后，甲方应在5个工作日内返还乙方剩余履约保证金（不计利息）。</w:t>
      </w:r>
    </w:p>
    <w:p>
      <w:pPr>
        <w:spacing w:line="360" w:lineRule="auto"/>
        <w:rPr>
          <w:rFonts w:ascii="宋体" w:hAnsi="宋体" w:cs="宋体"/>
          <w:b/>
          <w:bCs/>
          <w:sz w:val="24"/>
        </w:rPr>
      </w:pPr>
      <w:r>
        <w:rPr>
          <w:rFonts w:hint="eastAsia" w:ascii="宋体" w:hAnsi="宋体" w:cs="黑体"/>
          <w:b/>
          <w:bCs/>
        </w:rPr>
        <w:t>十、</w:t>
      </w:r>
      <w:r>
        <w:rPr>
          <w:rFonts w:hint="eastAsia" w:ascii="宋体" w:hAnsi="宋体" w:cs="宋体"/>
          <w:b/>
          <w:bCs/>
          <w:sz w:val="24"/>
        </w:rPr>
        <w:t>监督考核</w:t>
      </w:r>
    </w:p>
    <w:p>
      <w:pPr>
        <w:spacing w:line="360" w:lineRule="auto"/>
        <w:ind w:firstLine="480" w:firstLineChars="200"/>
        <w:rPr>
          <w:rFonts w:ascii="宋体" w:hAnsi="宋体" w:cs="宋体"/>
          <w:sz w:val="24"/>
        </w:rPr>
      </w:pPr>
      <w:r>
        <w:rPr>
          <w:rFonts w:hint="eastAsia" w:ascii="宋体" w:hAnsi="宋体" w:cs="宋体"/>
          <w:sz w:val="24"/>
        </w:rPr>
        <w:t>1.成交人应依法经营，遵守法律、法规和有关规定的各项服务规范，公开举报监督电话，接受社会各界的监督，并承担管理责任。同时要积极配合上级残联及相关部门的检查指导</w:t>
      </w:r>
    </w:p>
    <w:p>
      <w:pPr>
        <w:spacing w:line="360" w:lineRule="auto"/>
        <w:ind w:firstLine="480" w:firstLineChars="200"/>
        <w:rPr>
          <w:rFonts w:ascii="宋体" w:hAnsi="宋体" w:cs="宋体"/>
          <w:sz w:val="24"/>
        </w:rPr>
      </w:pPr>
      <w:r>
        <w:rPr>
          <w:rFonts w:hint="eastAsia" w:ascii="宋体" w:hAnsi="宋体" w:cs="宋体"/>
          <w:sz w:val="24"/>
        </w:rPr>
        <w:t>2.采购人有权每年定期组织人员对托养康复服务工作进行监督和考核</w:t>
      </w:r>
      <w:r>
        <w:rPr>
          <w:rFonts w:hint="eastAsia" w:ascii="宋体" w:hAnsi="宋体" w:cs="宋体"/>
          <w:sz w:val="24"/>
          <w:highlight w:val="none"/>
        </w:rPr>
        <w:t>。同时在物业使用费中设立物业使用费的20%作为考核结果奖励。每年采购人根据其考核结果向成交人减</w:t>
      </w:r>
      <w:r>
        <w:rPr>
          <w:rFonts w:hint="eastAsia" w:ascii="宋体" w:hAnsi="宋体" w:cs="宋体"/>
          <w:sz w:val="24"/>
        </w:rPr>
        <w:t>免物业使用费：考核结果优秀的在下一年度开始支付物业使用费时减少支付100%当年的奖励经费，考核良好的在下一年度开始支付物业使用费时减少支付80%当年的奖励经费，考核合格的不减免物业使用费。考核不合格从</w:t>
      </w:r>
      <w:r>
        <w:rPr>
          <w:rFonts w:ascii="宋体" w:hAnsi="宋体" w:cs="宋体"/>
          <w:sz w:val="24"/>
        </w:rPr>
        <w:t>履约保证金</w:t>
      </w:r>
      <w:r>
        <w:rPr>
          <w:rFonts w:hint="eastAsia" w:ascii="宋体" w:hAnsi="宋体" w:cs="宋体"/>
          <w:sz w:val="24"/>
        </w:rPr>
        <w:t>扣除十万元，并限期整改；连续两年考核不合格，视同成交人违约，采购人有权单方解除合同。</w:t>
      </w:r>
    </w:p>
    <w:p>
      <w:pPr>
        <w:pStyle w:val="3"/>
        <w:adjustRightInd w:val="0"/>
        <w:spacing w:after="0" w:line="360" w:lineRule="auto"/>
        <w:rPr>
          <w:rFonts w:ascii="宋体" w:hAnsi="宋体" w:cs="黑体"/>
          <w:b/>
          <w:bCs/>
        </w:rPr>
      </w:pPr>
      <w:r>
        <w:rPr>
          <w:rFonts w:hint="eastAsia" w:ascii="宋体" w:hAnsi="宋体" w:cs="黑体"/>
          <w:b/>
          <w:bCs/>
        </w:rPr>
        <w:t>十一、</w:t>
      </w:r>
      <w:r>
        <w:rPr>
          <w:rFonts w:ascii="宋体" w:hAnsi="宋体" w:cs="黑体"/>
          <w:b/>
          <w:bCs/>
        </w:rPr>
        <w:t>违约责任</w:t>
      </w:r>
    </w:p>
    <w:p>
      <w:pPr>
        <w:pStyle w:val="3"/>
        <w:adjustRightInd w:val="0"/>
        <w:spacing w:after="0" w:line="360" w:lineRule="auto"/>
        <w:ind w:firstLine="480" w:firstLineChars="200"/>
        <w:rPr>
          <w:rFonts w:ascii="宋体" w:hAnsi="宋体" w:cs="宋体"/>
          <w:b/>
        </w:rPr>
      </w:pPr>
      <w:r>
        <w:rPr>
          <w:rFonts w:ascii="宋体" w:hAnsi="宋体" w:cs="宋体"/>
        </w:rPr>
        <w:t>1.乙方未按照本合同第</w:t>
      </w:r>
      <w:r>
        <w:rPr>
          <w:rFonts w:hint="eastAsia" w:ascii="宋体" w:hAnsi="宋体" w:cs="宋体"/>
        </w:rPr>
        <w:t>四</w:t>
      </w:r>
      <w:r>
        <w:rPr>
          <w:rFonts w:ascii="宋体" w:hAnsi="宋体" w:cs="宋体"/>
        </w:rPr>
        <w:t>条第1项约定履行其义务的，甲方有权单方解除本合同，且不予以返还乙方支付的履约保证金。</w:t>
      </w:r>
    </w:p>
    <w:p>
      <w:pPr>
        <w:spacing w:line="360" w:lineRule="auto"/>
        <w:ind w:firstLine="480" w:firstLineChars="200"/>
        <w:rPr>
          <w:rFonts w:ascii="宋体" w:hAnsi="宋体" w:cs="宋体"/>
          <w:sz w:val="24"/>
        </w:rPr>
      </w:pPr>
      <w:r>
        <w:rPr>
          <w:rFonts w:hint="eastAsia" w:ascii="宋体" w:hAnsi="宋体" w:cs="宋体"/>
          <w:sz w:val="24"/>
        </w:rPr>
        <w:t>2. 乙方未按《需求》要求投资的未按采购内容要求进行履行报审义务的，甲方有权责令其限期纠正，在限期内仍未纠正的，甲方有权单方解除合同，并没收其全额履约保证金。</w:t>
      </w:r>
    </w:p>
    <w:p>
      <w:pPr>
        <w:spacing w:line="360" w:lineRule="auto"/>
        <w:ind w:firstLine="480" w:firstLineChars="200"/>
        <w:rPr>
          <w:rFonts w:ascii="宋体" w:hAnsi="宋体" w:cs="宋体"/>
          <w:sz w:val="24"/>
        </w:rPr>
      </w:pPr>
      <w:r>
        <w:rPr>
          <w:rFonts w:hint="eastAsia" w:ascii="宋体" w:hAnsi="宋体" w:cs="宋体"/>
          <w:sz w:val="24"/>
        </w:rPr>
        <w:t>3.乙方迟延支付物业使用费的，甲方有权按每日千分之一的标准计收违约金，迟延超过90天的，除继续计收违约金外，甲方还有权单方解除本合同。</w:t>
      </w:r>
    </w:p>
    <w:p>
      <w:pPr>
        <w:spacing w:line="360" w:lineRule="auto"/>
        <w:ind w:firstLine="480" w:firstLineChars="200"/>
        <w:rPr>
          <w:rFonts w:ascii="宋体" w:hAnsi="宋体" w:cs="宋体"/>
          <w:sz w:val="24"/>
        </w:rPr>
      </w:pPr>
      <w:r>
        <w:rPr>
          <w:rFonts w:hint="eastAsia" w:ascii="宋体" w:hAnsi="宋体" w:cs="宋体"/>
          <w:sz w:val="24"/>
        </w:rPr>
        <w:t>4.乙方毁坏设施设备，甲方有权按重置价直接从履约保证金中扣取相应的款项。</w:t>
      </w:r>
    </w:p>
    <w:p>
      <w:pPr>
        <w:spacing w:line="360" w:lineRule="auto"/>
        <w:ind w:firstLine="480" w:firstLineChars="200"/>
        <w:rPr>
          <w:rFonts w:ascii="宋体" w:hAnsi="宋体" w:cs="宋体"/>
          <w:sz w:val="24"/>
        </w:rPr>
      </w:pPr>
      <w:r>
        <w:rPr>
          <w:rFonts w:hint="eastAsia" w:ascii="宋体" w:hAnsi="宋体" w:cs="宋体"/>
          <w:sz w:val="24"/>
        </w:rPr>
        <w:t>5.乙方擅自撤离经营场所的，视为其单方解除合同，甲方有权没收其全部履约保证金，给甲方造成损失的，乙方应承担相应的赔偿责任。</w:t>
      </w:r>
    </w:p>
    <w:p>
      <w:pPr>
        <w:spacing w:line="360" w:lineRule="auto"/>
        <w:ind w:firstLine="480" w:firstLineChars="200"/>
        <w:rPr>
          <w:rFonts w:ascii="宋体" w:hAnsi="宋体" w:cs="宋体"/>
          <w:sz w:val="24"/>
        </w:rPr>
      </w:pPr>
      <w:r>
        <w:rPr>
          <w:rFonts w:hint="eastAsia" w:ascii="宋体" w:hAnsi="宋体" w:cs="宋体"/>
          <w:sz w:val="24"/>
        </w:rPr>
        <w:t>6.乙方违反本合同第七条规定中的任何一项的，甲方均有权单方解除合同，并由乙方承担由此给甲方造成的损失。</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甲方按规定扣除履约保证金后，乙方未在15个工作日之内</w:t>
      </w:r>
      <w:r>
        <w:rPr>
          <w:rFonts w:hint="eastAsia" w:ascii="宋体" w:hAnsi="宋体" w:cs="宋体"/>
          <w:bCs/>
          <w:color w:val="auto"/>
          <w:sz w:val="24"/>
          <w:highlight w:val="none"/>
        </w:rPr>
        <w:t>补足履约保证金</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万元的，</w:t>
      </w:r>
      <w:r>
        <w:rPr>
          <w:rFonts w:hint="eastAsia" w:ascii="宋体" w:hAnsi="宋体" w:cs="宋体"/>
          <w:bCs/>
          <w:sz w:val="24"/>
        </w:rPr>
        <w:t>甲方有权单方解除合同。</w:t>
      </w:r>
    </w:p>
    <w:p>
      <w:pPr>
        <w:pStyle w:val="3"/>
        <w:adjustRightInd w:val="0"/>
        <w:spacing w:after="0" w:line="360" w:lineRule="auto"/>
        <w:ind w:firstLine="480" w:firstLineChars="200"/>
        <w:rPr>
          <w:rFonts w:ascii="宋体" w:hAnsi="宋体" w:cs="宋体"/>
          <w:b/>
        </w:rPr>
      </w:pPr>
      <w:r>
        <w:rPr>
          <w:rFonts w:ascii="宋体" w:hAnsi="宋体" w:cs="宋体"/>
        </w:rPr>
        <w:t>8.</w:t>
      </w:r>
      <w:r>
        <w:rPr>
          <w:rFonts w:ascii="宋体" w:hAnsi="宋体" w:cs="宋体"/>
          <w:bCs/>
        </w:rPr>
        <w:t>甲方未在约定期限内向乙方交付托养中心（含相关设施）的，本合同期限顺延；甲方迟延交付超过90日的，乙方有权解除本合同，并有权要求甲方赔偿损失。</w:t>
      </w:r>
    </w:p>
    <w:p>
      <w:pPr>
        <w:spacing w:line="360" w:lineRule="auto"/>
        <w:ind w:firstLine="480" w:firstLineChars="200"/>
        <w:rPr>
          <w:rFonts w:ascii="宋体" w:hAnsi="宋体" w:cs="宋体"/>
          <w:sz w:val="24"/>
        </w:rPr>
      </w:pPr>
      <w:r>
        <w:rPr>
          <w:rFonts w:hint="eastAsia" w:ascii="宋体" w:hAnsi="宋体" w:cs="宋体"/>
          <w:sz w:val="24"/>
        </w:rPr>
        <w:t>9.甲方未按本合同第</w:t>
      </w:r>
      <w:r>
        <w:rPr>
          <w:rFonts w:hint="eastAsia" w:ascii="宋体" w:hAnsi="宋体" w:cs="宋体"/>
          <w:sz w:val="24"/>
          <w:lang w:eastAsia="zh-CN"/>
        </w:rPr>
        <w:t>九</w:t>
      </w:r>
      <w:r>
        <w:rPr>
          <w:rFonts w:hint="eastAsia" w:ascii="宋体" w:hAnsi="宋体" w:cs="宋体"/>
          <w:sz w:val="24"/>
        </w:rPr>
        <w:t>条第3项约定退还乙方履约保证金的，应按每日千分之一的标准向乙方计付违约金。</w:t>
      </w:r>
    </w:p>
    <w:p>
      <w:pPr>
        <w:pStyle w:val="3"/>
        <w:adjustRightInd w:val="0"/>
        <w:spacing w:after="0" w:line="360" w:lineRule="auto"/>
        <w:rPr>
          <w:rFonts w:ascii="宋体" w:hAnsi="宋体" w:cs="黑体"/>
          <w:b/>
          <w:bCs/>
        </w:rPr>
      </w:pPr>
      <w:r>
        <w:rPr>
          <w:rFonts w:hint="eastAsia" w:ascii="宋体" w:hAnsi="宋体" w:cs="黑体"/>
          <w:b/>
          <w:bCs/>
        </w:rPr>
        <w:t>十二、</w:t>
      </w:r>
      <w:r>
        <w:rPr>
          <w:rFonts w:ascii="宋体" w:hAnsi="宋体" w:cs="黑体"/>
          <w:b/>
          <w:bCs/>
        </w:rPr>
        <w:t>服务标准及要求</w:t>
      </w:r>
    </w:p>
    <w:p>
      <w:pPr>
        <w:spacing w:line="360" w:lineRule="auto"/>
        <w:ind w:firstLine="480" w:firstLineChars="200"/>
        <w:rPr>
          <w:rFonts w:ascii="宋体" w:hAnsi="宋体" w:cs="宋体"/>
          <w:b/>
          <w:sz w:val="24"/>
        </w:rPr>
      </w:pPr>
      <w:r>
        <w:rPr>
          <w:rFonts w:hint="eastAsia" w:ascii="宋体" w:hAnsi="宋体" w:cs="宋体"/>
          <w:sz w:val="24"/>
        </w:rPr>
        <w:t>1、乙方应保持中心项目的公益性，承担一定的社会责任。</w:t>
      </w:r>
    </w:p>
    <w:p>
      <w:pPr>
        <w:spacing w:line="360" w:lineRule="auto"/>
        <w:ind w:firstLine="480" w:firstLineChars="200"/>
        <w:rPr>
          <w:rFonts w:ascii="宋体" w:hAnsi="宋体" w:cs="宋体"/>
          <w:sz w:val="24"/>
        </w:rPr>
      </w:pPr>
      <w:r>
        <w:rPr>
          <w:rFonts w:hint="eastAsia" w:ascii="宋体" w:hAnsi="宋体" w:cs="宋体"/>
          <w:sz w:val="24"/>
        </w:rPr>
        <w:t>2、乙方在运营期间，认真执行《残疾人托养服务基本规范（试行）》为标准的规定要求，健全组织，狠抓服务质量，按照标准配备相关工作人员，定期组织医务人员、养老护理员等工作人员职业资格培训、职称管理，达到持证上岗的要求，切实维护入住残疾人的合法权益，提供优质贴心服务。如上级政府部门各级出台相应新的托养服务规范，以最高护理服务要求规范为标准，及时整改。</w:t>
      </w:r>
    </w:p>
    <w:p>
      <w:pPr>
        <w:spacing w:line="360" w:lineRule="auto"/>
        <w:ind w:firstLine="480" w:firstLineChars="200"/>
        <w:rPr>
          <w:rFonts w:ascii="宋体" w:hAnsi="宋体" w:cs="宋体"/>
          <w:sz w:val="24"/>
        </w:rPr>
      </w:pPr>
      <w:r>
        <w:rPr>
          <w:rFonts w:hint="eastAsia" w:ascii="宋体" w:hAnsi="宋体" w:cs="宋体"/>
          <w:sz w:val="24"/>
        </w:rPr>
        <w:t>3、乙方在运营期间，要按照标准化、专业化、特色化、个性化的服务要求，康养融合、医护结合发展，提高入住率和满意度，避免事故发生。</w:t>
      </w:r>
    </w:p>
    <w:p>
      <w:pPr>
        <w:spacing w:line="360" w:lineRule="auto"/>
        <w:ind w:firstLine="480" w:firstLineChars="200"/>
        <w:rPr>
          <w:rFonts w:ascii="宋体" w:hAnsi="宋体" w:cs="宋体"/>
          <w:sz w:val="24"/>
        </w:rPr>
      </w:pPr>
      <w:r>
        <w:rPr>
          <w:rFonts w:hint="eastAsia" w:ascii="宋体" w:hAnsi="宋体" w:cs="宋体"/>
          <w:sz w:val="24"/>
        </w:rPr>
        <w:t>4、乙方应提供专业的社会工作服务，定期举办各种丰富多彩的文体活动，并组织残疾人参与各种兴趣小组活动，满足残疾人精神文化需求，对于临终的残疾人员要设置临终关怀区域。</w:t>
      </w:r>
    </w:p>
    <w:p>
      <w:pPr>
        <w:spacing w:line="360" w:lineRule="auto"/>
        <w:ind w:firstLine="480" w:firstLineChars="200"/>
        <w:rPr>
          <w:rFonts w:ascii="宋体" w:hAnsi="宋体" w:cs="宋体"/>
          <w:sz w:val="24"/>
        </w:rPr>
      </w:pPr>
      <w:r>
        <w:rPr>
          <w:rFonts w:hint="eastAsia" w:ascii="宋体" w:hAnsi="宋体" w:cs="宋体"/>
          <w:sz w:val="24"/>
        </w:rPr>
        <w:t>5、本项目配置托养床位不低于150张，其中60张床位（第六年增加至70张床位，第十一年增加至80张床位）必须用于甲方指定的东阳市户籍符合入托条件的特困重度残疾人员（重度精神、智力、肢体残疾人）。若以上重度残疾人员入托，托养中心将提前一个星期通知乙方（特殊情况随时安置），乙方做好接收人员准备，并签订托养协议，将床位留给指定服务对象使用，确保人员能顺利入住。</w:t>
      </w:r>
    </w:p>
    <w:p>
      <w:pPr>
        <w:spacing w:line="360" w:lineRule="auto"/>
        <w:ind w:firstLine="480" w:firstLineChars="200"/>
        <w:rPr>
          <w:rFonts w:ascii="宋体" w:hAnsi="宋体" w:cs="宋体"/>
          <w:sz w:val="24"/>
        </w:rPr>
      </w:pPr>
      <w:r>
        <w:rPr>
          <w:rFonts w:hint="eastAsia" w:ascii="宋体" w:hAnsi="宋体" w:cs="宋体"/>
          <w:sz w:val="24"/>
        </w:rPr>
        <w:t>6、乙方根据甲方的安排，必须接管托养中心的医疗事务，无偿为托养人员提供日常医疗保障服务如下：</w:t>
      </w:r>
    </w:p>
    <w:p>
      <w:pPr>
        <w:spacing w:line="360" w:lineRule="auto"/>
        <w:ind w:firstLine="480" w:firstLineChars="200"/>
        <w:rPr>
          <w:rFonts w:ascii="宋体" w:hAnsi="宋体" w:cs="宋体"/>
          <w:sz w:val="24"/>
        </w:rPr>
      </w:pPr>
      <w:r>
        <w:rPr>
          <w:rFonts w:hint="eastAsia" w:ascii="宋体" w:hAnsi="宋体" w:cs="宋体"/>
          <w:sz w:val="24"/>
        </w:rPr>
        <w:t>（1）一天三次查房；其中医生查房一天不少于一次；</w:t>
      </w:r>
    </w:p>
    <w:p>
      <w:pPr>
        <w:spacing w:line="360" w:lineRule="auto"/>
        <w:ind w:firstLine="480" w:firstLineChars="200"/>
        <w:rPr>
          <w:rFonts w:ascii="宋体" w:hAnsi="宋体" w:cs="宋体"/>
          <w:sz w:val="24"/>
        </w:rPr>
      </w:pPr>
      <w:r>
        <w:rPr>
          <w:rFonts w:hint="eastAsia" w:ascii="宋体" w:hAnsi="宋体" w:cs="宋体"/>
          <w:sz w:val="24"/>
        </w:rPr>
        <w:t>（2）特困供养对象中的重度残疾人入住乙方医疗合作机构期间，其餐费、护理费等生活费用实行包干政策，即每人每月费用按特困人员供养补贴、护理补贴标准计算。</w:t>
      </w:r>
    </w:p>
    <w:p>
      <w:pPr>
        <w:spacing w:line="360" w:lineRule="auto"/>
        <w:ind w:firstLine="480" w:firstLineChars="200"/>
        <w:rPr>
          <w:rFonts w:ascii="宋体" w:hAnsi="宋体" w:cs="仿宋_GB2312"/>
          <w:sz w:val="24"/>
        </w:rPr>
      </w:pPr>
      <w:r>
        <w:rPr>
          <w:rFonts w:hint="eastAsia" w:ascii="宋体" w:hAnsi="宋体" w:cs="宋体"/>
          <w:sz w:val="24"/>
        </w:rPr>
        <w:t>（3）乙方在取得合法的医疗机构资质，并按规定纳入医保协议管理后，参照东阳市医共体支付改革模式管理。</w:t>
      </w:r>
    </w:p>
    <w:p>
      <w:pPr>
        <w:pStyle w:val="3"/>
        <w:adjustRightInd w:val="0"/>
        <w:spacing w:after="0" w:line="360" w:lineRule="auto"/>
        <w:rPr>
          <w:rFonts w:ascii="宋体" w:hAnsi="宋体" w:cs="黑体"/>
          <w:b/>
          <w:bCs/>
        </w:rPr>
      </w:pPr>
      <w:r>
        <w:rPr>
          <w:rFonts w:hint="eastAsia" w:ascii="宋体" w:hAnsi="宋体" w:cs="黑体"/>
          <w:b/>
          <w:bCs/>
        </w:rPr>
        <w:t>十三、</w:t>
      </w:r>
      <w:r>
        <w:rPr>
          <w:rFonts w:ascii="宋体" w:hAnsi="宋体" w:cs="黑体"/>
          <w:b/>
          <w:bCs/>
        </w:rPr>
        <w:t>服务项目收费标准</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1、项目托养服务收费参照《浙江省物价局 浙江省民政厅关于印发&lt;浙江省养老服务收费管理暂行办法&gt;的通知》（浙价费〔2014〕235号）,根据服务成本和合理回报测算后确定，并报东阳市物价部门批准后实施。医疗康复服务收费以卫健部门、医保部门的标准为准。</w:t>
      </w:r>
    </w:p>
    <w:p>
      <w:pPr>
        <w:spacing w:line="440" w:lineRule="exact"/>
        <w:ind w:firstLine="482" w:firstLineChars="200"/>
        <w:rPr>
          <w:rFonts w:ascii="宋体" w:hAnsi="宋体" w:cs="宋体"/>
          <w:b/>
          <w:sz w:val="24"/>
          <w:highlight w:val="yellow"/>
        </w:rPr>
      </w:pPr>
      <w:r>
        <w:rPr>
          <w:rFonts w:hint="eastAsia" w:ascii="宋体" w:hAnsi="宋体" w:cs="宋体"/>
          <w:b/>
          <w:sz w:val="24"/>
          <w:highlight w:val="none"/>
        </w:rPr>
        <w:t>2、低保人员收费标准最高不超过当期每月政府公布的低保救助金，困难残疾人生活补贴和重度残疾人护理补贴（含机构托养增递升的50%）最高标准的总和；低边人员收费标准参照同类型低保对象标准，差额部分由托养人自付。</w:t>
      </w:r>
    </w:p>
    <w:p>
      <w:pPr>
        <w:spacing w:line="360" w:lineRule="auto"/>
        <w:ind w:firstLine="480" w:firstLineChars="200"/>
        <w:rPr>
          <w:rFonts w:ascii="宋体" w:hAnsi="宋体" w:cs="宋体"/>
          <w:sz w:val="24"/>
        </w:rPr>
      </w:pPr>
      <w:r>
        <w:rPr>
          <w:rFonts w:hint="eastAsia" w:ascii="宋体" w:hAnsi="宋体" w:cs="宋体"/>
          <w:sz w:val="24"/>
        </w:rPr>
        <w:t>3、乙方不得对入住被服务对象以优惠、买断等任何名义和形式提前收取若干年的入住费用，收费周期最长为一年。</w:t>
      </w:r>
    </w:p>
    <w:p>
      <w:pPr>
        <w:spacing w:line="360" w:lineRule="auto"/>
        <w:ind w:firstLine="480" w:firstLineChars="200"/>
        <w:rPr>
          <w:rFonts w:ascii="宋体" w:hAnsi="宋体" w:cs="宋体"/>
          <w:sz w:val="24"/>
        </w:rPr>
      </w:pPr>
      <w:r>
        <w:rPr>
          <w:rFonts w:hint="eastAsia" w:ascii="宋体" w:hAnsi="宋体" w:cs="宋体"/>
          <w:sz w:val="24"/>
        </w:rPr>
        <w:t>4、入住的被服务对象收取押金或备用金最高不得超过每人5000元。</w:t>
      </w:r>
    </w:p>
    <w:p>
      <w:pPr>
        <w:pStyle w:val="3"/>
        <w:adjustRightInd w:val="0"/>
        <w:spacing w:after="0" w:line="360" w:lineRule="auto"/>
        <w:rPr>
          <w:rFonts w:ascii="宋体" w:hAnsi="宋体" w:cs="黑体"/>
          <w:b/>
          <w:bCs/>
        </w:rPr>
      </w:pPr>
      <w:r>
        <w:rPr>
          <w:rFonts w:hint="eastAsia" w:ascii="宋体" w:hAnsi="宋体" w:cs="黑体"/>
          <w:b/>
          <w:bCs/>
        </w:rPr>
        <w:t>十四、投资要求</w:t>
      </w:r>
    </w:p>
    <w:p>
      <w:pPr>
        <w:spacing w:line="440" w:lineRule="exact"/>
        <w:ind w:firstLine="480" w:firstLineChars="200"/>
        <w:rPr>
          <w:rFonts w:ascii="宋体" w:hAnsi="宋体" w:cs="宋体"/>
          <w:sz w:val="24"/>
        </w:rPr>
      </w:pPr>
      <w:r>
        <w:rPr>
          <w:rFonts w:hint="eastAsia" w:ascii="宋体" w:hAnsi="宋体" w:cs="宋体"/>
          <w:sz w:val="24"/>
        </w:rPr>
        <w:t>1、乙方充分考虑项目医疗康复的设施配备要求，添置满足入住残疾人医疗需求的活动器材及医疗设施，要求乙方承诺3年内投入不少于1500万元的资金（其中活动器材及医疗设施金额为不少于500万元，基本设备配置必须满足托养人员要求），用于房屋装修、消防改造、医疗康复设备购置等经费支出</w:t>
      </w:r>
      <w:r>
        <w:rPr>
          <w:rFonts w:hint="eastAsia" w:ascii="宋体" w:hAnsi="宋体" w:cs="宋体"/>
          <w:b/>
          <w:sz w:val="24"/>
        </w:rPr>
        <w:t>。</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2、服务满三年后，将由采购人委托具有相应资质的中介机构进行审计，以确定上述投资是否足额到位</w:t>
      </w:r>
      <w:r>
        <w:rPr>
          <w:rFonts w:hint="eastAsia" w:ascii="宋体" w:hAnsi="宋体" w:cs="宋体"/>
          <w:sz w:val="24"/>
          <w:lang w:eastAsia="zh-CN"/>
        </w:rPr>
        <w:t>；如审计金额达不到足额，则采购人有权终止合同。</w:t>
      </w:r>
    </w:p>
    <w:p>
      <w:pPr>
        <w:pStyle w:val="3"/>
        <w:adjustRightInd w:val="0"/>
        <w:spacing w:after="0" w:line="360" w:lineRule="auto"/>
        <w:rPr>
          <w:rFonts w:ascii="宋体" w:hAnsi="宋体" w:cs="黑体"/>
          <w:b/>
          <w:bCs/>
        </w:rPr>
      </w:pPr>
      <w:r>
        <w:rPr>
          <w:rFonts w:hint="eastAsia" w:ascii="宋体" w:hAnsi="宋体" w:cs="黑体"/>
          <w:b/>
          <w:bCs/>
        </w:rPr>
        <w:t>十五、财务管理</w:t>
      </w:r>
    </w:p>
    <w:p>
      <w:pPr>
        <w:spacing w:line="360" w:lineRule="auto"/>
        <w:ind w:firstLine="480" w:firstLineChars="200"/>
        <w:rPr>
          <w:rFonts w:ascii="宋体" w:hAnsi="宋体" w:cs="宋体"/>
          <w:sz w:val="24"/>
        </w:rPr>
      </w:pPr>
      <w:r>
        <w:rPr>
          <w:rFonts w:hint="eastAsia" w:ascii="宋体" w:hAnsi="宋体" w:cs="宋体"/>
          <w:sz w:val="24"/>
        </w:rPr>
        <w:t>1、乙方实行独立、公开透明的财务制度，每年提交经营情况的审计报告给甲方；对于社会捐赠、政府购买服务、政府补贴等财政收入应实行专款专用，甲方有权进行监管并对此类经费使用管理情况进行审计。</w:t>
      </w:r>
    </w:p>
    <w:p>
      <w:pPr>
        <w:spacing w:line="360" w:lineRule="auto"/>
        <w:ind w:firstLine="480" w:firstLineChars="200"/>
        <w:rPr>
          <w:rFonts w:ascii="宋体" w:hAnsi="宋体" w:cs="宋体"/>
          <w:sz w:val="24"/>
        </w:rPr>
      </w:pPr>
      <w:r>
        <w:rPr>
          <w:rFonts w:hint="eastAsia" w:ascii="宋体" w:hAnsi="宋体" w:cs="宋体"/>
          <w:sz w:val="24"/>
        </w:rPr>
        <w:t>2、乙方须严格执行有关会计制度及有关财经法律、法规。</w:t>
      </w:r>
    </w:p>
    <w:p>
      <w:pPr>
        <w:pStyle w:val="3"/>
        <w:adjustRightInd w:val="0"/>
        <w:spacing w:after="0" w:line="360" w:lineRule="auto"/>
      </w:pPr>
      <w:r>
        <w:rPr>
          <w:rFonts w:hint="eastAsia" w:ascii="宋体" w:hAnsi="宋体" w:cs="黑体"/>
          <w:b/>
          <w:bCs/>
        </w:rPr>
        <w:t>十六、安全保障</w:t>
      </w:r>
    </w:p>
    <w:p>
      <w:pPr>
        <w:spacing w:line="360" w:lineRule="auto"/>
        <w:ind w:firstLine="480" w:firstLineChars="200"/>
        <w:rPr>
          <w:rFonts w:ascii="宋体" w:hAnsi="宋体" w:cs="宋体"/>
          <w:sz w:val="24"/>
        </w:rPr>
      </w:pPr>
      <w:r>
        <w:rPr>
          <w:rFonts w:hint="eastAsia" w:ascii="宋体" w:hAnsi="宋体" w:cs="宋体"/>
          <w:sz w:val="24"/>
        </w:rPr>
        <w:t>1、乙方必须切实做好安全保障各项工作，严格执行安全生产规范管理的有关规定，确保经营场所内人员的人身、财产安全。必须做好医疗机构开业前的基本医疗保障工作。按有关要求参加机构运行的各项责任险，并做好投保工作。</w:t>
      </w:r>
    </w:p>
    <w:p>
      <w:pPr>
        <w:spacing w:line="360" w:lineRule="auto"/>
        <w:ind w:firstLine="480" w:firstLineChars="200"/>
        <w:rPr>
          <w:rFonts w:ascii="宋体" w:hAnsi="宋体" w:cs="宋体"/>
          <w:sz w:val="24"/>
        </w:rPr>
      </w:pPr>
      <w:r>
        <w:rPr>
          <w:rFonts w:hint="eastAsia" w:ascii="宋体" w:hAnsi="宋体" w:cs="宋体"/>
          <w:sz w:val="24"/>
        </w:rPr>
        <w:t>2、所有安全责任、所有意外事件处理均由乙方自行承担负责。</w:t>
      </w:r>
    </w:p>
    <w:p>
      <w:pPr>
        <w:pStyle w:val="3"/>
        <w:adjustRightInd w:val="0"/>
        <w:spacing w:after="0" w:line="360" w:lineRule="auto"/>
        <w:rPr>
          <w:rFonts w:ascii="宋体" w:hAnsi="宋体" w:cs="黑体"/>
          <w:b/>
          <w:bCs/>
        </w:rPr>
      </w:pPr>
      <w:r>
        <w:rPr>
          <w:rFonts w:hint="eastAsia" w:ascii="宋体" w:hAnsi="宋体" w:cs="黑体"/>
          <w:b/>
          <w:bCs/>
        </w:rPr>
        <w:t>十</w:t>
      </w:r>
      <w:r>
        <w:rPr>
          <w:rFonts w:hint="eastAsia"/>
          <w:b/>
        </w:rPr>
        <w:t>七</w:t>
      </w:r>
      <w:r>
        <w:rPr>
          <w:rFonts w:hint="eastAsia" w:ascii="宋体" w:hAnsi="宋体" w:cs="黑体"/>
          <w:b/>
          <w:bCs/>
        </w:rPr>
        <w:t>、合同终止</w:t>
      </w:r>
    </w:p>
    <w:p>
      <w:pPr>
        <w:pStyle w:val="3"/>
        <w:adjustRightInd w:val="0"/>
        <w:spacing w:after="0" w:line="360" w:lineRule="auto"/>
        <w:ind w:firstLine="480" w:firstLineChars="200"/>
        <w:rPr>
          <w:rFonts w:ascii="宋体" w:hAnsi="宋体" w:cs="宋体"/>
          <w:b/>
        </w:rPr>
      </w:pPr>
      <w:r>
        <w:rPr>
          <w:rFonts w:ascii="宋体" w:hAnsi="宋体" w:cs="宋体"/>
        </w:rPr>
        <w:t>1</w:t>
      </w:r>
      <w:r>
        <w:rPr>
          <w:rFonts w:hint="eastAsia" w:ascii="宋体" w:hAnsi="宋体" w:cs="宋体"/>
        </w:rPr>
        <w:t>、</w:t>
      </w:r>
      <w:r>
        <w:rPr>
          <w:rFonts w:ascii="宋体" w:hAnsi="宋体" w:cs="宋体"/>
        </w:rPr>
        <w:t>本合同约定的期限届满，合同自然终止。</w:t>
      </w:r>
    </w:p>
    <w:p>
      <w:pPr>
        <w:pStyle w:val="3"/>
        <w:adjustRightInd w:val="0"/>
        <w:spacing w:after="0" w:line="360" w:lineRule="auto"/>
        <w:ind w:firstLine="480" w:firstLineChars="200"/>
        <w:rPr>
          <w:rFonts w:ascii="宋体" w:hAnsi="宋体" w:cs="宋体"/>
          <w:b/>
        </w:rPr>
      </w:pPr>
      <w:r>
        <w:rPr>
          <w:rFonts w:ascii="宋体" w:hAnsi="宋体" w:cs="宋体"/>
        </w:rPr>
        <w:t>2</w:t>
      </w:r>
      <w:r>
        <w:rPr>
          <w:rFonts w:hint="eastAsia" w:ascii="宋体" w:hAnsi="宋体" w:cs="宋体"/>
        </w:rPr>
        <w:t>、</w:t>
      </w:r>
      <w:r>
        <w:rPr>
          <w:rFonts w:ascii="宋体" w:hAnsi="宋体" w:cs="宋体"/>
        </w:rPr>
        <w:t>本合同依照法律规定或本合同约定解除的，合同提前终止。</w:t>
      </w:r>
    </w:p>
    <w:p>
      <w:pPr>
        <w:pStyle w:val="3"/>
        <w:adjustRightInd w:val="0"/>
        <w:spacing w:after="0" w:line="360" w:lineRule="auto"/>
        <w:ind w:firstLine="480" w:firstLineChars="200"/>
        <w:rPr>
          <w:rFonts w:ascii="宋体" w:hAnsi="宋体" w:cs="宋体"/>
          <w:b/>
        </w:rPr>
      </w:pPr>
      <w:r>
        <w:rPr>
          <w:rFonts w:ascii="宋体" w:hAnsi="宋体" w:cs="宋体"/>
        </w:rPr>
        <w:t>3</w:t>
      </w:r>
      <w:r>
        <w:rPr>
          <w:rFonts w:hint="eastAsia" w:ascii="宋体" w:hAnsi="宋体" w:cs="宋体"/>
        </w:rPr>
        <w:t>、</w:t>
      </w:r>
      <w:r>
        <w:rPr>
          <w:rFonts w:ascii="宋体" w:hAnsi="宋体" w:cs="宋体"/>
        </w:rPr>
        <w:t>合同终止后双方应按本合同约定交接物业，结清款项。</w:t>
      </w:r>
    </w:p>
    <w:p>
      <w:pPr>
        <w:pStyle w:val="3"/>
        <w:adjustRightInd w:val="0"/>
        <w:spacing w:after="0" w:line="360" w:lineRule="auto"/>
        <w:ind w:firstLine="480" w:firstLineChars="200"/>
        <w:rPr>
          <w:rFonts w:ascii="宋体" w:hAnsi="宋体" w:cs="宋体"/>
          <w:b/>
        </w:rPr>
      </w:pPr>
      <w:r>
        <w:rPr>
          <w:rFonts w:ascii="宋体" w:hAnsi="宋体" w:cs="宋体"/>
        </w:rPr>
        <w:t>4</w:t>
      </w:r>
      <w:r>
        <w:rPr>
          <w:rFonts w:hint="eastAsia" w:ascii="宋体" w:hAnsi="宋体" w:cs="宋体"/>
        </w:rPr>
        <w:t>、</w:t>
      </w:r>
      <w:r>
        <w:rPr>
          <w:rFonts w:ascii="宋体" w:hAnsi="宋体" w:cs="宋体"/>
        </w:rPr>
        <w:t>无论何种原因导致合同终止的，乙方应确保本合同第</w:t>
      </w:r>
      <w:r>
        <w:rPr>
          <w:rFonts w:hint="eastAsia" w:ascii="宋体" w:hAnsi="宋体" w:cs="宋体"/>
        </w:rPr>
        <w:t>四</w:t>
      </w:r>
      <w:r>
        <w:rPr>
          <w:rFonts w:ascii="宋体" w:hAnsi="宋体" w:cs="宋体"/>
        </w:rPr>
        <w:t>条第4项的义务，否则甲方有权委托其他机构确保被服务对象的权益，由此产生的费用由乙方承担。</w:t>
      </w:r>
    </w:p>
    <w:p>
      <w:pPr>
        <w:pStyle w:val="3"/>
        <w:adjustRightInd w:val="0"/>
        <w:spacing w:after="0" w:line="360" w:lineRule="auto"/>
        <w:ind w:firstLine="480" w:firstLineChars="200"/>
        <w:rPr>
          <w:rFonts w:ascii="宋体" w:hAnsi="宋体" w:cs="宋体"/>
          <w:b/>
        </w:rPr>
      </w:pPr>
      <w:r>
        <w:rPr>
          <w:rFonts w:ascii="宋体" w:hAnsi="宋体" w:cs="宋体"/>
        </w:rPr>
        <w:t>5、乙方因自身原因需要提前终止合同，应提前3个月告知甲方。</w:t>
      </w:r>
    </w:p>
    <w:p>
      <w:pPr>
        <w:pStyle w:val="19"/>
        <w:snapToGrid w:val="0"/>
        <w:spacing w:beforeLines="0" w:afterLines="0" w:line="440" w:lineRule="exact"/>
        <w:rPr>
          <w:b/>
          <w:color w:val="000000"/>
        </w:rPr>
      </w:pPr>
      <w:r>
        <w:rPr>
          <w:rFonts w:hint="eastAsia"/>
          <w:b/>
        </w:rPr>
        <w:t>十八、</w:t>
      </w:r>
      <w:r>
        <w:rPr>
          <w:b/>
          <w:color w:val="000000"/>
        </w:rPr>
        <w:t>诉讼</w:t>
      </w:r>
    </w:p>
    <w:p>
      <w:pPr>
        <w:pStyle w:val="19"/>
        <w:snapToGrid w:val="0"/>
        <w:spacing w:beforeLines="0" w:afterLines="0" w:line="440" w:lineRule="exact"/>
        <w:ind w:firstLine="480" w:firstLineChars="200"/>
        <w:rPr>
          <w:bCs/>
        </w:rPr>
      </w:pPr>
      <w:r>
        <w:rPr>
          <w:color w:val="000000"/>
        </w:rPr>
        <w:t>双方在执行合同中所发生的一切争议，应通过协商解决。如协商不成，可向甲方所在地法院起诉。</w:t>
      </w:r>
    </w:p>
    <w:p>
      <w:pPr>
        <w:snapToGrid w:val="0"/>
        <w:spacing w:line="440" w:lineRule="exact"/>
        <w:rPr>
          <w:rFonts w:ascii="宋体"/>
          <w:b/>
          <w:sz w:val="24"/>
        </w:rPr>
      </w:pPr>
      <w:r>
        <w:rPr>
          <w:rFonts w:ascii="宋体"/>
          <w:b/>
          <w:sz w:val="24"/>
        </w:rPr>
        <w:t>十</w:t>
      </w:r>
      <w:r>
        <w:rPr>
          <w:rFonts w:hint="eastAsia" w:ascii="宋体"/>
          <w:b/>
          <w:sz w:val="24"/>
        </w:rPr>
        <w:t>九</w:t>
      </w:r>
      <w:r>
        <w:rPr>
          <w:rFonts w:ascii="宋体"/>
          <w:b/>
          <w:sz w:val="24"/>
        </w:rPr>
        <w:t>、合同生效及其它</w:t>
      </w:r>
    </w:p>
    <w:p>
      <w:pPr>
        <w:snapToGrid w:val="0"/>
        <w:spacing w:line="440" w:lineRule="exact"/>
        <w:ind w:firstLine="480" w:firstLineChars="200"/>
        <w:rPr>
          <w:rFonts w:ascii="宋体"/>
          <w:sz w:val="24"/>
        </w:rPr>
      </w:pPr>
      <w:r>
        <w:rPr>
          <w:rFonts w:ascii="宋体"/>
          <w:sz w:val="24"/>
        </w:rPr>
        <w:t>1</w:t>
      </w:r>
      <w:r>
        <w:rPr>
          <w:rFonts w:hint="eastAsia" w:ascii="宋体"/>
          <w:sz w:val="24"/>
        </w:rPr>
        <w:t>、</w:t>
      </w:r>
      <w:r>
        <w:rPr>
          <w:rFonts w:hint="eastAsia" w:ascii="宋体"/>
          <w:color w:val="000000"/>
          <w:sz w:val="24"/>
        </w:rPr>
        <w:t>合同经双方法定代表人或授权代表签字并加盖单位公章后</w:t>
      </w:r>
      <w:r>
        <w:rPr>
          <w:rFonts w:hint="eastAsia" w:ascii="宋体"/>
          <w:sz w:val="24"/>
        </w:rPr>
        <w:t>，报东阳市财政局采购办备案后</w:t>
      </w:r>
      <w:r>
        <w:rPr>
          <w:rFonts w:ascii="宋体"/>
          <w:sz w:val="24"/>
        </w:rPr>
        <w:t>生效。</w:t>
      </w:r>
    </w:p>
    <w:p>
      <w:pPr>
        <w:snapToGrid w:val="0"/>
        <w:spacing w:line="440" w:lineRule="exact"/>
        <w:ind w:firstLine="480" w:firstLineChars="200"/>
        <w:rPr>
          <w:rFonts w:ascii="宋体"/>
          <w:sz w:val="24"/>
        </w:rPr>
      </w:pPr>
      <w:r>
        <w:rPr>
          <w:rFonts w:ascii="宋体"/>
          <w:sz w:val="24"/>
        </w:rPr>
        <w:t>2</w:t>
      </w:r>
      <w:r>
        <w:rPr>
          <w:rFonts w:hint="eastAsia" w:ascii="宋体"/>
          <w:sz w:val="24"/>
        </w:rPr>
        <w:t>、</w:t>
      </w:r>
      <w:r>
        <w:rPr>
          <w:rFonts w:ascii="宋体"/>
          <w:sz w:val="24"/>
        </w:rPr>
        <w:t>合同执行中涉及采购资金和采购内容修改或补充的，须经财政部门审批，并签书面补充协议报政府采购监督管理部门备案，方可作为主合同不可分割的一部分。</w:t>
      </w:r>
    </w:p>
    <w:p>
      <w:pPr>
        <w:snapToGrid w:val="0"/>
        <w:spacing w:line="440" w:lineRule="exact"/>
        <w:ind w:firstLine="480" w:firstLineChars="200"/>
        <w:rPr>
          <w:rFonts w:ascii="宋体"/>
          <w:sz w:val="24"/>
        </w:rPr>
      </w:pPr>
      <w:r>
        <w:rPr>
          <w:rFonts w:ascii="宋体"/>
          <w:sz w:val="24"/>
        </w:rPr>
        <w:t>3</w:t>
      </w:r>
      <w:r>
        <w:rPr>
          <w:rFonts w:hint="eastAsia" w:ascii="宋体"/>
          <w:sz w:val="24"/>
        </w:rPr>
        <w:t>、</w:t>
      </w:r>
      <w:r>
        <w:rPr>
          <w:rFonts w:ascii="宋体"/>
          <w:sz w:val="24"/>
        </w:rPr>
        <w:t>本合同未尽事宜，遵照《</w:t>
      </w:r>
      <w:r>
        <w:rPr>
          <w:rFonts w:hint="eastAsia" w:ascii="宋体"/>
          <w:sz w:val="24"/>
        </w:rPr>
        <w:t>中华人民共和国民法典</w:t>
      </w:r>
      <w:r>
        <w:rPr>
          <w:rFonts w:ascii="宋体"/>
          <w:sz w:val="24"/>
        </w:rPr>
        <w:t>》有关条文执行。</w:t>
      </w:r>
    </w:p>
    <w:p>
      <w:pPr>
        <w:spacing w:line="440" w:lineRule="exact"/>
        <w:ind w:firstLine="480" w:firstLineChars="200"/>
        <w:rPr>
          <w:rFonts w:ascii="宋体"/>
          <w:sz w:val="24"/>
        </w:rPr>
      </w:pPr>
      <w:r>
        <w:rPr>
          <w:rFonts w:hint="eastAsia" w:ascii="宋体"/>
          <w:sz w:val="24"/>
        </w:rPr>
        <w:t>4、本合同一式六份，东阳市采购办、招标代理机构各执一份，甲、乙双方各执二份，其都具有同等法律效力。</w:t>
      </w:r>
    </w:p>
    <w:p>
      <w:pPr>
        <w:spacing w:line="440" w:lineRule="exact"/>
        <w:ind w:firstLine="480" w:firstLineChars="200"/>
        <w:rPr>
          <w:rFonts w:ascii="宋体"/>
          <w:sz w:val="24"/>
        </w:rPr>
      </w:pPr>
      <w:r>
        <w:rPr>
          <w:rFonts w:hint="eastAsia" w:ascii="宋体"/>
          <w:sz w:val="24"/>
        </w:rPr>
        <w:t>5、后附政府采购廉洁承诺书。</w:t>
      </w:r>
    </w:p>
    <w:p>
      <w:pPr>
        <w:spacing w:line="440" w:lineRule="exact"/>
        <w:ind w:firstLine="643" w:firstLineChars="200"/>
        <w:jc w:val="left"/>
        <w:rPr>
          <w:rFonts w:ascii="仿宋_GB2312" w:eastAsia="仿宋_GB2312" w:cs="Arial"/>
          <w:b/>
          <w:sz w:val="32"/>
          <w:szCs w:val="32"/>
        </w:rPr>
      </w:pPr>
    </w:p>
    <w:p>
      <w:pPr>
        <w:snapToGrid w:val="0"/>
        <w:spacing w:line="440" w:lineRule="exact"/>
        <w:ind w:left="228" w:leftChars="114" w:firstLine="360" w:firstLineChars="150"/>
        <w:rPr>
          <w:rFonts w:ascii="宋体" w:cs="宋体"/>
          <w:sz w:val="24"/>
        </w:rPr>
      </w:pPr>
    </w:p>
    <w:p>
      <w:pPr>
        <w:snapToGrid w:val="0"/>
        <w:spacing w:line="440" w:lineRule="exact"/>
        <w:ind w:firstLine="480" w:firstLineChars="200"/>
        <w:rPr>
          <w:rFonts w:ascii="宋体" w:cs="宋体"/>
          <w:sz w:val="24"/>
        </w:rPr>
      </w:pPr>
      <w:r>
        <w:rPr>
          <w:rFonts w:hint="eastAsia" w:ascii="宋体" w:cs="宋体"/>
          <w:sz w:val="24"/>
        </w:rPr>
        <w:t xml:space="preserve">甲方（盖章）：                            乙方（盖章）：  </w:t>
      </w:r>
    </w:p>
    <w:p>
      <w:pPr>
        <w:snapToGrid w:val="0"/>
        <w:spacing w:line="440" w:lineRule="exact"/>
        <w:ind w:firstLine="480" w:firstLineChars="200"/>
        <w:rPr>
          <w:rFonts w:ascii="宋体" w:cs="宋体"/>
          <w:sz w:val="24"/>
        </w:rPr>
      </w:pPr>
      <w:r>
        <w:rPr>
          <w:rFonts w:hint="eastAsia" w:ascii="宋体" w:cs="宋体"/>
          <w:sz w:val="24"/>
        </w:rPr>
        <w:t>法定代表人或授权                         法定代表人或授权</w:t>
      </w:r>
    </w:p>
    <w:p>
      <w:pPr>
        <w:snapToGrid w:val="0"/>
        <w:spacing w:line="440" w:lineRule="exact"/>
        <w:ind w:firstLine="480" w:firstLineChars="200"/>
        <w:rPr>
          <w:rFonts w:ascii="宋体" w:cs="宋体"/>
          <w:sz w:val="24"/>
        </w:rPr>
      </w:pPr>
      <w:r>
        <w:rPr>
          <w:rFonts w:hint="eastAsia" w:ascii="宋体" w:cs="宋体"/>
          <w:sz w:val="24"/>
        </w:rPr>
        <w:t>（签字）                                 （签字）</w:t>
      </w:r>
    </w:p>
    <w:p>
      <w:pPr>
        <w:snapToGrid w:val="0"/>
        <w:spacing w:line="440" w:lineRule="exact"/>
        <w:ind w:firstLine="480" w:firstLineChars="200"/>
        <w:rPr>
          <w:rFonts w:ascii="宋体" w:cs="宋体"/>
          <w:sz w:val="24"/>
        </w:rPr>
      </w:pPr>
      <w:r>
        <w:rPr>
          <w:rFonts w:hint="eastAsia" w:ascii="宋体" w:cs="宋体"/>
          <w:sz w:val="24"/>
        </w:rPr>
        <w:t>联系电话：                                联系电话</w:t>
      </w:r>
    </w:p>
    <w:p>
      <w:pPr>
        <w:snapToGrid w:val="0"/>
        <w:spacing w:line="440" w:lineRule="exact"/>
        <w:ind w:firstLine="480" w:firstLineChars="200"/>
        <w:rPr>
          <w:rFonts w:ascii="宋体" w:cs="宋体"/>
          <w:sz w:val="24"/>
        </w:rPr>
      </w:pPr>
      <w:r>
        <w:rPr>
          <w:rFonts w:hint="eastAsia" w:ascii="宋体" w:cs="宋体"/>
          <w:sz w:val="24"/>
        </w:rPr>
        <w:t>地址：                                    地址：</w:t>
      </w:r>
    </w:p>
    <w:p>
      <w:pPr>
        <w:snapToGrid w:val="0"/>
        <w:spacing w:line="440" w:lineRule="exact"/>
        <w:ind w:firstLine="480" w:firstLineChars="200"/>
        <w:rPr>
          <w:rFonts w:ascii="宋体" w:cs="宋体"/>
          <w:sz w:val="24"/>
        </w:rPr>
      </w:pPr>
      <w:r>
        <w:rPr>
          <w:rFonts w:hint="eastAsia" w:ascii="宋体" w:cs="宋体"/>
          <w:sz w:val="24"/>
        </w:rPr>
        <w:t xml:space="preserve">                                          开户银行：</w:t>
      </w:r>
    </w:p>
    <w:p>
      <w:pPr>
        <w:snapToGrid w:val="0"/>
        <w:spacing w:line="440" w:lineRule="exact"/>
        <w:ind w:firstLine="480" w:firstLineChars="200"/>
        <w:rPr>
          <w:rFonts w:ascii="宋体" w:cs="宋体"/>
          <w:sz w:val="24"/>
        </w:rPr>
      </w:pPr>
      <w:r>
        <w:rPr>
          <w:rFonts w:hint="eastAsia" w:ascii="宋体" w:cs="宋体"/>
          <w:sz w:val="24"/>
        </w:rPr>
        <w:t xml:space="preserve">                                          账号：</w:t>
      </w:r>
    </w:p>
    <w:p>
      <w:pPr>
        <w:snapToGrid w:val="0"/>
        <w:spacing w:line="440" w:lineRule="exact"/>
        <w:ind w:firstLine="480" w:firstLineChars="200"/>
        <w:rPr>
          <w:rFonts w:ascii="宋体" w:cs="宋体"/>
          <w:sz w:val="24"/>
        </w:rPr>
      </w:pPr>
      <w:r>
        <w:rPr>
          <w:rFonts w:hint="eastAsia" w:ascii="宋体" w:cs="宋体"/>
          <w:sz w:val="24"/>
        </w:rPr>
        <w:t>签约地点：</w:t>
      </w:r>
    </w:p>
    <w:p>
      <w:pPr>
        <w:snapToGrid w:val="0"/>
        <w:spacing w:line="440" w:lineRule="exact"/>
        <w:ind w:firstLine="480" w:firstLineChars="200"/>
        <w:rPr>
          <w:rFonts w:ascii="宋体" w:cs="宋体"/>
          <w:sz w:val="30"/>
          <w:szCs w:val="30"/>
        </w:rPr>
      </w:pPr>
      <w:r>
        <w:rPr>
          <w:rFonts w:hint="eastAsia" w:ascii="宋体" w:cs="宋体"/>
          <w:sz w:val="24"/>
        </w:rPr>
        <w:t>签字日期：    年  月  日                  签字日期：   年  月  日</w:t>
      </w:r>
    </w:p>
    <w:p>
      <w:pPr>
        <w:pStyle w:val="19"/>
        <w:spacing w:beforeLines="0" w:afterLines="0" w:line="440" w:lineRule="exact"/>
        <w:ind w:firstLine="360" w:firstLineChars="150"/>
      </w:pPr>
    </w:p>
    <w:p>
      <w:pPr>
        <w:pStyle w:val="19"/>
        <w:spacing w:beforeLines="0" w:afterLines="0" w:line="440" w:lineRule="exact"/>
        <w:ind w:firstLine="480" w:firstLineChars="200"/>
      </w:pPr>
      <w:r>
        <w:rPr>
          <w:rFonts w:hint="eastAsia"/>
        </w:rPr>
        <w:t>鉴证方:</w:t>
      </w:r>
    </w:p>
    <w:p>
      <w:pPr>
        <w:pStyle w:val="19"/>
        <w:spacing w:beforeLines="0" w:afterLines="0" w:line="440" w:lineRule="exact"/>
        <w:ind w:firstLine="480" w:firstLineChars="200"/>
      </w:pPr>
      <w:r>
        <w:rPr>
          <w:rFonts w:hint="eastAsia"/>
        </w:rPr>
        <w:t>法定代表人或主要负责人:</w:t>
      </w:r>
    </w:p>
    <w:p>
      <w:pPr>
        <w:pStyle w:val="19"/>
        <w:spacing w:beforeLines="0" w:afterLines="0" w:line="440" w:lineRule="exact"/>
        <w:rPr>
          <w:b/>
          <w:sz w:val="36"/>
        </w:rPr>
      </w:pPr>
    </w:p>
    <w:p>
      <w:pPr>
        <w:pageBreakBefore/>
        <w:spacing w:line="360" w:lineRule="auto"/>
        <w:ind w:firstLine="3534" w:firstLineChars="1100"/>
        <w:outlineLvl w:val="1"/>
        <w:rPr>
          <w:b/>
          <w:sz w:val="32"/>
          <w:szCs w:val="32"/>
        </w:rPr>
      </w:pPr>
      <w:r>
        <w:rPr>
          <w:rFonts w:hint="eastAsia"/>
          <w:b/>
          <w:sz w:val="32"/>
          <w:szCs w:val="32"/>
        </w:rPr>
        <w:t>政府采购廉洁承诺书</w:t>
      </w:r>
      <w:bookmarkEnd w:id="1"/>
    </w:p>
    <w:p>
      <w:pPr>
        <w:spacing w:line="360" w:lineRule="auto"/>
        <w:rPr>
          <w:sz w:val="24"/>
        </w:rPr>
      </w:pPr>
      <w:r>
        <w:rPr>
          <w:rFonts w:hint="eastAsia"/>
          <w:sz w:val="24"/>
        </w:rPr>
        <w:t>项目名称：                                     项目编号：</w:t>
      </w:r>
    </w:p>
    <w:p>
      <w:pPr>
        <w:spacing w:line="360" w:lineRule="auto"/>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28"/>
        <w:ind w:firstLine="0" w:firstLineChars="0"/>
        <w:rPr>
          <w:rFonts w:eastAsia="宋体"/>
        </w:rPr>
      </w:pPr>
    </w:p>
    <w:p>
      <w:pPr>
        <w:spacing w:line="360" w:lineRule="auto"/>
        <w:ind w:left="840" w:hanging="840" w:hangingChars="350"/>
        <w:jc w:val="center"/>
        <w:rPr>
          <w:sz w:val="24"/>
        </w:rPr>
      </w:pPr>
      <w:r>
        <w:rPr>
          <w:rFonts w:hint="eastAsia"/>
          <w:sz w:val="24"/>
        </w:rPr>
        <w:t xml:space="preserve">   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rPr>
          <w:sz w:val="24"/>
        </w:rPr>
      </w:pPr>
      <w:r>
        <w:rPr>
          <w:rFonts w:hint="eastAsia"/>
          <w:sz w:val="24"/>
        </w:rPr>
        <w:t xml:space="preserve">                                                    年    月   日</w:t>
      </w:r>
    </w:p>
    <w:p>
      <w:pPr>
        <w:pStyle w:val="19"/>
        <w:tabs>
          <w:tab w:val="left" w:pos="2472"/>
        </w:tabs>
        <w:snapToGrid w:val="0"/>
        <w:spacing w:beforeLines="0" w:afterLines="0" w:line="240" w:lineRule="auto"/>
        <w:ind w:firstLine="3012" w:firstLineChars="10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Lines="50" w:after="50"/>
        <w:jc w:val="center"/>
        <w:rPr>
          <w:rFonts w:ascii="宋体" w:hAnsi="宋体" w:cs="宋体"/>
          <w:color w:val="000000"/>
          <w:sz w:val="24"/>
          <w:szCs w:val="24"/>
        </w:rPr>
      </w:pPr>
    </w:p>
    <w:p>
      <w:pPr>
        <w:snapToGrid w:val="0"/>
        <w:spacing w:beforeLines="50" w:after="50"/>
        <w:jc w:val="center"/>
        <w:rPr>
          <w:rFonts w:ascii="宋体" w:hAnsi="宋体" w:cs="宋体"/>
          <w:color w:val="000000"/>
          <w:sz w:val="24"/>
          <w:szCs w:val="24"/>
        </w:rPr>
      </w:pPr>
      <w:r>
        <w:rPr>
          <w:rFonts w:hint="eastAsia" w:ascii="宋体" w:hAnsi="宋体" w:cs="宋体"/>
          <w:color w:val="000000"/>
          <w:sz w:val="24"/>
          <w:szCs w:val="24"/>
        </w:rPr>
        <w:t>投标文件</w:t>
      </w:r>
    </w:p>
    <w:p>
      <w:pPr>
        <w:snapToGrid w:val="0"/>
        <w:spacing w:beforeLines="50" w:after="50"/>
        <w:rPr>
          <w:rFonts w:ascii="宋体" w:hAnsi="宋体" w:cs="宋体"/>
          <w:color w:val="000000"/>
          <w:sz w:val="24"/>
          <w:szCs w:val="24"/>
        </w:rPr>
      </w:pP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项目名称：东阳市残疾人康复托养中心公建民营项目</w:t>
      </w:r>
    </w:p>
    <w:p>
      <w:pPr>
        <w:snapToGrid w:val="0"/>
        <w:spacing w:beforeLines="50" w:after="50"/>
        <w:ind w:firstLine="1068" w:firstLineChars="445"/>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项目编号：DYBWCG2022-</w:t>
      </w:r>
      <w:r>
        <w:rPr>
          <w:rFonts w:hint="eastAsia" w:ascii="宋体" w:hAnsi="宋体" w:cs="宋体"/>
          <w:color w:val="000000"/>
          <w:sz w:val="24"/>
          <w:szCs w:val="24"/>
          <w:lang w:val="en-US" w:eastAsia="zh-CN"/>
        </w:rPr>
        <w:t>031</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Lines="50" w:after="50"/>
        <w:outlineLvl w:val="1"/>
        <w:rPr>
          <w:rFonts w:ascii="宋体" w:hAnsi="宋体" w:cs="宋体"/>
          <w:color w:val="000000"/>
        </w:rPr>
      </w:pPr>
    </w:p>
    <w:p>
      <w:pPr>
        <w:snapToGrid w:val="0"/>
        <w:spacing w:beforeLines="50" w:after="50"/>
        <w:rPr>
          <w:rFonts w:ascii="宋体" w:hAnsi="宋体" w:cs="宋体"/>
          <w:b/>
          <w:bCs/>
          <w:color w:val="000000"/>
          <w:sz w:val="24"/>
          <w:szCs w:val="24"/>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Lines="50" w:after="50"/>
        <w:rPr>
          <w:rFonts w:ascii="宋体" w:hAnsi="宋体" w:cs="宋体"/>
          <w:color w:val="000000"/>
          <w:sz w:val="24"/>
          <w:szCs w:val="24"/>
        </w:rPr>
      </w:pPr>
    </w:p>
    <w:p>
      <w:pPr>
        <w:snapToGrid w:val="0"/>
        <w:spacing w:beforeLines="50" w:after="50"/>
        <w:jc w:val="center"/>
        <w:rPr>
          <w:rFonts w:ascii="宋体" w:hAnsi="宋体" w:cs="宋体"/>
          <w:color w:val="000000"/>
          <w:sz w:val="24"/>
          <w:szCs w:val="24"/>
        </w:rPr>
      </w:pPr>
    </w:p>
    <w:p>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项目名称：东阳市残疾人康复托养中心公建民营项目</w:t>
      </w:r>
    </w:p>
    <w:p>
      <w:pPr>
        <w:snapToGrid w:val="0"/>
        <w:spacing w:beforeLines="50" w:after="50"/>
        <w:ind w:firstLine="1068" w:firstLineChars="445"/>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项目编号：DYBWCG2022-</w:t>
      </w:r>
      <w:r>
        <w:rPr>
          <w:rFonts w:hint="eastAsia" w:ascii="宋体" w:hAnsi="宋体" w:cs="宋体"/>
          <w:color w:val="000000"/>
          <w:sz w:val="24"/>
          <w:szCs w:val="24"/>
          <w:lang w:val="en-US" w:eastAsia="zh-CN"/>
        </w:rPr>
        <w:t>031</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pStyle w:val="7"/>
        <w:snapToGrid w:val="0"/>
        <w:spacing w:before="50" w:after="50"/>
        <w:ind w:firstLine="960" w:firstLineChars="400"/>
        <w:rPr>
          <w:rFonts w:ascii="宋体" w:hAnsi="宋体" w:cs="宋体"/>
          <w:color w:val="000000"/>
          <w:sz w:val="24"/>
          <w:szCs w:val="24"/>
        </w:rPr>
      </w:pP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jc w:val="left"/>
        <w:rPr>
          <w:rFonts w:ascii="宋体" w:hAnsi="宋体" w:cs="宋体"/>
          <w:b/>
          <w:sz w:val="24"/>
        </w:rPr>
      </w:pPr>
      <w:r>
        <w:rPr>
          <w:rFonts w:hint="eastAsia" w:ascii="宋体" w:hAnsi="宋体" w:cs="宋体"/>
          <w:b/>
          <w:bCs/>
          <w:color w:val="000000"/>
          <w:sz w:val="24"/>
          <w:szCs w:val="24"/>
        </w:rPr>
        <w:t>3.资格审查文件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（1）有效的营业执照复印件；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（2）法定代表人授权委托书(格式见附件)；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（3）法定代表人身份证复印件或被授权人身份证复印件；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（4）县（市）区（含）以上卫健部门颁发的《医疗机构执业许可证》证书和</w:t>
      </w:r>
      <w:r>
        <w:rPr>
          <w:rFonts w:hint="eastAsia" w:hAnsi="宋体"/>
        </w:rPr>
        <w:t>养老机构设立许可证（或社会福利机构设立批准证书）证书</w:t>
      </w:r>
      <w:r>
        <w:rPr>
          <w:rFonts w:hint="eastAsia" w:hAnsi="宋体"/>
          <w:color w:val="000000"/>
          <w:lang w:val="zh-CN"/>
        </w:rPr>
        <w:t>复印件；</w:t>
      </w:r>
    </w:p>
    <w:p>
      <w:pPr>
        <w:pStyle w:val="19"/>
        <w:snapToGrid w:val="0"/>
        <w:spacing w:beforeLines="0" w:afterLines="0" w:line="440" w:lineRule="exact"/>
        <w:ind w:firstLine="240" w:firstLineChars="100"/>
        <w:rPr>
          <w:rFonts w:hAnsi="宋体"/>
          <w:bCs/>
          <w:szCs w:val="22"/>
        </w:rPr>
      </w:pPr>
      <w:r>
        <w:rPr>
          <w:rFonts w:hint="eastAsia" w:hAnsi="宋体"/>
          <w:color w:val="000000"/>
        </w:rPr>
        <w:t>（5）</w:t>
      </w:r>
      <w:r>
        <w:rPr>
          <w:rFonts w:hint="eastAsia" w:hAnsi="宋体"/>
          <w:bCs/>
          <w:szCs w:val="22"/>
        </w:rPr>
        <w:t xml:space="preserve">符合参加政府采购活动应当具备的一般条件的承诺函(格式见附件) </w:t>
      </w:r>
    </w:p>
    <w:p>
      <w:pPr>
        <w:pStyle w:val="19"/>
        <w:snapToGrid w:val="0"/>
        <w:spacing w:beforeLines="0" w:afterLines="0" w:line="440" w:lineRule="exact"/>
        <w:ind w:firstLine="240" w:firstLineChars="100"/>
        <w:rPr>
          <w:rFonts w:hAnsi="宋体"/>
          <w:color w:val="000000"/>
        </w:rPr>
      </w:pPr>
      <w:r>
        <w:rPr>
          <w:rFonts w:hint="eastAsia" w:hAnsi="宋体"/>
          <w:color w:val="000000"/>
        </w:rPr>
        <w:t>（6）浙江政府采购网注册正式供应商的网络截图或承诺书；</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7</w:t>
      </w:r>
      <w:r>
        <w:rPr>
          <w:rFonts w:hint="eastAsia" w:hAnsi="宋体"/>
          <w:color w:val="000000"/>
          <w:lang w:val="zh-CN"/>
        </w:rPr>
        <w:t>）政府采购活动现场确认声明书 (格式见附件) ；</w:t>
      </w:r>
    </w:p>
    <w:p>
      <w:pPr>
        <w:pStyle w:val="19"/>
        <w:snapToGrid w:val="0"/>
        <w:spacing w:beforeLines="0" w:afterLines="0" w:line="440" w:lineRule="exact"/>
        <w:ind w:firstLine="240" w:firstLineChars="100"/>
        <w:rPr>
          <w:rFonts w:hAnsi="宋体"/>
        </w:rPr>
      </w:pPr>
      <w:r>
        <w:rPr>
          <w:rFonts w:hint="eastAsia" w:hAnsi="宋体"/>
        </w:rPr>
        <w:t>（8）联合体协议（格式见附件，如有）。</w:t>
      </w: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82" w:firstLineChars="20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p>
    <w:p>
      <w:pPr>
        <w:snapToGrid w:val="0"/>
        <w:spacing w:beforeLines="50"/>
        <w:jc w:val="left"/>
        <w:rPr>
          <w:rFonts w:ascii="宋体" w:hAnsi="宋体" w:cs="宋体"/>
          <w:b/>
          <w:bCs/>
          <w:color w:val="000000"/>
          <w:sz w:val="24"/>
          <w:szCs w:val="24"/>
        </w:rPr>
      </w:pPr>
      <w:r>
        <w:rPr>
          <w:rFonts w:hint="eastAsia" w:ascii="宋体" w:hAnsi="宋体" w:cs="宋体"/>
          <w:b/>
          <w:bCs/>
          <w:color w:val="000000"/>
          <w:sz w:val="24"/>
          <w:szCs w:val="24"/>
        </w:rPr>
        <w:t>4、技术、资信及商务文件：</w:t>
      </w:r>
    </w:p>
    <w:p>
      <w:pPr>
        <w:pStyle w:val="19"/>
        <w:snapToGrid w:val="0"/>
        <w:spacing w:beforeLines="0" w:afterLines="0" w:line="440" w:lineRule="exact"/>
        <w:ind w:firstLine="240" w:firstLineChars="100"/>
        <w:rPr>
          <w:rFonts w:hAnsi="宋体"/>
          <w:color w:val="000000"/>
        </w:rPr>
      </w:pPr>
      <w:r>
        <w:rPr>
          <w:rFonts w:hint="eastAsia" w:hAnsi="宋体"/>
          <w:color w:val="000000"/>
        </w:rPr>
        <w:t>（1）投标人技术、资信及商务自评得分表</w:t>
      </w:r>
      <w:r>
        <w:rPr>
          <w:rFonts w:hint="eastAsia" w:hAnsi="宋体"/>
          <w:color w:val="000000"/>
          <w:lang w:val="zh-CN"/>
        </w:rPr>
        <w:t>（格式见附件）</w:t>
      </w:r>
      <w:r>
        <w:rPr>
          <w:rFonts w:hint="eastAsia" w:hAnsi="宋体"/>
          <w:color w:val="000000"/>
        </w:rPr>
        <w:t>；</w:t>
      </w:r>
    </w:p>
    <w:p>
      <w:pPr>
        <w:pStyle w:val="19"/>
        <w:snapToGrid w:val="0"/>
        <w:spacing w:beforeLines="0" w:afterLines="0" w:line="440" w:lineRule="exact"/>
        <w:ind w:firstLine="240" w:firstLineChars="100"/>
        <w:rPr>
          <w:rFonts w:hAnsi="宋体"/>
          <w:color w:val="000000"/>
        </w:rPr>
      </w:pPr>
      <w:r>
        <w:rPr>
          <w:rFonts w:hint="eastAsia" w:hAnsi="宋体"/>
          <w:color w:val="000000"/>
        </w:rPr>
        <w:t xml:space="preserve">（2）投标声明书 (格式见附件) ； </w:t>
      </w:r>
    </w:p>
    <w:p>
      <w:pPr>
        <w:pStyle w:val="19"/>
        <w:snapToGrid w:val="0"/>
        <w:spacing w:beforeLines="0" w:afterLines="0" w:line="440" w:lineRule="exact"/>
        <w:ind w:firstLine="240" w:firstLineChars="100"/>
        <w:rPr>
          <w:rFonts w:hAnsi="宋体"/>
          <w:color w:val="000000"/>
          <w:lang w:val="zh-CN"/>
        </w:rPr>
      </w:pPr>
      <w:r>
        <w:rPr>
          <w:rFonts w:hint="eastAsia" w:hAnsi="宋体"/>
          <w:color w:val="000000"/>
        </w:rPr>
        <w:t>（3）</w:t>
      </w:r>
      <w:r>
        <w:rPr>
          <w:rFonts w:hint="eastAsia" w:hAnsi="宋体"/>
          <w:color w:val="000000"/>
          <w:lang w:val="zh-CN"/>
        </w:rPr>
        <w:t>投标单位情况表（格式见附件）；</w:t>
      </w:r>
    </w:p>
    <w:p>
      <w:pPr>
        <w:pStyle w:val="19"/>
        <w:snapToGrid w:val="0"/>
        <w:spacing w:beforeLines="0" w:afterLines="0" w:line="440" w:lineRule="exact"/>
        <w:ind w:firstLine="240" w:firstLineChars="100"/>
        <w:rPr>
          <w:rFonts w:hAnsi="宋体"/>
          <w:color w:val="000000"/>
        </w:rPr>
      </w:pPr>
      <w:r>
        <w:rPr>
          <w:rFonts w:hint="eastAsia" w:hAnsi="宋体"/>
          <w:color w:val="000000"/>
        </w:rPr>
        <w:t>（4）投标人</w:t>
      </w:r>
      <w:r>
        <w:rPr>
          <w:rFonts w:hint="eastAsia" w:hAnsi="宋体"/>
          <w:color w:val="000000"/>
          <w:lang w:eastAsia="zh-CN"/>
        </w:rPr>
        <w:t>相关荣誉</w:t>
      </w:r>
      <w:r>
        <w:rPr>
          <w:rFonts w:hint="eastAsia" w:hAnsi="宋体"/>
          <w:color w:val="000000"/>
        </w:rPr>
        <w:t>；</w:t>
      </w:r>
    </w:p>
    <w:p>
      <w:pPr>
        <w:pStyle w:val="19"/>
        <w:snapToGrid w:val="0"/>
        <w:spacing w:beforeLines="0" w:afterLines="0" w:line="440" w:lineRule="exact"/>
        <w:ind w:firstLine="240" w:firstLineChars="100"/>
        <w:rPr>
          <w:rFonts w:hAnsi="宋体"/>
          <w:color w:val="000000"/>
        </w:rPr>
      </w:pPr>
      <w:r>
        <w:rPr>
          <w:rFonts w:hint="eastAsia" w:hAnsi="宋体"/>
          <w:color w:val="000000"/>
        </w:rPr>
        <w:t>（5）承担过的类似项目业绩（格式见附件）；</w:t>
      </w:r>
    </w:p>
    <w:p>
      <w:pPr>
        <w:pStyle w:val="19"/>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（6）投标人相关实力；</w:t>
      </w:r>
    </w:p>
    <w:p>
      <w:pPr>
        <w:pStyle w:val="19"/>
        <w:snapToGrid w:val="0"/>
        <w:spacing w:beforeLines="0" w:afterLines="0" w:line="440" w:lineRule="exact"/>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7</w:t>
      </w:r>
      <w:r>
        <w:rPr>
          <w:rFonts w:hint="eastAsia" w:hAnsi="宋体"/>
          <w:color w:val="000000"/>
          <w:lang w:eastAsia="zh-CN"/>
        </w:rPr>
        <w:t>）管理理念、方式和管理项目；</w:t>
      </w:r>
    </w:p>
    <w:p>
      <w:pPr>
        <w:pStyle w:val="19"/>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（8）财务分析；</w:t>
      </w:r>
    </w:p>
    <w:p>
      <w:pPr>
        <w:pStyle w:val="19"/>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9</w:t>
      </w:r>
      <w:r>
        <w:rPr>
          <w:rFonts w:hint="eastAsia" w:hAnsi="宋体"/>
          <w:color w:val="000000"/>
        </w:rPr>
        <w:t>）拟投入项目成员一览表（格式见附件）；</w:t>
      </w:r>
    </w:p>
    <w:p>
      <w:pPr>
        <w:pStyle w:val="19"/>
        <w:snapToGrid w:val="0"/>
        <w:spacing w:beforeLines="0" w:afterLines="0" w:line="440" w:lineRule="exact"/>
        <w:ind w:firstLine="240" w:firstLineChars="100"/>
        <w:rPr>
          <w:rFonts w:hint="eastAsia" w:hAnsi="宋体" w:eastAsia="宋体"/>
          <w:color w:val="000000"/>
          <w:lang w:eastAsia="zh-CN"/>
        </w:rPr>
      </w:pPr>
      <w:r>
        <w:rPr>
          <w:rFonts w:hint="eastAsia" w:hAnsi="宋体"/>
          <w:color w:val="000000"/>
          <w:lang w:eastAsia="zh-CN"/>
        </w:rPr>
        <w:t>（</w:t>
      </w:r>
      <w:r>
        <w:rPr>
          <w:rFonts w:hint="eastAsia" w:hAnsi="宋体"/>
          <w:color w:val="000000"/>
          <w:lang w:val="en-US" w:eastAsia="zh-CN"/>
        </w:rPr>
        <w:t>10</w:t>
      </w:r>
      <w:r>
        <w:rPr>
          <w:rFonts w:hint="eastAsia" w:hAnsi="宋体"/>
          <w:color w:val="000000"/>
          <w:lang w:eastAsia="zh-CN"/>
        </w:rPr>
        <w:t>）项目服务方案；</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w:t>
      </w:r>
      <w:r>
        <w:rPr>
          <w:rFonts w:hint="eastAsia" w:hAnsi="宋体"/>
          <w:color w:val="000000"/>
          <w:lang w:val="en-US" w:eastAsia="zh-CN"/>
        </w:rPr>
        <w:t>1</w:t>
      </w:r>
      <w:r>
        <w:rPr>
          <w:rFonts w:hint="eastAsia" w:hAnsi="宋体"/>
          <w:color w:val="000000"/>
          <w:lang w:val="zh-CN"/>
        </w:rPr>
        <w:t>）</w:t>
      </w:r>
      <w:r>
        <w:rPr>
          <w:rFonts w:hint="eastAsia" w:hAnsi="宋体"/>
          <w:color w:val="000000"/>
        </w:rPr>
        <w:t>投入装修方案</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12</w:t>
      </w:r>
      <w:r>
        <w:rPr>
          <w:rFonts w:hint="eastAsia" w:hAnsi="宋体"/>
          <w:color w:val="000000"/>
        </w:rPr>
        <w:t>）三年内投入费用清单表（格式见附件）；</w:t>
      </w:r>
    </w:p>
    <w:p>
      <w:pPr>
        <w:pStyle w:val="19"/>
        <w:snapToGrid w:val="0"/>
        <w:spacing w:beforeLines="0" w:afterLines="0" w:line="440" w:lineRule="exact"/>
        <w:ind w:firstLine="240" w:firstLineChars="100"/>
        <w:rPr>
          <w:rFonts w:hint="eastAsia" w:hAnsi="宋体"/>
          <w:color w:val="000000"/>
        </w:rPr>
      </w:pPr>
      <w:r>
        <w:rPr>
          <w:rFonts w:hint="eastAsia" w:hAnsi="宋体"/>
          <w:color w:val="000000"/>
          <w:lang w:val="zh-CN"/>
        </w:rPr>
        <w:t>（</w:t>
      </w:r>
      <w:r>
        <w:rPr>
          <w:rFonts w:hint="eastAsia" w:hAnsi="宋体"/>
          <w:color w:val="000000"/>
        </w:rPr>
        <w:t>13</w:t>
      </w:r>
      <w:r>
        <w:rPr>
          <w:rFonts w:hint="eastAsia" w:hAnsi="宋体"/>
          <w:color w:val="000000"/>
          <w:lang w:val="zh-CN"/>
        </w:rPr>
        <w:t>）</w:t>
      </w:r>
      <w:r>
        <w:rPr>
          <w:rFonts w:hint="eastAsia" w:hAnsi="宋体"/>
          <w:color w:val="000000"/>
        </w:rPr>
        <w:t>管理规章制度及应急、安全保障措施</w:t>
      </w:r>
      <w:r>
        <w:rPr>
          <w:rFonts w:hint="eastAsia" w:hAnsi="宋体"/>
          <w:color w:val="000000"/>
          <w:lang w:val="zh-CN"/>
        </w:rPr>
        <w:t>；</w:t>
      </w:r>
    </w:p>
    <w:p>
      <w:pPr>
        <w:pStyle w:val="19"/>
        <w:snapToGrid w:val="0"/>
        <w:spacing w:beforeLines="0" w:afterLines="0" w:line="440" w:lineRule="exact"/>
        <w:ind w:firstLine="240" w:firstLineChars="100"/>
        <w:rPr>
          <w:rFonts w:hint="eastAsia" w:hAnsi="宋体" w:eastAsia="宋体"/>
          <w:color w:val="000000"/>
          <w:lang w:eastAsia="zh-CN"/>
        </w:rPr>
      </w:pPr>
      <w:r>
        <w:rPr>
          <w:rFonts w:hint="eastAsia" w:hAnsi="宋体"/>
          <w:color w:val="000000"/>
          <w:lang w:eastAsia="zh-CN"/>
        </w:rPr>
        <w:t>（</w:t>
      </w:r>
      <w:r>
        <w:rPr>
          <w:rFonts w:hint="eastAsia" w:hAnsi="宋体"/>
          <w:color w:val="000000"/>
          <w:lang w:val="en-US" w:eastAsia="zh-CN"/>
        </w:rPr>
        <w:t>14</w:t>
      </w:r>
      <w:r>
        <w:rPr>
          <w:rFonts w:hint="eastAsia" w:hAnsi="宋体"/>
          <w:color w:val="000000"/>
          <w:lang w:eastAsia="zh-CN"/>
        </w:rPr>
        <w:t>）</w:t>
      </w:r>
      <w:r>
        <w:rPr>
          <w:rFonts w:hint="eastAsia" w:hAnsi="宋体"/>
          <w:color w:val="000000"/>
        </w:rPr>
        <w:t>关键技术难点、解决方案及合理化建议</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15</w:t>
      </w:r>
      <w:r>
        <w:rPr>
          <w:rFonts w:hint="eastAsia" w:hAnsi="宋体"/>
          <w:color w:val="000000"/>
          <w:lang w:val="zh-CN"/>
        </w:rPr>
        <w:t>）</w:t>
      </w:r>
      <w:r>
        <w:rPr>
          <w:rFonts w:hint="eastAsia" w:hAnsi="宋体"/>
          <w:color w:val="000000"/>
        </w:rPr>
        <w:t>增值服务、优惠承诺</w:t>
      </w:r>
      <w:r>
        <w:rPr>
          <w:rFonts w:hint="eastAsia" w:hAnsi="宋体"/>
          <w:color w:val="000000"/>
          <w:lang w:val="zh-CN"/>
        </w:rPr>
        <w:t>；</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16</w:t>
      </w:r>
      <w:r>
        <w:rPr>
          <w:rFonts w:hint="eastAsia" w:hAnsi="宋体"/>
          <w:color w:val="000000"/>
          <w:lang w:val="zh-CN"/>
        </w:rPr>
        <w:t>）其他承诺和建议；</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17</w:t>
      </w:r>
      <w:r>
        <w:rPr>
          <w:rFonts w:hint="eastAsia" w:hAnsi="宋体"/>
          <w:color w:val="000000"/>
          <w:lang w:val="zh-CN"/>
        </w:rPr>
        <w:t>）政府采购供应商诚信承诺书（格式见附件）；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lang w:val="zh-CN"/>
        </w:rPr>
        <w:t>（</w:t>
      </w:r>
      <w:r>
        <w:rPr>
          <w:rFonts w:hint="eastAsia" w:hAnsi="宋体"/>
          <w:color w:val="000000"/>
        </w:rPr>
        <w:t>18</w:t>
      </w:r>
      <w:r>
        <w:rPr>
          <w:rFonts w:hint="eastAsia" w:hAnsi="宋体"/>
          <w:color w:val="000000"/>
          <w:lang w:val="zh-CN"/>
        </w:rPr>
        <w:t>）服务费承诺书（格式见附件）；</w:t>
      </w:r>
    </w:p>
    <w:p>
      <w:pPr>
        <w:pStyle w:val="19"/>
        <w:snapToGrid w:val="0"/>
        <w:spacing w:beforeLines="0" w:afterLines="0" w:line="440" w:lineRule="exact"/>
        <w:ind w:firstLine="240" w:firstLineChars="100"/>
        <w:rPr>
          <w:rFonts w:hAnsi="宋体"/>
          <w:color w:val="000000"/>
          <w:lang w:val="zh-CN"/>
        </w:rPr>
      </w:pPr>
      <w:r>
        <w:rPr>
          <w:rFonts w:hint="eastAsia" w:hAnsi="宋体"/>
          <w:color w:val="000000"/>
        </w:rPr>
        <w:t>（19）其它按照评标办法可加分的内容说明、证明文件；</w:t>
      </w:r>
    </w:p>
    <w:p>
      <w:pPr>
        <w:pStyle w:val="19"/>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20</w:t>
      </w:r>
      <w:r>
        <w:rPr>
          <w:rFonts w:hint="eastAsia" w:hAnsi="宋体"/>
          <w:color w:val="000000"/>
          <w:lang w:val="zh-CN"/>
        </w:rPr>
        <w:t>）投标人认为有必要提供的其它文件。</w:t>
      </w:r>
    </w:p>
    <w:p>
      <w:pPr>
        <w:pStyle w:val="6"/>
        <w:rPr>
          <w:rFonts w:ascii="宋体" w:hAnsi="宋体" w:eastAsia="宋体" w:cs="宋体"/>
          <w:color w:val="000000"/>
          <w:sz w:val="24"/>
          <w:szCs w:val="24"/>
        </w:rPr>
      </w:pPr>
    </w:p>
    <w:p>
      <w:pPr>
        <w:rPr>
          <w:rFonts w:ascii="宋体" w:hAnsi="宋体" w:cs="宋体"/>
          <w:b/>
          <w:bCs/>
          <w:color w:val="000000"/>
          <w:sz w:val="24"/>
          <w:szCs w:val="24"/>
        </w:rPr>
      </w:pPr>
    </w:p>
    <w:p>
      <w:pPr>
        <w:pStyle w:val="6"/>
        <w:rPr>
          <w:rFonts w:ascii="宋体" w:hAnsi="宋体" w:eastAsia="宋体" w:cs="宋体"/>
          <w:color w:val="000000"/>
          <w:sz w:val="24"/>
          <w:szCs w:val="24"/>
        </w:rPr>
      </w:pPr>
    </w:p>
    <w:p>
      <w:pPr>
        <w:rPr>
          <w:rFonts w:ascii="宋体" w:hAnsi="宋体" w:cs="宋体"/>
          <w:b/>
          <w:bCs/>
          <w:color w:val="000000"/>
          <w:sz w:val="24"/>
          <w:szCs w:val="24"/>
        </w:rPr>
      </w:pPr>
    </w:p>
    <w:p>
      <w:pPr>
        <w:pStyle w:val="6"/>
        <w:rPr>
          <w:rFonts w:ascii="宋体" w:hAnsi="宋体" w:eastAsia="宋体" w:cs="宋体"/>
          <w:color w:val="000000"/>
          <w:sz w:val="24"/>
          <w:szCs w:val="24"/>
        </w:rPr>
      </w:pPr>
    </w:p>
    <w:p>
      <w:pPr>
        <w:rPr>
          <w:rFonts w:ascii="宋体" w:hAnsi="宋体" w:cs="宋体"/>
          <w:b/>
          <w:bCs/>
          <w:color w:val="000000"/>
          <w:sz w:val="24"/>
          <w:szCs w:val="24"/>
        </w:rPr>
      </w:pPr>
    </w:p>
    <w:p>
      <w:pPr>
        <w:snapToGrid w:val="0"/>
        <w:spacing w:before="50" w:afterLines="50"/>
        <w:jc w:val="left"/>
        <w:rPr>
          <w:rFonts w:hint="eastAsia" w:ascii="宋体" w:hAnsi="宋体"/>
          <w:b/>
          <w:sz w:val="24"/>
        </w:rPr>
      </w:pPr>
    </w:p>
    <w:p>
      <w:pPr>
        <w:snapToGrid w:val="0"/>
        <w:spacing w:before="50" w:afterLines="50"/>
        <w:jc w:val="left"/>
        <w:rPr>
          <w:rFonts w:ascii="宋体" w:hAnsi="宋体"/>
          <w:b/>
          <w:sz w:val="24"/>
        </w:rPr>
      </w:pPr>
      <w:r>
        <w:rPr>
          <w:rFonts w:hint="eastAsia" w:ascii="宋体" w:hAnsi="宋体"/>
          <w:b/>
          <w:sz w:val="24"/>
        </w:rPr>
        <w:t>附件1：投标声明书格式：</w:t>
      </w:r>
    </w:p>
    <w:p>
      <w:pPr>
        <w:snapToGrid w:val="0"/>
        <w:spacing w:beforeLines="50" w:after="50"/>
        <w:jc w:val="center"/>
        <w:rPr>
          <w:rFonts w:ascii="宋体" w:hAnsi="宋体"/>
          <w:b/>
          <w:bCs/>
          <w:sz w:val="24"/>
        </w:rPr>
      </w:pPr>
      <w:r>
        <w:rPr>
          <w:rFonts w:hint="eastAsia" w:ascii="宋体" w:hAnsi="宋体"/>
          <w:b/>
          <w:bCs/>
          <w:sz w:val="30"/>
        </w:rPr>
        <w:t>投标声明书</w:t>
      </w:r>
    </w:p>
    <w:p>
      <w:pPr>
        <w:spacing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pPr>
        <w:spacing w:beforeLines="50" w:after="50" w:line="460" w:lineRule="exact"/>
        <w:ind w:firstLine="720" w:firstLineChars="300"/>
        <w:contextualSpacing/>
        <w:rPr>
          <w:rFonts w:ascii="宋体" w:hAnsi="宋体"/>
          <w:sz w:val="24"/>
        </w:rPr>
      </w:pPr>
      <w:r>
        <w:rPr>
          <w:rFonts w:hint="eastAsia" w:ascii="宋体" w:hAnsi="宋体"/>
          <w:sz w:val="24"/>
        </w:rPr>
        <w:t>（投标人名称）系中华人民共和国合法企业，经营地址。</w:t>
      </w:r>
    </w:p>
    <w:p>
      <w:pPr>
        <w:spacing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rPr>
        <w:t>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8"/>
        <w:spacing w:line="460" w:lineRule="exact"/>
        <w:ind w:left="400"/>
        <w:contextualSpacing/>
        <w:rPr>
          <w:rFonts w:hAnsi="宋体"/>
          <w:sz w:val="24"/>
        </w:rPr>
      </w:pPr>
      <w:r>
        <w:rPr>
          <w:rFonts w:hint="eastAsia" w:ascii="宋体" w:hAnsi="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8"/>
        <w:spacing w:line="460" w:lineRule="exact"/>
        <w:ind w:left="0" w:leftChars="0"/>
        <w:contextualSpacing/>
        <w:rPr>
          <w:rFonts w:hAnsi="宋体"/>
          <w:sz w:val="24"/>
        </w:rPr>
      </w:pPr>
      <w:r>
        <w:rPr>
          <w:rFonts w:hAnsi="宋体"/>
          <w:sz w:val="24"/>
        </w:rPr>
        <w:t>有：</w:t>
      </w:r>
    </w:p>
    <w:p>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8"/>
        <w:tabs>
          <w:tab w:val="left" w:pos="939"/>
        </w:tabs>
        <w:snapToGrid w:val="0"/>
        <w:ind w:left="758" w:leftChars="150" w:hanging="458" w:hangingChars="191"/>
        <w:rPr>
          <w:rFonts w:ascii="宋体" w:hAnsi="宋体"/>
          <w:sz w:val="24"/>
        </w:rPr>
      </w:pPr>
    </w:p>
    <w:p>
      <w:pPr>
        <w:pStyle w:val="64"/>
        <w:snapToGrid w:val="0"/>
        <w:spacing w:beforeLines="50"/>
        <w:ind w:firstLine="200"/>
        <w:rPr>
          <w:rFonts w:ascii="宋体" w:hAnsi="宋体"/>
        </w:rPr>
      </w:pPr>
    </w:p>
    <w:p>
      <w:pPr>
        <w:snapToGrid w:val="0"/>
        <w:spacing w:beforeLines="50"/>
        <w:ind w:firstLine="319" w:firstLineChars="133"/>
        <w:rPr>
          <w:rFonts w:ascii="宋体" w:hAnsi="宋体"/>
          <w:sz w:val="24"/>
          <w:u w:val="single"/>
        </w:rPr>
      </w:pPr>
      <w:r>
        <w:rPr>
          <w:rFonts w:hint="eastAsia" w:ascii="宋体" w:hAnsi="宋体"/>
          <w:sz w:val="24"/>
        </w:rPr>
        <w:t>法定代表人或授权代表签字：</w:t>
      </w:r>
    </w:p>
    <w:p>
      <w:pPr>
        <w:snapToGrid w:val="0"/>
        <w:spacing w:beforeLines="50" w:after="50"/>
        <w:ind w:firstLine="360" w:firstLineChars="150"/>
        <w:rPr>
          <w:rFonts w:ascii="宋体" w:hAnsi="宋体"/>
          <w:sz w:val="24"/>
        </w:rPr>
      </w:pPr>
      <w:r>
        <w:rPr>
          <w:rFonts w:hint="eastAsia" w:ascii="宋体" w:hAnsi="宋体"/>
          <w:sz w:val="24"/>
        </w:rPr>
        <w:t>投标人公章：</w:t>
      </w:r>
    </w:p>
    <w:p>
      <w:pPr>
        <w:snapToGrid w:val="0"/>
        <w:spacing w:beforeLines="50" w:after="50"/>
        <w:ind w:firstLine="6240" w:firstLineChars="2600"/>
        <w:rPr>
          <w:rFonts w:ascii="宋体" w:hAnsi="宋体"/>
          <w:sz w:val="24"/>
        </w:rPr>
      </w:pPr>
      <w:r>
        <w:rPr>
          <w:rFonts w:ascii="宋体" w:hAnsi="宋体"/>
          <w:sz w:val="24"/>
        </w:rPr>
        <w:t>年    月    日</w:t>
      </w:r>
    </w:p>
    <w:p>
      <w:pPr>
        <w:snapToGrid w:val="0"/>
        <w:spacing w:beforeLines="50" w:after="50"/>
        <w:ind w:firstLine="4800" w:firstLineChars="2000"/>
        <w:rPr>
          <w:rFonts w:ascii="宋体" w:hAnsi="宋体"/>
          <w:sz w:val="24"/>
        </w:rPr>
      </w:pPr>
    </w:p>
    <w:p>
      <w:pPr>
        <w:pStyle w:val="19"/>
        <w:snapToGrid w:val="0"/>
        <w:spacing w:before="156" w:after="156" w:line="240" w:lineRule="auto"/>
        <w:rPr>
          <w:rFonts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pStyle w:val="28"/>
        <w:ind w:firstLine="344"/>
      </w:pPr>
    </w:p>
    <w:p>
      <w:pPr>
        <w:snapToGrid w:val="0"/>
        <w:spacing w:before="50" w:afterLines="50"/>
        <w:jc w:val="left"/>
        <w:rPr>
          <w:rFonts w:ascii="宋体" w:hAnsi="宋体"/>
        </w:rPr>
      </w:pPr>
    </w:p>
    <w:p>
      <w:pPr>
        <w:pStyle w:val="37"/>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sz w:val="24"/>
          <w:szCs w:val="22"/>
        </w:rPr>
      </w:pPr>
      <w:r>
        <w:rPr>
          <w:rFonts w:hint="eastAsia" w:ascii="宋体" w:hAnsi="宋体" w:cs="宋体"/>
          <w:b/>
          <w:sz w:val="24"/>
          <w:szCs w:val="24"/>
        </w:rPr>
        <w:t>附件2：政府采购活动现</w:t>
      </w:r>
      <w:r>
        <w:rPr>
          <w:rFonts w:hint="eastAsia" w:ascii="宋体" w:hAnsi="宋体" w:cs="宋体"/>
          <w:b/>
          <w:sz w:val="24"/>
          <w:szCs w:val="22"/>
        </w:rPr>
        <w:t>场确认声明书</w:t>
      </w:r>
    </w:p>
    <w:p>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政府采购活动现场确认声明书</w:t>
      </w:r>
    </w:p>
    <w:p>
      <w:pPr>
        <w:snapToGrid w:val="0"/>
        <w:spacing w:beforeLines="50" w:after="50" w:line="276" w:lineRule="auto"/>
        <w:rPr>
          <w:rFonts w:ascii="宋体" w:hAnsi="宋体" w:cs="宋体"/>
          <w:sz w:val="24"/>
          <w:szCs w:val="22"/>
        </w:rPr>
      </w:pPr>
      <w:r>
        <w:rPr>
          <w:rFonts w:hint="eastAsia" w:ascii="宋体" w:hAnsi="宋体" w:cs="宋体"/>
          <w:sz w:val="24"/>
          <w:szCs w:val="22"/>
          <w:u w:val="single"/>
        </w:rPr>
        <w:t xml:space="preserve">东阳八婺招标代理有限公司 </w:t>
      </w:r>
      <w:r>
        <w:rPr>
          <w:rFonts w:hint="eastAsia" w:ascii="宋体" w:hAnsi="宋体" w:cs="宋体"/>
          <w:sz w:val="24"/>
          <w:szCs w:val="22"/>
        </w:rPr>
        <w:t>:</w:t>
      </w:r>
    </w:p>
    <w:p>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Lines="50" w:after="50" w:line="276" w:lineRule="auto"/>
        <w:rPr>
          <w:rFonts w:ascii="宋体" w:hAnsi="宋体" w:cs="宋体"/>
          <w:sz w:val="24"/>
        </w:rPr>
      </w:pPr>
      <w:r>
        <w:rPr>
          <w:rFonts w:hint="eastAsia" w:ascii="宋体" w:hAnsi="宋体" w:cs="宋体"/>
          <w:sz w:val="24"/>
        </w:rPr>
        <w:t xml:space="preserve">五、经检查确认所有投标人投标文件 口 不存在密封包装问题 口 存在密封包装问题（具体指出） </w:t>
      </w:r>
      <w:r>
        <w:rPr>
          <w:rFonts w:hint="eastAsia" w:ascii="宋体" w:hAnsi="宋体" w:cs="宋体"/>
          <w:sz w:val="24"/>
        </w:rPr>
        <w:tab/>
      </w:r>
      <w:r>
        <w:rPr>
          <w:rFonts w:hint="eastAsia" w:ascii="宋体" w:hAnsi="宋体" w:cs="宋体"/>
          <w:sz w:val="24"/>
        </w:rPr>
        <w:t>。</w:t>
      </w:r>
    </w:p>
    <w:p>
      <w:pPr>
        <w:snapToGrid w:val="0"/>
        <w:spacing w:beforeLines="50" w:after="50" w:line="276" w:lineRule="auto"/>
        <w:rPr>
          <w:rFonts w:ascii="宋体" w:hAnsi="宋体" w:cs="宋体"/>
          <w:sz w:val="24"/>
        </w:rPr>
      </w:pPr>
    </w:p>
    <w:p>
      <w:pPr>
        <w:snapToGrid w:val="0"/>
        <w:spacing w:beforeLines="50" w:after="50" w:line="276" w:lineRule="auto"/>
        <w:jc w:val="center"/>
        <w:rPr>
          <w:rFonts w:ascii="宋体" w:hAnsi="宋体" w:cs="宋体"/>
          <w:sz w:val="24"/>
        </w:rPr>
      </w:pPr>
      <w:r>
        <w:rPr>
          <w:rFonts w:hint="eastAsia" w:ascii="宋体" w:hAnsi="宋体" w:cs="宋体"/>
          <w:sz w:val="24"/>
        </w:rPr>
        <w:t xml:space="preserve">                                  （供应商代表签名）: </w:t>
      </w:r>
    </w:p>
    <w:p>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50" w:afterLines="50"/>
        <w:jc w:val="left"/>
        <w:rPr>
          <w:rFonts w:ascii="宋体" w:hAnsi="宋体"/>
          <w:b/>
          <w:sz w:val="28"/>
          <w:szCs w:val="28"/>
        </w:rPr>
      </w:pPr>
      <w:r>
        <w:rPr>
          <w:rFonts w:ascii="宋体" w:hAnsi="宋体"/>
        </w:rPr>
        <w:br w:type="page"/>
      </w:r>
      <w:r>
        <w:rPr>
          <w:rFonts w:hint="eastAsia" w:ascii="宋体" w:hAnsi="宋体"/>
          <w:b/>
          <w:bCs/>
          <w:sz w:val="24"/>
        </w:rPr>
        <w:t>附件3</w:t>
      </w:r>
      <w:r>
        <w:rPr>
          <w:rFonts w:hint="eastAsia" w:ascii="宋体" w:hAnsi="宋体"/>
          <w:b/>
          <w:sz w:val="24"/>
        </w:rPr>
        <w:t>：法定代表人授权委托书格式：</w:t>
      </w:r>
    </w:p>
    <w:p>
      <w:pPr>
        <w:snapToGrid w:val="0"/>
        <w:spacing w:beforeLines="50" w:after="50"/>
        <w:ind w:firstLine="3373" w:firstLineChars="1200"/>
        <w:rPr>
          <w:rFonts w:ascii="宋体" w:hAnsi="宋体"/>
          <w:b/>
          <w:sz w:val="28"/>
          <w:szCs w:val="28"/>
        </w:rPr>
      </w:pPr>
      <w:r>
        <w:rPr>
          <w:rFonts w:hint="eastAsia" w:ascii="宋体" w:hAnsi="宋体"/>
          <w:b/>
          <w:sz w:val="28"/>
          <w:szCs w:val="28"/>
        </w:rPr>
        <w:t>法定代表人授权委托书</w:t>
      </w:r>
    </w:p>
    <w:p>
      <w:pPr>
        <w:snapToGrid w:val="0"/>
        <w:spacing w:beforeLines="50" w:after="50"/>
        <w:rPr>
          <w:rFonts w:ascii="宋体" w:hAnsi="宋体"/>
          <w:bCs/>
          <w:sz w:val="24"/>
        </w:rPr>
      </w:pPr>
    </w:p>
    <w:p>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Lines="50" w:after="50"/>
        <w:rPr>
          <w:rFonts w:ascii="宋体" w:hAnsi="宋体"/>
          <w:sz w:val="24"/>
        </w:rPr>
      </w:pPr>
    </w:p>
    <w:p>
      <w:pPr>
        <w:snapToGrid w:val="0"/>
        <w:spacing w:beforeLines="50" w:after="50"/>
        <w:rPr>
          <w:rFonts w:ascii="宋体" w:hAnsi="宋体"/>
          <w:sz w:val="24"/>
          <w:u w:val="single"/>
        </w:rPr>
      </w:pPr>
      <w:r>
        <w:rPr>
          <w:rFonts w:hint="eastAsia" w:ascii="宋体" w:hAnsi="宋体"/>
          <w:sz w:val="24"/>
        </w:rPr>
        <w:t>被授权人签名：                     法定代表人签名：</w:t>
      </w:r>
    </w:p>
    <w:p>
      <w:pPr>
        <w:snapToGrid w:val="0"/>
        <w:spacing w:beforeLines="50" w:after="50"/>
        <w:ind w:firstLine="960" w:firstLineChars="400"/>
        <w:rPr>
          <w:rFonts w:ascii="宋体" w:hAnsi="宋体"/>
          <w:sz w:val="24"/>
        </w:rPr>
      </w:pPr>
      <w:r>
        <w:rPr>
          <w:rFonts w:hint="eastAsia" w:ascii="宋体" w:hAnsi="宋体"/>
          <w:sz w:val="24"/>
        </w:rPr>
        <w:t>职务：                     职务：</w:t>
      </w:r>
    </w:p>
    <w:p>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2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粘</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贴</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处</w:t>
            </w:r>
          </w:p>
        </w:tc>
      </w:tr>
    </w:tbl>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r>
        <w:rPr>
          <w:rFonts w:hint="eastAsia" w:ascii="宋体" w:hAnsi="宋体"/>
          <w:sz w:val="24"/>
        </w:rPr>
        <w:t xml:space="preserve"> 投标人公章：</w:t>
      </w:r>
    </w:p>
    <w:p>
      <w:pPr>
        <w:snapToGrid w:val="0"/>
        <w:spacing w:beforeLines="50" w:after="50" w:line="276" w:lineRule="auto"/>
        <w:jc w:val="center"/>
        <w:rPr>
          <w:rFonts w:ascii="宋体" w:hAnsi="宋体"/>
          <w:sz w:val="24"/>
        </w:rPr>
      </w:pPr>
      <w:r>
        <w:rPr>
          <w:rFonts w:hint="eastAsia" w:ascii="宋体" w:hAnsi="宋体"/>
          <w:sz w:val="24"/>
        </w:rPr>
        <w:t>年月日</w:t>
      </w:r>
    </w:p>
    <w:p>
      <w:pPr>
        <w:snapToGrid w:val="0"/>
        <w:spacing w:beforeLines="50" w:after="50" w:line="276" w:lineRule="auto"/>
        <w:rPr>
          <w:rFonts w:ascii="宋体" w:hAnsi="宋体"/>
          <w:sz w:val="24"/>
        </w:rPr>
      </w:pPr>
    </w:p>
    <w:p>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pStyle w:val="37"/>
        <w:rPr>
          <w:rFonts w:hAnsi="宋体"/>
          <w:sz w:val="24"/>
        </w:rPr>
      </w:pPr>
    </w:p>
    <w:p>
      <w:pPr>
        <w:pStyle w:val="37"/>
        <w:rPr>
          <w:rFonts w:hAnsi="宋体"/>
          <w:sz w:val="24"/>
        </w:rPr>
      </w:pPr>
    </w:p>
    <w:p>
      <w:pPr>
        <w:snapToGrid w:val="0"/>
        <w:spacing w:line="360" w:lineRule="auto"/>
        <w:ind w:firstLine="5520" w:firstLineChars="2300"/>
        <w:rPr>
          <w:rFonts w:ascii="宋体" w:hAnsi="宋体"/>
          <w:sz w:val="24"/>
        </w:rPr>
      </w:pPr>
    </w:p>
    <w:p>
      <w:pPr>
        <w:pStyle w:val="84"/>
        <w:spacing w:before="80" w:beforeAutospacing="0" w:after="80" w:afterAutospacing="0" w:line="360" w:lineRule="auto"/>
        <w:rPr>
          <w:rFonts w:ascii="仿宋_GB2312" w:hAnsi="仿宋" w:eastAsia="仿宋_GB2312" w:cs="仿宋_GB2312"/>
          <w:b/>
        </w:rPr>
      </w:pPr>
      <w:r>
        <w:rPr>
          <w:rFonts w:hint="eastAsia"/>
        </w:rPr>
        <w:t xml:space="preserve">  </w:t>
      </w:r>
      <w:r>
        <w:rPr>
          <w:rFonts w:hint="eastAsia"/>
          <w:b/>
          <w:bCs/>
          <w:color w:val="000000"/>
        </w:rPr>
        <w:t>附件4</w:t>
      </w:r>
      <w:r>
        <w:rPr>
          <w:rFonts w:ascii="仿宋_GB2312" w:hAnsi="仿宋" w:eastAsia="仿宋_GB2312" w:cs="仿宋_GB2312"/>
          <w:b/>
        </w:rPr>
        <w:t xml:space="preserve"> </w:t>
      </w:r>
      <w:r>
        <w:rPr>
          <w:rFonts w:hint="eastAsia" w:ascii="仿宋_GB2312" w:hAnsi="仿宋" w:eastAsia="仿宋_GB2312" w:cs="仿宋_GB2312"/>
          <w:b/>
        </w:rPr>
        <w:t xml:space="preserve">    </w:t>
      </w:r>
    </w:p>
    <w:p>
      <w:pPr>
        <w:pStyle w:val="84"/>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84"/>
        <w:spacing w:before="0" w:beforeAutospacing="0" w:after="0" w:afterAutospacing="0" w:line="360" w:lineRule="auto"/>
        <w:ind w:firstLine="240" w:firstLineChars="100"/>
        <w:jc w:val="both"/>
      </w:pPr>
      <w:r>
        <w:rPr>
          <w:rFonts w:hint="eastAsia"/>
        </w:rPr>
        <w:t>（采购人）、（采购代理机构）：</w:t>
      </w:r>
    </w:p>
    <w:p>
      <w:pPr>
        <w:pStyle w:val="84"/>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84"/>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84"/>
        <w:spacing w:before="0" w:beforeAutospacing="0" w:after="0" w:afterAutospacing="0" w:line="360" w:lineRule="auto"/>
        <w:ind w:firstLine="480" w:firstLineChars="200"/>
        <w:jc w:val="both"/>
      </w:pPr>
      <w:r>
        <w:rPr>
          <w:rFonts w:hint="eastAsia"/>
        </w:rPr>
        <w:t>1.具有独立承担民事责任的能力；</w:t>
      </w:r>
    </w:p>
    <w:p>
      <w:pPr>
        <w:pStyle w:val="84"/>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84"/>
        <w:spacing w:before="0" w:beforeAutospacing="0" w:after="0" w:afterAutospacing="0" w:line="360" w:lineRule="auto"/>
        <w:ind w:firstLine="480" w:firstLineChars="200"/>
        <w:jc w:val="both"/>
      </w:pPr>
      <w:r>
        <w:rPr>
          <w:rFonts w:hint="eastAsia"/>
        </w:rPr>
        <w:t>3.具有履行合同所必需的设备和专业技术能力；</w:t>
      </w:r>
    </w:p>
    <w:p>
      <w:pPr>
        <w:pStyle w:val="84"/>
        <w:spacing w:before="0" w:beforeAutospacing="0" w:after="0" w:afterAutospacing="0" w:line="360" w:lineRule="auto"/>
        <w:ind w:firstLine="480" w:firstLineChars="200"/>
        <w:jc w:val="both"/>
      </w:pPr>
      <w:r>
        <w:rPr>
          <w:rFonts w:hint="eastAsia"/>
        </w:rPr>
        <w:t>4.有依法缴纳税收和社会保障资金的良好记录；</w:t>
      </w:r>
    </w:p>
    <w:p>
      <w:pPr>
        <w:pStyle w:val="84"/>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84"/>
        <w:spacing w:before="0" w:beforeAutospacing="0" w:after="0" w:afterAutospacing="0" w:line="360" w:lineRule="auto"/>
        <w:ind w:firstLine="480" w:firstLineChars="200"/>
        <w:jc w:val="both"/>
      </w:pPr>
      <w:r>
        <w:rPr>
          <w:rFonts w:hint="eastAsia"/>
        </w:rPr>
        <w:t>6.具有法律、行政法规规定的其他条件。</w:t>
      </w:r>
    </w:p>
    <w:p>
      <w:pPr>
        <w:pStyle w:val="84"/>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84"/>
        <w:spacing w:before="0" w:beforeAutospacing="0" w:after="0" w:afterAutospacing="0" w:line="360" w:lineRule="auto"/>
        <w:ind w:firstLine="241" w:firstLineChars="100"/>
        <w:jc w:val="both"/>
        <w:rPr>
          <w:b/>
          <w:bCs/>
        </w:rPr>
      </w:pPr>
      <w:r>
        <w:rPr>
          <w:rFonts w:hint="eastAsia"/>
          <w:b/>
          <w:bCs/>
        </w:rPr>
        <w:t>（三）不存在以下情况：</w:t>
      </w:r>
    </w:p>
    <w:p>
      <w:pPr>
        <w:pStyle w:val="84"/>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84"/>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法定代表人或其授权代表（签字或盖章）：</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snapToGrid w:val="0"/>
        <w:spacing w:beforeLines="50" w:after="50" w:line="276" w:lineRule="auto"/>
        <w:rPr>
          <w:rFonts w:ascii="宋体" w:hAnsi="宋体" w:cs="宋体"/>
          <w:b/>
          <w:sz w:val="24"/>
          <w:szCs w:val="24"/>
        </w:rPr>
      </w:pPr>
      <w:r>
        <w:rPr>
          <w:rFonts w:hint="eastAsia" w:ascii="宋体" w:hAnsi="宋体"/>
          <w:sz w:val="24"/>
        </w:rPr>
        <w:t xml:space="preserve">                           </w:t>
      </w:r>
    </w:p>
    <w:p>
      <w:pPr>
        <w:snapToGrid w:val="0"/>
        <w:spacing w:beforeLines="50" w:after="50" w:line="276" w:lineRule="auto"/>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snapToGrid w:val="0"/>
        <w:spacing w:beforeLines="50" w:after="50" w:line="276" w:lineRule="auto"/>
        <w:rPr>
          <w:rFonts w:ascii="宋体" w:hAnsi="宋体" w:cs="宋体"/>
          <w:b/>
          <w:sz w:val="24"/>
          <w:szCs w:val="24"/>
        </w:rPr>
      </w:pPr>
      <w:r>
        <w:rPr>
          <w:rFonts w:hint="eastAsia" w:ascii="宋体" w:hAnsi="宋体" w:cs="宋体"/>
          <w:b/>
          <w:sz w:val="24"/>
          <w:szCs w:val="24"/>
        </w:rPr>
        <w:t>附件5：投标单位情况表</w:t>
      </w:r>
    </w:p>
    <w:p>
      <w:pPr>
        <w:pStyle w:val="19"/>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29"/>
        <w:tblW w:w="971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325"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325"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860"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325"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50"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50"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6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8" w:hRule="atLeast"/>
        </w:trPr>
        <w:tc>
          <w:tcPr>
            <w:tcW w:w="9717"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法定代表人：（签名）</w:t>
            </w:r>
          </w:p>
          <w:p>
            <w:pPr>
              <w:ind w:firstLine="3000" w:firstLineChars="1500"/>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单位：（盖章）</w:t>
            </w:r>
          </w:p>
        </w:tc>
      </w:tr>
    </w:tbl>
    <w:p>
      <w:pPr>
        <w:ind w:firstLine="360" w:firstLineChars="150"/>
        <w:rPr>
          <w:rFonts w:ascii="宋体" w:hAnsi="宋体"/>
          <w:snapToGrid w:val="0"/>
          <w:color w:val="000000"/>
          <w:sz w:val="24"/>
        </w:rPr>
      </w:pPr>
    </w:p>
    <w:p>
      <w:pPr>
        <w:ind w:firstLine="360" w:firstLineChars="150"/>
        <w:rPr>
          <w:rFonts w:ascii="宋体" w:hAnsi="宋体"/>
          <w:snapToGrid w:val="0"/>
          <w:color w:val="000000"/>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r>
        <w:rPr>
          <w:rFonts w:hint="eastAsia" w:ascii="宋体" w:hAnsi="宋体"/>
          <w:snapToGrid w:val="0"/>
          <w:color w:val="000000"/>
          <w:sz w:val="24"/>
        </w:rPr>
        <w:t>。</w:t>
      </w:r>
    </w:p>
    <w:p>
      <w:pPr>
        <w:pStyle w:val="27"/>
        <w:spacing w:line="390" w:lineRule="atLeast"/>
        <w:ind w:firstLine="0" w:firstLineChars="0"/>
        <w:rPr>
          <w:rFonts w:hAnsi="宋体"/>
          <w:color w:val="auto"/>
          <w:kern w:val="2"/>
          <w:sz w:val="24"/>
          <w:szCs w:val="24"/>
        </w:rPr>
      </w:pPr>
    </w:p>
    <w:p>
      <w:pPr>
        <w:snapToGrid w:val="0"/>
        <w:spacing w:before="50" w:after="50"/>
        <w:rPr>
          <w:rFonts w:ascii="宋体" w:hAnsi="宋体"/>
          <w:b/>
          <w:bCs/>
          <w:sz w:val="24"/>
        </w:rPr>
      </w:pPr>
    </w:p>
    <w:p>
      <w:pPr>
        <w:snapToGrid w:val="0"/>
        <w:spacing w:before="50" w:after="50"/>
        <w:rPr>
          <w:rFonts w:ascii="宋体" w:hAnsi="宋体"/>
          <w:b/>
          <w:sz w:val="24"/>
          <w:szCs w:val="24"/>
        </w:rPr>
      </w:pPr>
      <w:r>
        <w:rPr>
          <w:rFonts w:hint="eastAsia" w:ascii="宋体" w:hAnsi="宋体"/>
          <w:b/>
          <w:bCs/>
          <w:sz w:val="24"/>
        </w:rPr>
        <w:t>附件6：</w:t>
      </w:r>
      <w:r>
        <w:rPr>
          <w:rFonts w:hint="eastAsia" w:ascii="新宋体" w:hAnsi="新宋体" w:eastAsia="新宋体"/>
          <w:b/>
          <w:bCs/>
          <w:sz w:val="24"/>
          <w:szCs w:val="24"/>
        </w:rPr>
        <w:t>相关业绩一览表</w:t>
      </w:r>
    </w:p>
    <w:p>
      <w:pPr>
        <w:snapToGrid w:val="0"/>
        <w:spacing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2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r>
              <w:rPr>
                <w:rFonts w:hint="eastAsia"/>
                <w:snapToGrid w:val="0"/>
              </w:rPr>
              <w:t>项目名称</w:t>
            </w:r>
          </w:p>
        </w:tc>
        <w:tc>
          <w:tcPr>
            <w:tcW w:w="1240" w:type="dxa"/>
            <w:vAlign w:val="center"/>
          </w:tcPr>
          <w:p>
            <w:pPr>
              <w:jc w:val="center"/>
              <w:rPr>
                <w:snapToGrid w:val="0"/>
              </w:rPr>
            </w:pPr>
            <w:r>
              <w:rPr>
                <w:rFonts w:hint="eastAsia"/>
                <w:snapToGrid w:val="0"/>
              </w:rPr>
              <w:t>地点</w:t>
            </w:r>
          </w:p>
        </w:tc>
        <w:tc>
          <w:tcPr>
            <w:tcW w:w="2359" w:type="dxa"/>
            <w:vAlign w:val="center"/>
          </w:tcPr>
          <w:p>
            <w:pPr>
              <w:jc w:val="center"/>
              <w:rPr>
                <w:snapToGrid w:val="0"/>
              </w:rPr>
            </w:pPr>
            <w:r>
              <w:rPr>
                <w:rFonts w:hint="eastAsia"/>
                <w:snapToGrid w:val="0"/>
              </w:rPr>
              <w:t>项目概况</w:t>
            </w:r>
          </w:p>
        </w:tc>
        <w:tc>
          <w:tcPr>
            <w:tcW w:w="1254" w:type="dxa"/>
            <w:vAlign w:val="center"/>
          </w:tcPr>
          <w:p>
            <w:pPr>
              <w:jc w:val="center"/>
              <w:rPr>
                <w:snapToGrid w:val="0"/>
              </w:rPr>
            </w:pPr>
            <w:r>
              <w:rPr>
                <w:rFonts w:hint="eastAsia"/>
                <w:snapToGrid w:val="0"/>
              </w:rPr>
              <w:t>合同签订时间</w:t>
            </w:r>
          </w:p>
        </w:tc>
        <w:tc>
          <w:tcPr>
            <w:tcW w:w="2130" w:type="dxa"/>
            <w:vAlign w:val="center"/>
          </w:tcPr>
          <w:p>
            <w:pPr>
              <w:jc w:val="center"/>
              <w:rPr>
                <w:snapToGrid w:val="0"/>
              </w:rPr>
            </w:pPr>
            <w:r>
              <w:rPr>
                <w:rFonts w:hint="eastAsia"/>
                <w:snapToGrid w:val="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bl>
    <w:p>
      <w:pPr>
        <w:pStyle w:val="28"/>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7"/>
        <w:rPr>
          <w:snapToGrid w:val="0"/>
          <w:sz w:val="24"/>
          <w:szCs w:val="24"/>
        </w:rPr>
      </w:pPr>
      <w:r>
        <w:rPr>
          <w:rFonts w:hint="eastAsia"/>
          <w:snapToGrid w:val="0"/>
          <w:sz w:val="24"/>
          <w:szCs w:val="24"/>
        </w:rPr>
        <w:t xml:space="preserve"> 投标人：（盖章）             </w:t>
      </w:r>
      <w:r>
        <w:rPr>
          <w:rFonts w:hint="eastAsia"/>
          <w:snapToGrid w:val="0"/>
          <w:sz w:val="24"/>
          <w:szCs w:val="24"/>
          <w:lang w:val="en-US" w:eastAsia="zh-CN"/>
        </w:rPr>
        <w:t xml:space="preserve">   </w:t>
      </w:r>
      <w:r>
        <w:rPr>
          <w:rFonts w:hint="eastAsia"/>
          <w:snapToGrid w:val="0"/>
          <w:sz w:val="24"/>
          <w:szCs w:val="24"/>
        </w:rPr>
        <w:t xml:space="preserve"> 法定代表人（或委托代理人）：</w:t>
      </w:r>
    </w:p>
    <w:p>
      <w:pPr>
        <w:pStyle w:val="7"/>
        <w:rPr>
          <w:snapToGrid w:val="0"/>
          <w:sz w:val="24"/>
          <w:szCs w:val="24"/>
        </w:rPr>
      </w:pPr>
    </w:p>
    <w:p>
      <w:pPr>
        <w:pStyle w:val="7"/>
        <w:ind w:left="234" w:leftChars="117" w:firstLine="6468" w:firstLineChars="2695"/>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pPr>
        <w:pStyle w:val="67"/>
        <w:adjustRightInd w:val="0"/>
        <w:snapToGrid w:val="0"/>
        <w:spacing w:line="240" w:lineRule="auto"/>
        <w:ind w:right="0" w:firstLine="4080" w:firstLineChars="1700"/>
        <w:rPr>
          <w:rFonts w:ascii="宋体" w:hAnsi="宋体" w:cs="Times New Roman"/>
          <w:szCs w:val="21"/>
        </w:rPr>
      </w:pPr>
    </w:p>
    <w:p>
      <w:pPr>
        <w:pStyle w:val="28"/>
        <w:ind w:firstLine="466"/>
        <w:rPr>
          <w:rFonts w:ascii="宋体" w:hAnsi="宋体" w:eastAsia="宋体" w:cs="Times New Roman"/>
          <w:b/>
          <w:sz w:val="24"/>
          <w:szCs w:val="24"/>
        </w:rPr>
      </w:pPr>
    </w:p>
    <w:p>
      <w:pPr>
        <w:pStyle w:val="28"/>
        <w:ind w:firstLine="466"/>
        <w:rPr>
          <w:rFonts w:ascii="宋体" w:hAnsi="宋体" w:eastAsia="宋体" w:cs="Times New Roman"/>
          <w:b/>
          <w:sz w:val="24"/>
          <w:szCs w:val="24"/>
        </w:rPr>
      </w:pPr>
    </w:p>
    <w:p>
      <w:pPr>
        <w:pStyle w:val="28"/>
        <w:ind w:firstLine="466"/>
        <w:rPr>
          <w:rFonts w:ascii="宋体" w:hAnsi="宋体" w:eastAsia="宋体" w:cs="Times New Roman"/>
          <w:b/>
          <w:sz w:val="24"/>
          <w:szCs w:val="24"/>
        </w:rPr>
      </w:pPr>
    </w:p>
    <w:p>
      <w:pPr>
        <w:pStyle w:val="28"/>
        <w:ind w:firstLine="466"/>
        <w:rPr>
          <w:rFonts w:ascii="宋体" w:hAnsi="宋体" w:eastAsia="宋体" w:cs="Times New Roman"/>
          <w:b/>
          <w:sz w:val="24"/>
          <w:szCs w:val="24"/>
        </w:rPr>
      </w:pPr>
    </w:p>
    <w:p>
      <w:pPr>
        <w:pStyle w:val="28"/>
        <w:ind w:firstLine="0" w:firstLineChars="0"/>
        <w:rPr>
          <w:rFonts w:ascii="宋体" w:hAnsi="宋体" w:eastAsia="宋体" w:cs="Times New Roman"/>
          <w:b/>
          <w:sz w:val="24"/>
          <w:szCs w:val="24"/>
        </w:rPr>
      </w:pPr>
    </w:p>
    <w:p>
      <w:pPr>
        <w:spacing w:line="360" w:lineRule="auto"/>
        <w:rPr>
          <w:rFonts w:hAnsi="宋体"/>
          <w:b/>
          <w:sz w:val="24"/>
        </w:rPr>
      </w:pPr>
      <w:r>
        <w:rPr>
          <w:rFonts w:hint="eastAsia" w:ascii="宋体" w:hAnsi="宋体" w:cs="宋体"/>
          <w:b/>
          <w:bCs/>
          <w:sz w:val="24"/>
          <w:szCs w:val="24"/>
        </w:rPr>
        <w:t>附件7：</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rPr>
          <w:b/>
          <w:bCs/>
          <w:snapToGrid w:val="0"/>
          <w:sz w:val="28"/>
          <w:szCs w:val="28"/>
        </w:rPr>
      </w:pPr>
      <w:r>
        <w:rPr>
          <w:rFonts w:hint="eastAsia"/>
          <w:b/>
          <w:bCs/>
          <w:snapToGrid w:val="0"/>
          <w:sz w:val="28"/>
          <w:szCs w:val="28"/>
        </w:rPr>
        <w:t>拟投入项目人员概况一览表</w:t>
      </w:r>
    </w:p>
    <w:tbl>
      <w:tblPr>
        <w:tblStyle w:val="2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580"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bl>
    <w:p>
      <w:pPr>
        <w:pStyle w:val="28"/>
        <w:ind w:firstLine="0" w:firstLineChars="0"/>
      </w:pPr>
    </w:p>
    <w:p>
      <w:pPr>
        <w:ind w:firstLine="240" w:firstLineChars="100"/>
        <w:rPr>
          <w:sz w:val="24"/>
          <w:szCs w:val="24"/>
        </w:rPr>
      </w:pPr>
      <w:r>
        <w:rPr>
          <w:rFonts w:hint="eastAsia"/>
          <w:sz w:val="24"/>
          <w:szCs w:val="24"/>
        </w:rPr>
        <w:t>注：投入人员必须提供相应的执业证书、职称证书等相关的证书复印件。</w:t>
      </w:r>
    </w:p>
    <w:p>
      <w:pPr>
        <w:rPr>
          <w:sz w:val="24"/>
          <w:szCs w:val="24"/>
        </w:rPr>
      </w:pPr>
    </w:p>
    <w:p>
      <w:pPr>
        <w:pStyle w:val="7"/>
        <w:rPr>
          <w:snapToGrid w:val="0"/>
          <w:sz w:val="24"/>
          <w:szCs w:val="24"/>
        </w:rPr>
      </w:pPr>
      <w:r>
        <w:rPr>
          <w:rFonts w:hint="eastAsia"/>
          <w:sz w:val="24"/>
          <w:szCs w:val="24"/>
        </w:rPr>
        <w:t>投</w:t>
      </w:r>
      <w:r>
        <w:rPr>
          <w:sz w:val="24"/>
          <w:szCs w:val="24"/>
        </w:rPr>
        <w:t>标人：（公章）</w:t>
      </w:r>
      <w:r>
        <w:rPr>
          <w:rFonts w:hint="eastAsia"/>
          <w:sz w:val="24"/>
          <w:szCs w:val="24"/>
        </w:rPr>
        <w:t xml:space="preserve">                 </w:t>
      </w:r>
      <w:r>
        <w:rPr>
          <w:rFonts w:hint="eastAsia"/>
          <w:snapToGrid w:val="0"/>
          <w:sz w:val="24"/>
          <w:szCs w:val="24"/>
        </w:rPr>
        <w:t>法定代表人（或委托代理人）签字：</w:t>
      </w:r>
    </w:p>
    <w:p>
      <w:pPr>
        <w:pStyle w:val="7"/>
        <w:rPr>
          <w:snapToGrid w:val="0"/>
          <w:sz w:val="24"/>
          <w:szCs w:val="24"/>
        </w:rPr>
      </w:pPr>
    </w:p>
    <w:p>
      <w:pPr>
        <w:pStyle w:val="7"/>
        <w:ind w:firstLine="6021" w:firstLineChars="25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 xml:space="preserve">日  </w:t>
      </w:r>
    </w:p>
    <w:p>
      <w:pPr>
        <w:spacing w:line="360" w:lineRule="auto"/>
        <w:rPr>
          <w:rFonts w:ascii="宋体" w:hAnsi="宋体" w:cs="宋体"/>
          <w:b/>
          <w:bCs/>
          <w:sz w:val="24"/>
          <w:szCs w:val="24"/>
        </w:rPr>
      </w:pPr>
    </w:p>
    <w:p>
      <w:pPr>
        <w:spacing w:line="360" w:lineRule="auto"/>
        <w:rPr>
          <w:rFonts w:hint="eastAsia" w:ascii="宋体" w:hAnsi="宋体" w:cs="宋体"/>
          <w:b/>
          <w:bCs/>
          <w:sz w:val="24"/>
          <w:szCs w:val="24"/>
        </w:rPr>
      </w:pPr>
    </w:p>
    <w:p>
      <w:pPr>
        <w:spacing w:line="240" w:lineRule="auto"/>
        <w:rPr>
          <w:rFonts w:ascii="宋体" w:hAnsi="宋体" w:cs="宋体"/>
          <w:b/>
          <w:bCs/>
          <w:sz w:val="24"/>
          <w:szCs w:val="24"/>
        </w:rPr>
      </w:pPr>
      <w:r>
        <w:rPr>
          <w:rFonts w:hint="eastAsia" w:ascii="宋体" w:hAnsi="宋体" w:cs="宋体"/>
          <w:b/>
          <w:bCs/>
          <w:sz w:val="24"/>
          <w:szCs w:val="24"/>
        </w:rPr>
        <w:t>附件8：三年内投入项目清单表</w:t>
      </w:r>
    </w:p>
    <w:p>
      <w:pPr>
        <w:pStyle w:val="6"/>
        <w:numPr>
          <w:ilvl w:val="1"/>
          <w:numId w:val="0"/>
        </w:numPr>
        <w:spacing w:line="240" w:lineRule="auto"/>
        <w:jc w:val="center"/>
        <w:rPr>
          <w:rFonts w:ascii="宋体" w:hAnsi="宋体" w:eastAsia="宋体" w:cs="宋体"/>
          <w:sz w:val="28"/>
          <w:szCs w:val="28"/>
        </w:rPr>
      </w:pPr>
      <w:r>
        <w:rPr>
          <w:rFonts w:hint="eastAsia" w:ascii="宋体" w:hAnsi="宋体" w:eastAsia="宋体" w:cs="宋体"/>
          <w:sz w:val="28"/>
          <w:szCs w:val="28"/>
        </w:rPr>
        <w:t>三年内投入装修及设备费用清单表</w:t>
      </w:r>
    </w:p>
    <w:p>
      <w:pPr>
        <w:pStyle w:val="19"/>
        <w:spacing w:before="156" w:after="156" w:line="460" w:lineRule="atLeast"/>
      </w:pPr>
      <w:r>
        <w:rPr>
          <w:rFonts w:hint="eastAsia" w:hAnsi="宋体"/>
          <w:b/>
          <w:bCs/>
        </w:rPr>
        <w:t>招标编号：</w:t>
      </w:r>
      <w:r>
        <w:rPr>
          <w:rFonts w:hint="eastAsia" w:hAnsi="宋体"/>
          <w:b/>
          <w:bCs/>
          <w:lang w:val="en-US" w:eastAsia="zh-CN"/>
        </w:rPr>
        <w:t xml:space="preserve">                                        </w:t>
      </w:r>
      <w:r>
        <w:rPr>
          <w:rFonts w:hint="eastAsia" w:hAnsi="宋体"/>
          <w:b/>
          <w:bCs/>
        </w:rPr>
        <w:t xml:space="preserve">项目名称： </w:t>
      </w:r>
      <w:r>
        <w:rPr>
          <w:rFonts w:hint="eastAsia" w:hAnsi="宋体"/>
        </w:rPr>
        <w:t xml:space="preserve">               </w:t>
      </w:r>
      <w:r>
        <w:rPr>
          <w:rFonts w:hint="eastAsia"/>
        </w:rP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998"/>
        <w:gridCol w:w="1985"/>
        <w:gridCol w:w="2341"/>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93" w:type="dxa"/>
            <w:vAlign w:val="center"/>
          </w:tcPr>
          <w:p>
            <w:pPr>
              <w:spacing w:line="360" w:lineRule="auto"/>
              <w:jc w:val="center"/>
              <w:rPr>
                <w:b/>
                <w:sz w:val="24"/>
              </w:rPr>
            </w:pPr>
            <w:r>
              <w:rPr>
                <w:rFonts w:hint="eastAsia"/>
                <w:b/>
                <w:sz w:val="24"/>
              </w:rPr>
              <w:t>序号</w:t>
            </w:r>
          </w:p>
        </w:tc>
        <w:tc>
          <w:tcPr>
            <w:tcW w:w="1998" w:type="dxa"/>
            <w:vAlign w:val="center"/>
          </w:tcPr>
          <w:p>
            <w:pPr>
              <w:spacing w:line="360" w:lineRule="auto"/>
              <w:jc w:val="center"/>
              <w:rPr>
                <w:b/>
                <w:sz w:val="24"/>
              </w:rPr>
            </w:pPr>
            <w:r>
              <w:rPr>
                <w:rFonts w:hint="eastAsia"/>
                <w:b/>
                <w:sz w:val="24"/>
              </w:rPr>
              <w:t>项目名称</w:t>
            </w:r>
          </w:p>
        </w:tc>
        <w:tc>
          <w:tcPr>
            <w:tcW w:w="1985" w:type="dxa"/>
            <w:vAlign w:val="center"/>
          </w:tcPr>
          <w:p>
            <w:pPr>
              <w:spacing w:line="360" w:lineRule="auto"/>
              <w:jc w:val="center"/>
              <w:rPr>
                <w:b/>
                <w:sz w:val="24"/>
              </w:rPr>
            </w:pPr>
            <w:r>
              <w:rPr>
                <w:rFonts w:hint="eastAsia"/>
                <w:b/>
                <w:sz w:val="24"/>
              </w:rPr>
              <w:t>投入时间</w:t>
            </w:r>
          </w:p>
        </w:tc>
        <w:tc>
          <w:tcPr>
            <w:tcW w:w="2341" w:type="dxa"/>
            <w:vAlign w:val="center"/>
          </w:tcPr>
          <w:p>
            <w:pPr>
              <w:spacing w:line="360" w:lineRule="auto"/>
              <w:jc w:val="center"/>
              <w:rPr>
                <w:b/>
                <w:sz w:val="24"/>
              </w:rPr>
            </w:pPr>
            <w:r>
              <w:rPr>
                <w:rFonts w:hint="eastAsia"/>
                <w:b/>
                <w:sz w:val="24"/>
              </w:rPr>
              <w:t>数量</w:t>
            </w:r>
          </w:p>
        </w:tc>
        <w:tc>
          <w:tcPr>
            <w:tcW w:w="2150" w:type="dxa"/>
            <w:vAlign w:val="center"/>
          </w:tcPr>
          <w:p>
            <w:pPr>
              <w:spacing w:line="360" w:lineRule="auto"/>
              <w:jc w:val="center"/>
              <w:rPr>
                <w:b/>
                <w:sz w:val="24"/>
              </w:rPr>
            </w:pPr>
            <w:r>
              <w:rPr>
                <w:rFonts w:hint="eastAsia"/>
                <w:b/>
                <w:sz w:val="24"/>
              </w:rPr>
              <w:t>拟投入费用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93" w:type="dxa"/>
            <w:vAlign w:val="center"/>
          </w:tcPr>
          <w:p>
            <w:pPr>
              <w:spacing w:line="360" w:lineRule="auto"/>
              <w:jc w:val="center"/>
              <w:rPr>
                <w:b/>
                <w:sz w:val="24"/>
              </w:rPr>
            </w:pPr>
            <w:r>
              <w:rPr>
                <w:rFonts w:hint="eastAsia"/>
                <w:b/>
                <w:sz w:val="24"/>
              </w:rPr>
              <w:t>1</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93" w:type="dxa"/>
            <w:vAlign w:val="center"/>
          </w:tcPr>
          <w:p>
            <w:pPr>
              <w:spacing w:line="360" w:lineRule="auto"/>
              <w:jc w:val="center"/>
              <w:rPr>
                <w:b/>
                <w:sz w:val="24"/>
              </w:rPr>
            </w:pPr>
            <w:r>
              <w:rPr>
                <w:rFonts w:hint="eastAsia"/>
                <w:b/>
                <w:sz w:val="24"/>
              </w:rPr>
              <w:t>2</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3</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4</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5</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1093" w:type="dxa"/>
            <w:vAlign w:val="center"/>
          </w:tcPr>
          <w:p>
            <w:pPr>
              <w:spacing w:line="360" w:lineRule="auto"/>
              <w:jc w:val="center"/>
              <w:rPr>
                <w:b/>
                <w:sz w:val="24"/>
              </w:rPr>
            </w:pPr>
            <w:r>
              <w:rPr>
                <w:rFonts w:hint="eastAsia"/>
                <w:b/>
                <w:sz w:val="24"/>
              </w:rPr>
              <w:t>6</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7</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8</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9</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10</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11</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093" w:type="dxa"/>
            <w:vAlign w:val="center"/>
          </w:tcPr>
          <w:p>
            <w:pPr>
              <w:spacing w:line="360" w:lineRule="auto"/>
              <w:jc w:val="center"/>
              <w:rPr>
                <w:b/>
                <w:sz w:val="24"/>
              </w:rPr>
            </w:pPr>
            <w:r>
              <w:rPr>
                <w:rFonts w:hint="eastAsia"/>
                <w:b/>
                <w:sz w:val="24"/>
              </w:rPr>
              <w:t>12</w:t>
            </w:r>
          </w:p>
        </w:tc>
        <w:tc>
          <w:tcPr>
            <w:tcW w:w="1998" w:type="dxa"/>
            <w:vAlign w:val="center"/>
          </w:tcPr>
          <w:p>
            <w:pPr>
              <w:spacing w:line="360" w:lineRule="auto"/>
              <w:rPr>
                <w:b/>
                <w:szCs w:val="21"/>
              </w:rPr>
            </w:pP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093" w:type="dxa"/>
            <w:vAlign w:val="center"/>
          </w:tcPr>
          <w:p>
            <w:pPr>
              <w:spacing w:line="360" w:lineRule="auto"/>
              <w:jc w:val="center"/>
              <w:rPr>
                <w:b/>
                <w:sz w:val="24"/>
              </w:rPr>
            </w:pPr>
          </w:p>
        </w:tc>
        <w:tc>
          <w:tcPr>
            <w:tcW w:w="1998" w:type="dxa"/>
            <w:vAlign w:val="center"/>
          </w:tcPr>
          <w:p>
            <w:pPr>
              <w:spacing w:line="360" w:lineRule="auto"/>
              <w:rPr>
                <w:b/>
                <w:szCs w:val="21"/>
              </w:rPr>
            </w:pPr>
            <w:r>
              <w:rPr>
                <w:rFonts w:hint="eastAsia"/>
                <w:b/>
                <w:szCs w:val="21"/>
              </w:rPr>
              <w:t>合计</w:t>
            </w:r>
          </w:p>
        </w:tc>
        <w:tc>
          <w:tcPr>
            <w:tcW w:w="1985" w:type="dxa"/>
            <w:vAlign w:val="center"/>
          </w:tcPr>
          <w:p>
            <w:pPr>
              <w:spacing w:line="360" w:lineRule="auto"/>
              <w:rPr>
                <w:b/>
                <w:szCs w:val="21"/>
              </w:rPr>
            </w:pPr>
          </w:p>
        </w:tc>
        <w:tc>
          <w:tcPr>
            <w:tcW w:w="2341" w:type="dxa"/>
            <w:vAlign w:val="center"/>
          </w:tcPr>
          <w:p>
            <w:pPr>
              <w:spacing w:line="360" w:lineRule="auto"/>
              <w:rPr>
                <w:b/>
                <w:szCs w:val="21"/>
              </w:rPr>
            </w:pPr>
          </w:p>
        </w:tc>
        <w:tc>
          <w:tcPr>
            <w:tcW w:w="2150" w:type="dxa"/>
            <w:vAlign w:val="center"/>
          </w:tcPr>
          <w:p>
            <w:pPr>
              <w:spacing w:line="360" w:lineRule="auto"/>
              <w:rPr>
                <w:b/>
                <w:szCs w:val="21"/>
              </w:rPr>
            </w:pPr>
          </w:p>
        </w:tc>
      </w:tr>
    </w:tbl>
    <w:p>
      <w:pPr>
        <w:pStyle w:val="19"/>
        <w:spacing w:before="156" w:after="156" w:line="420" w:lineRule="auto"/>
        <w:rPr>
          <w:rFonts w:hAnsi="宋体"/>
        </w:rPr>
      </w:pPr>
      <w:r>
        <w:rPr>
          <w:rFonts w:hint="eastAsia" w:hAnsi="宋体"/>
        </w:rPr>
        <w:t xml:space="preserve"> 本表格格式投标人可以根据实际情况自行修改</w:t>
      </w:r>
    </w:p>
    <w:p>
      <w:pPr>
        <w:pStyle w:val="19"/>
        <w:spacing w:before="156" w:after="156" w:line="240" w:lineRule="auto"/>
        <w:jc w:val="center"/>
        <w:rPr>
          <w:rFonts w:hint="eastAsia" w:hAnsi="宋体"/>
        </w:rPr>
      </w:pPr>
      <w:r>
        <w:rPr>
          <w:rFonts w:hint="eastAsia" w:hAnsi="宋体"/>
        </w:rPr>
        <w:t xml:space="preserve">                       </w:t>
      </w:r>
    </w:p>
    <w:p>
      <w:pPr>
        <w:pStyle w:val="19"/>
        <w:spacing w:before="156" w:after="156" w:line="240" w:lineRule="auto"/>
        <w:jc w:val="center"/>
        <w:rPr>
          <w:rFonts w:hAnsi="宋体"/>
        </w:rPr>
      </w:pPr>
      <w:r>
        <w:rPr>
          <w:rFonts w:hint="eastAsia" w:hAnsi="宋体"/>
          <w:lang w:val="en-US" w:eastAsia="zh-CN"/>
        </w:rPr>
        <w:t xml:space="preserve">                      </w:t>
      </w:r>
      <w:bookmarkStart w:id="3" w:name="_GoBack"/>
      <w:bookmarkEnd w:id="3"/>
      <w:r>
        <w:rPr>
          <w:rFonts w:hint="eastAsia" w:hAnsi="宋体"/>
        </w:rPr>
        <w:t xml:space="preserve"> 投标人全称（盖章）：</w:t>
      </w:r>
    </w:p>
    <w:p>
      <w:pPr>
        <w:pStyle w:val="19"/>
        <w:spacing w:before="156" w:after="156" w:line="240" w:lineRule="auto"/>
        <w:rPr>
          <w:rFonts w:hAnsi="宋体"/>
        </w:rPr>
      </w:pPr>
      <w:r>
        <w:rPr>
          <w:rFonts w:hint="eastAsia" w:hAnsi="宋体"/>
        </w:rPr>
        <w:t xml:space="preserve">                                           授 权 代 表（签字）：</w:t>
      </w:r>
    </w:p>
    <w:p>
      <w:pPr>
        <w:spacing w:line="240" w:lineRule="auto"/>
        <w:jc w:val="center"/>
        <w:rPr>
          <w:rFonts w:ascii="宋体" w:hAnsi="宋体" w:cs="Courier New"/>
          <w:kern w:val="2"/>
          <w:sz w:val="24"/>
          <w:szCs w:val="21"/>
        </w:rPr>
      </w:pPr>
      <w:r>
        <w:rPr>
          <w:rFonts w:hint="eastAsia" w:ascii="宋体" w:hAnsi="宋体" w:cs="Courier New"/>
          <w:kern w:val="2"/>
          <w:sz w:val="24"/>
          <w:szCs w:val="21"/>
        </w:rPr>
        <w:t xml:space="preserve">                                     日   期：</w:t>
      </w:r>
    </w:p>
    <w:p>
      <w:pPr>
        <w:spacing w:line="360" w:lineRule="auto"/>
        <w:rPr>
          <w:rFonts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附件9：政府采购投标人诚信承诺书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rPr>
        <w:t>东阳八婺招标代理有限公司：</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项目（招标编号：DYBWCG2022-</w:t>
      </w:r>
      <w:r>
        <w:rPr>
          <w:rFonts w:hint="eastAsia" w:ascii="宋体" w:hAnsi="宋体" w:cs="宋体"/>
          <w:b/>
          <w:sz w:val="24"/>
          <w:u w:val="single"/>
          <w:lang w:val="en-US" w:eastAsia="zh-CN"/>
        </w:rPr>
        <w:t>031</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4"/>
          <w:rFonts w:hint="eastAsia" w:ascii="宋体" w:hAnsi="宋体" w:cs="宋体"/>
          <w:color w:val="auto"/>
          <w:sz w:val="24"/>
        </w:rPr>
        <w:t>其他</w:t>
      </w:r>
      <w:r>
        <w:rPr>
          <w:rStyle w:val="34"/>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pacing w:line="312" w:lineRule="auto"/>
        <w:jc w:val="center"/>
        <w:rPr>
          <w:rFonts w:ascii="宋体" w:hAnsi="宋体" w:cs="宋体"/>
          <w:sz w:val="24"/>
        </w:rPr>
      </w:pPr>
      <w:r>
        <w:rPr>
          <w:rFonts w:hint="eastAsia" w:ascii="宋体" w:hAnsi="宋体" w:cs="宋体"/>
          <w:sz w:val="24"/>
        </w:rPr>
        <w:t xml:space="preserve">                              法人代表或授权委托人签字：</w:t>
      </w:r>
    </w:p>
    <w:p>
      <w:pPr>
        <w:ind w:firstLine="5520" w:firstLineChars="2300"/>
        <w:rPr>
          <w:rFonts w:ascii="宋体" w:hAnsi="宋体" w:cs="宋体"/>
          <w:sz w:val="24"/>
          <w:szCs w:val="22"/>
        </w:rPr>
      </w:pPr>
      <w:r>
        <w:rPr>
          <w:rFonts w:hint="eastAsia" w:ascii="宋体" w:hAnsi="宋体" w:cs="宋体"/>
          <w:sz w:val="24"/>
          <w:szCs w:val="22"/>
        </w:rPr>
        <w:t>年   月   日</w:t>
      </w:r>
    </w:p>
    <w:p>
      <w:pPr>
        <w:rPr>
          <w:rFonts w:ascii="宋体" w:hAnsi="宋体" w:cs="宋体"/>
          <w:color w:val="000000"/>
          <w:sz w:val="24"/>
          <w:szCs w:val="24"/>
        </w:rPr>
      </w:pPr>
    </w:p>
    <w:p>
      <w:pPr>
        <w:rPr>
          <w:rFonts w:ascii="宋体" w:hAnsi="宋体" w:cs="宋体"/>
          <w:b/>
          <w:bCs/>
          <w:color w:val="000000"/>
          <w:sz w:val="24"/>
          <w:szCs w:val="24"/>
        </w:rPr>
      </w:pPr>
    </w:p>
    <w:p>
      <w:pPr>
        <w:rPr>
          <w:rFonts w:ascii="宋体" w:hAnsi="宋体" w:cs="宋体"/>
          <w:color w:val="000000"/>
          <w:sz w:val="24"/>
          <w:szCs w:val="24"/>
        </w:rPr>
      </w:pPr>
      <w:r>
        <w:rPr>
          <w:rFonts w:hint="eastAsia" w:ascii="宋体" w:hAnsi="宋体" w:cs="宋体"/>
          <w:b/>
          <w:bCs/>
          <w:color w:val="000000"/>
          <w:sz w:val="24"/>
          <w:szCs w:val="24"/>
        </w:rPr>
        <w:t>附件10：</w:t>
      </w:r>
    </w:p>
    <w:p>
      <w:pPr>
        <w:ind w:firstLine="3614" w:firstLineChars="1200"/>
        <w:rPr>
          <w:rFonts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sz w:val="24"/>
          <w:szCs w:val="24"/>
        </w:rPr>
      </w:pPr>
      <w:r>
        <w:rPr>
          <w:rFonts w:hint="eastAsia" w:ascii="宋体" w:hAnsi="宋体" w:cs="宋体"/>
          <w:sz w:val="24"/>
          <w:szCs w:val="24"/>
          <w:u w:val="single"/>
        </w:rPr>
        <w:t>致：东阳八婺招标代理有限公司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_________（投标人名称）如中标，愿向东阳八婺招标代理有限公司支付中标服务费。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pPr>
        <w:spacing w:line="360" w:lineRule="auto"/>
        <w:ind w:firstLine="1320" w:firstLineChars="550"/>
        <w:rPr>
          <w:rFonts w:ascii="宋体" w:hAnsi="宋体" w:cs="宋体"/>
          <w:sz w:val="24"/>
          <w:szCs w:val="24"/>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承诺人名称（盖章）：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法定代表人或代理人（签字）：</w:t>
      </w:r>
    </w:p>
    <w:p>
      <w:pPr>
        <w:spacing w:line="360" w:lineRule="auto"/>
        <w:rPr>
          <w:rFonts w:ascii="宋体" w:hAnsi="宋体" w:cs="宋体"/>
          <w:sz w:val="28"/>
          <w:szCs w:val="28"/>
        </w:rPr>
      </w:pPr>
    </w:p>
    <w:p>
      <w:pPr>
        <w:pStyle w:val="35"/>
        <w:spacing w:before="78" w:after="78"/>
      </w:pP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ind w:firstLine="4480" w:firstLineChars="1600"/>
        <w:rPr>
          <w:rFonts w:ascii="宋体" w:hAnsi="宋体" w:cs="宋体"/>
          <w:sz w:val="28"/>
          <w:szCs w:val="28"/>
        </w:rPr>
      </w:pPr>
    </w:p>
    <w:p>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2022年 月 日</w:t>
      </w:r>
    </w:p>
    <w:p>
      <w:pPr>
        <w:snapToGrid w:val="0"/>
        <w:spacing w:beforeLines="50" w:after="50"/>
        <w:rPr>
          <w:rFonts w:ascii="宋体" w:hAnsi="宋体" w:cs="宋体"/>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jc w:val="left"/>
        <w:rPr>
          <w:rFonts w:ascii="宋体" w:hAnsi="宋体" w:cs="宋体"/>
          <w:b/>
          <w:bCs/>
          <w:color w:val="000000"/>
          <w:sz w:val="24"/>
          <w:szCs w:val="24"/>
        </w:rPr>
      </w:pPr>
    </w:p>
    <w:p>
      <w:pPr>
        <w:snapToGrid w:val="0"/>
        <w:jc w:val="left"/>
        <w:rPr>
          <w:rFonts w:ascii="宋体" w:hAnsi="宋体" w:cs="宋体"/>
          <w:b/>
          <w:bCs/>
          <w:color w:val="000000"/>
          <w:sz w:val="24"/>
          <w:szCs w:val="24"/>
        </w:rPr>
      </w:pPr>
    </w:p>
    <w:p>
      <w:pPr>
        <w:snapToGrid w:val="0"/>
        <w:spacing w:before="50" w:after="50" w:line="360" w:lineRule="auto"/>
        <w:rPr>
          <w:rFonts w:ascii="仿宋_GB2312" w:hAnsi="仿宋" w:eastAsia="仿宋_GB2312" w:cs="仿宋_GB2312"/>
          <w:b/>
          <w:sz w:val="24"/>
        </w:rPr>
      </w:pPr>
      <w:r>
        <w:rPr>
          <w:rFonts w:hint="eastAsia" w:ascii="宋体" w:hAnsi="宋体" w:cs="宋体"/>
          <w:b/>
          <w:bCs/>
          <w:color w:val="000000"/>
          <w:sz w:val="24"/>
          <w:szCs w:val="24"/>
        </w:rPr>
        <w:t>附件11：</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仿宋_GB2312" w:hAnsi="仿宋" w:eastAsia="仿宋_GB2312" w:cs="仿宋_GB2312"/>
          <w:b/>
          <w:sz w:val="24"/>
          <w:lang w:val="en-US" w:eastAsia="zh-CN"/>
        </w:rPr>
        <w:t xml:space="preserve"> </w:t>
      </w:r>
      <w:r>
        <w:rPr>
          <w:rFonts w:hint="eastAsia" w:ascii="宋体" w:hAnsi="宋体" w:cs="宋体"/>
          <w:b/>
          <w:sz w:val="32"/>
          <w:szCs w:val="32"/>
          <w:lang w:val="zh-CN"/>
        </w:rPr>
        <w:t>联合协议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pPr>
        <w:snapToGrid w:val="0"/>
        <w:spacing w:line="360" w:lineRule="auto"/>
        <w:rPr>
          <w:rFonts w:ascii="宋体" w:hAnsi="宋体" w:cs="宋体"/>
          <w:b/>
          <w:bCs/>
          <w:color w:val="000000"/>
          <w:sz w:val="24"/>
          <w:szCs w:val="24"/>
        </w:rPr>
      </w:pPr>
    </w:p>
    <w:p>
      <w:pPr>
        <w:snapToGrid w:val="0"/>
        <w:spacing w:line="360" w:lineRule="auto"/>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附件12：分包意向协议</w:t>
      </w:r>
    </w:p>
    <w:p>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jc w:val="left"/>
        <w:rPr>
          <w:rFonts w:ascii="宋体" w:hAnsi="宋体" w:cs="宋体"/>
          <w:b/>
          <w:bCs/>
          <w:color w:val="000000"/>
          <w:sz w:val="24"/>
          <w:szCs w:val="24"/>
        </w:rPr>
      </w:pPr>
    </w:p>
    <w:p>
      <w:pPr>
        <w:snapToGrid w:val="0"/>
        <w:jc w:val="left"/>
        <w:rPr>
          <w:rFonts w:ascii="宋体" w:hAnsi="宋体" w:cs="宋体"/>
          <w:b/>
          <w:bCs/>
          <w:color w:val="000000"/>
          <w:sz w:val="24"/>
          <w:szCs w:val="24"/>
        </w:rPr>
      </w:pPr>
      <w:r>
        <w:rPr>
          <w:rFonts w:hint="eastAsia" w:ascii="宋体" w:hAnsi="宋体" w:cs="宋体"/>
          <w:b/>
          <w:bCs/>
          <w:color w:val="000000"/>
          <w:sz w:val="24"/>
          <w:szCs w:val="24"/>
        </w:rPr>
        <w:t>6.报价文件</w:t>
      </w:r>
    </w:p>
    <w:p>
      <w:pPr>
        <w:pStyle w:val="19"/>
        <w:snapToGrid w:val="0"/>
        <w:spacing w:beforeLines="0" w:afterLines="0" w:line="440" w:lineRule="exact"/>
        <w:ind w:firstLine="240" w:firstLineChars="100"/>
        <w:rPr>
          <w:color w:val="000000"/>
        </w:rPr>
      </w:pPr>
      <w:r>
        <w:rPr>
          <w:rFonts w:hint="eastAsia"/>
          <w:color w:val="000000"/>
        </w:rPr>
        <w:t xml:space="preserve">（1）投标函（格式见附件）； </w:t>
      </w:r>
    </w:p>
    <w:p>
      <w:pPr>
        <w:pStyle w:val="19"/>
        <w:snapToGrid w:val="0"/>
        <w:spacing w:beforeLines="0" w:afterLines="0" w:line="440" w:lineRule="exact"/>
        <w:ind w:firstLine="240" w:firstLineChars="100"/>
        <w:rPr>
          <w:color w:val="000000"/>
        </w:rPr>
      </w:pPr>
      <w:r>
        <w:rPr>
          <w:rFonts w:hint="eastAsia"/>
          <w:color w:val="000000"/>
        </w:rPr>
        <w:t>（2）开标一览表（格式见附件）；</w:t>
      </w:r>
    </w:p>
    <w:p>
      <w:pPr>
        <w:pStyle w:val="19"/>
        <w:snapToGrid w:val="0"/>
        <w:spacing w:beforeLines="0" w:afterLines="0" w:line="440" w:lineRule="exact"/>
        <w:ind w:firstLine="240" w:firstLineChars="100"/>
        <w:rPr>
          <w:color w:val="000000"/>
        </w:rPr>
      </w:pPr>
      <w:r>
        <w:rPr>
          <w:rFonts w:hint="eastAsia"/>
          <w:color w:val="000000"/>
        </w:rPr>
        <w:t>（3）中小型企业声明函（格式见附件）；</w:t>
      </w:r>
    </w:p>
    <w:p>
      <w:pPr>
        <w:pStyle w:val="19"/>
        <w:snapToGrid w:val="0"/>
        <w:spacing w:beforeLines="0" w:afterLines="0" w:line="440" w:lineRule="exact"/>
        <w:ind w:firstLine="240" w:firstLineChars="100"/>
        <w:rPr>
          <w:color w:val="000000"/>
        </w:rPr>
      </w:pPr>
      <w:r>
        <w:rPr>
          <w:rFonts w:hint="eastAsia"/>
          <w:color w:val="000000"/>
        </w:rPr>
        <w:t>（4）监狱企业证明文件（如有）；</w:t>
      </w:r>
    </w:p>
    <w:p>
      <w:pPr>
        <w:pStyle w:val="19"/>
        <w:snapToGrid w:val="0"/>
        <w:spacing w:beforeLines="0" w:afterLines="0" w:line="440" w:lineRule="exact"/>
        <w:ind w:firstLine="240" w:firstLineChars="100"/>
        <w:rPr>
          <w:color w:val="000000"/>
        </w:rPr>
      </w:pPr>
      <w:r>
        <w:rPr>
          <w:rFonts w:hint="eastAsia"/>
          <w:color w:val="000000"/>
        </w:rPr>
        <w:t>（5）残疾人福利性单位声明函（如有）；</w:t>
      </w:r>
    </w:p>
    <w:p>
      <w:pPr>
        <w:pStyle w:val="19"/>
        <w:snapToGrid w:val="0"/>
        <w:spacing w:beforeLines="0" w:afterLines="0" w:line="440" w:lineRule="exact"/>
        <w:ind w:firstLine="240" w:firstLineChars="100"/>
        <w:rPr>
          <w:color w:val="000000"/>
        </w:rPr>
      </w:pPr>
      <w:r>
        <w:rPr>
          <w:rFonts w:hint="eastAsia"/>
          <w:color w:val="000000"/>
        </w:rPr>
        <w:t>（6）投标人针对报价需要说明的其他文件和说明。</w:t>
      </w:r>
    </w:p>
    <w:p>
      <w:pPr>
        <w:snapToGrid w:val="0"/>
        <w:spacing w:before="50" w:afterLines="50"/>
        <w:jc w:val="left"/>
        <w:rPr>
          <w:rFonts w:ascii="宋体" w:hAnsi="宋体" w:cs="宋体"/>
          <w:b/>
          <w:bCs/>
          <w:color w:val="000000"/>
          <w:sz w:val="24"/>
          <w:szCs w:val="24"/>
        </w:rPr>
      </w:pPr>
    </w:p>
    <w:p>
      <w:pPr>
        <w:snapToGrid w:val="0"/>
        <w:ind w:firstLine="360" w:firstLineChars="1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r>
        <w:rPr>
          <w:rFonts w:hint="eastAsia" w:ascii="宋体" w:hAnsi="宋体" w:cs="宋体"/>
          <w:b/>
          <w:bCs/>
          <w:color w:val="000000"/>
          <w:sz w:val="24"/>
          <w:szCs w:val="24"/>
        </w:rPr>
        <w:t>附件1:3：投标函</w:t>
      </w:r>
    </w:p>
    <w:p>
      <w:pPr>
        <w:snapToGrid w:val="0"/>
        <w:spacing w:beforeLines="50" w:after="50"/>
        <w:jc w:val="center"/>
        <w:rPr>
          <w:rFonts w:ascii="宋体" w:hAnsi="宋体" w:cs="宋体"/>
          <w:b/>
          <w:sz w:val="28"/>
          <w:szCs w:val="28"/>
        </w:rPr>
      </w:pPr>
      <w:r>
        <w:rPr>
          <w:rFonts w:hint="eastAsia" w:ascii="宋体" w:hAnsi="宋体" w:cs="宋体"/>
          <w:b/>
          <w:sz w:val="28"/>
          <w:szCs w:val="28"/>
        </w:rPr>
        <w:t>投 标 函</w:t>
      </w:r>
    </w:p>
    <w:p>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rPr>
        <w:t>东阳八婺招标代理有限公司：</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（投标人名称）提交资信/商务文件、技术文件、报价文件正本各</w:t>
      </w:r>
      <w:r>
        <w:rPr>
          <w:rFonts w:hint="eastAsia" w:ascii="宋体" w:hAnsi="宋体" w:cs="宋体"/>
          <w:sz w:val="24"/>
          <w:u w:val="single"/>
        </w:rPr>
        <w:t>一份</w:t>
      </w:r>
      <w:r>
        <w:rPr>
          <w:rFonts w:hint="eastAsia" w:ascii="宋体" w:hAnsi="宋体" w:cs="宋体"/>
          <w:sz w:val="24"/>
        </w:rPr>
        <w:t>、副本</w:t>
      </w:r>
      <w:r>
        <w:rPr>
          <w:rFonts w:hint="eastAsia" w:ascii="宋体" w:hAnsi="宋体" w:cs="宋体"/>
          <w:sz w:val="24"/>
          <w:u w:val="single"/>
        </w:rPr>
        <w:t xml:space="preserve">   </w:t>
      </w:r>
      <w:r>
        <w:rPr>
          <w:rFonts w:hint="eastAsia" w:ascii="宋体" w:hAnsi="宋体" w:cs="宋体"/>
          <w:sz w:val="24"/>
        </w:rPr>
        <w:t>份。</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rPr>
        <w:t xml:space="preserve">授权代表签字:___________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r>
        <w:rPr>
          <w:rFonts w:hint="eastAsia" w:ascii="宋体" w:hAnsi="宋体" w:cs="宋体"/>
          <w:b/>
          <w:sz w:val="24"/>
        </w:rPr>
        <w:t>附件14：开标一览表</w:t>
      </w:r>
    </w:p>
    <w:p>
      <w:pPr>
        <w:snapToGrid w:val="0"/>
        <w:spacing w:before="50" w:after="50"/>
        <w:jc w:val="center"/>
        <w:rPr>
          <w:rFonts w:ascii="宋体" w:hAnsi="宋体" w:cs="宋体"/>
          <w:b/>
          <w:sz w:val="30"/>
        </w:rPr>
      </w:pPr>
      <w:r>
        <w:rPr>
          <w:rFonts w:hint="eastAsia" w:ascii="宋体" w:hAnsi="宋体" w:cs="宋体"/>
          <w:b/>
          <w:sz w:val="30"/>
        </w:rPr>
        <w:t xml:space="preserve">  物业使用费开标一览表</w:t>
      </w:r>
    </w:p>
    <w:tbl>
      <w:tblPr>
        <w:tblStyle w:val="29"/>
        <w:tblW w:w="9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3092"/>
        <w:gridCol w:w="1729"/>
        <w:gridCol w:w="1688"/>
        <w:gridCol w:w="1625"/>
        <w:gridCol w:w="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829" w:type="dxa"/>
            <w:tcBorders>
              <w:top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采购内容</w:t>
            </w:r>
          </w:p>
        </w:tc>
        <w:tc>
          <w:tcPr>
            <w:tcW w:w="1729"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b/>
                <w:bCs/>
                <w:sz w:val="24"/>
                <w:szCs w:val="22"/>
              </w:rPr>
            </w:pPr>
            <w:r>
              <w:rPr>
                <w:rFonts w:hint="eastAsia"/>
                <w:b/>
                <w:bCs/>
                <w:color w:val="000000"/>
                <w:sz w:val="24"/>
                <w:szCs w:val="24"/>
              </w:rPr>
              <w:t>服务期限</w:t>
            </w:r>
          </w:p>
        </w:tc>
        <w:tc>
          <w:tcPr>
            <w:tcW w:w="1688"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b/>
                <w:bCs/>
                <w:sz w:val="24"/>
                <w:szCs w:val="22"/>
              </w:rPr>
            </w:pPr>
            <w:r>
              <w:rPr>
                <w:rFonts w:hint="eastAsia" w:ascii="宋体" w:hAnsi="宋体" w:cs="宋体"/>
                <w:b/>
                <w:bCs/>
                <w:sz w:val="24"/>
                <w:szCs w:val="22"/>
              </w:rPr>
              <w:t>投标单价</w:t>
            </w:r>
          </w:p>
          <w:p>
            <w:pPr>
              <w:pStyle w:val="7"/>
              <w:ind w:firstLine="0"/>
              <w:jc w:val="center"/>
              <w:rPr>
                <w:rFonts w:ascii="宋体" w:hAnsi="宋体" w:cs="宋体"/>
                <w:b/>
                <w:bCs/>
                <w:sz w:val="24"/>
                <w:szCs w:val="22"/>
              </w:rPr>
            </w:pPr>
            <w:r>
              <w:rPr>
                <w:rFonts w:hint="eastAsia" w:ascii="宋体" w:hAnsi="宋体" w:cs="宋体"/>
                <w:b/>
                <w:bCs/>
                <w:sz w:val="24"/>
                <w:szCs w:val="22"/>
              </w:rPr>
              <w:t>（元/</w:t>
            </w:r>
            <w:r>
              <w:rPr>
                <w:rFonts w:hint="eastAsia"/>
                <w:b/>
                <w:bCs/>
                <w:color w:val="000000"/>
                <w:sz w:val="24"/>
                <w:szCs w:val="24"/>
              </w:rPr>
              <w:t>年</w:t>
            </w:r>
            <w:r>
              <w:rPr>
                <w:rFonts w:hint="eastAsia" w:ascii="宋体" w:hAnsi="宋体" w:cs="宋体"/>
                <w:b/>
                <w:bCs/>
                <w:sz w:val="24"/>
                <w:szCs w:val="22"/>
              </w:rPr>
              <w:t>）</w:t>
            </w: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sz w:val="24"/>
              </w:rPr>
            </w:pPr>
            <w:r>
              <w:rPr>
                <w:rFonts w:hint="eastAsia" w:ascii="宋体" w:hAnsi="宋体" w:cs="宋体"/>
                <w:b/>
                <w:bCs/>
                <w:sz w:val="24"/>
              </w:rPr>
              <w:t>总价（元）</w:t>
            </w: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9"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b/>
                <w:bCs/>
                <w:color w:val="0D0D0D"/>
                <w:sz w:val="24"/>
                <w:szCs w:val="24"/>
              </w:rPr>
            </w:pPr>
            <w:r>
              <w:rPr>
                <w:rFonts w:hint="eastAsia" w:ascii="宋体" w:hAnsi="宋体" w:cs="宋体"/>
                <w:sz w:val="24"/>
              </w:rPr>
              <w:t>1</w:t>
            </w:r>
          </w:p>
        </w:tc>
        <w:tc>
          <w:tcPr>
            <w:tcW w:w="3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sz w:val="24"/>
                <w:szCs w:val="24"/>
              </w:rPr>
            </w:pPr>
            <w:r>
              <w:rPr>
                <w:rFonts w:hint="eastAsia" w:ascii="宋体" w:hAnsi="宋体" w:cs="宋体"/>
                <w:color w:val="0D0D0D"/>
                <w:sz w:val="24"/>
                <w:szCs w:val="24"/>
              </w:rPr>
              <w:t>第一年至第五年每年的物业使用费</w:t>
            </w:r>
          </w:p>
        </w:tc>
        <w:tc>
          <w:tcPr>
            <w:tcW w:w="1729"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9"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sz w:val="24"/>
              </w:rPr>
            </w:pPr>
            <w:r>
              <w:rPr>
                <w:rFonts w:hint="eastAsia" w:ascii="宋体" w:hAnsi="宋体" w:cs="宋体"/>
                <w:sz w:val="24"/>
              </w:rPr>
              <w:t>2</w:t>
            </w:r>
          </w:p>
        </w:tc>
        <w:tc>
          <w:tcPr>
            <w:tcW w:w="3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sz w:val="24"/>
                <w:szCs w:val="24"/>
              </w:rPr>
            </w:pPr>
            <w:r>
              <w:rPr>
                <w:rFonts w:hint="eastAsia" w:ascii="宋体" w:hAnsi="宋体" w:cs="宋体"/>
                <w:sz w:val="24"/>
              </w:rPr>
              <w:t>第六年至第十年每年的物业使用费</w:t>
            </w:r>
          </w:p>
        </w:tc>
        <w:tc>
          <w:tcPr>
            <w:tcW w:w="1729"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9"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sz w:val="24"/>
              </w:rPr>
            </w:pPr>
            <w:r>
              <w:rPr>
                <w:rFonts w:hint="eastAsia" w:ascii="宋体" w:hAnsi="宋体" w:cs="宋体"/>
                <w:sz w:val="24"/>
              </w:rPr>
              <w:t>3</w:t>
            </w:r>
          </w:p>
        </w:tc>
        <w:tc>
          <w:tcPr>
            <w:tcW w:w="3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sz w:val="24"/>
                <w:szCs w:val="24"/>
              </w:rPr>
            </w:pPr>
            <w:r>
              <w:rPr>
                <w:rFonts w:hint="eastAsia" w:ascii="宋体" w:hAnsi="宋体" w:cs="宋体"/>
                <w:sz w:val="24"/>
              </w:rPr>
              <w:t>第十一年至第十五年每年的物业使用费</w:t>
            </w:r>
          </w:p>
        </w:tc>
        <w:tc>
          <w:tcPr>
            <w:tcW w:w="1729"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9"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sz w:val="24"/>
              </w:rPr>
            </w:pPr>
            <w:r>
              <w:rPr>
                <w:rFonts w:hint="eastAsia" w:ascii="宋体" w:hAnsi="宋体" w:cs="宋体"/>
                <w:sz w:val="24"/>
              </w:rPr>
              <w:t>4</w:t>
            </w:r>
          </w:p>
        </w:tc>
        <w:tc>
          <w:tcPr>
            <w:tcW w:w="3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第十六年至第二十年每年的物业使用费</w:t>
            </w:r>
          </w:p>
        </w:tc>
        <w:tc>
          <w:tcPr>
            <w:tcW w:w="1729"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0D0D0D"/>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9846" w:type="dxa"/>
            <w:gridSpan w:val="6"/>
            <w:tcBorders>
              <w:top w:val="single" w:color="auto" w:sz="4" w:space="0"/>
              <w:bottom w:val="single" w:color="auto" w:sz="4" w:space="0"/>
              <w:right w:val="single" w:color="auto" w:sz="4" w:space="0"/>
            </w:tcBorders>
            <w:vAlign w:val="center"/>
          </w:tcPr>
          <w:p>
            <w:pPr>
              <w:snapToGrid w:val="0"/>
              <w:spacing w:before="50" w:after="50"/>
              <w:rPr>
                <w:rFonts w:ascii="宋体" w:hAnsi="宋体" w:cs="宋体"/>
                <w:b/>
                <w:bCs/>
                <w:color w:val="0D0D0D"/>
                <w:sz w:val="24"/>
                <w:szCs w:val="24"/>
              </w:rPr>
            </w:pPr>
            <w:r>
              <w:rPr>
                <w:rFonts w:hint="eastAsia" w:ascii="宋体"/>
                <w:color w:val="0D0D0D"/>
                <w:sz w:val="24"/>
              </w:rPr>
              <w:t xml:space="preserve">合计（大写）：                        </w:t>
            </w:r>
            <w:r>
              <w:rPr>
                <w:rFonts w:hint="eastAsia" w:ascii="宋体" w:hAnsi="宋体"/>
                <w:sz w:val="24"/>
                <w:szCs w:val="21"/>
              </w:rPr>
              <w:t xml:space="preserve">    小写：￥</w:t>
            </w:r>
            <w:r>
              <w:rPr>
                <w:rFonts w:ascii="宋体" w:hAnsi="宋体"/>
                <w:sz w:val="24"/>
                <w:szCs w:val="21"/>
                <w:u w:val="single"/>
              </w:rPr>
              <w:t xml:space="preserve">    </w:t>
            </w:r>
            <w:r>
              <w:rPr>
                <w:rFonts w:hint="eastAsia" w:ascii="宋体" w:hAnsi="宋体"/>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9846" w:type="dxa"/>
            <w:gridSpan w:val="6"/>
            <w:tcBorders>
              <w:top w:val="single" w:color="auto" w:sz="4" w:space="0"/>
              <w:bottom w:val="single" w:color="auto" w:sz="4" w:space="0"/>
              <w:right w:val="single" w:color="auto" w:sz="4" w:space="0"/>
            </w:tcBorders>
            <w:vAlign w:val="center"/>
          </w:tcPr>
          <w:p>
            <w:pPr>
              <w:snapToGrid w:val="0"/>
              <w:spacing w:before="50" w:after="50"/>
              <w:rPr>
                <w:rFonts w:ascii="宋体"/>
                <w:color w:val="0D0D0D"/>
                <w:sz w:val="24"/>
              </w:rPr>
            </w:pPr>
            <w:r>
              <w:rPr>
                <w:rFonts w:hint="eastAsia" w:ascii="宋体" w:cs="宋体"/>
                <w:color w:val="000000"/>
                <w:sz w:val="24"/>
                <w:szCs w:val="24"/>
              </w:rPr>
              <w:t>小微型企业政策扶持报价</w:t>
            </w:r>
            <w:r>
              <w:rPr>
                <w:rFonts w:hint="eastAsia"/>
                <w:color w:val="000000"/>
                <w:kern w:val="2"/>
                <w:sz w:val="24"/>
                <w:szCs w:val="24"/>
              </w:rPr>
              <w:t>（元）：</w:t>
            </w:r>
          </w:p>
        </w:tc>
      </w:tr>
    </w:tbl>
    <w:p>
      <w:pPr>
        <w:pStyle w:val="28"/>
        <w:ind w:firstLine="0" w:firstLineChars="0"/>
        <w:rPr>
          <w:rFonts w:ascii="宋体" w:hAnsi="宋体" w:eastAsia="宋体"/>
          <w:sz w:val="24"/>
        </w:rPr>
      </w:pPr>
    </w:p>
    <w:p>
      <w:pPr>
        <w:snapToGrid w:val="0"/>
        <w:spacing w:before="50" w:after="50"/>
        <w:ind w:firstLine="480" w:firstLineChars="200"/>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、报价一经涂改，应在涂改处加盖单位公章或者由法定代表人或授权委托人签字并盖章，否则其投标作无效标处理。</w:t>
      </w:r>
    </w:p>
    <w:p>
      <w:pPr>
        <w:pStyle w:val="3"/>
        <w:ind w:firstLine="480" w:firstLineChars="200"/>
      </w:pPr>
      <w:r>
        <w:rPr>
          <w:rFonts w:hint="eastAsia" w:ascii="宋体" w:hAnsi="宋体"/>
        </w:rPr>
        <w:t>2、</w:t>
      </w:r>
      <w:r>
        <w:rPr>
          <w:rFonts w:ascii="宋体" w:hAnsi="宋体"/>
          <w:color w:val="000000"/>
        </w:rPr>
        <w:t>投标报价</w:t>
      </w:r>
      <w:r>
        <w:rPr>
          <w:rFonts w:hint="eastAsia" w:ascii="宋体" w:hAnsi="宋体"/>
          <w:color w:val="000000"/>
        </w:rPr>
        <w:t>应</w:t>
      </w:r>
      <w:r>
        <w:rPr>
          <w:rFonts w:ascii="宋体" w:hAnsi="宋体"/>
          <w:color w:val="000000"/>
        </w:rPr>
        <w:t>写明投标单价和投标总价</w:t>
      </w:r>
      <w:r>
        <w:rPr>
          <w:rFonts w:hint="eastAsia" w:ascii="宋体" w:hAnsi="宋体"/>
        </w:rPr>
        <w:t>。</w:t>
      </w:r>
    </w:p>
    <w:p>
      <w:pPr>
        <w:snapToGrid w:val="0"/>
        <w:spacing w:before="50" w:after="50" w:line="360" w:lineRule="auto"/>
        <w:ind w:left="4" w:leftChars="-72" w:right="-778" w:rightChars="-389" w:hanging="148" w:hangingChars="62"/>
        <w:rPr>
          <w:rFonts w:ascii="宋体" w:hAnsi="宋体" w:cs="宋体"/>
          <w:sz w:val="24"/>
        </w:rPr>
      </w:pPr>
    </w:p>
    <w:p>
      <w:pPr>
        <w:snapToGrid w:val="0"/>
        <w:spacing w:before="50" w:after="50" w:line="360" w:lineRule="auto"/>
        <w:ind w:left="4" w:leftChars="-72" w:right="-778" w:rightChars="-389" w:hanging="148" w:hangingChars="62"/>
        <w:rPr>
          <w:rFonts w:ascii="宋体" w:hAnsi="宋体" w:cs="宋体"/>
          <w:sz w:val="24"/>
        </w:rPr>
      </w:pPr>
      <w:r>
        <w:rPr>
          <w:rFonts w:hint="eastAsia" w:ascii="宋体" w:hAnsi="宋体" w:cs="宋体"/>
          <w:sz w:val="24"/>
        </w:rPr>
        <w:t xml:space="preserve">法定代表人或授权代表（签字或盖章）： </w:t>
      </w:r>
    </w:p>
    <w:p>
      <w:pPr>
        <w:snapToGrid w:val="0"/>
        <w:spacing w:before="50" w:after="50" w:line="360" w:lineRule="auto"/>
        <w:ind w:left="4" w:leftChars="-72" w:right="-778" w:rightChars="-389" w:hanging="148" w:hangingChars="62"/>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4" w:leftChars="-72" w:right="-778" w:rightChars="-389" w:hanging="148" w:hangingChars="62"/>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snapToGrid w:val="0"/>
        <w:spacing w:line="360" w:lineRule="auto"/>
        <w:rPr>
          <w:rFonts w:ascii="宋体" w:hAnsi="宋体" w:cs="宋体"/>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38"/>
        <w:rPr>
          <w:rFonts w:ascii="宋体" w:hAnsi="宋体" w:cs="宋体"/>
          <w:b/>
          <w:bCs/>
          <w:sz w:val="24"/>
        </w:rPr>
      </w:pPr>
    </w:p>
    <w:p>
      <w:pPr>
        <w:rPr>
          <w:rFonts w:ascii="宋体" w:hAnsi="宋体" w:cs="宋体"/>
          <w:b/>
          <w:bCs/>
          <w:sz w:val="24"/>
        </w:rPr>
      </w:pPr>
    </w:p>
    <w:p>
      <w:pPr>
        <w:rPr>
          <w:rFonts w:ascii="宋体" w:cs="宋体"/>
          <w:b/>
          <w:bCs/>
          <w:sz w:val="24"/>
        </w:rPr>
      </w:pPr>
    </w:p>
    <w:p>
      <w:pPr>
        <w:rPr>
          <w:rFonts w:ascii="宋体" w:cs="宋体"/>
          <w:b/>
          <w:bCs/>
          <w:sz w:val="24"/>
        </w:rPr>
      </w:pPr>
    </w:p>
    <w:p>
      <w:pPr>
        <w:rPr>
          <w:rFonts w:ascii="宋体" w:cs="宋体"/>
          <w:sz w:val="44"/>
          <w:szCs w:val="44"/>
        </w:rPr>
      </w:pPr>
      <w:r>
        <w:rPr>
          <w:rFonts w:hint="eastAsia" w:ascii="宋体" w:cs="宋体"/>
          <w:b/>
          <w:bCs/>
          <w:sz w:val="24"/>
        </w:rPr>
        <w:t>附件15：</w:t>
      </w:r>
    </w:p>
    <w:p>
      <w:pPr>
        <w:jc w:val="center"/>
        <w:rPr>
          <w:rFonts w:ascii="宋体" w:cs="宋体"/>
          <w:sz w:val="30"/>
          <w:szCs w:val="30"/>
        </w:rPr>
      </w:pPr>
      <w:r>
        <w:rPr>
          <w:rFonts w:hint="eastAsia" w:ascii="宋体" w:cs="宋体"/>
          <w:sz w:val="44"/>
          <w:szCs w:val="44"/>
        </w:rPr>
        <w:t xml:space="preserve"> 中小企业声明函（工程、服务）</w:t>
      </w:r>
    </w:p>
    <w:p>
      <w:pPr>
        <w:spacing w:line="360" w:lineRule="auto"/>
        <w:ind w:firstLine="480" w:firstLineChars="200"/>
        <w:rPr>
          <w:rFonts w:ascii="宋体" w:cs="宋体"/>
          <w:sz w:val="24"/>
          <w:szCs w:val="32"/>
        </w:rPr>
      </w:pPr>
    </w:p>
    <w:p>
      <w:pPr>
        <w:spacing w:line="360" w:lineRule="auto"/>
        <w:ind w:firstLine="480" w:firstLineChars="200"/>
        <w:rPr>
          <w:rFonts w:ascii="宋体" w:cs="宋体"/>
          <w:sz w:val="24"/>
          <w:szCs w:val="32"/>
        </w:rPr>
      </w:pPr>
      <w:r>
        <w:rPr>
          <w:rFonts w:hint="eastAsia" w:ascii="宋体" w:cs="宋体"/>
          <w:sz w:val="24"/>
          <w:szCs w:val="32"/>
        </w:rPr>
        <w:t>本公司（联合体）郑重声明，根据《政府采购促进中小企业发展管理办法》（财库﹝2020﹞46 号）的规定，本公司（联合体）参加</w:t>
      </w:r>
      <w:r>
        <w:rPr>
          <w:rFonts w:hint="eastAsia" w:ascii="宋体" w:cs="宋体"/>
          <w:sz w:val="24"/>
          <w:szCs w:val="32"/>
          <w:u w:val="single"/>
        </w:rPr>
        <w:t xml:space="preserve">  （单位名称）  </w:t>
      </w:r>
      <w:r>
        <w:rPr>
          <w:rFonts w:hint="eastAsia" w:ascii="宋体" w:cs="宋体"/>
          <w:sz w:val="24"/>
          <w:szCs w:val="32"/>
        </w:rPr>
        <w:t>的</w:t>
      </w:r>
      <w:r>
        <w:rPr>
          <w:rFonts w:hint="eastAsia" w:ascii="宋体" w:cs="宋体"/>
          <w:sz w:val="24"/>
          <w:szCs w:val="32"/>
          <w:u w:val="single"/>
        </w:rPr>
        <w:t xml:space="preserve">  （项目名称）  </w:t>
      </w:r>
      <w:r>
        <w:rPr>
          <w:rFonts w:hint="eastAsia" w:asci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cs="宋体"/>
          <w:sz w:val="24"/>
          <w:szCs w:val="32"/>
        </w:rPr>
      </w:pPr>
      <w:r>
        <w:rPr>
          <w:rFonts w:hint="eastAsia" w:ascii="宋体" w:cs="宋体"/>
          <w:sz w:val="24"/>
          <w:szCs w:val="32"/>
        </w:rPr>
        <w:t>1、</w:t>
      </w:r>
      <w:r>
        <w:rPr>
          <w:rFonts w:hint="eastAsia" w:ascii="宋体" w:cs="宋体"/>
          <w:sz w:val="24"/>
          <w:szCs w:val="32"/>
          <w:u w:val="single"/>
        </w:rPr>
        <w:t xml:space="preserve">  （标的名称）  </w:t>
      </w:r>
      <w:r>
        <w:rPr>
          <w:rFonts w:hint="eastAsia" w:ascii="宋体" w:cs="宋体"/>
          <w:sz w:val="24"/>
          <w:szCs w:val="32"/>
        </w:rPr>
        <w:t>，属于</w:t>
      </w:r>
      <w:r>
        <w:rPr>
          <w:rFonts w:hint="eastAsia" w:ascii="宋体" w:cs="宋体"/>
          <w:sz w:val="24"/>
          <w:szCs w:val="32"/>
          <w:u w:val="single"/>
        </w:rPr>
        <w:t>（采购文件中明确的所属行业）</w:t>
      </w:r>
      <w:r>
        <w:rPr>
          <w:rFonts w:hint="eastAsia" w:ascii="宋体" w:cs="宋体"/>
          <w:sz w:val="24"/>
          <w:szCs w:val="32"/>
        </w:rPr>
        <w:t>；承建（承接）企业为</w:t>
      </w:r>
      <w:r>
        <w:rPr>
          <w:rFonts w:hint="eastAsia" w:ascii="宋体" w:cs="宋体"/>
          <w:sz w:val="24"/>
          <w:szCs w:val="32"/>
          <w:u w:val="single"/>
        </w:rPr>
        <w:t xml:space="preserve">  （企业名称）  </w:t>
      </w:r>
      <w:r>
        <w:rPr>
          <w:rFonts w:hint="eastAsia" w:ascii="宋体" w:cs="宋体"/>
          <w:sz w:val="24"/>
          <w:szCs w:val="32"/>
        </w:rPr>
        <w:t>，从业人员</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人，营业收入为</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万元，资产总额为</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万元，属于</w:t>
      </w:r>
      <w:r>
        <w:rPr>
          <w:rFonts w:hint="eastAsia" w:ascii="宋体" w:cs="宋体"/>
          <w:sz w:val="24"/>
          <w:szCs w:val="32"/>
          <w:u w:val="single"/>
        </w:rPr>
        <w:t>（中型企业、小型企业、微型企业）</w:t>
      </w:r>
      <w:r>
        <w:rPr>
          <w:rFonts w:hint="eastAsia" w:ascii="宋体" w:cs="宋体"/>
          <w:sz w:val="24"/>
          <w:szCs w:val="32"/>
        </w:rPr>
        <w:t>；</w:t>
      </w:r>
    </w:p>
    <w:p>
      <w:pPr>
        <w:spacing w:line="360" w:lineRule="auto"/>
        <w:ind w:firstLine="480" w:firstLineChars="200"/>
        <w:rPr>
          <w:rFonts w:ascii="宋体" w:cs="宋体"/>
          <w:sz w:val="24"/>
          <w:szCs w:val="32"/>
        </w:rPr>
      </w:pPr>
      <w:r>
        <w:rPr>
          <w:rFonts w:hint="eastAsia" w:ascii="宋体" w:cs="宋体"/>
          <w:sz w:val="24"/>
          <w:szCs w:val="32"/>
        </w:rPr>
        <w:t>2、</w:t>
      </w:r>
      <w:r>
        <w:rPr>
          <w:rFonts w:hint="eastAsia" w:ascii="宋体" w:cs="宋体"/>
          <w:sz w:val="24"/>
          <w:szCs w:val="32"/>
          <w:u w:val="single"/>
        </w:rPr>
        <w:t xml:space="preserve">  （标的名称）  </w:t>
      </w:r>
      <w:r>
        <w:rPr>
          <w:rFonts w:hint="eastAsia" w:ascii="宋体" w:cs="宋体"/>
          <w:sz w:val="24"/>
          <w:szCs w:val="32"/>
        </w:rPr>
        <w:t>，属于</w:t>
      </w:r>
      <w:r>
        <w:rPr>
          <w:rFonts w:hint="eastAsia" w:ascii="宋体" w:cs="宋体"/>
          <w:sz w:val="24"/>
          <w:szCs w:val="32"/>
          <w:u w:val="single"/>
        </w:rPr>
        <w:t>（采购文件中明确的所属行业）</w:t>
      </w:r>
      <w:r>
        <w:rPr>
          <w:rFonts w:hint="eastAsia" w:ascii="宋体" w:cs="宋体"/>
          <w:sz w:val="24"/>
          <w:szCs w:val="32"/>
        </w:rPr>
        <w:t>；承建（承接）企业为</w:t>
      </w:r>
      <w:r>
        <w:rPr>
          <w:rFonts w:hint="eastAsia" w:ascii="宋体" w:cs="宋体"/>
          <w:sz w:val="24"/>
          <w:szCs w:val="32"/>
          <w:u w:val="single"/>
        </w:rPr>
        <w:t xml:space="preserve">  （企业名称）  </w:t>
      </w:r>
      <w:r>
        <w:rPr>
          <w:rFonts w:hint="eastAsia" w:ascii="宋体" w:cs="宋体"/>
          <w:sz w:val="24"/>
          <w:szCs w:val="32"/>
        </w:rPr>
        <w:t>，从业人员</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人，营业收入为</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万元，资产总额为</w:t>
      </w:r>
      <w:r>
        <w:rPr>
          <w:rFonts w:hint="eastAsia" w:ascii="宋体" w:cs="宋体"/>
          <w:sz w:val="24"/>
          <w:szCs w:val="32"/>
          <w:u w:val="single"/>
        </w:rPr>
        <w:t xml:space="preserve">   </w:t>
      </w:r>
      <w:r>
        <w:rPr>
          <w:rFonts w:hint="eastAsia" w:ascii="宋体" w:cs="宋体"/>
          <w:sz w:val="24"/>
          <w:szCs w:val="32"/>
          <w:u w:val="single"/>
        </w:rPr>
        <w:tab/>
      </w:r>
      <w:r>
        <w:rPr>
          <w:rFonts w:hint="eastAsia" w:ascii="宋体" w:cs="宋体"/>
          <w:sz w:val="24"/>
          <w:szCs w:val="32"/>
        </w:rPr>
        <w:t>万元，属于</w:t>
      </w:r>
      <w:r>
        <w:rPr>
          <w:rFonts w:hint="eastAsia" w:ascii="宋体" w:cs="宋体"/>
          <w:sz w:val="24"/>
          <w:szCs w:val="32"/>
          <w:u w:val="single"/>
        </w:rPr>
        <w:t>（中型企业、小型企业、微型企业）</w:t>
      </w:r>
      <w:r>
        <w:rPr>
          <w:rFonts w:hint="eastAsia" w:ascii="宋体" w:cs="宋体"/>
          <w:sz w:val="24"/>
          <w:szCs w:val="32"/>
        </w:rPr>
        <w:t>；</w:t>
      </w:r>
    </w:p>
    <w:p>
      <w:pPr>
        <w:spacing w:line="360" w:lineRule="auto"/>
        <w:rPr>
          <w:rFonts w:ascii="宋体" w:cs="宋体"/>
          <w:sz w:val="24"/>
          <w:szCs w:val="32"/>
        </w:rPr>
      </w:pPr>
      <w:r>
        <w:rPr>
          <w:rFonts w:hint="eastAsia" w:ascii="宋体" w:cs="宋体"/>
          <w:sz w:val="24"/>
          <w:szCs w:val="32"/>
        </w:rPr>
        <w:t>……</w:t>
      </w:r>
    </w:p>
    <w:p>
      <w:pPr>
        <w:spacing w:line="360" w:lineRule="auto"/>
        <w:ind w:firstLine="480" w:firstLineChars="200"/>
        <w:rPr>
          <w:rFonts w:ascii="宋体" w:cs="宋体"/>
          <w:sz w:val="24"/>
          <w:szCs w:val="32"/>
        </w:rPr>
      </w:pPr>
      <w:r>
        <w:rPr>
          <w:rFonts w:hint="eastAsia" w:asci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cs="宋体"/>
          <w:sz w:val="24"/>
          <w:szCs w:val="32"/>
        </w:rPr>
      </w:pPr>
      <w:r>
        <w:rPr>
          <w:rFonts w:hint="eastAsia" w:ascii="宋体" w:cs="宋体"/>
          <w:sz w:val="24"/>
          <w:szCs w:val="32"/>
        </w:rPr>
        <w:t>本企业对上述声明内容的真实性负责。如有虚假，将依法承担相应责任。</w:t>
      </w:r>
    </w:p>
    <w:p>
      <w:pPr>
        <w:spacing w:line="360" w:lineRule="auto"/>
        <w:rPr>
          <w:rFonts w:ascii="宋体" w:cs="宋体"/>
          <w:sz w:val="24"/>
          <w:szCs w:val="32"/>
        </w:rPr>
      </w:pPr>
    </w:p>
    <w:p>
      <w:pPr>
        <w:spacing w:line="360" w:lineRule="auto"/>
        <w:rPr>
          <w:rFonts w:ascii="宋体" w:cs="宋体"/>
          <w:sz w:val="24"/>
          <w:szCs w:val="32"/>
        </w:rPr>
      </w:pPr>
    </w:p>
    <w:p>
      <w:pPr>
        <w:spacing w:line="360" w:lineRule="auto"/>
        <w:ind w:firstLine="5280" w:firstLineChars="2200"/>
        <w:rPr>
          <w:rFonts w:ascii="宋体" w:cs="宋体"/>
          <w:sz w:val="24"/>
          <w:szCs w:val="32"/>
        </w:rPr>
      </w:pPr>
      <w:r>
        <w:rPr>
          <w:rFonts w:hint="eastAsia" w:ascii="宋体" w:cs="宋体"/>
          <w:sz w:val="24"/>
          <w:szCs w:val="32"/>
        </w:rPr>
        <w:t>企业名称（盖章）：</w:t>
      </w:r>
    </w:p>
    <w:p>
      <w:pPr>
        <w:spacing w:line="360" w:lineRule="auto"/>
        <w:ind w:firstLine="5280" w:firstLineChars="2200"/>
        <w:rPr>
          <w:rFonts w:ascii="宋体" w:cs="宋体"/>
          <w:sz w:val="24"/>
          <w:szCs w:val="32"/>
        </w:rPr>
      </w:pPr>
      <w:r>
        <w:rPr>
          <w:rFonts w:hint="eastAsia" w:asci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3"/>
        <w:rPr>
          <w:rFonts w:ascii="宋体" w:cs="宋体"/>
        </w:rPr>
      </w:pPr>
      <w:r>
        <w:rPr>
          <w:rFonts w:hint="eastAsia" w:ascii="宋体" w:cs="宋体"/>
        </w:rPr>
        <w:t>注：1、如投标人是小微企业的，则需提供中小企业声明函。</w:t>
      </w:r>
    </w:p>
    <w:p>
      <w:pPr>
        <w:spacing w:line="360" w:lineRule="auto"/>
        <w:ind w:firstLine="480" w:firstLineChars="200"/>
        <w:rPr>
          <w:rFonts w:ascii="宋体" w:cs="宋体"/>
          <w:sz w:val="24"/>
          <w:szCs w:val="24"/>
        </w:rPr>
      </w:pPr>
      <w:r>
        <w:rPr>
          <w:rFonts w:hint="eastAsia" w:ascii="宋体" w:cs="宋体"/>
          <w:sz w:val="24"/>
          <w:szCs w:val="24"/>
        </w:rPr>
        <w:t>2、从业人员、营业收入、资产总额填报上一年度数据，无上一年度数据的新成立企业可不填报。</w:t>
      </w:r>
    </w:p>
    <w:p>
      <w:pPr>
        <w:pStyle w:val="3"/>
        <w:ind w:firstLine="480" w:firstLineChars="200"/>
      </w:pPr>
      <w:r>
        <w:rPr>
          <w:rFonts w:hint="eastAsia" w:ascii="宋体" w:cs="宋体"/>
        </w:rPr>
        <w:t>3、如中标人声明为小微企业，本声明函将随中标结果同时公告，接受社会监督。</w:t>
      </w:r>
    </w:p>
    <w:p>
      <w:pPr>
        <w:spacing w:after="120"/>
        <w:ind w:right="960"/>
        <w:jc w:val="left"/>
        <w:rPr>
          <w:rFonts w:ascii="宋体" w:cs="宋体"/>
          <w:b/>
          <w:sz w:val="24"/>
          <w:szCs w:val="24"/>
        </w:rPr>
      </w:pPr>
    </w:p>
    <w:p>
      <w:pPr>
        <w:spacing w:after="120"/>
        <w:ind w:right="960"/>
        <w:jc w:val="left"/>
        <w:rPr>
          <w:rFonts w:ascii="宋体" w:cs="宋体"/>
          <w:b/>
          <w:sz w:val="24"/>
          <w:szCs w:val="24"/>
        </w:rPr>
      </w:pPr>
      <w:r>
        <w:rPr>
          <w:rFonts w:hint="eastAsia" w:ascii="宋体" w:cs="宋体"/>
          <w:b/>
          <w:sz w:val="24"/>
          <w:szCs w:val="24"/>
        </w:rPr>
        <w:t>附件16：</w:t>
      </w:r>
    </w:p>
    <w:p>
      <w:pPr>
        <w:spacing w:after="120"/>
        <w:ind w:right="960" w:firstLine="2891" w:firstLineChars="8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3"/>
        <w:rPr>
          <w:rFonts w:ascii="宋体" w:cs="宋体"/>
          <w:sz w:val="22"/>
          <w:szCs w:val="28"/>
        </w:rPr>
      </w:pPr>
      <w:r>
        <w:rPr>
          <w:rFonts w:hint="eastAsia" w:ascii="宋体" w:cs="宋体"/>
          <w:sz w:val="22"/>
          <w:szCs w:val="28"/>
        </w:rPr>
        <w:t>注：1.残疾人福利性单位视同小型、微型企业，享受价格扣除。</w:t>
      </w:r>
    </w:p>
    <w:p>
      <w:pPr>
        <w:pStyle w:val="3"/>
        <w:rPr>
          <w:rFonts w:ascii="宋体" w:cs="宋体"/>
          <w:sz w:val="22"/>
          <w:szCs w:val="28"/>
        </w:rPr>
      </w:pPr>
      <w:r>
        <w:rPr>
          <w:rFonts w:hint="eastAsia" w:ascii="宋体" w:cs="宋体"/>
          <w:sz w:val="22"/>
          <w:szCs w:val="28"/>
        </w:rPr>
        <w:t>2.残疾人福利性单位属于小型、微型企业的，不重复享受政策。</w:t>
      </w:r>
    </w:p>
    <w:p>
      <w:pPr>
        <w:pStyle w:val="3"/>
        <w:rPr>
          <w:rFonts w:ascii="宋体" w:cs="宋体"/>
          <w:sz w:val="22"/>
          <w:szCs w:val="28"/>
        </w:rPr>
      </w:pPr>
      <w:r>
        <w:rPr>
          <w:rFonts w:hint="eastAsia" w:ascii="宋体" w:cs="宋体"/>
          <w:sz w:val="22"/>
          <w:szCs w:val="28"/>
        </w:rPr>
        <w:t>3.如中标人声明为残疾人福利性单位，本声明函将随中标结果同时公告，接受社会监督。</w:t>
      </w:r>
    </w:p>
    <w:p>
      <w:pPr>
        <w:rPr>
          <w:rFonts w:ascii="宋体" w:hAnsi="宋体" w:cs="宋体"/>
          <w:b/>
          <w:bCs/>
          <w:sz w:val="24"/>
        </w:rPr>
      </w:pPr>
    </w:p>
    <w:p>
      <w:pPr>
        <w:pStyle w:val="3"/>
        <w:rPr>
          <w:rFonts w:ascii="宋体" w:hAnsi="宋体" w:cs="宋体"/>
          <w:b/>
          <w:bCs/>
        </w:rPr>
      </w:pPr>
    </w:p>
    <w:p>
      <w:pPr>
        <w:rPr>
          <w:rFonts w:ascii="宋体" w:hAnsi="宋体" w:cs="宋体"/>
          <w:b/>
          <w:bCs/>
          <w:sz w:val="24"/>
        </w:rPr>
      </w:pPr>
    </w:p>
    <w:p>
      <w:pPr>
        <w:pStyle w:val="3"/>
        <w:rPr>
          <w:rFonts w:ascii="宋体" w:hAnsi="宋体" w:cs="宋体"/>
          <w:b/>
          <w:bCs/>
        </w:rPr>
      </w:pPr>
    </w:p>
    <w:p>
      <w:pPr>
        <w:rPr>
          <w:rFonts w:ascii="宋体" w:hAnsi="宋体" w:cs="宋体"/>
          <w:b/>
          <w:bCs/>
          <w:sz w:val="24"/>
        </w:rPr>
      </w:pPr>
    </w:p>
    <w:p>
      <w:pPr>
        <w:pStyle w:val="3"/>
        <w:rPr>
          <w:rFonts w:ascii="宋体" w:hAnsi="宋体" w:cs="宋体"/>
          <w:b/>
          <w:bCs/>
        </w:rPr>
      </w:pPr>
    </w:p>
    <w:p>
      <w:pPr>
        <w:rPr>
          <w:rFonts w:ascii="宋体" w:hAnsi="宋体" w:cs="宋体"/>
          <w:b/>
          <w:bCs/>
          <w:sz w:val="24"/>
        </w:rPr>
      </w:pPr>
    </w:p>
    <w:p>
      <w:pPr>
        <w:rPr>
          <w:rFonts w:ascii="宋体" w:hAnsi="宋体" w:cs="宋体"/>
          <w:sz w:val="36"/>
          <w:szCs w:val="36"/>
        </w:rPr>
      </w:pPr>
      <w:r>
        <w:rPr>
          <w:rFonts w:hint="eastAsia" w:ascii="宋体" w:hAnsi="宋体" w:cs="宋体"/>
          <w:b/>
          <w:bCs/>
          <w:sz w:val="24"/>
        </w:rPr>
        <w:t>附件17：</w:t>
      </w:r>
    </w:p>
    <w:p>
      <w:pPr>
        <w:ind w:firstLine="2160" w:firstLineChars="600"/>
        <w:rPr>
          <w:rFonts w:ascii="宋体" w:hAnsi="宋体" w:cs="宋体"/>
          <w:sz w:val="36"/>
          <w:szCs w:val="36"/>
        </w:rPr>
      </w:pPr>
      <w:r>
        <w:rPr>
          <w:rFonts w:hint="eastAsia" w:ascii="宋体" w:hAnsi="宋体" w:cs="宋体"/>
          <w:sz w:val="36"/>
          <w:szCs w:val="36"/>
        </w:rPr>
        <w:t>投标人技术、资信商务得分自评表</w:t>
      </w:r>
    </w:p>
    <w:tbl>
      <w:tblPr>
        <w:tblStyle w:val="29"/>
        <w:tblW w:w="996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614"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225"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4</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5</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6</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7</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8</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9</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10</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ascii="宋体" w:hAnsi="宋体" w:cs="宋体"/>
                <w:sz w:val="28"/>
                <w:szCs w:val="28"/>
              </w:rPr>
            </w:pPr>
            <w:r>
              <w:rPr>
                <w:rFonts w:hint="eastAsia" w:ascii="宋体" w:hAnsi="宋体" w:cs="宋体"/>
                <w:sz w:val="28"/>
                <w:szCs w:val="28"/>
              </w:rPr>
              <w:t>……</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614" w:type="dxa"/>
            <w:vAlign w:val="center"/>
          </w:tcPr>
          <w:p>
            <w:pPr>
              <w:jc w:val="center"/>
              <w:rPr>
                <w:rFonts w:ascii="宋体" w:hAnsi="宋体" w:cs="宋体"/>
              </w:rPr>
            </w:pPr>
          </w:p>
        </w:tc>
        <w:tc>
          <w:tcPr>
            <w:tcW w:w="1225"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投标人名称（盖章）：                         2022年   月    日</w:t>
      </w:r>
    </w:p>
    <w:p>
      <w:pPr>
        <w:rPr>
          <w:rFonts w:ascii="宋体" w:hAnsi="宋体" w:cs="宋体"/>
          <w:b/>
          <w:sz w:val="28"/>
          <w:szCs w:val="28"/>
        </w:rPr>
      </w:pPr>
    </w:p>
    <w:p>
      <w:pPr>
        <w:tabs>
          <w:tab w:val="left" w:pos="2472"/>
        </w:tabs>
        <w:snapToGrid w:val="0"/>
        <w:rPr>
          <w:rFonts w:ascii="宋体" w:hAnsi="宋体" w:cs="宋体"/>
        </w:rPr>
      </w:pPr>
    </w:p>
    <w:p>
      <w:pPr>
        <w:snapToGrid w:val="0"/>
        <w:spacing w:before="50" w:after="50"/>
        <w:rPr>
          <w:rFonts w:ascii="宋体" w:hAnsi="宋体" w:cs="宋体"/>
          <w:b/>
          <w:bCs/>
          <w:sz w:val="24"/>
          <w:szCs w:val="24"/>
        </w:rPr>
      </w:pPr>
      <w:r>
        <w:rPr>
          <w:rFonts w:hint="eastAsia" w:ascii="宋体" w:hAnsi="宋体" w:cs="宋体"/>
          <w:b/>
          <w:bCs/>
          <w:sz w:val="24"/>
          <w:szCs w:val="24"/>
        </w:rPr>
        <w:t>附件18：</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29"/>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东阳市残疾人康复托养中心公建民营项目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pacing w:before="100" w:beforeAutospacing="1" w:after="120"/>
        <w:ind w:right="-154"/>
        <w:rPr>
          <w:rFonts w:ascii="宋体" w:hAnsi="宋体"/>
          <w:sz w:val="24"/>
          <w:szCs w:val="24"/>
        </w:rPr>
      </w:pPr>
      <w:r>
        <w:rPr>
          <w:rFonts w:hint="eastAsia" w:ascii="宋体" w:hAnsi="宋体"/>
          <w:sz w:val="24"/>
          <w:szCs w:val="24"/>
        </w:rPr>
        <w:t>注：此表须盖投标单位公章（于开标截止前发送至邮箱：</w:t>
      </w:r>
      <w:r>
        <w:fldChar w:fldCharType="begin"/>
      </w:r>
      <w:r>
        <w:instrText xml:space="preserve"> HYPERLINK "mailto:526874447@qq.com）" </w:instrText>
      </w:r>
      <w:r>
        <w:fldChar w:fldCharType="separate"/>
      </w:r>
      <w:r>
        <w:rPr>
          <w:rStyle w:val="34"/>
          <w:rFonts w:hint="eastAsia" w:ascii="宋体" w:hAnsi="宋体"/>
          <w:sz w:val="24"/>
          <w:szCs w:val="24"/>
        </w:rPr>
        <w:t>526874447@qq.com）</w:t>
      </w:r>
      <w:r>
        <w:rPr>
          <w:rStyle w:val="34"/>
          <w:rFonts w:hint="eastAsia" w:ascii="宋体" w:hAnsi="宋体"/>
          <w:sz w:val="24"/>
          <w:szCs w:val="24"/>
        </w:rPr>
        <w:fldChar w:fldCharType="end"/>
      </w:r>
    </w:p>
    <w:p>
      <w:pPr>
        <w:pStyle w:val="28"/>
        <w:ind w:firstLine="344"/>
        <w:rPr>
          <w:rFonts w:ascii="宋体" w:hAnsi="宋体" w:eastAsia="宋体"/>
        </w:rPr>
      </w:pPr>
    </w:p>
    <w:p>
      <w:pPr>
        <w:rPr>
          <w:b/>
          <w:bCs/>
          <w:sz w:val="24"/>
          <w:szCs w:val="24"/>
        </w:rPr>
      </w:pPr>
      <w:r>
        <w:rPr>
          <w:rFonts w:hint="eastAsia"/>
          <w:b/>
          <w:bCs/>
          <w:sz w:val="24"/>
          <w:szCs w:val="24"/>
        </w:rPr>
        <w:t>附件19：</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9"/>
        <w:spacing w:before="156" w:after="156"/>
      </w:pPr>
    </w:p>
    <w:p/>
    <w:p>
      <w:pPr>
        <w:pStyle w:val="5"/>
      </w:pPr>
    </w:p>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5"/>
      </w:pPr>
    </w:p>
    <w:p>
      <w:pPr>
        <w:ind w:firstLine="1124" w:firstLineChars="400"/>
        <w:rPr>
          <w:rFonts w:ascii="宋体" w:hAnsi="宋体" w:cs="宋体"/>
          <w:b/>
          <w:sz w:val="28"/>
          <w:szCs w:val="28"/>
        </w:rPr>
      </w:pPr>
    </w:p>
    <w:p>
      <w:pPr>
        <w:pStyle w:val="5"/>
      </w:pPr>
    </w:p>
    <w:p>
      <w:pPr>
        <w:pStyle w:val="5"/>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p>
  <w:p>
    <w:pPr>
      <w:pStyle w:val="22"/>
      <w:ind w:right="360"/>
      <w:jc w:val="center"/>
    </w:pPr>
    <w:r>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2"/>
                  <w:ind w:right="360"/>
                  <w:jc w:val="center"/>
                </w:pPr>
                <w:r>
                  <w:fldChar w:fldCharType="begin"/>
                </w:r>
                <w:r>
                  <w:rPr>
                    <w:rStyle w:val="32"/>
                  </w:rPr>
                  <w:instrText xml:space="preserve"> PAGE </w:instrText>
                </w:r>
                <w:r>
                  <w:fldChar w:fldCharType="separate"/>
                </w:r>
                <w:r>
                  <w:rPr>
                    <w:rStyle w:val="32"/>
                  </w:rP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49566"/>
    <w:multiLevelType w:val="singleLevel"/>
    <w:tmpl w:val="B9149566"/>
    <w:lvl w:ilvl="0" w:tentative="0">
      <w:start w:val="6"/>
      <w:numFmt w:val="decimal"/>
      <w:suff w:val="nothing"/>
      <w:lvlText w:val="%1、"/>
      <w:lvlJc w:val="left"/>
    </w:lvl>
  </w:abstractNum>
  <w:abstractNum w:abstractNumId="1">
    <w:nsid w:val="066E22EE"/>
    <w:multiLevelType w:val="singleLevel"/>
    <w:tmpl w:val="066E22EE"/>
    <w:lvl w:ilvl="0" w:tentative="0">
      <w:start w:val="1"/>
      <w:numFmt w:val="decimal"/>
      <w:suff w:val="nothing"/>
      <w:lvlText w:val="（%1）"/>
      <w:lvlJc w:val="left"/>
    </w:lvl>
  </w:abstractNum>
  <w:abstractNum w:abstractNumId="2">
    <w:nsid w:val="39947549"/>
    <w:multiLevelType w:val="singleLevel"/>
    <w:tmpl w:val="39947549"/>
    <w:lvl w:ilvl="0" w:tentative="0">
      <w:start w:val="1"/>
      <w:numFmt w:val="decimal"/>
      <w:lvlText w:val="%1."/>
      <w:lvlJc w:val="left"/>
      <w:pPr>
        <w:tabs>
          <w:tab w:val="left" w:pos="312"/>
        </w:tabs>
      </w:pPr>
    </w:lvl>
  </w:abstractNum>
  <w:abstractNum w:abstractNumId="3">
    <w:nsid w:val="482E2A1A"/>
    <w:multiLevelType w:val="singleLevel"/>
    <w:tmpl w:val="482E2A1A"/>
    <w:lvl w:ilvl="0" w:tentative="0">
      <w:start w:val="6"/>
      <w:numFmt w:val="chineseCounting"/>
      <w:suff w:val="nothing"/>
      <w:lvlText w:val="%1、"/>
      <w:lvlJc w:val="left"/>
      <w:rPr>
        <w:rFonts w:hint="eastAsia"/>
      </w:rPr>
    </w:lvl>
  </w:abstractNum>
  <w:abstractNum w:abstractNumId="4">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lvlOverride w:ilvl="0">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AyZGVkZWU4MGEwNjE5YmE3NGViNWY2OTQ5Zjc5NTkifQ=="/>
  </w:docVars>
  <w:rsids>
    <w:rsidRoot w:val="00C3341B"/>
    <w:rsid w:val="00023F00"/>
    <w:rsid w:val="0002714A"/>
    <w:rsid w:val="000320E6"/>
    <w:rsid w:val="00043732"/>
    <w:rsid w:val="00071F96"/>
    <w:rsid w:val="00092B0A"/>
    <w:rsid w:val="000B31A7"/>
    <w:rsid w:val="000D0B16"/>
    <w:rsid w:val="000E311B"/>
    <w:rsid w:val="000F390A"/>
    <w:rsid w:val="00151057"/>
    <w:rsid w:val="00175AA4"/>
    <w:rsid w:val="00186C74"/>
    <w:rsid w:val="001B2803"/>
    <w:rsid w:val="001D3B40"/>
    <w:rsid w:val="001E1E6A"/>
    <w:rsid w:val="00242D53"/>
    <w:rsid w:val="002507F7"/>
    <w:rsid w:val="00267489"/>
    <w:rsid w:val="002675B0"/>
    <w:rsid w:val="002838D5"/>
    <w:rsid w:val="002A5AF7"/>
    <w:rsid w:val="002B67D9"/>
    <w:rsid w:val="002E2005"/>
    <w:rsid w:val="00301E33"/>
    <w:rsid w:val="0031123E"/>
    <w:rsid w:val="00314F06"/>
    <w:rsid w:val="0032527F"/>
    <w:rsid w:val="00332826"/>
    <w:rsid w:val="0033471F"/>
    <w:rsid w:val="003654E9"/>
    <w:rsid w:val="003B680D"/>
    <w:rsid w:val="003E41A9"/>
    <w:rsid w:val="00416CDD"/>
    <w:rsid w:val="00422DCB"/>
    <w:rsid w:val="00456178"/>
    <w:rsid w:val="004625AD"/>
    <w:rsid w:val="00490A6E"/>
    <w:rsid w:val="004A7A2C"/>
    <w:rsid w:val="004B2F29"/>
    <w:rsid w:val="004E3AF9"/>
    <w:rsid w:val="004F7CDF"/>
    <w:rsid w:val="0052137C"/>
    <w:rsid w:val="005358CF"/>
    <w:rsid w:val="00572214"/>
    <w:rsid w:val="00574EA2"/>
    <w:rsid w:val="005804E7"/>
    <w:rsid w:val="005B40EA"/>
    <w:rsid w:val="005B5011"/>
    <w:rsid w:val="005B750F"/>
    <w:rsid w:val="005D5F26"/>
    <w:rsid w:val="005D678C"/>
    <w:rsid w:val="005E1A8D"/>
    <w:rsid w:val="005E644C"/>
    <w:rsid w:val="00665EBD"/>
    <w:rsid w:val="00683CA6"/>
    <w:rsid w:val="006B3BA2"/>
    <w:rsid w:val="006E0CAE"/>
    <w:rsid w:val="0070547D"/>
    <w:rsid w:val="00722CB7"/>
    <w:rsid w:val="00753F64"/>
    <w:rsid w:val="00755428"/>
    <w:rsid w:val="00777326"/>
    <w:rsid w:val="007B3852"/>
    <w:rsid w:val="007B72F6"/>
    <w:rsid w:val="007D784A"/>
    <w:rsid w:val="00836323"/>
    <w:rsid w:val="00842967"/>
    <w:rsid w:val="00847242"/>
    <w:rsid w:val="00860C06"/>
    <w:rsid w:val="00867FFD"/>
    <w:rsid w:val="008A26B8"/>
    <w:rsid w:val="008A67A3"/>
    <w:rsid w:val="00907563"/>
    <w:rsid w:val="009106A9"/>
    <w:rsid w:val="009120E6"/>
    <w:rsid w:val="009136A0"/>
    <w:rsid w:val="00935F6A"/>
    <w:rsid w:val="00997956"/>
    <w:rsid w:val="009B0DA6"/>
    <w:rsid w:val="009F708C"/>
    <w:rsid w:val="00A049ED"/>
    <w:rsid w:val="00A12B08"/>
    <w:rsid w:val="00A41685"/>
    <w:rsid w:val="00A45C9C"/>
    <w:rsid w:val="00A62FEF"/>
    <w:rsid w:val="00A87D98"/>
    <w:rsid w:val="00A93DEB"/>
    <w:rsid w:val="00A95736"/>
    <w:rsid w:val="00AA40A3"/>
    <w:rsid w:val="00AB17C0"/>
    <w:rsid w:val="00AB76E0"/>
    <w:rsid w:val="00AF1D98"/>
    <w:rsid w:val="00B30F1E"/>
    <w:rsid w:val="00BA0ED4"/>
    <w:rsid w:val="00BE2B22"/>
    <w:rsid w:val="00BF41DD"/>
    <w:rsid w:val="00C014C2"/>
    <w:rsid w:val="00C07AEC"/>
    <w:rsid w:val="00C300D1"/>
    <w:rsid w:val="00C3341B"/>
    <w:rsid w:val="00C37F83"/>
    <w:rsid w:val="00C46667"/>
    <w:rsid w:val="00C50D30"/>
    <w:rsid w:val="00C64B1C"/>
    <w:rsid w:val="00CC440C"/>
    <w:rsid w:val="00CD78D9"/>
    <w:rsid w:val="00CE6334"/>
    <w:rsid w:val="00D30FF8"/>
    <w:rsid w:val="00D604EB"/>
    <w:rsid w:val="00DA5CDF"/>
    <w:rsid w:val="00E07441"/>
    <w:rsid w:val="00E0782C"/>
    <w:rsid w:val="00E15BF1"/>
    <w:rsid w:val="00E44AF7"/>
    <w:rsid w:val="00E52156"/>
    <w:rsid w:val="00EA1F56"/>
    <w:rsid w:val="00F31028"/>
    <w:rsid w:val="00FA00C2"/>
    <w:rsid w:val="00FB5ED0"/>
    <w:rsid w:val="00FC61DA"/>
    <w:rsid w:val="00FC7F34"/>
    <w:rsid w:val="00FE2E02"/>
    <w:rsid w:val="00FF31C5"/>
    <w:rsid w:val="01042FBA"/>
    <w:rsid w:val="01191928"/>
    <w:rsid w:val="013A4DA5"/>
    <w:rsid w:val="01670EE4"/>
    <w:rsid w:val="01B85EA2"/>
    <w:rsid w:val="01BB41AC"/>
    <w:rsid w:val="02006175"/>
    <w:rsid w:val="020823CE"/>
    <w:rsid w:val="020C67C8"/>
    <w:rsid w:val="021923C1"/>
    <w:rsid w:val="02200433"/>
    <w:rsid w:val="02297B09"/>
    <w:rsid w:val="023F358C"/>
    <w:rsid w:val="02446570"/>
    <w:rsid w:val="024737BC"/>
    <w:rsid w:val="02735082"/>
    <w:rsid w:val="02A243E6"/>
    <w:rsid w:val="02AF769C"/>
    <w:rsid w:val="02DE78A2"/>
    <w:rsid w:val="03081C4D"/>
    <w:rsid w:val="03127926"/>
    <w:rsid w:val="031D46A0"/>
    <w:rsid w:val="03241355"/>
    <w:rsid w:val="03305E8E"/>
    <w:rsid w:val="033234BC"/>
    <w:rsid w:val="03331AF7"/>
    <w:rsid w:val="0334001C"/>
    <w:rsid w:val="03340981"/>
    <w:rsid w:val="037036E3"/>
    <w:rsid w:val="03721DAC"/>
    <w:rsid w:val="037A4BBD"/>
    <w:rsid w:val="037B00CE"/>
    <w:rsid w:val="039702B6"/>
    <w:rsid w:val="03B02AED"/>
    <w:rsid w:val="03B34756"/>
    <w:rsid w:val="03C67AE0"/>
    <w:rsid w:val="03E65BAB"/>
    <w:rsid w:val="03EE6B1B"/>
    <w:rsid w:val="03EF55CF"/>
    <w:rsid w:val="03FF1032"/>
    <w:rsid w:val="040746B6"/>
    <w:rsid w:val="0409766A"/>
    <w:rsid w:val="040F4A5F"/>
    <w:rsid w:val="04136FEB"/>
    <w:rsid w:val="04264C5C"/>
    <w:rsid w:val="04484B72"/>
    <w:rsid w:val="04787A29"/>
    <w:rsid w:val="04936845"/>
    <w:rsid w:val="049445F5"/>
    <w:rsid w:val="04BD1B14"/>
    <w:rsid w:val="04C579DF"/>
    <w:rsid w:val="04CB4BB6"/>
    <w:rsid w:val="04D77B2A"/>
    <w:rsid w:val="04D913BC"/>
    <w:rsid w:val="04DC2C2D"/>
    <w:rsid w:val="04DC52E6"/>
    <w:rsid w:val="04DF1158"/>
    <w:rsid w:val="04E53608"/>
    <w:rsid w:val="04F455D3"/>
    <w:rsid w:val="05155E5C"/>
    <w:rsid w:val="053E6BA6"/>
    <w:rsid w:val="05661550"/>
    <w:rsid w:val="056E2EC2"/>
    <w:rsid w:val="05772978"/>
    <w:rsid w:val="057F768B"/>
    <w:rsid w:val="05904F1C"/>
    <w:rsid w:val="05922FA0"/>
    <w:rsid w:val="05977854"/>
    <w:rsid w:val="05A202A0"/>
    <w:rsid w:val="05A71EEC"/>
    <w:rsid w:val="05BC001D"/>
    <w:rsid w:val="05EF03F3"/>
    <w:rsid w:val="05FD1F28"/>
    <w:rsid w:val="06082F8E"/>
    <w:rsid w:val="060A2E06"/>
    <w:rsid w:val="060F1DAA"/>
    <w:rsid w:val="061C748B"/>
    <w:rsid w:val="062C5C78"/>
    <w:rsid w:val="06510766"/>
    <w:rsid w:val="06566D95"/>
    <w:rsid w:val="06674612"/>
    <w:rsid w:val="0668393D"/>
    <w:rsid w:val="06762280"/>
    <w:rsid w:val="067D12AC"/>
    <w:rsid w:val="068A2114"/>
    <w:rsid w:val="06DB2A7C"/>
    <w:rsid w:val="06E94DCC"/>
    <w:rsid w:val="07113B53"/>
    <w:rsid w:val="07433953"/>
    <w:rsid w:val="076176A4"/>
    <w:rsid w:val="077B6396"/>
    <w:rsid w:val="07A8303E"/>
    <w:rsid w:val="07BA2B3C"/>
    <w:rsid w:val="07D736B7"/>
    <w:rsid w:val="07DD5F86"/>
    <w:rsid w:val="07E11650"/>
    <w:rsid w:val="07FF1354"/>
    <w:rsid w:val="080F2535"/>
    <w:rsid w:val="081C5693"/>
    <w:rsid w:val="081F783A"/>
    <w:rsid w:val="084300B0"/>
    <w:rsid w:val="08570145"/>
    <w:rsid w:val="08D01320"/>
    <w:rsid w:val="08D35DAA"/>
    <w:rsid w:val="08E458C1"/>
    <w:rsid w:val="091C53E1"/>
    <w:rsid w:val="09282E9C"/>
    <w:rsid w:val="093D5155"/>
    <w:rsid w:val="094620D8"/>
    <w:rsid w:val="09525C91"/>
    <w:rsid w:val="096661F9"/>
    <w:rsid w:val="09923D78"/>
    <w:rsid w:val="09A908B8"/>
    <w:rsid w:val="09AF1031"/>
    <w:rsid w:val="09B064D1"/>
    <w:rsid w:val="09B60AFD"/>
    <w:rsid w:val="09C7563A"/>
    <w:rsid w:val="09D65BCB"/>
    <w:rsid w:val="09DD58CC"/>
    <w:rsid w:val="09E90B45"/>
    <w:rsid w:val="09FB5160"/>
    <w:rsid w:val="09FE1EF3"/>
    <w:rsid w:val="0A112734"/>
    <w:rsid w:val="0A122F6A"/>
    <w:rsid w:val="0A1656AB"/>
    <w:rsid w:val="0A4C6B08"/>
    <w:rsid w:val="0A4E63CE"/>
    <w:rsid w:val="0A612854"/>
    <w:rsid w:val="0A82079E"/>
    <w:rsid w:val="0A8B4C3C"/>
    <w:rsid w:val="0A8B7D0A"/>
    <w:rsid w:val="0A8D64AC"/>
    <w:rsid w:val="0AAB2B7E"/>
    <w:rsid w:val="0AC818D3"/>
    <w:rsid w:val="0ACA13D0"/>
    <w:rsid w:val="0ACF7FB5"/>
    <w:rsid w:val="0AEE552A"/>
    <w:rsid w:val="0AF33435"/>
    <w:rsid w:val="0AF430C7"/>
    <w:rsid w:val="0AF91E7F"/>
    <w:rsid w:val="0AFA661B"/>
    <w:rsid w:val="0B3C7617"/>
    <w:rsid w:val="0B5A4560"/>
    <w:rsid w:val="0B7709DF"/>
    <w:rsid w:val="0BC13EFD"/>
    <w:rsid w:val="0BDE4D69"/>
    <w:rsid w:val="0BE41C07"/>
    <w:rsid w:val="0BF267A4"/>
    <w:rsid w:val="0C0445A3"/>
    <w:rsid w:val="0C0C6656"/>
    <w:rsid w:val="0C387EA9"/>
    <w:rsid w:val="0C5617B8"/>
    <w:rsid w:val="0C72628A"/>
    <w:rsid w:val="0C8C5381"/>
    <w:rsid w:val="0C940F09"/>
    <w:rsid w:val="0CA5180B"/>
    <w:rsid w:val="0CBB1514"/>
    <w:rsid w:val="0CC75252"/>
    <w:rsid w:val="0CD92756"/>
    <w:rsid w:val="0CDD0FA5"/>
    <w:rsid w:val="0CF20933"/>
    <w:rsid w:val="0CFF32E5"/>
    <w:rsid w:val="0D260DA8"/>
    <w:rsid w:val="0D4234FE"/>
    <w:rsid w:val="0D591AA2"/>
    <w:rsid w:val="0D6159B1"/>
    <w:rsid w:val="0D662D48"/>
    <w:rsid w:val="0D692143"/>
    <w:rsid w:val="0D964351"/>
    <w:rsid w:val="0DA03BB0"/>
    <w:rsid w:val="0DA07B83"/>
    <w:rsid w:val="0DAD6BC9"/>
    <w:rsid w:val="0DD634B4"/>
    <w:rsid w:val="0DE107B7"/>
    <w:rsid w:val="0DE26B9B"/>
    <w:rsid w:val="0DE91924"/>
    <w:rsid w:val="0DF144BC"/>
    <w:rsid w:val="0E2B7A9D"/>
    <w:rsid w:val="0E61103A"/>
    <w:rsid w:val="0E7D2A40"/>
    <w:rsid w:val="0E8A6F0A"/>
    <w:rsid w:val="0EB037FD"/>
    <w:rsid w:val="0EB14BED"/>
    <w:rsid w:val="0ECA7307"/>
    <w:rsid w:val="0EE329BA"/>
    <w:rsid w:val="0EE47383"/>
    <w:rsid w:val="0F182768"/>
    <w:rsid w:val="0F1B7FC5"/>
    <w:rsid w:val="0F467F8E"/>
    <w:rsid w:val="0F625043"/>
    <w:rsid w:val="0F633BF0"/>
    <w:rsid w:val="0F6661C1"/>
    <w:rsid w:val="0F6C5C75"/>
    <w:rsid w:val="0F983734"/>
    <w:rsid w:val="0FBA5989"/>
    <w:rsid w:val="0FBC7598"/>
    <w:rsid w:val="0FC63869"/>
    <w:rsid w:val="0FEE0221"/>
    <w:rsid w:val="0FFC4CD4"/>
    <w:rsid w:val="101C4FEB"/>
    <w:rsid w:val="102932EA"/>
    <w:rsid w:val="103A226A"/>
    <w:rsid w:val="104B4343"/>
    <w:rsid w:val="10AF5EF3"/>
    <w:rsid w:val="10B06837"/>
    <w:rsid w:val="10B661A0"/>
    <w:rsid w:val="110145C5"/>
    <w:rsid w:val="111122B6"/>
    <w:rsid w:val="111C4301"/>
    <w:rsid w:val="11221A9D"/>
    <w:rsid w:val="116226A2"/>
    <w:rsid w:val="117946CF"/>
    <w:rsid w:val="1193257A"/>
    <w:rsid w:val="11A71902"/>
    <w:rsid w:val="11BD13A5"/>
    <w:rsid w:val="11C24DCF"/>
    <w:rsid w:val="11CD2926"/>
    <w:rsid w:val="11E440AC"/>
    <w:rsid w:val="12081B7C"/>
    <w:rsid w:val="12256B2A"/>
    <w:rsid w:val="12264D78"/>
    <w:rsid w:val="12391A7A"/>
    <w:rsid w:val="129B5763"/>
    <w:rsid w:val="12A02452"/>
    <w:rsid w:val="12B26A30"/>
    <w:rsid w:val="12BB18A1"/>
    <w:rsid w:val="12C34799"/>
    <w:rsid w:val="12D13C63"/>
    <w:rsid w:val="12EE285E"/>
    <w:rsid w:val="13527F6D"/>
    <w:rsid w:val="135574F5"/>
    <w:rsid w:val="136F3FF5"/>
    <w:rsid w:val="138127FA"/>
    <w:rsid w:val="13BB3073"/>
    <w:rsid w:val="13C06C5D"/>
    <w:rsid w:val="13E5075E"/>
    <w:rsid w:val="1419653D"/>
    <w:rsid w:val="141C4E05"/>
    <w:rsid w:val="142676D5"/>
    <w:rsid w:val="143E623C"/>
    <w:rsid w:val="14695C67"/>
    <w:rsid w:val="147D4BB9"/>
    <w:rsid w:val="149533C0"/>
    <w:rsid w:val="14991E08"/>
    <w:rsid w:val="149F5695"/>
    <w:rsid w:val="149F5D04"/>
    <w:rsid w:val="14A404B7"/>
    <w:rsid w:val="14A6348D"/>
    <w:rsid w:val="14AF401D"/>
    <w:rsid w:val="14BC5944"/>
    <w:rsid w:val="14BE7D4A"/>
    <w:rsid w:val="14D14FED"/>
    <w:rsid w:val="14F24505"/>
    <w:rsid w:val="151D117D"/>
    <w:rsid w:val="152052DA"/>
    <w:rsid w:val="153C0833"/>
    <w:rsid w:val="15461BCC"/>
    <w:rsid w:val="15542020"/>
    <w:rsid w:val="155462EA"/>
    <w:rsid w:val="15607D01"/>
    <w:rsid w:val="15752097"/>
    <w:rsid w:val="15815B30"/>
    <w:rsid w:val="158B4B71"/>
    <w:rsid w:val="15915022"/>
    <w:rsid w:val="15D078F9"/>
    <w:rsid w:val="15F07BC2"/>
    <w:rsid w:val="15FE6264"/>
    <w:rsid w:val="161B6533"/>
    <w:rsid w:val="16256BC9"/>
    <w:rsid w:val="162F66D8"/>
    <w:rsid w:val="16513221"/>
    <w:rsid w:val="165E7D3C"/>
    <w:rsid w:val="16614B04"/>
    <w:rsid w:val="167A553A"/>
    <w:rsid w:val="16854A52"/>
    <w:rsid w:val="169B36A3"/>
    <w:rsid w:val="16B32D77"/>
    <w:rsid w:val="16CE7D9B"/>
    <w:rsid w:val="16D97F5D"/>
    <w:rsid w:val="16DE6045"/>
    <w:rsid w:val="17095C14"/>
    <w:rsid w:val="17097679"/>
    <w:rsid w:val="173A73B3"/>
    <w:rsid w:val="175339CC"/>
    <w:rsid w:val="1762682B"/>
    <w:rsid w:val="176F3E64"/>
    <w:rsid w:val="177305D1"/>
    <w:rsid w:val="17852965"/>
    <w:rsid w:val="17925B1A"/>
    <w:rsid w:val="17B649F2"/>
    <w:rsid w:val="17BA0860"/>
    <w:rsid w:val="17CF1E32"/>
    <w:rsid w:val="17DB191F"/>
    <w:rsid w:val="17E36C02"/>
    <w:rsid w:val="18033788"/>
    <w:rsid w:val="181B28C3"/>
    <w:rsid w:val="18203F41"/>
    <w:rsid w:val="18253F0C"/>
    <w:rsid w:val="18371EB1"/>
    <w:rsid w:val="183B1BE6"/>
    <w:rsid w:val="185409F3"/>
    <w:rsid w:val="187C1A7C"/>
    <w:rsid w:val="18A746E3"/>
    <w:rsid w:val="18AE7263"/>
    <w:rsid w:val="18BC288B"/>
    <w:rsid w:val="18D72C16"/>
    <w:rsid w:val="18F47E5A"/>
    <w:rsid w:val="18F82344"/>
    <w:rsid w:val="19521F78"/>
    <w:rsid w:val="197B54F0"/>
    <w:rsid w:val="197E1F5C"/>
    <w:rsid w:val="19883FB0"/>
    <w:rsid w:val="19891CC6"/>
    <w:rsid w:val="199450E1"/>
    <w:rsid w:val="19B825E1"/>
    <w:rsid w:val="19E21EAD"/>
    <w:rsid w:val="19EC0AFA"/>
    <w:rsid w:val="19F36BD0"/>
    <w:rsid w:val="19F40238"/>
    <w:rsid w:val="19FF300F"/>
    <w:rsid w:val="1A1347A5"/>
    <w:rsid w:val="1A185C1B"/>
    <w:rsid w:val="1A200723"/>
    <w:rsid w:val="1A260667"/>
    <w:rsid w:val="1A6D51E5"/>
    <w:rsid w:val="1A705A6F"/>
    <w:rsid w:val="1AA77DEA"/>
    <w:rsid w:val="1AAA5691"/>
    <w:rsid w:val="1AB256ED"/>
    <w:rsid w:val="1AC11F06"/>
    <w:rsid w:val="1AC76B9E"/>
    <w:rsid w:val="1AC86118"/>
    <w:rsid w:val="1AE04D8D"/>
    <w:rsid w:val="1AF573CA"/>
    <w:rsid w:val="1AF57E02"/>
    <w:rsid w:val="1B0A18EA"/>
    <w:rsid w:val="1B1E102C"/>
    <w:rsid w:val="1B416BA3"/>
    <w:rsid w:val="1B493023"/>
    <w:rsid w:val="1B4B1F6B"/>
    <w:rsid w:val="1B7D232F"/>
    <w:rsid w:val="1BB60E51"/>
    <w:rsid w:val="1BC61C15"/>
    <w:rsid w:val="1C087B62"/>
    <w:rsid w:val="1C3B5CE8"/>
    <w:rsid w:val="1C417718"/>
    <w:rsid w:val="1C427076"/>
    <w:rsid w:val="1C5046EC"/>
    <w:rsid w:val="1C5351C3"/>
    <w:rsid w:val="1C773A55"/>
    <w:rsid w:val="1CA541C9"/>
    <w:rsid w:val="1CFF0D91"/>
    <w:rsid w:val="1D080FF8"/>
    <w:rsid w:val="1D1F1F12"/>
    <w:rsid w:val="1D21727E"/>
    <w:rsid w:val="1D5726AE"/>
    <w:rsid w:val="1D752661"/>
    <w:rsid w:val="1D7A5A0C"/>
    <w:rsid w:val="1D9748F5"/>
    <w:rsid w:val="1DA528CF"/>
    <w:rsid w:val="1DB775F0"/>
    <w:rsid w:val="1DC746DF"/>
    <w:rsid w:val="1DE112CF"/>
    <w:rsid w:val="1E35534E"/>
    <w:rsid w:val="1E3A112F"/>
    <w:rsid w:val="1E4E0E75"/>
    <w:rsid w:val="1E51534F"/>
    <w:rsid w:val="1E61444D"/>
    <w:rsid w:val="1E62755C"/>
    <w:rsid w:val="1EA763F1"/>
    <w:rsid w:val="1EC33953"/>
    <w:rsid w:val="1ECD0B7E"/>
    <w:rsid w:val="1F070103"/>
    <w:rsid w:val="1F1B7957"/>
    <w:rsid w:val="1F354356"/>
    <w:rsid w:val="1F477D2C"/>
    <w:rsid w:val="1F683F93"/>
    <w:rsid w:val="1F795C09"/>
    <w:rsid w:val="1F7A0C8E"/>
    <w:rsid w:val="1F8D3376"/>
    <w:rsid w:val="1FB445F4"/>
    <w:rsid w:val="203171E6"/>
    <w:rsid w:val="20386D1F"/>
    <w:rsid w:val="203D202F"/>
    <w:rsid w:val="204F5896"/>
    <w:rsid w:val="20561E57"/>
    <w:rsid w:val="20BC3F37"/>
    <w:rsid w:val="20C55AA9"/>
    <w:rsid w:val="20D94F2E"/>
    <w:rsid w:val="20E00804"/>
    <w:rsid w:val="211F7986"/>
    <w:rsid w:val="213E7DFC"/>
    <w:rsid w:val="21481E67"/>
    <w:rsid w:val="214E52AB"/>
    <w:rsid w:val="215711B1"/>
    <w:rsid w:val="216B4BF9"/>
    <w:rsid w:val="21735E34"/>
    <w:rsid w:val="217A73D2"/>
    <w:rsid w:val="219622B1"/>
    <w:rsid w:val="2198348A"/>
    <w:rsid w:val="21A14FE3"/>
    <w:rsid w:val="21A16905"/>
    <w:rsid w:val="21B9197D"/>
    <w:rsid w:val="21D028E6"/>
    <w:rsid w:val="21E7355D"/>
    <w:rsid w:val="21F60179"/>
    <w:rsid w:val="220F17A9"/>
    <w:rsid w:val="222D0A66"/>
    <w:rsid w:val="227E06DD"/>
    <w:rsid w:val="2297112E"/>
    <w:rsid w:val="229C6912"/>
    <w:rsid w:val="22AC5FAE"/>
    <w:rsid w:val="22AD7B0F"/>
    <w:rsid w:val="22E037EF"/>
    <w:rsid w:val="22EA5D72"/>
    <w:rsid w:val="22F64D97"/>
    <w:rsid w:val="230A45F7"/>
    <w:rsid w:val="230E3095"/>
    <w:rsid w:val="232109D3"/>
    <w:rsid w:val="2327515D"/>
    <w:rsid w:val="23647E4A"/>
    <w:rsid w:val="23874E97"/>
    <w:rsid w:val="238E2BA1"/>
    <w:rsid w:val="23A35EF8"/>
    <w:rsid w:val="23A535B7"/>
    <w:rsid w:val="23E0361A"/>
    <w:rsid w:val="23F30C56"/>
    <w:rsid w:val="23F944BF"/>
    <w:rsid w:val="24534DF9"/>
    <w:rsid w:val="24545B99"/>
    <w:rsid w:val="2474530B"/>
    <w:rsid w:val="24871B4C"/>
    <w:rsid w:val="24AF2AF9"/>
    <w:rsid w:val="24D54CBB"/>
    <w:rsid w:val="24E76A0D"/>
    <w:rsid w:val="251B7740"/>
    <w:rsid w:val="253C2C55"/>
    <w:rsid w:val="25425643"/>
    <w:rsid w:val="2547509E"/>
    <w:rsid w:val="254A3A2B"/>
    <w:rsid w:val="256306D2"/>
    <w:rsid w:val="256E0AE6"/>
    <w:rsid w:val="257E6920"/>
    <w:rsid w:val="25A73469"/>
    <w:rsid w:val="25AF5AD6"/>
    <w:rsid w:val="25B06DFF"/>
    <w:rsid w:val="26016C21"/>
    <w:rsid w:val="260F34C0"/>
    <w:rsid w:val="260F4CDA"/>
    <w:rsid w:val="26202EEA"/>
    <w:rsid w:val="26327342"/>
    <w:rsid w:val="265603DE"/>
    <w:rsid w:val="26832346"/>
    <w:rsid w:val="269F0C21"/>
    <w:rsid w:val="27343A60"/>
    <w:rsid w:val="273C5904"/>
    <w:rsid w:val="273E3150"/>
    <w:rsid w:val="274609F1"/>
    <w:rsid w:val="274A62F8"/>
    <w:rsid w:val="274C6843"/>
    <w:rsid w:val="275A34C6"/>
    <w:rsid w:val="27624C01"/>
    <w:rsid w:val="276F6A8F"/>
    <w:rsid w:val="27800A53"/>
    <w:rsid w:val="27C34070"/>
    <w:rsid w:val="27C83660"/>
    <w:rsid w:val="27C938E3"/>
    <w:rsid w:val="27E72BF3"/>
    <w:rsid w:val="280A3AEF"/>
    <w:rsid w:val="280F0504"/>
    <w:rsid w:val="281D5F81"/>
    <w:rsid w:val="282957E2"/>
    <w:rsid w:val="283C7070"/>
    <w:rsid w:val="284A0054"/>
    <w:rsid w:val="286567E8"/>
    <w:rsid w:val="28723D83"/>
    <w:rsid w:val="288B3172"/>
    <w:rsid w:val="289C2C9B"/>
    <w:rsid w:val="28A644E9"/>
    <w:rsid w:val="28B379E1"/>
    <w:rsid w:val="28B5579E"/>
    <w:rsid w:val="28C35CCE"/>
    <w:rsid w:val="28E76A57"/>
    <w:rsid w:val="28F90ABD"/>
    <w:rsid w:val="2901509D"/>
    <w:rsid w:val="29144A30"/>
    <w:rsid w:val="291D5C6D"/>
    <w:rsid w:val="294C61D2"/>
    <w:rsid w:val="298B410C"/>
    <w:rsid w:val="298F36BF"/>
    <w:rsid w:val="299A6C62"/>
    <w:rsid w:val="29A07BE2"/>
    <w:rsid w:val="29AD59B5"/>
    <w:rsid w:val="29B80EAF"/>
    <w:rsid w:val="29C4378F"/>
    <w:rsid w:val="2A0A0AE2"/>
    <w:rsid w:val="2A1B0341"/>
    <w:rsid w:val="2A282186"/>
    <w:rsid w:val="2A2869A3"/>
    <w:rsid w:val="2A35120C"/>
    <w:rsid w:val="2A355B25"/>
    <w:rsid w:val="2A357950"/>
    <w:rsid w:val="2A5E7D95"/>
    <w:rsid w:val="2A604725"/>
    <w:rsid w:val="2A822C41"/>
    <w:rsid w:val="2A856061"/>
    <w:rsid w:val="2A936E9D"/>
    <w:rsid w:val="2AAB23B6"/>
    <w:rsid w:val="2ADD6A4B"/>
    <w:rsid w:val="2AEB34ED"/>
    <w:rsid w:val="2B135BFA"/>
    <w:rsid w:val="2B141BDE"/>
    <w:rsid w:val="2B3C2EE3"/>
    <w:rsid w:val="2B44605A"/>
    <w:rsid w:val="2B5508A0"/>
    <w:rsid w:val="2B632B65"/>
    <w:rsid w:val="2B7E547A"/>
    <w:rsid w:val="2B807807"/>
    <w:rsid w:val="2BB94DB2"/>
    <w:rsid w:val="2BBB1E70"/>
    <w:rsid w:val="2BC06FF3"/>
    <w:rsid w:val="2BD60874"/>
    <w:rsid w:val="2BDE0A32"/>
    <w:rsid w:val="2BE4429F"/>
    <w:rsid w:val="2C0C734B"/>
    <w:rsid w:val="2C3344A3"/>
    <w:rsid w:val="2C3554FB"/>
    <w:rsid w:val="2C3A4048"/>
    <w:rsid w:val="2C3C4279"/>
    <w:rsid w:val="2C416A03"/>
    <w:rsid w:val="2C4F7515"/>
    <w:rsid w:val="2C5418E8"/>
    <w:rsid w:val="2C7770E2"/>
    <w:rsid w:val="2C790736"/>
    <w:rsid w:val="2C795888"/>
    <w:rsid w:val="2CA77DC6"/>
    <w:rsid w:val="2CD204AB"/>
    <w:rsid w:val="2CEE72D6"/>
    <w:rsid w:val="2CF01422"/>
    <w:rsid w:val="2CF61BF9"/>
    <w:rsid w:val="2D165570"/>
    <w:rsid w:val="2D216834"/>
    <w:rsid w:val="2D3E0AFB"/>
    <w:rsid w:val="2D502C75"/>
    <w:rsid w:val="2D5A75FF"/>
    <w:rsid w:val="2DAF2B71"/>
    <w:rsid w:val="2DBB23ED"/>
    <w:rsid w:val="2DDC2351"/>
    <w:rsid w:val="2DE43094"/>
    <w:rsid w:val="2E092410"/>
    <w:rsid w:val="2E0C3040"/>
    <w:rsid w:val="2E136B0F"/>
    <w:rsid w:val="2E346534"/>
    <w:rsid w:val="2E480742"/>
    <w:rsid w:val="2E5275EC"/>
    <w:rsid w:val="2E564434"/>
    <w:rsid w:val="2E585D69"/>
    <w:rsid w:val="2E782484"/>
    <w:rsid w:val="2EB40981"/>
    <w:rsid w:val="2ED54D70"/>
    <w:rsid w:val="2EDD620A"/>
    <w:rsid w:val="2EE60FF6"/>
    <w:rsid w:val="2F087CAC"/>
    <w:rsid w:val="2F0E38BF"/>
    <w:rsid w:val="2F285C58"/>
    <w:rsid w:val="2F4A2356"/>
    <w:rsid w:val="2F5D32A6"/>
    <w:rsid w:val="2F805E46"/>
    <w:rsid w:val="2F8974DB"/>
    <w:rsid w:val="2F8E3D81"/>
    <w:rsid w:val="2F9E7A38"/>
    <w:rsid w:val="2FB36FD9"/>
    <w:rsid w:val="2FBF2295"/>
    <w:rsid w:val="2FCC7F77"/>
    <w:rsid w:val="2FCF1DD7"/>
    <w:rsid w:val="2FD44032"/>
    <w:rsid w:val="2FF81ACE"/>
    <w:rsid w:val="301F44FC"/>
    <w:rsid w:val="305B1A96"/>
    <w:rsid w:val="30766E97"/>
    <w:rsid w:val="307E433F"/>
    <w:rsid w:val="30A70DED"/>
    <w:rsid w:val="30C57D0B"/>
    <w:rsid w:val="30CB7B2F"/>
    <w:rsid w:val="30DA384A"/>
    <w:rsid w:val="30E3093D"/>
    <w:rsid w:val="3101090B"/>
    <w:rsid w:val="31023D35"/>
    <w:rsid w:val="31096A7D"/>
    <w:rsid w:val="31106E7F"/>
    <w:rsid w:val="31114E2E"/>
    <w:rsid w:val="31197F4E"/>
    <w:rsid w:val="3121070C"/>
    <w:rsid w:val="31261B2D"/>
    <w:rsid w:val="31336B36"/>
    <w:rsid w:val="315C7B0C"/>
    <w:rsid w:val="3167369F"/>
    <w:rsid w:val="317E0853"/>
    <w:rsid w:val="318033B2"/>
    <w:rsid w:val="318135DA"/>
    <w:rsid w:val="318F1FBE"/>
    <w:rsid w:val="3191439C"/>
    <w:rsid w:val="31B34441"/>
    <w:rsid w:val="31C0221C"/>
    <w:rsid w:val="31CB6D6E"/>
    <w:rsid w:val="31D73965"/>
    <w:rsid w:val="31FA78F2"/>
    <w:rsid w:val="32080D1D"/>
    <w:rsid w:val="320C0799"/>
    <w:rsid w:val="320F30FF"/>
    <w:rsid w:val="324E1201"/>
    <w:rsid w:val="327F437D"/>
    <w:rsid w:val="32804B16"/>
    <w:rsid w:val="32A961D6"/>
    <w:rsid w:val="32AA1BEF"/>
    <w:rsid w:val="32DF2037"/>
    <w:rsid w:val="32E427DE"/>
    <w:rsid w:val="32EC6224"/>
    <w:rsid w:val="330719CE"/>
    <w:rsid w:val="33407EE8"/>
    <w:rsid w:val="337D7597"/>
    <w:rsid w:val="33B211EF"/>
    <w:rsid w:val="33CC4E21"/>
    <w:rsid w:val="33D50919"/>
    <w:rsid w:val="33D97F3A"/>
    <w:rsid w:val="33DB048C"/>
    <w:rsid w:val="33E4383E"/>
    <w:rsid w:val="33E97B41"/>
    <w:rsid w:val="33F66C16"/>
    <w:rsid w:val="34614F48"/>
    <w:rsid w:val="3498528B"/>
    <w:rsid w:val="34ED5771"/>
    <w:rsid w:val="350834BB"/>
    <w:rsid w:val="35197E58"/>
    <w:rsid w:val="352116E3"/>
    <w:rsid w:val="352B7906"/>
    <w:rsid w:val="35320BF3"/>
    <w:rsid w:val="353F29DC"/>
    <w:rsid w:val="355419E8"/>
    <w:rsid w:val="355D23D3"/>
    <w:rsid w:val="356B4AF0"/>
    <w:rsid w:val="35DF7F88"/>
    <w:rsid w:val="35E36D7D"/>
    <w:rsid w:val="35E86B46"/>
    <w:rsid w:val="35F3622D"/>
    <w:rsid w:val="361C40B3"/>
    <w:rsid w:val="3629443E"/>
    <w:rsid w:val="364852FB"/>
    <w:rsid w:val="36694216"/>
    <w:rsid w:val="3673358A"/>
    <w:rsid w:val="3683166A"/>
    <w:rsid w:val="368F6DB0"/>
    <w:rsid w:val="36AC19AB"/>
    <w:rsid w:val="36CD185D"/>
    <w:rsid w:val="36E41507"/>
    <w:rsid w:val="36ED2353"/>
    <w:rsid w:val="36EF386A"/>
    <w:rsid w:val="3710012C"/>
    <w:rsid w:val="3713713F"/>
    <w:rsid w:val="37175BE6"/>
    <w:rsid w:val="3723357E"/>
    <w:rsid w:val="37337890"/>
    <w:rsid w:val="37411FAD"/>
    <w:rsid w:val="374612FA"/>
    <w:rsid w:val="37E1109A"/>
    <w:rsid w:val="37E300DF"/>
    <w:rsid w:val="381F3391"/>
    <w:rsid w:val="382E4E5F"/>
    <w:rsid w:val="38665428"/>
    <w:rsid w:val="389820A0"/>
    <w:rsid w:val="38C8225A"/>
    <w:rsid w:val="38E55445"/>
    <w:rsid w:val="38FE7EC8"/>
    <w:rsid w:val="39186D3D"/>
    <w:rsid w:val="39227BBC"/>
    <w:rsid w:val="39333B77"/>
    <w:rsid w:val="39336C36"/>
    <w:rsid w:val="39424F23"/>
    <w:rsid w:val="396C59D0"/>
    <w:rsid w:val="3981559E"/>
    <w:rsid w:val="398203AB"/>
    <w:rsid w:val="399064AD"/>
    <w:rsid w:val="39A55491"/>
    <w:rsid w:val="39B40ADE"/>
    <w:rsid w:val="39C34AC7"/>
    <w:rsid w:val="39F63DF3"/>
    <w:rsid w:val="39FA1BE6"/>
    <w:rsid w:val="3A013630"/>
    <w:rsid w:val="3A171159"/>
    <w:rsid w:val="3A4A6F5D"/>
    <w:rsid w:val="3A4B4718"/>
    <w:rsid w:val="3A546DF7"/>
    <w:rsid w:val="3A727592"/>
    <w:rsid w:val="3A7A753C"/>
    <w:rsid w:val="3A872B9C"/>
    <w:rsid w:val="3A9F4A05"/>
    <w:rsid w:val="3AA92140"/>
    <w:rsid w:val="3AB94550"/>
    <w:rsid w:val="3ABB6CA1"/>
    <w:rsid w:val="3ACD6BB2"/>
    <w:rsid w:val="3AD058D9"/>
    <w:rsid w:val="3ADD616B"/>
    <w:rsid w:val="3AE13FC9"/>
    <w:rsid w:val="3AEB5496"/>
    <w:rsid w:val="3B0922AC"/>
    <w:rsid w:val="3B0D669F"/>
    <w:rsid w:val="3B143534"/>
    <w:rsid w:val="3B1A3241"/>
    <w:rsid w:val="3B201DBA"/>
    <w:rsid w:val="3B3B622C"/>
    <w:rsid w:val="3B6345E7"/>
    <w:rsid w:val="3B791C34"/>
    <w:rsid w:val="3B9E077C"/>
    <w:rsid w:val="3BD31641"/>
    <w:rsid w:val="3BDF30E8"/>
    <w:rsid w:val="3BEE316C"/>
    <w:rsid w:val="3C0E0A17"/>
    <w:rsid w:val="3C197A89"/>
    <w:rsid w:val="3C252F4E"/>
    <w:rsid w:val="3C27673B"/>
    <w:rsid w:val="3C2C7DD8"/>
    <w:rsid w:val="3C326368"/>
    <w:rsid w:val="3C3E2F5F"/>
    <w:rsid w:val="3C6127AC"/>
    <w:rsid w:val="3C737188"/>
    <w:rsid w:val="3C765C1F"/>
    <w:rsid w:val="3C787C65"/>
    <w:rsid w:val="3C9A0AFD"/>
    <w:rsid w:val="3C9C1F7B"/>
    <w:rsid w:val="3CA1704A"/>
    <w:rsid w:val="3CA34886"/>
    <w:rsid w:val="3CAE3A30"/>
    <w:rsid w:val="3CC27F6F"/>
    <w:rsid w:val="3CC45D4C"/>
    <w:rsid w:val="3CD171E3"/>
    <w:rsid w:val="3CD7566A"/>
    <w:rsid w:val="3CE04016"/>
    <w:rsid w:val="3CE71F3C"/>
    <w:rsid w:val="3CFF6E17"/>
    <w:rsid w:val="3D1713D4"/>
    <w:rsid w:val="3D315A02"/>
    <w:rsid w:val="3D3D6D72"/>
    <w:rsid w:val="3D436FB9"/>
    <w:rsid w:val="3D6D78AE"/>
    <w:rsid w:val="3D995F73"/>
    <w:rsid w:val="3DA12768"/>
    <w:rsid w:val="3DA70D4B"/>
    <w:rsid w:val="3DA75DC6"/>
    <w:rsid w:val="3DB139E7"/>
    <w:rsid w:val="3DB24507"/>
    <w:rsid w:val="3DB773E6"/>
    <w:rsid w:val="3DC40117"/>
    <w:rsid w:val="3E1619C4"/>
    <w:rsid w:val="3E1C2EB6"/>
    <w:rsid w:val="3E28346F"/>
    <w:rsid w:val="3E3E198F"/>
    <w:rsid w:val="3E4915E0"/>
    <w:rsid w:val="3E494214"/>
    <w:rsid w:val="3E4E4B92"/>
    <w:rsid w:val="3E790335"/>
    <w:rsid w:val="3E8A2795"/>
    <w:rsid w:val="3E8A67F9"/>
    <w:rsid w:val="3EB06BC1"/>
    <w:rsid w:val="3EBB0897"/>
    <w:rsid w:val="3ED24104"/>
    <w:rsid w:val="3EE165A3"/>
    <w:rsid w:val="3EF47905"/>
    <w:rsid w:val="3F0366AC"/>
    <w:rsid w:val="3F113B4D"/>
    <w:rsid w:val="3F1967AB"/>
    <w:rsid w:val="3F1B6D34"/>
    <w:rsid w:val="3F3330A5"/>
    <w:rsid w:val="3F530EE3"/>
    <w:rsid w:val="3F693548"/>
    <w:rsid w:val="3F760C8C"/>
    <w:rsid w:val="3F952DB9"/>
    <w:rsid w:val="3F961308"/>
    <w:rsid w:val="3F9B1018"/>
    <w:rsid w:val="3FBD7A0C"/>
    <w:rsid w:val="3FC76DC7"/>
    <w:rsid w:val="3FC90B47"/>
    <w:rsid w:val="3FD55988"/>
    <w:rsid w:val="3FD97209"/>
    <w:rsid w:val="3FE61CCA"/>
    <w:rsid w:val="40080B7F"/>
    <w:rsid w:val="40180DB3"/>
    <w:rsid w:val="40412515"/>
    <w:rsid w:val="404965A1"/>
    <w:rsid w:val="40626D4C"/>
    <w:rsid w:val="406311E6"/>
    <w:rsid w:val="40890521"/>
    <w:rsid w:val="40996467"/>
    <w:rsid w:val="40EB3184"/>
    <w:rsid w:val="40ED1F86"/>
    <w:rsid w:val="4100026E"/>
    <w:rsid w:val="410F1A61"/>
    <w:rsid w:val="41114AB0"/>
    <w:rsid w:val="41314E40"/>
    <w:rsid w:val="41464BB9"/>
    <w:rsid w:val="41706AA2"/>
    <w:rsid w:val="418B3227"/>
    <w:rsid w:val="418D5DEE"/>
    <w:rsid w:val="41975ED5"/>
    <w:rsid w:val="41AF7113"/>
    <w:rsid w:val="41D87D99"/>
    <w:rsid w:val="41EC6299"/>
    <w:rsid w:val="42142F43"/>
    <w:rsid w:val="42310F2B"/>
    <w:rsid w:val="425A693D"/>
    <w:rsid w:val="42734FE4"/>
    <w:rsid w:val="42AB6E74"/>
    <w:rsid w:val="42B048B5"/>
    <w:rsid w:val="42D24626"/>
    <w:rsid w:val="42DA6547"/>
    <w:rsid w:val="42DE2DA6"/>
    <w:rsid w:val="430553A3"/>
    <w:rsid w:val="432544BD"/>
    <w:rsid w:val="433021F9"/>
    <w:rsid w:val="434F15AD"/>
    <w:rsid w:val="435412BA"/>
    <w:rsid w:val="436506DD"/>
    <w:rsid w:val="43B10595"/>
    <w:rsid w:val="43C16BE5"/>
    <w:rsid w:val="43D2324F"/>
    <w:rsid w:val="43D67AA8"/>
    <w:rsid w:val="43DE2F65"/>
    <w:rsid w:val="442A5095"/>
    <w:rsid w:val="443D0248"/>
    <w:rsid w:val="44720EC3"/>
    <w:rsid w:val="447952A7"/>
    <w:rsid w:val="448C6831"/>
    <w:rsid w:val="448F2D96"/>
    <w:rsid w:val="44A51AF4"/>
    <w:rsid w:val="44B01AF0"/>
    <w:rsid w:val="44B23E04"/>
    <w:rsid w:val="44CC505E"/>
    <w:rsid w:val="44D94CAF"/>
    <w:rsid w:val="44D96918"/>
    <w:rsid w:val="44DF03A1"/>
    <w:rsid w:val="44E10A35"/>
    <w:rsid w:val="452026FB"/>
    <w:rsid w:val="45236E61"/>
    <w:rsid w:val="45294E11"/>
    <w:rsid w:val="454A3468"/>
    <w:rsid w:val="454C0269"/>
    <w:rsid w:val="454F5571"/>
    <w:rsid w:val="456A0921"/>
    <w:rsid w:val="45751933"/>
    <w:rsid w:val="457963D3"/>
    <w:rsid w:val="457E0EBC"/>
    <w:rsid w:val="457F14B4"/>
    <w:rsid w:val="45A97A79"/>
    <w:rsid w:val="45CD3D23"/>
    <w:rsid w:val="45D04064"/>
    <w:rsid w:val="45E3551A"/>
    <w:rsid w:val="45EC4B2B"/>
    <w:rsid w:val="45EC57D9"/>
    <w:rsid w:val="46040F31"/>
    <w:rsid w:val="4605203B"/>
    <w:rsid w:val="46136DCD"/>
    <w:rsid w:val="462211FB"/>
    <w:rsid w:val="462B472F"/>
    <w:rsid w:val="463158E2"/>
    <w:rsid w:val="463736B9"/>
    <w:rsid w:val="463F7FFF"/>
    <w:rsid w:val="465810C1"/>
    <w:rsid w:val="46715CDF"/>
    <w:rsid w:val="467F14D0"/>
    <w:rsid w:val="46804C24"/>
    <w:rsid w:val="468133F1"/>
    <w:rsid w:val="46B2556B"/>
    <w:rsid w:val="46B925CE"/>
    <w:rsid w:val="46CD2F8E"/>
    <w:rsid w:val="46D96F52"/>
    <w:rsid w:val="4730281A"/>
    <w:rsid w:val="47571378"/>
    <w:rsid w:val="477C2B8D"/>
    <w:rsid w:val="47A10B72"/>
    <w:rsid w:val="47B16CD9"/>
    <w:rsid w:val="47B55CD9"/>
    <w:rsid w:val="47B8332B"/>
    <w:rsid w:val="47C42C2F"/>
    <w:rsid w:val="47D15595"/>
    <w:rsid w:val="47D25122"/>
    <w:rsid w:val="47D440E6"/>
    <w:rsid w:val="47E56ECD"/>
    <w:rsid w:val="47EB110E"/>
    <w:rsid w:val="47EC4363"/>
    <w:rsid w:val="485027DC"/>
    <w:rsid w:val="48613541"/>
    <w:rsid w:val="4878661D"/>
    <w:rsid w:val="487C33E9"/>
    <w:rsid w:val="48F01477"/>
    <w:rsid w:val="48F1779B"/>
    <w:rsid w:val="49137A7A"/>
    <w:rsid w:val="492C509A"/>
    <w:rsid w:val="49410688"/>
    <w:rsid w:val="495F66AB"/>
    <w:rsid w:val="49622F33"/>
    <w:rsid w:val="498126DD"/>
    <w:rsid w:val="49835D37"/>
    <w:rsid w:val="498F5715"/>
    <w:rsid w:val="49B074E5"/>
    <w:rsid w:val="49BF468C"/>
    <w:rsid w:val="49CD2A49"/>
    <w:rsid w:val="49E6481C"/>
    <w:rsid w:val="49E94153"/>
    <w:rsid w:val="49F970AD"/>
    <w:rsid w:val="4A026E64"/>
    <w:rsid w:val="4A084BAC"/>
    <w:rsid w:val="4A144AD1"/>
    <w:rsid w:val="4A1B5FB1"/>
    <w:rsid w:val="4A3E412A"/>
    <w:rsid w:val="4A615153"/>
    <w:rsid w:val="4A673681"/>
    <w:rsid w:val="4A6B1633"/>
    <w:rsid w:val="4A815A37"/>
    <w:rsid w:val="4A8835F7"/>
    <w:rsid w:val="4A9B332A"/>
    <w:rsid w:val="4AB63C7A"/>
    <w:rsid w:val="4AC23BE2"/>
    <w:rsid w:val="4ADE0906"/>
    <w:rsid w:val="4B01238D"/>
    <w:rsid w:val="4B194F90"/>
    <w:rsid w:val="4B727769"/>
    <w:rsid w:val="4B77313F"/>
    <w:rsid w:val="4B8115B5"/>
    <w:rsid w:val="4BAA6CC0"/>
    <w:rsid w:val="4BC0573E"/>
    <w:rsid w:val="4BD25472"/>
    <w:rsid w:val="4BD36A16"/>
    <w:rsid w:val="4BD74836"/>
    <w:rsid w:val="4BD93E31"/>
    <w:rsid w:val="4BE4094C"/>
    <w:rsid w:val="4BEA36D0"/>
    <w:rsid w:val="4BEF3CF0"/>
    <w:rsid w:val="4C1E60FD"/>
    <w:rsid w:val="4C263D1D"/>
    <w:rsid w:val="4C716A38"/>
    <w:rsid w:val="4C787FA4"/>
    <w:rsid w:val="4C810C9E"/>
    <w:rsid w:val="4CAF2F1A"/>
    <w:rsid w:val="4CB43E7F"/>
    <w:rsid w:val="4CB81013"/>
    <w:rsid w:val="4CB84785"/>
    <w:rsid w:val="4CE803E2"/>
    <w:rsid w:val="4CFB6EE9"/>
    <w:rsid w:val="4D251B3C"/>
    <w:rsid w:val="4D317A65"/>
    <w:rsid w:val="4D330698"/>
    <w:rsid w:val="4D6C3693"/>
    <w:rsid w:val="4D880648"/>
    <w:rsid w:val="4DAA3F07"/>
    <w:rsid w:val="4DC24B2F"/>
    <w:rsid w:val="4DD16EC9"/>
    <w:rsid w:val="4DF24CA6"/>
    <w:rsid w:val="4E0142F4"/>
    <w:rsid w:val="4E0B7FC1"/>
    <w:rsid w:val="4E1E04FA"/>
    <w:rsid w:val="4E457D0C"/>
    <w:rsid w:val="4E514E91"/>
    <w:rsid w:val="4E653F02"/>
    <w:rsid w:val="4E6F4101"/>
    <w:rsid w:val="4E782D9D"/>
    <w:rsid w:val="4E7E2C5C"/>
    <w:rsid w:val="4E881BC7"/>
    <w:rsid w:val="4EDA1CCD"/>
    <w:rsid w:val="4F02606E"/>
    <w:rsid w:val="4F1C0258"/>
    <w:rsid w:val="4F351F9F"/>
    <w:rsid w:val="4F3E56AB"/>
    <w:rsid w:val="4F416B96"/>
    <w:rsid w:val="4F535440"/>
    <w:rsid w:val="4F653F96"/>
    <w:rsid w:val="4F753F13"/>
    <w:rsid w:val="4F8C5153"/>
    <w:rsid w:val="4F986F12"/>
    <w:rsid w:val="4F9E1011"/>
    <w:rsid w:val="4FBC3ED6"/>
    <w:rsid w:val="4FCA62FC"/>
    <w:rsid w:val="4FD31DB5"/>
    <w:rsid w:val="4FD83E72"/>
    <w:rsid w:val="4FDA3F3E"/>
    <w:rsid w:val="4FE44685"/>
    <w:rsid w:val="501D17F3"/>
    <w:rsid w:val="502F4C40"/>
    <w:rsid w:val="503F5E18"/>
    <w:rsid w:val="50483F97"/>
    <w:rsid w:val="50666188"/>
    <w:rsid w:val="507831EC"/>
    <w:rsid w:val="508E4430"/>
    <w:rsid w:val="50B42889"/>
    <w:rsid w:val="50B479A6"/>
    <w:rsid w:val="50B92B66"/>
    <w:rsid w:val="50C555A5"/>
    <w:rsid w:val="50C8121F"/>
    <w:rsid w:val="50CE26AB"/>
    <w:rsid w:val="50CE52B5"/>
    <w:rsid w:val="50D50676"/>
    <w:rsid w:val="50E6508F"/>
    <w:rsid w:val="50F54A29"/>
    <w:rsid w:val="510F4A72"/>
    <w:rsid w:val="51186109"/>
    <w:rsid w:val="513D338D"/>
    <w:rsid w:val="5152334C"/>
    <w:rsid w:val="515406D7"/>
    <w:rsid w:val="51602651"/>
    <w:rsid w:val="518744A7"/>
    <w:rsid w:val="51945803"/>
    <w:rsid w:val="519F7EFD"/>
    <w:rsid w:val="51B11685"/>
    <w:rsid w:val="51BF5419"/>
    <w:rsid w:val="51E27507"/>
    <w:rsid w:val="51EA6985"/>
    <w:rsid w:val="52274424"/>
    <w:rsid w:val="52450191"/>
    <w:rsid w:val="52685608"/>
    <w:rsid w:val="528056E3"/>
    <w:rsid w:val="52962C03"/>
    <w:rsid w:val="529A659C"/>
    <w:rsid w:val="529C31F8"/>
    <w:rsid w:val="52DA5B51"/>
    <w:rsid w:val="53064B9E"/>
    <w:rsid w:val="530C6788"/>
    <w:rsid w:val="53194593"/>
    <w:rsid w:val="5369177E"/>
    <w:rsid w:val="53804443"/>
    <w:rsid w:val="539062CB"/>
    <w:rsid w:val="539B148D"/>
    <w:rsid w:val="53B61FCD"/>
    <w:rsid w:val="53B80408"/>
    <w:rsid w:val="53CC0159"/>
    <w:rsid w:val="54091C4C"/>
    <w:rsid w:val="541F7DF6"/>
    <w:rsid w:val="54413494"/>
    <w:rsid w:val="545307B4"/>
    <w:rsid w:val="546F49ED"/>
    <w:rsid w:val="546F6160"/>
    <w:rsid w:val="54AB1645"/>
    <w:rsid w:val="54B2733A"/>
    <w:rsid w:val="54D466F3"/>
    <w:rsid w:val="54E2016E"/>
    <w:rsid w:val="550706AA"/>
    <w:rsid w:val="55072E7F"/>
    <w:rsid w:val="550D5257"/>
    <w:rsid w:val="55560EC1"/>
    <w:rsid w:val="55720DDE"/>
    <w:rsid w:val="55786796"/>
    <w:rsid w:val="559B10CE"/>
    <w:rsid w:val="55A16125"/>
    <w:rsid w:val="55BF1AA9"/>
    <w:rsid w:val="55C4311F"/>
    <w:rsid w:val="55C8305D"/>
    <w:rsid w:val="55D72DEC"/>
    <w:rsid w:val="55DA38A0"/>
    <w:rsid w:val="56010E3E"/>
    <w:rsid w:val="56162D19"/>
    <w:rsid w:val="5655642A"/>
    <w:rsid w:val="566F7816"/>
    <w:rsid w:val="568E226F"/>
    <w:rsid w:val="56A25A40"/>
    <w:rsid w:val="56E42853"/>
    <w:rsid w:val="56E42A9A"/>
    <w:rsid w:val="56EA3644"/>
    <w:rsid w:val="56ED0270"/>
    <w:rsid w:val="57133FA1"/>
    <w:rsid w:val="571B1B94"/>
    <w:rsid w:val="572C1045"/>
    <w:rsid w:val="572D4DE1"/>
    <w:rsid w:val="573C7F4C"/>
    <w:rsid w:val="574134AB"/>
    <w:rsid w:val="574C04A1"/>
    <w:rsid w:val="5774027C"/>
    <w:rsid w:val="577B2D22"/>
    <w:rsid w:val="5784383A"/>
    <w:rsid w:val="57845D0A"/>
    <w:rsid w:val="57BB1402"/>
    <w:rsid w:val="57D65162"/>
    <w:rsid w:val="57DB6172"/>
    <w:rsid w:val="57F86260"/>
    <w:rsid w:val="585C1B4E"/>
    <w:rsid w:val="585C5D3C"/>
    <w:rsid w:val="58655D55"/>
    <w:rsid w:val="586A19EF"/>
    <w:rsid w:val="58743F15"/>
    <w:rsid w:val="58811396"/>
    <w:rsid w:val="588C128E"/>
    <w:rsid w:val="58A638B4"/>
    <w:rsid w:val="58B060CE"/>
    <w:rsid w:val="58DB5328"/>
    <w:rsid w:val="58E31B8D"/>
    <w:rsid w:val="5912081B"/>
    <w:rsid w:val="594F1D58"/>
    <w:rsid w:val="59CE5A18"/>
    <w:rsid w:val="59D05406"/>
    <w:rsid w:val="59DC483D"/>
    <w:rsid w:val="59EF232F"/>
    <w:rsid w:val="5A1A7381"/>
    <w:rsid w:val="5A5508D2"/>
    <w:rsid w:val="5A582921"/>
    <w:rsid w:val="5A7122F9"/>
    <w:rsid w:val="5A75709D"/>
    <w:rsid w:val="5AA62F5D"/>
    <w:rsid w:val="5AC73CC7"/>
    <w:rsid w:val="5ADC1D79"/>
    <w:rsid w:val="5AF057FF"/>
    <w:rsid w:val="5B3A3A3A"/>
    <w:rsid w:val="5B5374BD"/>
    <w:rsid w:val="5B5543DE"/>
    <w:rsid w:val="5B5F34EC"/>
    <w:rsid w:val="5B733510"/>
    <w:rsid w:val="5B9A4380"/>
    <w:rsid w:val="5BA26C0E"/>
    <w:rsid w:val="5BBE6010"/>
    <w:rsid w:val="5BC77E66"/>
    <w:rsid w:val="5BCF552A"/>
    <w:rsid w:val="5BE65918"/>
    <w:rsid w:val="5BF5549C"/>
    <w:rsid w:val="5BF6274A"/>
    <w:rsid w:val="5BF81968"/>
    <w:rsid w:val="5C702282"/>
    <w:rsid w:val="5C780C83"/>
    <w:rsid w:val="5C7943BC"/>
    <w:rsid w:val="5C825658"/>
    <w:rsid w:val="5CA55E6D"/>
    <w:rsid w:val="5CF36801"/>
    <w:rsid w:val="5D19657F"/>
    <w:rsid w:val="5D1E03CD"/>
    <w:rsid w:val="5D5C5C81"/>
    <w:rsid w:val="5D710C39"/>
    <w:rsid w:val="5D7E7207"/>
    <w:rsid w:val="5D852344"/>
    <w:rsid w:val="5D9D222C"/>
    <w:rsid w:val="5DA37E1A"/>
    <w:rsid w:val="5DBF60F7"/>
    <w:rsid w:val="5DC20009"/>
    <w:rsid w:val="5DD31DC8"/>
    <w:rsid w:val="5DD67FF6"/>
    <w:rsid w:val="5DEB7049"/>
    <w:rsid w:val="5E142EE3"/>
    <w:rsid w:val="5E277F99"/>
    <w:rsid w:val="5E2D0D65"/>
    <w:rsid w:val="5E2F4ED8"/>
    <w:rsid w:val="5E352A99"/>
    <w:rsid w:val="5E3572A1"/>
    <w:rsid w:val="5E6A153A"/>
    <w:rsid w:val="5E961B8E"/>
    <w:rsid w:val="5EB644AD"/>
    <w:rsid w:val="5EE854D0"/>
    <w:rsid w:val="5EF2315D"/>
    <w:rsid w:val="5F034771"/>
    <w:rsid w:val="5F2F67E3"/>
    <w:rsid w:val="5F337B24"/>
    <w:rsid w:val="5F36152C"/>
    <w:rsid w:val="5F397E46"/>
    <w:rsid w:val="5F4D22E4"/>
    <w:rsid w:val="5F7E34EF"/>
    <w:rsid w:val="5F7F0725"/>
    <w:rsid w:val="5F8C126A"/>
    <w:rsid w:val="5F956C3B"/>
    <w:rsid w:val="5F9D6F8D"/>
    <w:rsid w:val="5FA931DF"/>
    <w:rsid w:val="5FB2662B"/>
    <w:rsid w:val="5FBB0891"/>
    <w:rsid w:val="5FC96CD9"/>
    <w:rsid w:val="5FD818A4"/>
    <w:rsid w:val="5FEC48FC"/>
    <w:rsid w:val="60124620"/>
    <w:rsid w:val="60262D5F"/>
    <w:rsid w:val="60613F57"/>
    <w:rsid w:val="60756902"/>
    <w:rsid w:val="607B17DC"/>
    <w:rsid w:val="608763D3"/>
    <w:rsid w:val="609E4F90"/>
    <w:rsid w:val="60C74A21"/>
    <w:rsid w:val="60D96503"/>
    <w:rsid w:val="60DD2497"/>
    <w:rsid w:val="610619ED"/>
    <w:rsid w:val="61120392"/>
    <w:rsid w:val="61125057"/>
    <w:rsid w:val="613A62D4"/>
    <w:rsid w:val="617955C9"/>
    <w:rsid w:val="618648DC"/>
    <w:rsid w:val="6195071E"/>
    <w:rsid w:val="619B23D4"/>
    <w:rsid w:val="61C90DAA"/>
    <w:rsid w:val="61CD0FCA"/>
    <w:rsid w:val="61D52196"/>
    <w:rsid w:val="61DC48DB"/>
    <w:rsid w:val="61DD3B91"/>
    <w:rsid w:val="61E65359"/>
    <w:rsid w:val="61EF0AB8"/>
    <w:rsid w:val="62144F49"/>
    <w:rsid w:val="622E3B39"/>
    <w:rsid w:val="622E6C99"/>
    <w:rsid w:val="624327CD"/>
    <w:rsid w:val="6280671D"/>
    <w:rsid w:val="62927C94"/>
    <w:rsid w:val="6298042A"/>
    <w:rsid w:val="62A04A50"/>
    <w:rsid w:val="62A1036C"/>
    <w:rsid w:val="62B1375F"/>
    <w:rsid w:val="62B47227"/>
    <w:rsid w:val="62B74C84"/>
    <w:rsid w:val="62B93A18"/>
    <w:rsid w:val="62C0338B"/>
    <w:rsid w:val="62C16F75"/>
    <w:rsid w:val="62C3746A"/>
    <w:rsid w:val="62CF4DC4"/>
    <w:rsid w:val="62E23038"/>
    <w:rsid w:val="6300246C"/>
    <w:rsid w:val="63037D14"/>
    <w:rsid w:val="63171B06"/>
    <w:rsid w:val="631D63A2"/>
    <w:rsid w:val="632443AD"/>
    <w:rsid w:val="632D559E"/>
    <w:rsid w:val="63487654"/>
    <w:rsid w:val="63516CE9"/>
    <w:rsid w:val="637107C2"/>
    <w:rsid w:val="63867135"/>
    <w:rsid w:val="63A4104A"/>
    <w:rsid w:val="63AF46E4"/>
    <w:rsid w:val="63CD7A84"/>
    <w:rsid w:val="640D4F2F"/>
    <w:rsid w:val="64247E7D"/>
    <w:rsid w:val="643A5AE1"/>
    <w:rsid w:val="645239DC"/>
    <w:rsid w:val="64534243"/>
    <w:rsid w:val="6478154D"/>
    <w:rsid w:val="64826A17"/>
    <w:rsid w:val="64910791"/>
    <w:rsid w:val="649C5B1B"/>
    <w:rsid w:val="64B71733"/>
    <w:rsid w:val="64C40E1F"/>
    <w:rsid w:val="64EC4904"/>
    <w:rsid w:val="64F538FA"/>
    <w:rsid w:val="65072284"/>
    <w:rsid w:val="65072FD6"/>
    <w:rsid w:val="65255103"/>
    <w:rsid w:val="65426BF8"/>
    <w:rsid w:val="655E2041"/>
    <w:rsid w:val="65773F20"/>
    <w:rsid w:val="658C6239"/>
    <w:rsid w:val="65AB1B8D"/>
    <w:rsid w:val="65AF5DF9"/>
    <w:rsid w:val="65E43871"/>
    <w:rsid w:val="65E72FCF"/>
    <w:rsid w:val="65EF47A1"/>
    <w:rsid w:val="65F93CE7"/>
    <w:rsid w:val="661144E7"/>
    <w:rsid w:val="66255646"/>
    <w:rsid w:val="6671438D"/>
    <w:rsid w:val="6674272B"/>
    <w:rsid w:val="668B5AC9"/>
    <w:rsid w:val="66B044AB"/>
    <w:rsid w:val="66BC2B4E"/>
    <w:rsid w:val="66C34EE5"/>
    <w:rsid w:val="67030AF8"/>
    <w:rsid w:val="672229B1"/>
    <w:rsid w:val="672261B0"/>
    <w:rsid w:val="672F3320"/>
    <w:rsid w:val="67386679"/>
    <w:rsid w:val="673B4596"/>
    <w:rsid w:val="675F1DFC"/>
    <w:rsid w:val="67670D0C"/>
    <w:rsid w:val="67884035"/>
    <w:rsid w:val="67900D6B"/>
    <w:rsid w:val="67BB642C"/>
    <w:rsid w:val="67E27AC1"/>
    <w:rsid w:val="67ED7463"/>
    <w:rsid w:val="67F13F32"/>
    <w:rsid w:val="68267EB0"/>
    <w:rsid w:val="68294657"/>
    <w:rsid w:val="684619F9"/>
    <w:rsid w:val="684D1CB0"/>
    <w:rsid w:val="685404D3"/>
    <w:rsid w:val="68660FC4"/>
    <w:rsid w:val="68803093"/>
    <w:rsid w:val="688431F8"/>
    <w:rsid w:val="68940DF0"/>
    <w:rsid w:val="68DD7402"/>
    <w:rsid w:val="69070212"/>
    <w:rsid w:val="6908296E"/>
    <w:rsid w:val="69241D36"/>
    <w:rsid w:val="695D3EFF"/>
    <w:rsid w:val="69795D18"/>
    <w:rsid w:val="698C2CAC"/>
    <w:rsid w:val="69952763"/>
    <w:rsid w:val="69A51B89"/>
    <w:rsid w:val="69AD5F4D"/>
    <w:rsid w:val="69B014B5"/>
    <w:rsid w:val="69C8307B"/>
    <w:rsid w:val="69F516C8"/>
    <w:rsid w:val="69F543AD"/>
    <w:rsid w:val="69FE455C"/>
    <w:rsid w:val="6A093BC6"/>
    <w:rsid w:val="6A11704F"/>
    <w:rsid w:val="6A2D6426"/>
    <w:rsid w:val="6A3953DC"/>
    <w:rsid w:val="6A4436ED"/>
    <w:rsid w:val="6A446076"/>
    <w:rsid w:val="6A4B15F5"/>
    <w:rsid w:val="6A6634FD"/>
    <w:rsid w:val="6A6F15BF"/>
    <w:rsid w:val="6A736806"/>
    <w:rsid w:val="6A9C6F1F"/>
    <w:rsid w:val="6AA34D40"/>
    <w:rsid w:val="6AB168E4"/>
    <w:rsid w:val="6AD4363A"/>
    <w:rsid w:val="6ADD5F7F"/>
    <w:rsid w:val="6AFB26EC"/>
    <w:rsid w:val="6B007790"/>
    <w:rsid w:val="6B334057"/>
    <w:rsid w:val="6B39764F"/>
    <w:rsid w:val="6B503B69"/>
    <w:rsid w:val="6B6A4A01"/>
    <w:rsid w:val="6B6B3A2F"/>
    <w:rsid w:val="6BB8189F"/>
    <w:rsid w:val="6BBF2EC5"/>
    <w:rsid w:val="6BED2CC3"/>
    <w:rsid w:val="6C101972"/>
    <w:rsid w:val="6C180AB8"/>
    <w:rsid w:val="6C2947E2"/>
    <w:rsid w:val="6C2B4823"/>
    <w:rsid w:val="6C2B4A05"/>
    <w:rsid w:val="6C317867"/>
    <w:rsid w:val="6C660810"/>
    <w:rsid w:val="6C7957F8"/>
    <w:rsid w:val="6C9C4FB4"/>
    <w:rsid w:val="6CBF5146"/>
    <w:rsid w:val="6CE73B06"/>
    <w:rsid w:val="6CFB084B"/>
    <w:rsid w:val="6D0046B6"/>
    <w:rsid w:val="6D010D7C"/>
    <w:rsid w:val="6D09374F"/>
    <w:rsid w:val="6D196605"/>
    <w:rsid w:val="6D4B1D4A"/>
    <w:rsid w:val="6D594C53"/>
    <w:rsid w:val="6D6C7AB7"/>
    <w:rsid w:val="6D7653A4"/>
    <w:rsid w:val="6D875C64"/>
    <w:rsid w:val="6DB56CAA"/>
    <w:rsid w:val="6DB9203D"/>
    <w:rsid w:val="6DCC7B1B"/>
    <w:rsid w:val="6DDE33AA"/>
    <w:rsid w:val="6DFB3F5C"/>
    <w:rsid w:val="6E4205F9"/>
    <w:rsid w:val="6E455960"/>
    <w:rsid w:val="6E6627EB"/>
    <w:rsid w:val="6E92512C"/>
    <w:rsid w:val="6E9F144B"/>
    <w:rsid w:val="6EB372FB"/>
    <w:rsid w:val="6EBE2492"/>
    <w:rsid w:val="6EC5493D"/>
    <w:rsid w:val="6EC76D70"/>
    <w:rsid w:val="6ECE2916"/>
    <w:rsid w:val="6F231E4E"/>
    <w:rsid w:val="6F2C389B"/>
    <w:rsid w:val="6F607398"/>
    <w:rsid w:val="6F812ED8"/>
    <w:rsid w:val="6FC049E7"/>
    <w:rsid w:val="6FF75102"/>
    <w:rsid w:val="70003AAC"/>
    <w:rsid w:val="701157A6"/>
    <w:rsid w:val="704F5AD0"/>
    <w:rsid w:val="70556916"/>
    <w:rsid w:val="70622BF2"/>
    <w:rsid w:val="7064403B"/>
    <w:rsid w:val="70646E70"/>
    <w:rsid w:val="70875F7B"/>
    <w:rsid w:val="708A1483"/>
    <w:rsid w:val="70A35BB3"/>
    <w:rsid w:val="70AD13F1"/>
    <w:rsid w:val="70B7118F"/>
    <w:rsid w:val="70C10E58"/>
    <w:rsid w:val="70C330B2"/>
    <w:rsid w:val="70C66604"/>
    <w:rsid w:val="70D4022E"/>
    <w:rsid w:val="70E70606"/>
    <w:rsid w:val="712224CC"/>
    <w:rsid w:val="71234D2A"/>
    <w:rsid w:val="71247875"/>
    <w:rsid w:val="71397410"/>
    <w:rsid w:val="719B7F30"/>
    <w:rsid w:val="71B132B0"/>
    <w:rsid w:val="71B903B6"/>
    <w:rsid w:val="71D5558A"/>
    <w:rsid w:val="71E573FD"/>
    <w:rsid w:val="71F31923"/>
    <w:rsid w:val="7208153B"/>
    <w:rsid w:val="72086480"/>
    <w:rsid w:val="721675B7"/>
    <w:rsid w:val="722230F7"/>
    <w:rsid w:val="722D5198"/>
    <w:rsid w:val="723D20C7"/>
    <w:rsid w:val="724B52B4"/>
    <w:rsid w:val="7261539D"/>
    <w:rsid w:val="72AE3C93"/>
    <w:rsid w:val="72BA43E6"/>
    <w:rsid w:val="72F44136"/>
    <w:rsid w:val="72FA03D9"/>
    <w:rsid w:val="73217442"/>
    <w:rsid w:val="7329212B"/>
    <w:rsid w:val="732C4827"/>
    <w:rsid w:val="732D07A5"/>
    <w:rsid w:val="734939BC"/>
    <w:rsid w:val="734B6D40"/>
    <w:rsid w:val="737D1251"/>
    <w:rsid w:val="739F27D9"/>
    <w:rsid w:val="73B31BA5"/>
    <w:rsid w:val="73C51294"/>
    <w:rsid w:val="740107C3"/>
    <w:rsid w:val="74111876"/>
    <w:rsid w:val="74366FFF"/>
    <w:rsid w:val="74503235"/>
    <w:rsid w:val="745F03BD"/>
    <w:rsid w:val="746F22FA"/>
    <w:rsid w:val="747A5B1A"/>
    <w:rsid w:val="747F0289"/>
    <w:rsid w:val="748448AC"/>
    <w:rsid w:val="749C274C"/>
    <w:rsid w:val="74AC5FB0"/>
    <w:rsid w:val="74BF6315"/>
    <w:rsid w:val="74D3178F"/>
    <w:rsid w:val="74EA466C"/>
    <w:rsid w:val="74FC0401"/>
    <w:rsid w:val="74FC52B4"/>
    <w:rsid w:val="75014E5A"/>
    <w:rsid w:val="750B7512"/>
    <w:rsid w:val="7528746D"/>
    <w:rsid w:val="75392D96"/>
    <w:rsid w:val="753C5586"/>
    <w:rsid w:val="75444CE1"/>
    <w:rsid w:val="75524DAA"/>
    <w:rsid w:val="75644A50"/>
    <w:rsid w:val="756C267D"/>
    <w:rsid w:val="758250C7"/>
    <w:rsid w:val="759E11EA"/>
    <w:rsid w:val="75BA6ABE"/>
    <w:rsid w:val="75CE7459"/>
    <w:rsid w:val="75D57F36"/>
    <w:rsid w:val="75E06182"/>
    <w:rsid w:val="75E84ACA"/>
    <w:rsid w:val="75ED6880"/>
    <w:rsid w:val="76277FE4"/>
    <w:rsid w:val="763A6867"/>
    <w:rsid w:val="763B583E"/>
    <w:rsid w:val="7645202F"/>
    <w:rsid w:val="76464A4E"/>
    <w:rsid w:val="766308F1"/>
    <w:rsid w:val="766C45F5"/>
    <w:rsid w:val="767005B7"/>
    <w:rsid w:val="76922A3F"/>
    <w:rsid w:val="769E5DCD"/>
    <w:rsid w:val="76A85706"/>
    <w:rsid w:val="76E233AC"/>
    <w:rsid w:val="76E755DE"/>
    <w:rsid w:val="76F86C17"/>
    <w:rsid w:val="76FF686B"/>
    <w:rsid w:val="772D2C4B"/>
    <w:rsid w:val="77470AFC"/>
    <w:rsid w:val="77567E1D"/>
    <w:rsid w:val="776C177B"/>
    <w:rsid w:val="777E460C"/>
    <w:rsid w:val="77900F15"/>
    <w:rsid w:val="779761E8"/>
    <w:rsid w:val="779B4D8D"/>
    <w:rsid w:val="77AF0032"/>
    <w:rsid w:val="77C53B44"/>
    <w:rsid w:val="77CB68AF"/>
    <w:rsid w:val="77DF65D1"/>
    <w:rsid w:val="77FB27AC"/>
    <w:rsid w:val="780F2167"/>
    <w:rsid w:val="782241A7"/>
    <w:rsid w:val="782435F8"/>
    <w:rsid w:val="782F79AF"/>
    <w:rsid w:val="78305771"/>
    <w:rsid w:val="78382B88"/>
    <w:rsid w:val="7838672A"/>
    <w:rsid w:val="784703AF"/>
    <w:rsid w:val="784C4F8D"/>
    <w:rsid w:val="785F50AF"/>
    <w:rsid w:val="7861371A"/>
    <w:rsid w:val="786D1BCC"/>
    <w:rsid w:val="786F7A21"/>
    <w:rsid w:val="78B33DB1"/>
    <w:rsid w:val="79332BB8"/>
    <w:rsid w:val="796D4E1C"/>
    <w:rsid w:val="79743144"/>
    <w:rsid w:val="798075E2"/>
    <w:rsid w:val="79985D8D"/>
    <w:rsid w:val="79A57724"/>
    <w:rsid w:val="79D226CE"/>
    <w:rsid w:val="7A0B383F"/>
    <w:rsid w:val="7A1234DC"/>
    <w:rsid w:val="7A2079AD"/>
    <w:rsid w:val="7A294AB6"/>
    <w:rsid w:val="7A2F068C"/>
    <w:rsid w:val="7A5E02B3"/>
    <w:rsid w:val="7A662C65"/>
    <w:rsid w:val="7A842BF4"/>
    <w:rsid w:val="7AA624A9"/>
    <w:rsid w:val="7AF215B7"/>
    <w:rsid w:val="7AF21887"/>
    <w:rsid w:val="7AF4245F"/>
    <w:rsid w:val="7AF9121A"/>
    <w:rsid w:val="7B272F4E"/>
    <w:rsid w:val="7B296E06"/>
    <w:rsid w:val="7B3D01FA"/>
    <w:rsid w:val="7B4056A4"/>
    <w:rsid w:val="7B484188"/>
    <w:rsid w:val="7B664809"/>
    <w:rsid w:val="7B971B69"/>
    <w:rsid w:val="7BC51FC9"/>
    <w:rsid w:val="7BC56C21"/>
    <w:rsid w:val="7BC944FB"/>
    <w:rsid w:val="7BEB1AB4"/>
    <w:rsid w:val="7C187EFE"/>
    <w:rsid w:val="7C442DB7"/>
    <w:rsid w:val="7C5505BB"/>
    <w:rsid w:val="7CA670DF"/>
    <w:rsid w:val="7CAB5F19"/>
    <w:rsid w:val="7CB24380"/>
    <w:rsid w:val="7CCF01BD"/>
    <w:rsid w:val="7CEA5562"/>
    <w:rsid w:val="7CEE0935"/>
    <w:rsid w:val="7CFE7DD0"/>
    <w:rsid w:val="7D1C490D"/>
    <w:rsid w:val="7D561864"/>
    <w:rsid w:val="7D592A4D"/>
    <w:rsid w:val="7D891874"/>
    <w:rsid w:val="7DAD029D"/>
    <w:rsid w:val="7DC222ED"/>
    <w:rsid w:val="7DC44AEB"/>
    <w:rsid w:val="7DD43867"/>
    <w:rsid w:val="7DE309A7"/>
    <w:rsid w:val="7DE54A0A"/>
    <w:rsid w:val="7DFC2F72"/>
    <w:rsid w:val="7E0B1F99"/>
    <w:rsid w:val="7E172889"/>
    <w:rsid w:val="7E36397C"/>
    <w:rsid w:val="7E9734A6"/>
    <w:rsid w:val="7ED73925"/>
    <w:rsid w:val="7EEA2F08"/>
    <w:rsid w:val="7F176B56"/>
    <w:rsid w:val="7F791FD4"/>
    <w:rsid w:val="7F88007D"/>
    <w:rsid w:val="7FCA6CF3"/>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6">
    <w:name w:val="heading 2"/>
    <w:basedOn w:val="1"/>
    <w:next w:val="7"/>
    <w:link w:val="59"/>
    <w:qFormat/>
    <w:uiPriority w:val="0"/>
    <w:pPr>
      <w:keepNext/>
      <w:keepLines/>
      <w:spacing w:before="260" w:after="260" w:line="416" w:lineRule="auto"/>
      <w:outlineLvl w:val="1"/>
    </w:pPr>
    <w:rPr>
      <w:rFonts w:ascii="Arial" w:hAnsi="Arial" w:eastAsia="黑体"/>
      <w:b/>
      <w:bCs/>
      <w:kern w:val="2"/>
      <w:sz w:val="32"/>
      <w:szCs w:val="32"/>
    </w:rPr>
  </w:style>
  <w:style w:type="paragraph" w:styleId="9">
    <w:name w:val="heading 3"/>
    <w:basedOn w:val="1"/>
    <w:next w:val="1"/>
    <w:link w:val="47"/>
    <w:qFormat/>
    <w:uiPriority w:val="0"/>
    <w:pPr>
      <w:keepNext/>
      <w:keepLines/>
      <w:spacing w:before="260" w:after="260" w:line="416" w:lineRule="auto"/>
      <w:outlineLvl w:val="2"/>
    </w:pPr>
    <w:rPr>
      <w:rFonts w:ascii="Calibri" w:hAnsi="Calibri"/>
      <w:b/>
      <w:bCs/>
      <w:kern w:val="2"/>
      <w:sz w:val="32"/>
      <w:szCs w:val="32"/>
    </w:rPr>
  </w:style>
  <w:style w:type="paragraph" w:styleId="10">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5"/>
    <w:basedOn w:val="1"/>
    <w:next w:val="1"/>
    <w:link w:val="49"/>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rFonts w:ascii="方正姚体" w:hAnsi="方正姚体" w:eastAsia="Arial Unicode MS" w:cs="方正姚体"/>
      <w:bCs/>
    </w:rPr>
  </w:style>
  <w:style w:type="paragraph" w:styleId="3">
    <w:name w:val="Body Text"/>
    <w:basedOn w:val="1"/>
    <w:next w:val="2"/>
    <w:link w:val="52"/>
    <w:qFormat/>
    <w:uiPriority w:val="99"/>
    <w:pPr>
      <w:spacing w:after="120"/>
    </w:pPr>
    <w:rPr>
      <w:sz w:val="24"/>
      <w:szCs w:val="24"/>
    </w:rPr>
  </w:style>
  <w:style w:type="paragraph" w:styleId="4">
    <w:name w:val="toc 6"/>
    <w:basedOn w:val="1"/>
    <w:next w:val="1"/>
    <w:unhideWhenUsed/>
    <w:qFormat/>
    <w:uiPriority w:val="39"/>
    <w:pPr>
      <w:ind w:left="1050"/>
      <w:jc w:val="left"/>
    </w:pPr>
    <w:rPr>
      <w:kern w:val="2"/>
      <w:sz w:val="18"/>
      <w:szCs w:val="18"/>
    </w:rPr>
  </w:style>
  <w:style w:type="paragraph" w:styleId="7">
    <w:name w:val="Normal Indent"/>
    <w:basedOn w:val="1"/>
    <w:next w:val="8"/>
    <w:qFormat/>
    <w:uiPriority w:val="99"/>
    <w:pPr>
      <w:ind w:firstLine="420"/>
    </w:pPr>
    <w:rPr>
      <w:rFonts w:ascii="Calibri" w:hAnsi="Calibri"/>
      <w:kern w:val="2"/>
      <w:sz w:val="21"/>
      <w:szCs w:val="21"/>
    </w:rPr>
  </w:style>
  <w:style w:type="paragraph" w:styleId="8">
    <w:name w:val="Body Text Indent"/>
    <w:basedOn w:val="1"/>
    <w:next w:val="7"/>
    <w:link w:val="53"/>
    <w:unhideWhenUsed/>
    <w:qFormat/>
    <w:uiPriority w:val="99"/>
    <w:pPr>
      <w:spacing w:after="120"/>
      <w:ind w:left="420" w:leftChars="200"/>
    </w:pPr>
  </w:style>
  <w:style w:type="paragraph" w:styleId="12">
    <w:name w:val="List Number"/>
    <w:basedOn w:val="1"/>
    <w:qFormat/>
    <w:uiPriority w:val="99"/>
    <w:pPr>
      <w:widowControl/>
      <w:tabs>
        <w:tab w:val="left" w:pos="900"/>
      </w:tabs>
      <w:spacing w:afterLines="50"/>
      <w:ind w:left="900" w:hanging="720"/>
      <w:jc w:val="left"/>
    </w:pPr>
    <w:rPr>
      <w:sz w:val="24"/>
      <w:szCs w:val="24"/>
    </w:rPr>
  </w:style>
  <w:style w:type="paragraph" w:styleId="13">
    <w:name w:val="caption"/>
    <w:basedOn w:val="1"/>
    <w:next w:val="1"/>
    <w:qFormat/>
    <w:uiPriority w:val="99"/>
    <w:pPr>
      <w:spacing w:before="152" w:after="160"/>
    </w:pPr>
    <w:rPr>
      <w:rFonts w:ascii="Arial" w:hAnsi="Arial" w:eastAsia="黑体" w:cs="Arial"/>
    </w:rPr>
  </w:style>
  <w:style w:type="paragraph" w:styleId="14">
    <w:name w:val="Document Map"/>
    <w:basedOn w:val="1"/>
    <w:qFormat/>
    <w:uiPriority w:val="99"/>
    <w:rPr>
      <w:rFonts w:ascii="宋体"/>
      <w:sz w:val="18"/>
      <w:szCs w:val="18"/>
    </w:rPr>
  </w:style>
  <w:style w:type="paragraph" w:styleId="15">
    <w:name w:val="annotation text"/>
    <w:basedOn w:val="1"/>
    <w:qFormat/>
    <w:uiPriority w:val="0"/>
    <w:pPr>
      <w:jc w:val="left"/>
    </w:pPr>
  </w:style>
  <w:style w:type="paragraph" w:styleId="16">
    <w:name w:val="Salutation"/>
    <w:basedOn w:val="1"/>
    <w:next w:val="1"/>
    <w:qFormat/>
    <w:uiPriority w:val="0"/>
  </w:style>
  <w:style w:type="paragraph" w:styleId="17">
    <w:name w:val="Body Text 3"/>
    <w:basedOn w:val="1"/>
    <w:link w:val="51"/>
    <w:qFormat/>
    <w:uiPriority w:val="99"/>
    <w:pPr>
      <w:snapToGrid w:val="0"/>
      <w:spacing w:before="50" w:after="50"/>
    </w:pPr>
    <w:rPr>
      <w:sz w:val="16"/>
      <w:szCs w:val="16"/>
    </w:rPr>
  </w:style>
  <w:style w:type="paragraph" w:styleId="18">
    <w:name w:val="List 2"/>
    <w:basedOn w:val="1"/>
    <w:qFormat/>
    <w:uiPriority w:val="99"/>
    <w:pPr>
      <w:ind w:left="100" w:leftChars="200" w:hanging="200" w:hangingChars="200"/>
    </w:pPr>
    <w:rPr>
      <w:sz w:val="28"/>
      <w:szCs w:val="28"/>
    </w:rPr>
  </w:style>
  <w:style w:type="paragraph" w:styleId="19">
    <w:name w:val="Plain Text"/>
    <w:basedOn w:val="1"/>
    <w:next w:val="1"/>
    <w:link w:val="50"/>
    <w:qFormat/>
    <w:uiPriority w:val="99"/>
    <w:pPr>
      <w:spacing w:beforeLines="50" w:afterLines="50" w:line="400" w:lineRule="exact"/>
    </w:pPr>
    <w:rPr>
      <w:rFonts w:ascii="宋体" w:hAnsi="Courier New" w:cs="宋体"/>
      <w:kern w:val="2"/>
      <w:sz w:val="24"/>
      <w:szCs w:val="24"/>
    </w:rPr>
  </w:style>
  <w:style w:type="paragraph" w:styleId="20">
    <w:name w:val="Date"/>
    <w:basedOn w:val="1"/>
    <w:next w:val="1"/>
    <w:qFormat/>
    <w:uiPriority w:val="0"/>
    <w:pPr>
      <w:ind w:left="2500" w:leftChars="2500"/>
    </w:pPr>
    <w:rPr>
      <w:rFonts w:eastAsia="楷体_GB2312"/>
      <w:sz w:val="32"/>
    </w:rPr>
  </w:style>
  <w:style w:type="paragraph" w:styleId="21">
    <w:name w:val="Balloon Text"/>
    <w:basedOn w:val="1"/>
    <w:link w:val="54"/>
    <w:unhideWhenUsed/>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rFonts w:eastAsia="黑体"/>
      <w:sz w:val="18"/>
      <w:szCs w:val="18"/>
    </w:rPr>
  </w:style>
  <w:style w:type="paragraph" w:styleId="23">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next w:val="1"/>
    <w:link w:val="57"/>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7">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8">
    <w:name w:val="Body Text First Indent 2"/>
    <w:basedOn w:val="8"/>
    <w:link w:val="58"/>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Emphasis"/>
    <w:qFormat/>
    <w:uiPriority w:val="0"/>
    <w:rPr>
      <w:rFonts w:cs="Times New Roman"/>
      <w:i/>
    </w:rPr>
  </w:style>
  <w:style w:type="character" w:styleId="34">
    <w:name w:val="Hyperlink"/>
    <w:basedOn w:val="31"/>
    <w:qFormat/>
    <w:uiPriority w:val="99"/>
    <w:rPr>
      <w:color w:val="0000FF"/>
      <w:u w:val="single"/>
    </w:rPr>
  </w:style>
  <w:style w:type="paragraph" w:customStyle="1" w:styleId="35">
    <w:name w:val="表格文字"/>
    <w:basedOn w:val="19"/>
    <w:next w:val="3"/>
    <w:qFormat/>
    <w:locked/>
    <w:uiPriority w:val="0"/>
    <w:pPr>
      <w:spacing w:beforeLines="25" w:afterLines="25"/>
      <w:jc w:val="center"/>
    </w:pPr>
    <w:rPr>
      <w:rFonts w:ascii="Times New Roman" w:hAnsi="Times New Roman" w:cs="Times New Roman"/>
      <w:szCs w:val="28"/>
    </w:rPr>
  </w:style>
  <w:style w:type="paragraph" w:customStyle="1" w:styleId="36">
    <w:name w:val="列出段落1"/>
    <w:basedOn w:val="1"/>
    <w:link w:val="60"/>
    <w:qFormat/>
    <w:uiPriority w:val="34"/>
    <w:pPr>
      <w:ind w:firstLine="420" w:firstLineChars="200"/>
    </w:pPr>
    <w:rPr>
      <w:rFonts w:ascii="Calibri" w:hAnsi="Calibri"/>
      <w:kern w:val="2"/>
      <w:sz w:val="21"/>
      <w:szCs w:val="22"/>
    </w:rPr>
  </w:style>
  <w:style w:type="paragraph" w:customStyle="1" w:styleId="37">
    <w:name w:val="正文1"/>
    <w:basedOn w:val="14"/>
    <w:next w:val="1"/>
    <w:qFormat/>
    <w:uiPriority w:val="0"/>
    <w:pPr>
      <w:adjustRightInd w:val="0"/>
      <w:spacing w:line="318" w:lineRule="atLeast"/>
      <w:ind w:left="369" w:firstLine="369"/>
      <w:textAlignment w:val="baseline"/>
    </w:pPr>
    <w:rPr>
      <w:sz w:val="21"/>
    </w:rPr>
  </w:style>
  <w:style w:type="paragraph" w:customStyle="1" w:styleId="3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
    <w:basedOn w:val="1"/>
    <w:next w:val="40"/>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章正文"/>
    <w:basedOn w:val="1"/>
    <w:qFormat/>
    <w:uiPriority w:val="0"/>
    <w:pPr>
      <w:spacing w:beforeLines="50" w:line="300" w:lineRule="auto"/>
      <w:ind w:firstLine="480"/>
    </w:pPr>
    <w:rPr>
      <w:rFonts w:ascii="Helvetica" w:hAnsi="Helvetica"/>
      <w:sz w:val="24"/>
    </w:rPr>
  </w:style>
  <w:style w:type="paragraph" w:customStyle="1" w:styleId="42">
    <w:name w:val="样式 表格正文 + 两端对齐"/>
    <w:basedOn w:val="1"/>
    <w:next w:val="37"/>
    <w:qFormat/>
    <w:uiPriority w:val="0"/>
    <w:pPr>
      <w:spacing w:line="300" w:lineRule="auto"/>
    </w:pPr>
  </w:style>
  <w:style w:type="paragraph" w:customStyle="1" w:styleId="43">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4">
    <w:name w:val="正文11"/>
    <w:basedOn w:val="1"/>
    <w:link w:val="61"/>
    <w:qFormat/>
    <w:uiPriority w:val="0"/>
    <w:pPr>
      <w:spacing w:line="360" w:lineRule="auto"/>
      <w:ind w:firstLine="480" w:firstLineChars="200"/>
    </w:pPr>
    <w:rPr>
      <w:rFonts w:ascii="等线" w:hAnsi="等线" w:eastAsia="等线" w:cs="宋体"/>
      <w:kern w:val="2"/>
      <w:sz w:val="24"/>
      <w:szCs w:val="22"/>
    </w:rPr>
  </w:style>
  <w:style w:type="character" w:customStyle="1" w:styleId="45">
    <w:name w:val="标题 1 Char"/>
    <w:basedOn w:val="31"/>
    <w:link w:val="5"/>
    <w:qFormat/>
    <w:uiPriority w:val="9"/>
    <w:rPr>
      <w:rFonts w:ascii="Times New Roman" w:hAnsi="Times New Roman" w:eastAsia="宋体" w:cs="Times New Roman"/>
      <w:b/>
      <w:bCs/>
      <w:kern w:val="44"/>
      <w:sz w:val="44"/>
      <w:szCs w:val="44"/>
    </w:rPr>
  </w:style>
  <w:style w:type="character" w:customStyle="1" w:styleId="46">
    <w:name w:val="标题 2 Char"/>
    <w:basedOn w:val="31"/>
    <w:link w:val="6"/>
    <w:semiHidden/>
    <w:qFormat/>
    <w:uiPriority w:val="9"/>
    <w:rPr>
      <w:rFonts w:asciiTheme="majorHAnsi" w:hAnsiTheme="majorHAnsi" w:eastAsiaTheme="majorEastAsia" w:cstheme="majorBidi"/>
      <w:b/>
      <w:bCs/>
      <w:kern w:val="0"/>
      <w:sz w:val="32"/>
      <w:szCs w:val="32"/>
    </w:rPr>
  </w:style>
  <w:style w:type="character" w:customStyle="1" w:styleId="47">
    <w:name w:val="标题 3 Char"/>
    <w:basedOn w:val="31"/>
    <w:link w:val="9"/>
    <w:qFormat/>
    <w:uiPriority w:val="0"/>
    <w:rPr>
      <w:rFonts w:ascii="Calibri" w:hAnsi="Calibri" w:eastAsia="宋体" w:cs="Times New Roman"/>
      <w:b/>
      <w:bCs/>
      <w:sz w:val="32"/>
      <w:szCs w:val="32"/>
    </w:rPr>
  </w:style>
  <w:style w:type="character" w:customStyle="1" w:styleId="48">
    <w:name w:val="标题 4 Char"/>
    <w:basedOn w:val="31"/>
    <w:link w:val="10"/>
    <w:semiHidden/>
    <w:qFormat/>
    <w:uiPriority w:val="9"/>
    <w:rPr>
      <w:rFonts w:asciiTheme="majorHAnsi" w:hAnsiTheme="majorHAnsi" w:eastAsiaTheme="majorEastAsia" w:cstheme="majorBidi"/>
      <w:b/>
      <w:bCs/>
      <w:kern w:val="0"/>
      <w:sz w:val="28"/>
      <w:szCs w:val="28"/>
    </w:rPr>
  </w:style>
  <w:style w:type="character" w:customStyle="1" w:styleId="49">
    <w:name w:val="标题 5 Char"/>
    <w:basedOn w:val="31"/>
    <w:link w:val="11"/>
    <w:semiHidden/>
    <w:qFormat/>
    <w:uiPriority w:val="9"/>
    <w:rPr>
      <w:rFonts w:ascii="Times New Roman" w:hAnsi="Times New Roman" w:eastAsia="宋体" w:cs="Times New Roman"/>
      <w:b/>
      <w:bCs/>
      <w:kern w:val="0"/>
      <w:sz w:val="28"/>
      <w:szCs w:val="28"/>
    </w:rPr>
  </w:style>
  <w:style w:type="character" w:customStyle="1" w:styleId="50">
    <w:name w:val="纯文本 Char"/>
    <w:basedOn w:val="31"/>
    <w:link w:val="19"/>
    <w:qFormat/>
    <w:uiPriority w:val="99"/>
    <w:rPr>
      <w:rFonts w:ascii="宋体" w:hAnsi="Courier New" w:eastAsia="宋体" w:cs="宋体"/>
      <w:sz w:val="24"/>
      <w:szCs w:val="24"/>
    </w:rPr>
  </w:style>
  <w:style w:type="character" w:customStyle="1" w:styleId="51">
    <w:name w:val="正文文本 3 Char"/>
    <w:basedOn w:val="31"/>
    <w:link w:val="17"/>
    <w:qFormat/>
    <w:uiPriority w:val="99"/>
    <w:rPr>
      <w:rFonts w:ascii="Times New Roman" w:hAnsi="Times New Roman" w:eastAsia="宋体" w:cs="Times New Roman"/>
      <w:kern w:val="0"/>
      <w:sz w:val="16"/>
      <w:szCs w:val="16"/>
    </w:rPr>
  </w:style>
  <w:style w:type="character" w:customStyle="1" w:styleId="52">
    <w:name w:val="正文文本 Char"/>
    <w:basedOn w:val="31"/>
    <w:link w:val="3"/>
    <w:qFormat/>
    <w:uiPriority w:val="99"/>
    <w:rPr>
      <w:rFonts w:ascii="Times New Roman" w:hAnsi="Times New Roman" w:eastAsia="宋体" w:cs="Times New Roman"/>
      <w:kern w:val="0"/>
      <w:sz w:val="24"/>
      <w:szCs w:val="24"/>
    </w:rPr>
  </w:style>
  <w:style w:type="character" w:customStyle="1" w:styleId="53">
    <w:name w:val="正文文本缩进 Char"/>
    <w:basedOn w:val="31"/>
    <w:link w:val="8"/>
    <w:semiHidden/>
    <w:qFormat/>
    <w:uiPriority w:val="99"/>
    <w:rPr>
      <w:rFonts w:ascii="Times New Roman" w:hAnsi="Times New Roman" w:eastAsia="宋体" w:cs="Times New Roman"/>
      <w:kern w:val="0"/>
      <w:sz w:val="20"/>
      <w:szCs w:val="20"/>
    </w:rPr>
  </w:style>
  <w:style w:type="character" w:customStyle="1" w:styleId="54">
    <w:name w:val="批注框文本 Char"/>
    <w:basedOn w:val="31"/>
    <w:link w:val="21"/>
    <w:semiHidden/>
    <w:qFormat/>
    <w:uiPriority w:val="99"/>
    <w:rPr>
      <w:rFonts w:ascii="Times New Roman" w:hAnsi="Times New Roman" w:eastAsia="宋体" w:cs="Times New Roman"/>
      <w:kern w:val="0"/>
      <w:sz w:val="18"/>
      <w:szCs w:val="18"/>
    </w:rPr>
  </w:style>
  <w:style w:type="character" w:customStyle="1" w:styleId="55">
    <w:name w:val="页脚 Char"/>
    <w:basedOn w:val="31"/>
    <w:link w:val="22"/>
    <w:qFormat/>
    <w:uiPriority w:val="99"/>
    <w:rPr>
      <w:rFonts w:ascii="Times New Roman" w:hAnsi="Times New Roman" w:eastAsia="黑体" w:cs="Times New Roman"/>
      <w:kern w:val="0"/>
      <w:sz w:val="18"/>
      <w:szCs w:val="18"/>
    </w:rPr>
  </w:style>
  <w:style w:type="character" w:customStyle="1" w:styleId="56">
    <w:name w:val="页眉 Char"/>
    <w:basedOn w:val="31"/>
    <w:link w:val="23"/>
    <w:qFormat/>
    <w:uiPriority w:val="99"/>
    <w:rPr>
      <w:rFonts w:ascii="Times New Roman" w:hAnsi="Times New Roman" w:eastAsia="宋体" w:cs="Times New Roman"/>
      <w:kern w:val="0"/>
      <w:sz w:val="18"/>
      <w:szCs w:val="18"/>
    </w:rPr>
  </w:style>
  <w:style w:type="character" w:customStyle="1" w:styleId="57">
    <w:name w:val="正文文本缩进 3 Char"/>
    <w:basedOn w:val="31"/>
    <w:link w:val="24"/>
    <w:semiHidden/>
    <w:qFormat/>
    <w:uiPriority w:val="99"/>
    <w:rPr>
      <w:rFonts w:ascii="Times New Roman" w:hAnsi="Times New Roman" w:eastAsia="宋体" w:cs="Times New Roman"/>
      <w:kern w:val="0"/>
      <w:sz w:val="16"/>
      <w:szCs w:val="16"/>
    </w:rPr>
  </w:style>
  <w:style w:type="character" w:customStyle="1" w:styleId="58">
    <w:name w:val="正文首行缩进 2 Char"/>
    <w:basedOn w:val="53"/>
    <w:link w:val="28"/>
    <w:qFormat/>
    <w:uiPriority w:val="0"/>
    <w:rPr>
      <w:rFonts w:ascii="仿宋_GB2312" w:hAnsi="Courier New" w:eastAsia="仿宋_GB2312" w:cs="宋体"/>
      <w:spacing w:val="-4"/>
      <w:sz w:val="18"/>
      <w:szCs w:val="21"/>
    </w:rPr>
  </w:style>
  <w:style w:type="character" w:customStyle="1" w:styleId="59">
    <w:name w:val="标题 2 Char1"/>
    <w:link w:val="6"/>
    <w:qFormat/>
    <w:uiPriority w:val="0"/>
    <w:rPr>
      <w:rFonts w:ascii="Arial" w:hAnsi="Arial" w:eastAsia="黑体" w:cs="Times New Roman"/>
      <w:b/>
      <w:bCs/>
      <w:sz w:val="32"/>
      <w:szCs w:val="32"/>
    </w:rPr>
  </w:style>
  <w:style w:type="character" w:customStyle="1" w:styleId="60">
    <w:name w:val="列出段落 Char"/>
    <w:link w:val="36"/>
    <w:qFormat/>
    <w:uiPriority w:val="34"/>
    <w:rPr>
      <w:rFonts w:ascii="Calibri" w:hAnsi="Calibri" w:eastAsia="宋体" w:cs="Times New Roman"/>
    </w:rPr>
  </w:style>
  <w:style w:type="character" w:customStyle="1" w:styleId="61">
    <w:name w:val="正文1 Char"/>
    <w:link w:val="44"/>
    <w:qFormat/>
    <w:uiPriority w:val="0"/>
    <w:rPr>
      <w:rFonts w:ascii="等线" w:hAnsi="等线" w:eastAsia="等线" w:cs="宋体"/>
      <w:sz w:val="24"/>
    </w:rPr>
  </w:style>
  <w:style w:type="paragraph" w:customStyle="1" w:styleId="62">
    <w:name w:val="正文段"/>
    <w:basedOn w:val="1"/>
    <w:qFormat/>
    <w:uiPriority w:val="99"/>
    <w:pPr>
      <w:widowControl/>
      <w:snapToGrid w:val="0"/>
      <w:spacing w:afterLines="50"/>
      <w:ind w:firstLine="200" w:firstLineChars="200"/>
    </w:pPr>
    <w:rPr>
      <w:sz w:val="24"/>
      <w:szCs w:val="24"/>
    </w:rPr>
  </w:style>
  <w:style w:type="paragraph" w:customStyle="1" w:styleId="63">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4">
    <w:name w:val="默认段落字体 Para Char Char Char Char Char Char Char Char Char1 Char Char Char Char"/>
    <w:basedOn w:val="1"/>
    <w:qFormat/>
    <w:uiPriority w:val="99"/>
    <w:rPr>
      <w:rFonts w:ascii="Tahoma" w:hAnsi="Tahoma" w:cs="Tahoma"/>
      <w:sz w:val="24"/>
      <w:szCs w:val="24"/>
    </w:rPr>
  </w:style>
  <w:style w:type="paragraph" w:customStyle="1" w:styleId="65">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6">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7">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68">
    <w:name w:val="标题 2 Char2"/>
    <w:qFormat/>
    <w:uiPriority w:val="0"/>
    <w:rPr>
      <w:rFonts w:ascii="Arial" w:hAnsi="Arial" w:eastAsia="宋体"/>
      <w:b/>
      <w:bCs/>
      <w:kern w:val="2"/>
      <w:sz w:val="28"/>
      <w:szCs w:val="32"/>
      <w:lang w:val="en-US" w:eastAsia="zh-CN" w:bidi="ar-SA"/>
    </w:rPr>
  </w:style>
  <w:style w:type="paragraph" w:customStyle="1" w:styleId="69">
    <w:name w:val="Char"/>
    <w:basedOn w:val="1"/>
    <w:qFormat/>
    <w:uiPriority w:val="0"/>
  </w:style>
  <w:style w:type="paragraph" w:customStyle="1" w:styleId="70">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1">
    <w:name w:val="正文首行缩进 21"/>
    <w:basedOn w:val="72"/>
    <w:qFormat/>
    <w:uiPriority w:val="0"/>
    <w:pPr>
      <w:ind w:firstLine="420"/>
    </w:pPr>
    <w:rPr>
      <w:rFonts w:cs="宋体"/>
    </w:rPr>
  </w:style>
  <w:style w:type="paragraph" w:customStyle="1" w:styleId="72">
    <w:name w:val="正文文本缩进1"/>
    <w:basedOn w:val="1"/>
    <w:next w:val="1"/>
    <w:qFormat/>
    <w:uiPriority w:val="0"/>
    <w:pPr>
      <w:ind w:left="420" w:leftChars="200"/>
    </w:pPr>
    <w:rPr>
      <w:color w:val="000000"/>
      <w:sz w:val="21"/>
      <w:szCs w:val="21"/>
    </w:rPr>
  </w:style>
  <w:style w:type="paragraph" w:customStyle="1" w:styleId="73">
    <w:name w:val="正文2"/>
    <w:basedOn w:val="1"/>
    <w:qFormat/>
    <w:uiPriority w:val="0"/>
    <w:pPr>
      <w:spacing w:before="156" w:line="360" w:lineRule="auto"/>
      <w:ind w:firstLine="510" w:firstLineChars="200"/>
    </w:pPr>
    <w:rPr>
      <w:sz w:val="24"/>
    </w:rPr>
  </w:style>
  <w:style w:type="paragraph" w:customStyle="1" w:styleId="74">
    <w:name w:val="纯文本1"/>
    <w:basedOn w:val="73"/>
    <w:qFormat/>
    <w:uiPriority w:val="0"/>
    <w:rPr>
      <w:rFonts w:ascii="Arial Unicode MS" w:hAnsi="等线" w:eastAsia="Arial Unicode MS" w:cs="方正姚体"/>
    </w:rPr>
  </w:style>
  <w:style w:type="paragraph" w:customStyle="1" w:styleId="75">
    <w:name w:val="Normal Indent11"/>
    <w:basedOn w:val="1"/>
    <w:qFormat/>
    <w:uiPriority w:val="99"/>
    <w:pPr>
      <w:widowControl/>
      <w:ind w:firstLine="420"/>
      <w:jc w:val="left"/>
    </w:pPr>
  </w:style>
  <w:style w:type="paragraph" w:customStyle="1" w:styleId="76">
    <w:name w:val="正文缩进1"/>
    <w:basedOn w:val="1"/>
    <w:qFormat/>
    <w:uiPriority w:val="0"/>
    <w:pPr>
      <w:autoSpaceDE w:val="0"/>
      <w:autoSpaceDN w:val="0"/>
      <w:adjustRightInd w:val="0"/>
      <w:ind w:firstLine="420"/>
      <w:jc w:val="left"/>
    </w:pPr>
    <w:rPr>
      <w:rFonts w:ascii="宋体"/>
      <w:sz w:val="24"/>
    </w:rPr>
  </w:style>
  <w:style w:type="paragraph" w:customStyle="1" w:styleId="77">
    <w:name w:val="索引 11"/>
    <w:basedOn w:val="1"/>
    <w:next w:val="1"/>
    <w:qFormat/>
    <w:uiPriority w:val="0"/>
    <w:pPr>
      <w:spacing w:line="360" w:lineRule="auto"/>
    </w:pPr>
    <w:rPr>
      <w:rFonts w:ascii="仿宋_GB2312" w:eastAsia="仿宋_GB2312"/>
      <w:sz w:val="24"/>
    </w:rPr>
  </w:style>
  <w:style w:type="paragraph" w:customStyle="1" w:styleId="7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9">
    <w:name w:val="font31"/>
    <w:basedOn w:val="31"/>
    <w:qFormat/>
    <w:uiPriority w:val="0"/>
    <w:rPr>
      <w:rFonts w:hint="eastAsia" w:ascii="宋体" w:hAnsi="宋体" w:eastAsia="宋体" w:cs="宋体"/>
      <w:b/>
      <w:bCs/>
      <w:color w:val="000000"/>
      <w:sz w:val="22"/>
      <w:szCs w:val="22"/>
      <w:u w:val="none"/>
    </w:rPr>
  </w:style>
  <w:style w:type="character" w:customStyle="1" w:styleId="80">
    <w:name w:val="font51"/>
    <w:basedOn w:val="31"/>
    <w:qFormat/>
    <w:uiPriority w:val="0"/>
    <w:rPr>
      <w:rFonts w:hint="default" w:ascii="Times New Roman" w:hAnsi="Times New Roman" w:cs="Times New Roman"/>
      <w:b/>
      <w:bCs/>
      <w:color w:val="000000"/>
      <w:sz w:val="22"/>
      <w:szCs w:val="22"/>
      <w:u w:val="none"/>
    </w:rPr>
  </w:style>
  <w:style w:type="character" w:customStyle="1" w:styleId="81">
    <w:name w:val="font41"/>
    <w:basedOn w:val="31"/>
    <w:qFormat/>
    <w:uiPriority w:val="0"/>
    <w:rPr>
      <w:rFonts w:hint="eastAsia" w:ascii="宋体" w:hAnsi="宋体" w:eastAsia="宋体" w:cs="宋体"/>
      <w:color w:val="000000"/>
      <w:sz w:val="22"/>
      <w:szCs w:val="22"/>
      <w:u w:val="none"/>
    </w:rPr>
  </w:style>
  <w:style w:type="character" w:customStyle="1" w:styleId="82">
    <w:name w:val="font61"/>
    <w:basedOn w:val="31"/>
    <w:qFormat/>
    <w:uiPriority w:val="0"/>
    <w:rPr>
      <w:rFonts w:hint="default" w:ascii="Times New Roman" w:hAnsi="Times New Roman" w:cs="Times New Roman"/>
      <w:color w:val="000000"/>
      <w:sz w:val="22"/>
      <w:szCs w:val="22"/>
      <w:u w:val="none"/>
    </w:rPr>
  </w:style>
  <w:style w:type="paragraph" w:styleId="83">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84">
    <w:name w:val="paragraph"/>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47391</Words>
  <Characters>50024</Characters>
  <Lines>408</Lines>
  <Paragraphs>114</Paragraphs>
  <TotalTime>5</TotalTime>
  <ScaleCrop>false</ScaleCrop>
  <LinksUpToDate>false</LinksUpToDate>
  <CharactersWithSpaces>54963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Administrator</cp:lastModifiedBy>
  <cp:lastPrinted>2022-11-10T05:10:35Z</cp:lastPrinted>
  <dcterms:modified xsi:type="dcterms:W3CDTF">2022-11-10T05:15:06Z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A3F8BD2DA204482D9DF0603F44733456</vt:lpwstr>
  </property>
</Properties>
</file>