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20"/>
        </w:tabs>
        <w:spacing w:line="276" w:lineRule="auto"/>
        <w:jc w:val="both"/>
        <w:rPr>
          <w:rFonts w:hint="default" w:ascii="宋体" w:hAnsi="宋体" w:eastAsia="宋体" w:cs="宋体"/>
          <w:b/>
          <w:bCs/>
          <w:color w:val="auto"/>
          <w:sz w:val="44"/>
          <w:szCs w:val="44"/>
          <w:highlight w:val="none"/>
          <w:lang w:val="en-US" w:eastAsia="zh-CN"/>
        </w:rPr>
      </w:pPr>
      <w:r>
        <w:rPr>
          <w:rFonts w:hint="eastAsia" w:ascii="宋体" w:hAnsi="宋体" w:cs="宋体"/>
          <w:b/>
          <w:bCs/>
          <w:color w:val="auto"/>
          <w:sz w:val="44"/>
          <w:szCs w:val="44"/>
          <w:highlight w:val="none"/>
          <w:lang w:val="en-US" w:eastAsia="zh-CN"/>
        </w:rPr>
        <w:t xml:space="preserve">                          </w:t>
      </w:r>
    </w:p>
    <w:p>
      <w:pPr>
        <w:spacing w:line="560" w:lineRule="exact"/>
        <w:jc w:val="center"/>
        <w:rPr>
          <w:rFonts w:hint="eastAsia" w:ascii="宋体" w:hAnsi="宋体" w:eastAsia="宋体" w:cs="宋体"/>
          <w:color w:val="auto"/>
          <w:sz w:val="72"/>
          <w:szCs w:val="72"/>
          <w:highlight w:val="none"/>
          <w:lang w:val="en-US" w:eastAsia="zh-CN"/>
        </w:rPr>
      </w:pPr>
      <w:r>
        <w:rPr>
          <w:rFonts w:hint="eastAsia" w:ascii="宋体" w:hAnsi="宋体" w:cs="宋体"/>
          <w:b/>
          <w:bCs/>
          <w:color w:val="auto"/>
          <w:sz w:val="44"/>
          <w:szCs w:val="44"/>
          <w:highlight w:val="none"/>
        </w:rPr>
        <w:t>东阳耀辉工程咨询有限公司关于</w:t>
      </w:r>
      <w:r>
        <w:rPr>
          <w:rFonts w:hint="eastAsia" w:ascii="宋体" w:hAnsi="宋体"/>
          <w:b/>
          <w:color w:val="auto"/>
          <w:sz w:val="44"/>
          <w:szCs w:val="44"/>
          <w:highlight w:val="none"/>
          <w:lang w:eastAsia="zh-CN"/>
        </w:rPr>
        <w:t>东阳市吴宁街道未来社区一体化方案项目</w:t>
      </w:r>
    </w:p>
    <w:p>
      <w:pPr>
        <w:pStyle w:val="2"/>
        <w:ind w:firstLine="0" w:firstLineChars="0"/>
        <w:rPr>
          <w:rFonts w:hint="eastAsia" w:hAnsi="宋体" w:cs="宋体"/>
          <w:color w:val="auto"/>
          <w:highlight w:val="none"/>
        </w:rPr>
      </w:pPr>
    </w:p>
    <w:p>
      <w:pPr>
        <w:pStyle w:val="2"/>
        <w:ind w:firstLine="867"/>
        <w:rPr>
          <w:rFonts w:hint="eastAsia" w:hAnsi="宋体" w:cs="宋体"/>
          <w:b/>
          <w:bCs/>
          <w:color w:val="auto"/>
          <w:sz w:val="44"/>
          <w:szCs w:val="44"/>
          <w:highlight w:val="none"/>
        </w:rPr>
      </w:pPr>
    </w:p>
    <w:p>
      <w:pPr>
        <w:pStyle w:val="2"/>
        <w:ind w:firstLine="867"/>
        <w:rPr>
          <w:rFonts w:hAnsi="宋体" w:cs="宋体"/>
          <w:b/>
          <w:bCs/>
          <w:color w:val="auto"/>
          <w:sz w:val="44"/>
          <w:szCs w:val="44"/>
          <w:highlight w:val="none"/>
        </w:rPr>
      </w:pPr>
    </w:p>
    <w:p>
      <w:pPr>
        <w:pStyle w:val="2"/>
        <w:ind w:firstLine="344"/>
        <w:rPr>
          <w:rFonts w:hint="eastAsia" w:hAnsi="宋体" w:cs="宋体"/>
          <w:color w:val="auto"/>
          <w:highlight w:val="none"/>
        </w:rPr>
      </w:pPr>
    </w:p>
    <w:p>
      <w:pPr>
        <w:spacing w:before="120" w:beforeLines="50"/>
        <w:jc w:val="center"/>
        <w:rPr>
          <w:rFonts w:hint="eastAsia" w:ascii="宋体" w:hAnsi="宋体" w:eastAsia="宋体" w:cs="宋体"/>
          <w:color w:val="auto"/>
          <w:sz w:val="72"/>
          <w:szCs w:val="72"/>
          <w:highlight w:val="none"/>
          <w:lang w:eastAsia="zh-CN"/>
        </w:rPr>
      </w:pPr>
      <w:r>
        <w:rPr>
          <w:rFonts w:hint="eastAsia" w:ascii="宋体" w:hAnsi="宋体" w:cs="宋体"/>
          <w:color w:val="auto"/>
          <w:sz w:val="52"/>
          <w:szCs w:val="52"/>
          <w:highlight w:val="none"/>
        </w:rPr>
        <w:t>公开招标采购文件</w:t>
      </w:r>
    </w:p>
    <w:p>
      <w:pPr>
        <w:pStyle w:val="12"/>
        <w:tabs>
          <w:tab w:val="left" w:pos="5415"/>
        </w:tabs>
        <w:snapToGrid w:val="0"/>
        <w:spacing w:before="120" w:after="120" w:line="360" w:lineRule="auto"/>
        <w:rPr>
          <w:rFonts w:hint="eastAsia" w:hAnsi="宋体" w:cs="宋体"/>
          <w:b/>
          <w:bCs/>
          <w:color w:val="auto"/>
          <w:sz w:val="30"/>
          <w:szCs w:val="30"/>
          <w:highlight w:val="none"/>
        </w:rPr>
      </w:pPr>
    </w:p>
    <w:p>
      <w:pPr>
        <w:pStyle w:val="12"/>
        <w:tabs>
          <w:tab w:val="left" w:pos="5415"/>
        </w:tabs>
        <w:snapToGrid w:val="0"/>
        <w:spacing w:before="120" w:after="120" w:line="360" w:lineRule="auto"/>
        <w:rPr>
          <w:rFonts w:hint="eastAsia" w:hAnsi="宋体" w:cs="宋体"/>
          <w:b/>
          <w:bCs/>
          <w:color w:val="auto"/>
          <w:sz w:val="30"/>
          <w:szCs w:val="30"/>
          <w:highlight w:val="none"/>
        </w:rPr>
      </w:pPr>
      <w:r>
        <w:rPr>
          <w:rFonts w:hint="eastAsia" w:hAnsi="宋体" w:cs="宋体"/>
          <w:b/>
          <w:bCs/>
          <w:color w:val="auto"/>
          <w:sz w:val="30"/>
          <w:szCs w:val="30"/>
          <w:highlight w:val="none"/>
        </w:rPr>
        <w:tab/>
      </w:r>
    </w:p>
    <w:p>
      <w:pPr>
        <w:pStyle w:val="12"/>
        <w:spacing w:before="120" w:after="120" w:line="600" w:lineRule="exact"/>
        <w:contextualSpacing/>
        <w:rPr>
          <w:rFonts w:hint="default" w:hAnsi="宋体" w:eastAsia="宋体" w:cs="宋体"/>
          <w:b/>
          <w:bCs/>
          <w:color w:val="auto"/>
          <w:sz w:val="30"/>
          <w:szCs w:val="30"/>
          <w:highlight w:val="none"/>
          <w:lang w:val="en-US" w:eastAsia="zh-CN"/>
        </w:rPr>
      </w:pPr>
      <w:r>
        <w:rPr>
          <w:rFonts w:hint="eastAsia" w:hAnsi="宋体" w:cs="宋体"/>
          <w:b/>
          <w:bCs/>
          <w:color w:val="auto"/>
          <w:sz w:val="30"/>
          <w:szCs w:val="30"/>
          <w:highlight w:val="none"/>
        </w:rPr>
        <w:t>项目编号：DYYHCG</w:t>
      </w:r>
      <w:r>
        <w:rPr>
          <w:rFonts w:hint="eastAsia" w:hAnsi="宋体" w:cs="宋体"/>
          <w:b/>
          <w:bCs/>
          <w:color w:val="auto"/>
          <w:sz w:val="30"/>
          <w:szCs w:val="30"/>
          <w:highlight w:val="none"/>
          <w:lang w:eastAsia="zh-CN"/>
        </w:rPr>
        <w:t>202</w:t>
      </w:r>
      <w:r>
        <w:rPr>
          <w:rFonts w:hint="eastAsia" w:hAnsi="宋体" w:cs="宋体"/>
          <w:b/>
          <w:bCs/>
          <w:color w:val="auto"/>
          <w:sz w:val="30"/>
          <w:szCs w:val="30"/>
          <w:highlight w:val="none"/>
          <w:lang w:val="en-US" w:eastAsia="zh-CN"/>
        </w:rPr>
        <w:t>4</w:t>
      </w:r>
      <w:r>
        <w:rPr>
          <w:rFonts w:hint="eastAsia" w:hAnsi="宋体" w:cs="宋体"/>
          <w:b/>
          <w:bCs/>
          <w:color w:val="auto"/>
          <w:sz w:val="30"/>
          <w:szCs w:val="30"/>
          <w:highlight w:val="none"/>
        </w:rPr>
        <w:t>-GK-</w:t>
      </w:r>
      <w:r>
        <w:rPr>
          <w:rFonts w:hint="eastAsia" w:hAnsi="宋体" w:cs="宋体"/>
          <w:b/>
          <w:bCs/>
          <w:color w:val="auto"/>
          <w:sz w:val="30"/>
          <w:szCs w:val="30"/>
          <w:highlight w:val="none"/>
          <w:lang w:eastAsia="zh-CN"/>
        </w:rPr>
        <w:t>027</w:t>
      </w:r>
    </w:p>
    <w:p>
      <w:pPr>
        <w:rPr>
          <w:rFonts w:hint="default"/>
          <w:color w:val="auto"/>
          <w:highlight w:val="none"/>
          <w:lang w:val="en-US" w:eastAsia="zh-CN"/>
        </w:rPr>
      </w:pPr>
    </w:p>
    <w:p>
      <w:pPr>
        <w:rPr>
          <w:rFonts w:hint="eastAsia" w:ascii="宋体" w:hAnsi="宋体" w:cs="宋体"/>
          <w:color w:val="auto"/>
          <w:highlight w:val="none"/>
        </w:rPr>
      </w:pPr>
    </w:p>
    <w:p>
      <w:pPr>
        <w:pStyle w:val="12"/>
        <w:spacing w:before="120" w:after="120" w:line="600" w:lineRule="exact"/>
        <w:contextualSpacing/>
        <w:jc w:val="both"/>
        <w:rPr>
          <w:rFonts w:hint="eastAsia" w:hAnsi="宋体" w:cs="宋体"/>
          <w:b/>
          <w:bCs/>
          <w:color w:val="auto"/>
          <w:sz w:val="30"/>
          <w:szCs w:val="30"/>
          <w:highlight w:val="none"/>
          <w:lang w:eastAsia="zh-CN"/>
        </w:rPr>
      </w:pPr>
      <w:r>
        <w:rPr>
          <w:rFonts w:hint="eastAsia" w:hAnsi="宋体" w:cs="宋体"/>
          <w:b/>
          <w:bCs/>
          <w:color w:val="auto"/>
          <w:sz w:val="30"/>
          <w:szCs w:val="30"/>
          <w:highlight w:val="none"/>
        </w:rPr>
        <w:t>项目名称：</w:t>
      </w:r>
      <w:r>
        <w:rPr>
          <w:rFonts w:hint="eastAsia" w:hAnsi="宋体" w:cs="宋体"/>
          <w:b/>
          <w:bCs/>
          <w:color w:val="auto"/>
          <w:sz w:val="30"/>
          <w:szCs w:val="30"/>
          <w:highlight w:val="none"/>
          <w:lang w:eastAsia="zh-CN"/>
        </w:rPr>
        <w:t>东阳市吴宁街道未来社区一体化方案项目</w:t>
      </w:r>
    </w:p>
    <w:p>
      <w:pPr>
        <w:rPr>
          <w:rFonts w:hint="eastAsia"/>
          <w:color w:val="auto"/>
          <w:highlight w:val="none"/>
          <w:lang w:eastAsia="zh-CN"/>
        </w:rPr>
      </w:pPr>
    </w:p>
    <w:p>
      <w:pPr>
        <w:rPr>
          <w:rFonts w:hint="eastAsia" w:ascii="宋体" w:hAnsi="宋体" w:cs="宋体"/>
          <w:color w:val="auto"/>
          <w:highlight w:val="none"/>
        </w:rPr>
      </w:pPr>
    </w:p>
    <w:p>
      <w:pPr>
        <w:pStyle w:val="12"/>
        <w:spacing w:before="120" w:after="120" w:line="600" w:lineRule="exact"/>
        <w:contextualSpacing/>
        <w:rPr>
          <w:rFonts w:hint="eastAsia" w:hAnsi="宋体" w:eastAsia="宋体" w:cs="宋体"/>
          <w:b/>
          <w:color w:val="auto"/>
          <w:sz w:val="28"/>
          <w:highlight w:val="none"/>
          <w:lang w:eastAsia="zh-CN"/>
        </w:rPr>
      </w:pPr>
      <w:r>
        <w:rPr>
          <w:rFonts w:hint="eastAsia" w:hAnsi="宋体" w:cs="宋体"/>
          <w:b/>
          <w:bCs/>
          <w:color w:val="auto"/>
          <w:w w:val="95"/>
          <w:sz w:val="30"/>
          <w:szCs w:val="30"/>
          <w:highlight w:val="none"/>
        </w:rPr>
        <w:t>采</w:t>
      </w:r>
      <w:r>
        <w:rPr>
          <w:rFonts w:hint="eastAsia" w:hAnsi="宋体" w:cs="宋体"/>
          <w:b/>
          <w:color w:val="auto"/>
          <w:sz w:val="28"/>
          <w:highlight w:val="none"/>
          <w:lang w:eastAsia="zh-CN"/>
        </w:rPr>
        <w:t>购单位：东阳市住房和城乡建设局</w:t>
      </w:r>
    </w:p>
    <w:p>
      <w:pPr>
        <w:rPr>
          <w:rFonts w:hint="eastAsia"/>
          <w:color w:val="auto"/>
          <w:highlight w:val="none"/>
          <w:lang w:val="en-US" w:eastAsia="zh-CN"/>
        </w:rPr>
      </w:pPr>
    </w:p>
    <w:p>
      <w:pPr>
        <w:rPr>
          <w:rFonts w:hint="eastAsia" w:ascii="宋体" w:hAnsi="宋体" w:cs="宋体"/>
          <w:color w:val="auto"/>
          <w:highlight w:val="none"/>
        </w:rPr>
      </w:pPr>
    </w:p>
    <w:p>
      <w:pPr>
        <w:pStyle w:val="12"/>
        <w:spacing w:before="120" w:after="120" w:line="600" w:lineRule="exact"/>
        <w:contextualSpacing/>
        <w:rPr>
          <w:rFonts w:hint="eastAsia" w:hAnsi="宋体" w:cs="宋体"/>
          <w:b/>
          <w:color w:val="auto"/>
          <w:sz w:val="30"/>
          <w:szCs w:val="48"/>
          <w:highlight w:val="none"/>
        </w:rPr>
      </w:pPr>
      <w:r>
        <w:rPr>
          <w:rFonts w:hint="eastAsia" w:hAnsi="宋体" w:cs="宋体"/>
          <w:b/>
          <w:bCs/>
          <w:color w:val="auto"/>
          <w:w w:val="95"/>
          <w:sz w:val="30"/>
          <w:szCs w:val="30"/>
          <w:highlight w:val="none"/>
        </w:rPr>
        <w:t>招标机构：</w:t>
      </w:r>
      <w:r>
        <w:rPr>
          <w:rFonts w:hint="eastAsia" w:hAnsi="宋体" w:cs="宋体"/>
          <w:b/>
          <w:color w:val="auto"/>
          <w:sz w:val="30"/>
          <w:szCs w:val="48"/>
          <w:highlight w:val="none"/>
        </w:rPr>
        <w:t>东阳耀辉工程咨询有限公司</w:t>
      </w:r>
    </w:p>
    <w:p>
      <w:pPr>
        <w:rPr>
          <w:rFonts w:hint="eastAsia"/>
          <w:color w:val="auto"/>
          <w:highlight w:val="none"/>
        </w:rPr>
      </w:pPr>
    </w:p>
    <w:p>
      <w:pPr>
        <w:spacing w:line="600" w:lineRule="exact"/>
        <w:ind w:firstLine="2996" w:firstLineChars="1047"/>
        <w:contextualSpacing/>
        <w:rPr>
          <w:rFonts w:hint="eastAsia" w:ascii="宋体" w:hAnsi="宋体" w:cs="宋体"/>
          <w:b/>
          <w:bCs/>
          <w:color w:val="auto"/>
          <w:w w:val="95"/>
          <w:sz w:val="30"/>
          <w:szCs w:val="30"/>
          <w:highlight w:val="none"/>
        </w:rPr>
      </w:pPr>
    </w:p>
    <w:p>
      <w:pPr>
        <w:spacing w:line="600" w:lineRule="exact"/>
        <w:contextualSpacing/>
        <w:rPr>
          <w:rFonts w:hint="eastAsia" w:ascii="宋体" w:hAnsi="宋体" w:cs="宋体"/>
          <w:b/>
          <w:color w:val="auto"/>
          <w:szCs w:val="21"/>
          <w:highlight w:val="none"/>
        </w:rPr>
      </w:pPr>
      <w:r>
        <w:rPr>
          <w:rFonts w:hint="eastAsia" w:ascii="宋体" w:hAnsi="宋体" w:cs="宋体"/>
          <w:b/>
          <w:bCs/>
          <w:color w:val="auto"/>
          <w:w w:val="95"/>
          <w:sz w:val="30"/>
          <w:szCs w:val="30"/>
          <w:highlight w:val="none"/>
        </w:rPr>
        <w:t>编制时间：</w:t>
      </w:r>
      <w:r>
        <w:rPr>
          <w:rFonts w:hint="eastAsia" w:ascii="宋体" w:hAnsi="宋体" w:cs="宋体"/>
          <w:b/>
          <w:bCs/>
          <w:color w:val="auto"/>
          <w:w w:val="95"/>
          <w:sz w:val="30"/>
          <w:szCs w:val="30"/>
          <w:highlight w:val="none"/>
          <w:lang w:eastAsia="zh-CN"/>
        </w:rPr>
        <w:t>202</w:t>
      </w:r>
      <w:r>
        <w:rPr>
          <w:rFonts w:hint="eastAsia" w:ascii="宋体" w:hAnsi="宋体" w:cs="宋体"/>
          <w:b/>
          <w:bCs/>
          <w:color w:val="auto"/>
          <w:w w:val="95"/>
          <w:sz w:val="30"/>
          <w:szCs w:val="30"/>
          <w:highlight w:val="none"/>
          <w:lang w:val="en-US" w:eastAsia="zh-CN"/>
        </w:rPr>
        <w:t>4</w:t>
      </w:r>
      <w:r>
        <w:rPr>
          <w:rFonts w:hint="eastAsia" w:ascii="宋体" w:hAnsi="宋体" w:cs="宋体"/>
          <w:b/>
          <w:color w:val="auto"/>
          <w:sz w:val="32"/>
          <w:szCs w:val="32"/>
          <w:highlight w:val="none"/>
        </w:rPr>
        <w:t>年</w:t>
      </w:r>
      <w:r>
        <w:rPr>
          <w:rFonts w:hint="eastAsia" w:ascii="宋体" w:hAnsi="宋体" w:cs="宋体"/>
          <w:b/>
          <w:color w:val="auto"/>
          <w:sz w:val="32"/>
          <w:szCs w:val="32"/>
          <w:highlight w:val="none"/>
          <w:lang w:val="en-US" w:eastAsia="zh-CN"/>
        </w:rPr>
        <w:t>4</w:t>
      </w:r>
      <w:r>
        <w:rPr>
          <w:rFonts w:hint="eastAsia" w:ascii="宋体" w:hAnsi="宋体" w:cs="宋体"/>
          <w:b/>
          <w:color w:val="auto"/>
          <w:sz w:val="32"/>
          <w:szCs w:val="32"/>
          <w:highlight w:val="none"/>
        </w:rPr>
        <w:t>月</w:t>
      </w:r>
    </w:p>
    <w:p>
      <w:pPr>
        <w:spacing w:before="120" w:after="120" w:line="360" w:lineRule="auto"/>
        <w:rPr>
          <w:rFonts w:hint="eastAsia" w:ascii="宋体" w:hAnsi="宋体" w:cs="宋体"/>
          <w:color w:val="auto"/>
          <w:highlight w:val="none"/>
        </w:rPr>
      </w:pPr>
    </w:p>
    <w:p>
      <w:pPr>
        <w:pStyle w:val="2"/>
        <w:ind w:firstLine="0" w:firstLineChars="0"/>
        <w:rPr>
          <w:rFonts w:hint="eastAsia" w:hAnsi="宋体" w:cs="宋体"/>
          <w:color w:val="auto"/>
          <w:highlight w:val="none"/>
        </w:rPr>
        <w:sectPr>
          <w:footerReference r:id="rId3" w:type="default"/>
          <w:pgSz w:w="11906" w:h="16838"/>
          <w:pgMar w:top="1474" w:right="1247" w:bottom="1247" w:left="1588" w:header="851" w:footer="851" w:gutter="0"/>
          <w:pgNumType w:start="1"/>
          <w:cols w:space="720" w:num="1"/>
          <w:titlePg/>
          <w:docGrid w:linePitch="312" w:charSpace="0"/>
        </w:sectPr>
      </w:pPr>
    </w:p>
    <w:p>
      <w:pPr>
        <w:pStyle w:val="2"/>
        <w:ind w:firstLine="344"/>
        <w:rPr>
          <w:rFonts w:hint="eastAsia" w:hAnsi="宋体" w:cs="宋体"/>
          <w:color w:val="auto"/>
          <w:highlight w:val="none"/>
        </w:rPr>
      </w:pPr>
    </w:p>
    <w:p>
      <w:pPr>
        <w:spacing w:before="120" w:after="120" w:line="360" w:lineRule="auto"/>
        <w:ind w:firstLine="3960" w:firstLineChars="900"/>
        <w:rPr>
          <w:rFonts w:hint="eastAsia" w:ascii="宋体" w:hAnsi="宋体" w:cs="宋体"/>
          <w:color w:val="auto"/>
          <w:sz w:val="44"/>
          <w:szCs w:val="44"/>
          <w:highlight w:val="none"/>
        </w:rPr>
      </w:pPr>
      <w:r>
        <w:rPr>
          <w:rFonts w:hint="eastAsia" w:ascii="宋体" w:hAnsi="宋体" w:cs="宋体"/>
          <w:color w:val="auto"/>
          <w:sz w:val="44"/>
          <w:szCs w:val="44"/>
          <w:highlight w:val="none"/>
        </w:rPr>
        <w:t>目  录</w:t>
      </w:r>
    </w:p>
    <w:p>
      <w:pPr>
        <w:keepNext w:val="0"/>
        <w:keepLines w:val="0"/>
        <w:pageBreakBefore w:val="0"/>
        <w:widowControl w:val="0"/>
        <w:numPr>
          <w:ilvl w:val="0"/>
          <w:numId w:val="0"/>
        </w:numPr>
        <w:tabs>
          <w:tab w:val="right" w:leader="middleDot" w:pos="5880"/>
          <w:tab w:val="right" w:leader="middleDot" w:pos="7980"/>
        </w:tabs>
        <w:kinsoku/>
        <w:wordWrap/>
        <w:overflowPunct/>
        <w:topLinePunct w:val="0"/>
        <w:autoSpaceDE/>
        <w:autoSpaceDN/>
        <w:bidi w:val="0"/>
        <w:adjustRightInd/>
        <w:snapToGrid/>
        <w:spacing w:before="120" w:beforeLines="50" w:line="480" w:lineRule="exact"/>
        <w:ind w:left="901" w:leftChars="0"/>
        <w:textAlignment w:val="auto"/>
        <w:rPr>
          <w:rFonts w:hint="eastAsia" w:ascii="宋体" w:hAnsi="宋体" w:cs="宋体"/>
          <w:color w:val="auto"/>
          <w:sz w:val="30"/>
          <w:szCs w:val="20"/>
          <w:highlight w:val="none"/>
        </w:rPr>
      </w:pPr>
      <w:r>
        <w:rPr>
          <w:rFonts w:hint="eastAsia" w:ascii="宋体" w:hAnsi="宋体" w:cs="宋体"/>
          <w:color w:val="auto"/>
          <w:sz w:val="30"/>
          <w:highlight w:val="none"/>
          <w:lang w:eastAsia="zh-CN"/>
        </w:rPr>
        <w:t>第一章</w:t>
      </w:r>
      <w:r>
        <w:rPr>
          <w:rFonts w:hint="eastAsia" w:ascii="宋体" w:hAnsi="宋体" w:cs="宋体"/>
          <w:color w:val="auto"/>
          <w:sz w:val="30"/>
          <w:highlight w:val="none"/>
        </w:rPr>
        <w:t xml:space="preserve">  公开招标采购公告</w:t>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2</w:t>
      </w:r>
    </w:p>
    <w:p>
      <w:pPr>
        <w:keepNext w:val="0"/>
        <w:keepLines w:val="0"/>
        <w:pageBreakBefore w:val="0"/>
        <w:widowControl w:val="0"/>
        <w:numPr>
          <w:ilvl w:val="0"/>
          <w:numId w:val="0"/>
        </w:numPr>
        <w:tabs>
          <w:tab w:val="right" w:leader="middleDot" w:pos="5880"/>
          <w:tab w:val="right" w:leader="middleDot" w:pos="7980"/>
        </w:tabs>
        <w:kinsoku/>
        <w:wordWrap/>
        <w:overflowPunct/>
        <w:topLinePunct w:val="0"/>
        <w:autoSpaceDE/>
        <w:autoSpaceDN/>
        <w:bidi w:val="0"/>
        <w:adjustRightInd/>
        <w:snapToGrid/>
        <w:spacing w:before="120" w:beforeLines="50" w:line="480" w:lineRule="exact"/>
        <w:ind w:left="901" w:leftChars="0"/>
        <w:textAlignment w:val="auto"/>
        <w:rPr>
          <w:rFonts w:hint="eastAsia" w:ascii="宋体" w:hAnsi="宋体" w:cs="宋体"/>
          <w:color w:val="auto"/>
          <w:sz w:val="30"/>
          <w:szCs w:val="20"/>
          <w:highlight w:val="none"/>
        </w:rPr>
      </w:pPr>
      <w:r>
        <w:rPr>
          <w:rFonts w:hint="eastAsia" w:ascii="宋体" w:hAnsi="宋体" w:cs="宋体"/>
          <w:color w:val="auto"/>
          <w:sz w:val="30"/>
          <w:highlight w:val="none"/>
          <w:lang w:eastAsia="zh-CN"/>
        </w:rPr>
        <w:t>第二章</w:t>
      </w:r>
      <w:r>
        <w:rPr>
          <w:rFonts w:hint="eastAsia" w:ascii="宋体" w:hAnsi="宋体" w:cs="宋体"/>
          <w:color w:val="auto"/>
          <w:sz w:val="30"/>
          <w:highlight w:val="none"/>
        </w:rPr>
        <w:t xml:space="preserve"> </w:t>
      </w:r>
      <w:r>
        <w:rPr>
          <w:rFonts w:hint="eastAsia" w:ascii="宋体" w:hAnsi="宋体" w:cs="宋体"/>
          <w:color w:val="auto"/>
          <w:sz w:val="30"/>
          <w:highlight w:val="none"/>
          <w:lang w:val="en-US" w:eastAsia="zh-CN"/>
        </w:rPr>
        <w:t xml:space="preserve"> </w:t>
      </w:r>
      <w:r>
        <w:rPr>
          <w:rFonts w:hint="eastAsia" w:ascii="宋体" w:hAnsi="宋体" w:cs="宋体"/>
          <w:color w:val="auto"/>
          <w:sz w:val="30"/>
          <w:highlight w:val="none"/>
        </w:rPr>
        <w:t>招标需求</w:t>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7</w:t>
      </w:r>
    </w:p>
    <w:p>
      <w:pPr>
        <w:keepNext w:val="0"/>
        <w:keepLines w:val="0"/>
        <w:pageBreakBefore w:val="0"/>
        <w:widowControl w:val="0"/>
        <w:numPr>
          <w:ilvl w:val="0"/>
          <w:numId w:val="0"/>
        </w:numPr>
        <w:tabs>
          <w:tab w:val="right" w:leader="middleDot" w:pos="5880"/>
          <w:tab w:val="right" w:leader="middleDot" w:pos="7980"/>
        </w:tabs>
        <w:kinsoku/>
        <w:wordWrap/>
        <w:overflowPunct/>
        <w:topLinePunct w:val="0"/>
        <w:autoSpaceDE/>
        <w:autoSpaceDN/>
        <w:bidi w:val="0"/>
        <w:adjustRightInd/>
        <w:snapToGrid/>
        <w:spacing w:before="120" w:beforeLines="50" w:line="480" w:lineRule="exact"/>
        <w:ind w:left="901" w:leftChars="0"/>
        <w:textAlignment w:val="auto"/>
        <w:rPr>
          <w:rFonts w:hint="default" w:ascii="宋体" w:hAnsi="宋体" w:cs="宋体"/>
          <w:color w:val="auto"/>
          <w:sz w:val="30"/>
          <w:szCs w:val="20"/>
          <w:highlight w:val="none"/>
          <w:lang w:val="en-US"/>
        </w:rPr>
      </w:pPr>
      <w:r>
        <w:rPr>
          <w:rFonts w:hint="eastAsia" w:ascii="宋体" w:hAnsi="宋体" w:cs="宋体"/>
          <w:color w:val="auto"/>
          <w:sz w:val="30"/>
          <w:highlight w:val="none"/>
          <w:lang w:eastAsia="zh-CN"/>
        </w:rPr>
        <w:t>第三章</w:t>
      </w:r>
      <w:r>
        <w:rPr>
          <w:rFonts w:hint="eastAsia" w:ascii="宋体" w:hAnsi="宋体" w:cs="宋体"/>
          <w:color w:val="auto"/>
          <w:sz w:val="30"/>
          <w:highlight w:val="none"/>
        </w:rPr>
        <w:t xml:space="preserve">  投标人须知</w:t>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13</w:t>
      </w:r>
    </w:p>
    <w:p>
      <w:pPr>
        <w:keepNext w:val="0"/>
        <w:keepLines w:val="0"/>
        <w:pageBreakBefore w:val="0"/>
        <w:widowControl w:val="0"/>
        <w:numPr>
          <w:ilvl w:val="0"/>
          <w:numId w:val="0"/>
        </w:numPr>
        <w:tabs>
          <w:tab w:val="right" w:leader="middleDot" w:pos="5880"/>
          <w:tab w:val="right" w:leader="middleDot" w:pos="7980"/>
        </w:tabs>
        <w:kinsoku/>
        <w:wordWrap/>
        <w:overflowPunct/>
        <w:topLinePunct w:val="0"/>
        <w:autoSpaceDE/>
        <w:autoSpaceDN/>
        <w:bidi w:val="0"/>
        <w:adjustRightInd/>
        <w:snapToGrid/>
        <w:spacing w:before="120" w:beforeLines="50" w:line="480" w:lineRule="exact"/>
        <w:ind w:left="901" w:leftChars="0"/>
        <w:textAlignment w:val="auto"/>
        <w:rPr>
          <w:rFonts w:hint="default" w:ascii="宋体" w:hAnsi="宋体" w:cs="宋体"/>
          <w:color w:val="auto"/>
          <w:sz w:val="30"/>
          <w:szCs w:val="20"/>
          <w:highlight w:val="none"/>
          <w:lang w:val="en-US"/>
        </w:rPr>
      </w:pPr>
      <w:r>
        <w:rPr>
          <w:rFonts w:hint="eastAsia" w:ascii="宋体" w:hAnsi="宋体" w:cs="宋体"/>
          <w:color w:val="auto"/>
          <w:sz w:val="30"/>
          <w:highlight w:val="none"/>
          <w:lang w:eastAsia="zh-CN"/>
        </w:rPr>
        <w:t>第四章</w:t>
      </w:r>
      <w:r>
        <w:rPr>
          <w:rFonts w:hint="eastAsia" w:ascii="宋体" w:hAnsi="宋体" w:cs="宋体"/>
          <w:color w:val="auto"/>
          <w:sz w:val="30"/>
          <w:highlight w:val="none"/>
        </w:rPr>
        <w:t xml:space="preserve">  评标办法及评分标准</w:t>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32</w:t>
      </w:r>
    </w:p>
    <w:p>
      <w:pPr>
        <w:keepNext w:val="0"/>
        <w:keepLines w:val="0"/>
        <w:pageBreakBefore w:val="0"/>
        <w:widowControl w:val="0"/>
        <w:numPr>
          <w:ilvl w:val="0"/>
          <w:numId w:val="0"/>
        </w:numPr>
        <w:tabs>
          <w:tab w:val="right" w:leader="middleDot" w:pos="5880"/>
          <w:tab w:val="right" w:leader="middleDot" w:pos="7980"/>
        </w:tabs>
        <w:kinsoku/>
        <w:wordWrap/>
        <w:overflowPunct/>
        <w:topLinePunct w:val="0"/>
        <w:autoSpaceDE/>
        <w:autoSpaceDN/>
        <w:bidi w:val="0"/>
        <w:adjustRightInd/>
        <w:snapToGrid/>
        <w:spacing w:before="120" w:beforeLines="50" w:line="480" w:lineRule="exact"/>
        <w:ind w:left="901" w:leftChars="0"/>
        <w:textAlignment w:val="auto"/>
        <w:rPr>
          <w:rFonts w:hint="default" w:ascii="宋体" w:hAnsi="宋体" w:cs="宋体"/>
          <w:color w:val="auto"/>
          <w:sz w:val="30"/>
          <w:szCs w:val="20"/>
          <w:highlight w:val="none"/>
          <w:lang w:val="en-US"/>
        </w:rPr>
      </w:pPr>
      <w:r>
        <w:rPr>
          <w:rFonts w:hint="eastAsia" w:ascii="宋体" w:hAnsi="宋体" w:cs="宋体"/>
          <w:color w:val="auto"/>
          <w:sz w:val="30"/>
          <w:highlight w:val="none"/>
          <w:lang w:eastAsia="zh-CN"/>
        </w:rPr>
        <w:t>第五章</w:t>
      </w:r>
      <w:r>
        <w:rPr>
          <w:rFonts w:hint="eastAsia" w:ascii="宋体" w:hAnsi="宋体" w:cs="宋体"/>
          <w:color w:val="auto"/>
          <w:sz w:val="30"/>
          <w:highlight w:val="none"/>
        </w:rPr>
        <w:t xml:space="preserve">  政府采购合同主要条款</w:t>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35</w:t>
      </w:r>
    </w:p>
    <w:p>
      <w:pPr>
        <w:keepNext w:val="0"/>
        <w:keepLines w:val="0"/>
        <w:pageBreakBefore w:val="0"/>
        <w:widowControl w:val="0"/>
        <w:numPr>
          <w:ilvl w:val="0"/>
          <w:numId w:val="0"/>
        </w:numPr>
        <w:tabs>
          <w:tab w:val="right" w:leader="middleDot" w:pos="5880"/>
          <w:tab w:val="right" w:leader="middleDot" w:pos="7980"/>
        </w:tabs>
        <w:kinsoku/>
        <w:wordWrap/>
        <w:overflowPunct/>
        <w:topLinePunct w:val="0"/>
        <w:autoSpaceDE/>
        <w:autoSpaceDN/>
        <w:bidi w:val="0"/>
        <w:adjustRightInd/>
        <w:snapToGrid/>
        <w:spacing w:before="120" w:beforeLines="50" w:line="480" w:lineRule="exact"/>
        <w:ind w:left="901" w:leftChars="0"/>
        <w:textAlignment w:val="auto"/>
        <w:rPr>
          <w:rFonts w:hint="default" w:ascii="宋体" w:hAnsi="宋体" w:cs="宋体"/>
          <w:color w:val="auto"/>
          <w:sz w:val="30"/>
          <w:szCs w:val="20"/>
          <w:highlight w:val="none"/>
          <w:lang w:val="en-US"/>
        </w:rPr>
      </w:pPr>
      <w:r>
        <w:rPr>
          <w:rFonts w:hint="eastAsia" w:ascii="宋体" w:hAnsi="宋体" w:cs="宋体"/>
          <w:color w:val="auto"/>
          <w:sz w:val="30"/>
          <w:highlight w:val="none"/>
          <w:lang w:eastAsia="zh-CN"/>
        </w:rPr>
        <w:t>第六章</w:t>
      </w:r>
      <w:r>
        <w:rPr>
          <w:rFonts w:hint="eastAsia" w:ascii="宋体" w:hAnsi="宋体" w:cs="宋体"/>
          <w:color w:val="auto"/>
          <w:sz w:val="30"/>
          <w:highlight w:val="none"/>
        </w:rPr>
        <w:t xml:space="preserve">  投标文件格式</w:t>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ab/>
      </w:r>
      <w:r>
        <w:rPr>
          <w:rFonts w:hint="eastAsia" w:ascii="宋体" w:hAnsi="宋体" w:cs="宋体"/>
          <w:color w:val="auto"/>
          <w:sz w:val="30"/>
          <w:highlight w:val="none"/>
          <w:lang w:val="en-US" w:eastAsia="zh-CN"/>
        </w:rPr>
        <w:t>39</w:t>
      </w:r>
    </w:p>
    <w:p>
      <w:pPr>
        <w:snapToGrid w:val="0"/>
        <w:spacing w:before="120" w:after="120"/>
        <w:outlineLvl w:val="0"/>
        <w:rPr>
          <w:rFonts w:hint="eastAsia" w:ascii="宋体" w:hAnsi="宋体" w:cs="宋体"/>
          <w:color w:val="auto"/>
          <w:sz w:val="30"/>
          <w:szCs w:val="30"/>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b/>
          <w:bCs/>
          <w:color w:val="auto"/>
          <w:sz w:val="32"/>
          <w:szCs w:val="32"/>
          <w:highlight w:val="none"/>
        </w:rPr>
      </w:pPr>
    </w:p>
    <w:p>
      <w:pPr>
        <w:pStyle w:val="12"/>
        <w:snapToGrid w:val="0"/>
        <w:spacing w:before="120" w:after="120" w:line="360" w:lineRule="auto"/>
        <w:jc w:val="center"/>
        <w:outlineLvl w:val="0"/>
        <w:rPr>
          <w:rFonts w:hint="eastAsia" w:hAnsi="宋体" w:cs="宋体"/>
          <w:color w:val="auto"/>
          <w:sz w:val="28"/>
          <w:szCs w:val="28"/>
          <w:highlight w:val="none"/>
        </w:rPr>
      </w:pPr>
      <w:r>
        <w:rPr>
          <w:rFonts w:hint="eastAsia" w:hAnsi="宋体" w:cs="宋体"/>
          <w:b/>
          <w:bCs/>
          <w:color w:val="auto"/>
          <w:sz w:val="32"/>
          <w:szCs w:val="32"/>
          <w:highlight w:val="none"/>
        </w:rPr>
        <w:t>第一章  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u w:val="single"/>
          <w:lang w:eastAsia="zh-CN"/>
        </w:rPr>
        <w:t>东阳市吴宁街道未来社区一体化方案项目</w:t>
      </w:r>
      <w:r>
        <w:rPr>
          <w:rFonts w:hint="eastAsia" w:ascii="宋体" w:hAnsi="宋体" w:cs="宋体"/>
          <w:color w:val="auto"/>
          <w:sz w:val="24"/>
          <w:highlight w:val="none"/>
          <w:u w:val="single"/>
        </w:rPr>
        <w:t>（经东阳市财政局临[</w:t>
      </w:r>
      <w:r>
        <w:rPr>
          <w:rFonts w:hint="eastAsia" w:ascii="宋体" w:hAnsi="宋体" w:cs="宋体"/>
          <w:color w:val="auto"/>
          <w:sz w:val="24"/>
          <w:highlight w:val="none"/>
          <w:u w:val="single"/>
          <w:lang w:eastAsia="zh-CN"/>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459</w:t>
      </w:r>
      <w:r>
        <w:rPr>
          <w:rFonts w:hint="eastAsia" w:ascii="宋体" w:hAnsi="宋体" w:cs="宋体"/>
          <w:color w:val="auto"/>
          <w:sz w:val="24"/>
          <w:highlight w:val="none"/>
          <w:u w:val="single"/>
        </w:rPr>
        <w:t>号采购计划确认书批准）</w:t>
      </w:r>
      <w:r>
        <w:rPr>
          <w:rFonts w:hint="eastAsia" w:ascii="宋体" w:hAnsi="宋体" w:cs="宋体"/>
          <w:color w:val="auto"/>
          <w:sz w:val="24"/>
          <w:highlight w:val="none"/>
        </w:rPr>
        <w:t>的潜在投标人应在（网址：浙江政府采购网:http://zfcg.czt.zj.gov.cn/、东阳市公共资源交易网:http://ggzyjy.dongyang.gov.cn/）获取招标文件，并于</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5</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14</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00分</w:t>
      </w:r>
      <w:r>
        <w:rPr>
          <w:rFonts w:hint="eastAsia" w:ascii="宋体" w:hAnsi="宋体" w:cs="宋体"/>
          <w:bCs/>
          <w:color w:val="auto"/>
          <w:sz w:val="24"/>
          <w:highlight w:val="none"/>
        </w:rPr>
        <w:t>（北京时间）前递交(上传)投标文件</w:t>
      </w:r>
      <w:r>
        <w:rPr>
          <w:rFonts w:hint="eastAsia" w:ascii="宋体" w:hAnsi="宋体" w:cs="宋体"/>
          <w:color w:val="auto"/>
          <w:sz w:val="24"/>
          <w:highlight w:val="none"/>
        </w:rPr>
        <w:t>。</w:t>
      </w:r>
    </w:p>
    <w:p>
      <w:pPr>
        <w:snapToGrid w:val="0"/>
        <w:spacing w:line="440" w:lineRule="exact"/>
        <w:rPr>
          <w:rFonts w:hint="eastAsia" w:ascii="宋体" w:hAnsi="宋体" w:cs="宋体"/>
          <w:b/>
          <w:bCs/>
          <w:color w:val="auto"/>
          <w:sz w:val="24"/>
          <w:highlight w:val="none"/>
        </w:rPr>
      </w:pPr>
      <w:r>
        <w:rPr>
          <w:rFonts w:hint="eastAsia" w:ascii="宋体" w:hAnsi="宋体" w:cs="宋体"/>
          <w:b/>
          <w:bCs/>
          <w:color w:val="auto"/>
          <w:sz w:val="24"/>
          <w:highlight w:val="none"/>
        </w:rPr>
        <w:t>一、项目基本情况</w:t>
      </w:r>
    </w:p>
    <w:p>
      <w:pPr>
        <w:spacing w:line="440" w:lineRule="exact"/>
        <w:ind w:firstLine="482" w:firstLineChars="200"/>
        <w:rPr>
          <w:rFonts w:hint="default" w:ascii="宋体" w:hAnsi="宋体" w:eastAsia="宋体" w:cs="宋体"/>
          <w:color w:val="auto"/>
          <w:sz w:val="24"/>
          <w:highlight w:val="none"/>
          <w:lang w:val="en-US" w:eastAsia="zh-CN"/>
        </w:rPr>
      </w:pPr>
      <w:r>
        <w:rPr>
          <w:rFonts w:hint="eastAsia" w:ascii="宋体" w:hAnsi="宋体" w:cs="宋体"/>
          <w:b/>
          <w:bCs/>
          <w:color w:val="auto"/>
          <w:sz w:val="24"/>
          <w:highlight w:val="none"/>
        </w:rPr>
        <w:t>项目编号：</w:t>
      </w:r>
      <w:r>
        <w:rPr>
          <w:rFonts w:hint="eastAsia" w:ascii="宋体" w:hAnsi="宋体" w:cs="宋体"/>
          <w:color w:val="auto"/>
          <w:sz w:val="24"/>
          <w:highlight w:val="none"/>
        </w:rPr>
        <w:t>DYYHCG</w:t>
      </w:r>
      <w:r>
        <w:rPr>
          <w:rFonts w:hint="eastAsia" w:ascii="宋体" w:hAnsi="宋体" w:cs="宋体"/>
          <w:color w:val="auto"/>
          <w:sz w:val="24"/>
          <w:highlight w:val="none"/>
          <w:lang w:eastAsia="zh-CN"/>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-GK-</w:t>
      </w:r>
      <w:r>
        <w:rPr>
          <w:rFonts w:hint="eastAsia" w:ascii="宋体" w:hAnsi="宋体" w:cs="宋体"/>
          <w:color w:val="auto"/>
          <w:sz w:val="24"/>
          <w:highlight w:val="none"/>
          <w:lang w:eastAsia="zh-CN"/>
        </w:rPr>
        <w:t>027</w:t>
      </w:r>
    </w:p>
    <w:p>
      <w:pPr>
        <w:spacing w:line="440" w:lineRule="exact"/>
        <w:ind w:firstLine="482" w:firstLineChars="200"/>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项目名称：</w:t>
      </w:r>
      <w:r>
        <w:rPr>
          <w:rFonts w:hint="eastAsia" w:ascii="宋体" w:hAnsi="宋体" w:cs="宋体"/>
          <w:color w:val="auto"/>
          <w:sz w:val="24"/>
          <w:highlight w:val="none"/>
          <w:lang w:val="en-US" w:eastAsia="zh-CN"/>
        </w:rPr>
        <w:t>东阳市吴宁街道未来社区一体化方案项目</w:t>
      </w:r>
    </w:p>
    <w:p>
      <w:pPr>
        <w:spacing w:line="440" w:lineRule="exact"/>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rPr>
        <w:t>预算金额（元）</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3360000</w:t>
      </w:r>
      <w:r>
        <w:rPr>
          <w:rFonts w:hint="eastAsia" w:ascii="宋体" w:hAnsi="宋体" w:cs="宋体"/>
          <w:color w:val="auto"/>
          <w:sz w:val="24"/>
          <w:highlight w:val="none"/>
        </w:rPr>
        <w:t>元</w:t>
      </w:r>
    </w:p>
    <w:p>
      <w:pPr>
        <w:spacing w:line="440" w:lineRule="exact"/>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rPr>
        <w:t>最高限价（元）</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3360000</w:t>
      </w:r>
      <w:r>
        <w:rPr>
          <w:rFonts w:hint="eastAsia" w:ascii="宋体" w:hAnsi="宋体" w:cs="宋体"/>
          <w:color w:val="auto"/>
          <w:sz w:val="24"/>
          <w:highlight w:val="none"/>
        </w:rPr>
        <w:t>元</w:t>
      </w:r>
    </w:p>
    <w:p>
      <w:pPr>
        <w:pStyle w:val="10"/>
        <w:spacing w:line="440" w:lineRule="exact"/>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采购需求：</w:t>
      </w:r>
      <w:r>
        <w:rPr>
          <w:rFonts w:hint="eastAsia" w:ascii="宋体" w:hAnsi="宋体" w:cs="宋体"/>
          <w:color w:val="auto"/>
          <w:sz w:val="27"/>
          <w:szCs w:val="27"/>
          <w:highlight w:val="none"/>
        </w:rPr>
        <w:br w:type="textWrapping"/>
      </w:r>
      <w:r>
        <w:rPr>
          <w:rFonts w:hint="eastAsia" w:ascii="宋体" w:hAnsi="宋体" w:cs="宋体"/>
          <w:color w:val="auto"/>
          <w:sz w:val="27"/>
          <w:szCs w:val="27"/>
          <w:highlight w:val="none"/>
        </w:rPr>
        <w:t> </w:t>
      </w:r>
      <w:r>
        <w:rPr>
          <w:rFonts w:hint="eastAsia" w:ascii="宋体" w:hAnsi="宋体" w:cs="宋体"/>
          <w:color w:val="auto"/>
          <w:sz w:val="27"/>
          <w:szCs w:val="27"/>
          <w:highlight w:val="none"/>
          <w:lang w:val="en-US" w:eastAsia="zh-CN"/>
        </w:rPr>
        <w:t xml:space="preserve">  </w:t>
      </w:r>
      <w:r>
        <w:rPr>
          <w:rFonts w:hint="eastAsia" w:ascii="宋体" w:hAnsi="宋体" w:cs="宋体"/>
          <w:b/>
          <w:bCs/>
          <w:color w:val="auto"/>
          <w:sz w:val="24"/>
          <w:highlight w:val="none"/>
        </w:rPr>
        <w:t>标项一:</w:t>
      </w:r>
    </w:p>
    <w:p>
      <w:pPr>
        <w:pStyle w:val="10"/>
        <w:spacing w:line="440" w:lineRule="exact"/>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rPr>
        <w:t>标项名称：</w:t>
      </w:r>
      <w:r>
        <w:rPr>
          <w:rFonts w:hint="eastAsia" w:ascii="宋体" w:hAnsi="宋体" w:cs="宋体"/>
          <w:color w:val="auto"/>
          <w:sz w:val="24"/>
          <w:highlight w:val="none"/>
          <w:lang w:eastAsia="zh-CN"/>
        </w:rPr>
        <w:t>东阳市吴宁街道未来社区一体化方案项目</w:t>
      </w:r>
    </w:p>
    <w:p>
      <w:pPr>
        <w:keepNext w:val="0"/>
        <w:keepLines w:val="0"/>
        <w:pageBreakBefore w:val="0"/>
        <w:kinsoku/>
        <w:wordWrap/>
        <w:overflowPunct/>
        <w:topLinePunct w:val="0"/>
        <w:autoSpaceDE/>
        <w:autoSpaceDN/>
        <w:bidi w:val="0"/>
        <w:adjustRightInd/>
        <w:spacing w:line="380" w:lineRule="exact"/>
        <w:ind w:left="479" w:leftChars="228" w:firstLine="0" w:firstLineChars="0"/>
        <w:textAlignment w:val="auto"/>
        <w:rPr>
          <w:rFonts w:hint="eastAsia" w:ascii="宋体" w:hAnsi="宋体" w:eastAsia="宋体" w:cs="宋体"/>
          <w:sz w:val="24"/>
          <w:lang w:val="en-US" w:eastAsia="zh-CN"/>
        </w:rPr>
      </w:pPr>
      <w:r>
        <w:rPr>
          <w:rFonts w:hint="eastAsia" w:ascii="宋体" w:hAnsi="宋体" w:cs="宋体"/>
          <w:color w:val="auto"/>
          <w:sz w:val="24"/>
          <w:szCs w:val="22"/>
          <w:highlight w:val="none"/>
          <w:lang w:eastAsia="zh-CN"/>
        </w:rPr>
        <w:t>范围：</w:t>
      </w:r>
      <w:r>
        <w:rPr>
          <w:rFonts w:hint="eastAsia" w:ascii="宋体" w:hAnsi="宋体" w:cs="宋体"/>
          <w:color w:val="auto"/>
          <w:sz w:val="24"/>
          <w:highlight w:val="none"/>
          <w:lang w:eastAsia="zh-CN"/>
        </w:rPr>
        <w:t>吴宁街道东岘、西街、雍和、朝阳、迎晖、卢宅、西园未来</w:t>
      </w:r>
      <w:r>
        <w:rPr>
          <w:rFonts w:hint="eastAsia" w:ascii="宋体" w:hAnsi="宋体" w:cs="宋体"/>
          <w:color w:val="auto"/>
          <w:sz w:val="24"/>
          <w:highlight w:val="none"/>
          <w:lang w:val="en-US" w:eastAsia="zh-CN"/>
        </w:rPr>
        <w:t>社区</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sz w:val="24"/>
        </w:rPr>
        <w:t>预算金额（元）：</w:t>
      </w:r>
      <w:r>
        <w:rPr>
          <w:rFonts w:hint="eastAsia" w:ascii="宋体" w:hAnsi="宋体" w:cs="宋体"/>
          <w:sz w:val="24"/>
          <w:lang w:val="en-US" w:eastAsia="zh-CN"/>
        </w:rPr>
        <w:t>3360000</w:t>
      </w:r>
      <w:r>
        <w:rPr>
          <w:rFonts w:hint="eastAsia" w:ascii="宋体" w:hAnsi="宋体" w:eastAsia="宋体" w:cs="宋体"/>
          <w:sz w:val="24"/>
        </w:rPr>
        <w:t>元</w:t>
      </w:r>
      <w:r>
        <w:rPr>
          <w:rFonts w:hint="eastAsia" w:ascii="宋体" w:hAnsi="宋体" w:eastAsia="宋体" w:cs="宋体"/>
          <w:sz w:val="24"/>
          <w:lang w:val="en-US" w:eastAsia="zh-CN"/>
        </w:rPr>
        <w:t xml:space="preserve">   </w:t>
      </w:r>
    </w:p>
    <w:p>
      <w:pPr>
        <w:keepNext w:val="0"/>
        <w:keepLines w:val="0"/>
        <w:pageBreakBefore w:val="0"/>
        <w:kinsoku/>
        <w:wordWrap/>
        <w:overflowPunct/>
        <w:topLinePunct w:val="0"/>
        <w:autoSpaceDE/>
        <w:autoSpaceDN/>
        <w:bidi w:val="0"/>
        <w:adjustRightInd/>
        <w:spacing w:line="380" w:lineRule="exact"/>
        <w:ind w:left="479" w:leftChars="228" w:firstLine="0" w:firstLineChars="0"/>
        <w:textAlignment w:val="auto"/>
        <w:rPr>
          <w:rFonts w:hint="default" w:ascii="宋体" w:hAnsi="宋体" w:eastAsia="宋体" w:cs="宋体"/>
          <w:sz w:val="24"/>
          <w:lang w:val="en-US" w:eastAsia="zh-CN"/>
        </w:rPr>
      </w:pPr>
      <w:r>
        <w:rPr>
          <w:rFonts w:hint="eastAsia" w:ascii="宋体" w:hAnsi="宋体" w:eastAsia="宋体" w:cs="宋体"/>
          <w:sz w:val="24"/>
        </w:rPr>
        <w:t>简要规格描述或项目基本概况介绍、用途：具体要求详见第二章招标需求</w:t>
      </w:r>
      <w:r>
        <w:rPr>
          <w:rFonts w:hint="eastAsia" w:ascii="宋体" w:hAnsi="宋体" w:eastAsia="宋体" w:cs="宋体"/>
          <w:sz w:val="24"/>
        </w:rPr>
        <w:br w:type="textWrapping"/>
      </w:r>
      <w:r>
        <w:rPr>
          <w:rFonts w:hint="eastAsia" w:ascii="宋体" w:hAnsi="宋体" w:eastAsia="宋体" w:cs="宋体"/>
          <w:sz w:val="24"/>
        </w:rPr>
        <w:t>备注：</w:t>
      </w:r>
      <w:r>
        <w:rPr>
          <w:rFonts w:hint="eastAsia" w:ascii="宋体" w:hAnsi="宋体" w:eastAsia="宋体" w:cs="宋体"/>
          <w:sz w:val="24"/>
          <w:lang w:eastAsia="zh-CN"/>
        </w:rPr>
        <w:t>本项目每个社区最高限价</w:t>
      </w:r>
      <w:r>
        <w:rPr>
          <w:rFonts w:hint="eastAsia" w:ascii="宋体" w:hAnsi="宋体" w:cs="宋体"/>
          <w:sz w:val="24"/>
          <w:lang w:val="en-US" w:eastAsia="zh-CN"/>
        </w:rPr>
        <w:t>48</w:t>
      </w:r>
      <w:r>
        <w:rPr>
          <w:rFonts w:hint="eastAsia" w:ascii="宋体" w:hAnsi="宋体" w:eastAsia="宋体" w:cs="宋体"/>
          <w:sz w:val="24"/>
          <w:lang w:val="en-US" w:eastAsia="zh-CN"/>
        </w:rPr>
        <w:t>万元</w:t>
      </w:r>
      <w:r>
        <w:rPr>
          <w:rFonts w:hint="eastAsia" w:ascii="宋体" w:hAnsi="宋体" w:cs="宋体"/>
          <w:sz w:val="24"/>
          <w:lang w:val="en-US" w:eastAsia="zh-CN"/>
        </w:rPr>
        <w:t>，完成时间为2025年12月底前。</w:t>
      </w:r>
    </w:p>
    <w:p>
      <w:pPr>
        <w:keepNext w:val="0"/>
        <w:keepLines w:val="0"/>
        <w:pageBreakBefore w:val="0"/>
        <w:kinsoku/>
        <w:wordWrap/>
        <w:overflowPunct/>
        <w:topLinePunct w:val="0"/>
        <w:autoSpaceDE/>
        <w:autoSpaceDN/>
        <w:bidi w:val="0"/>
        <w:adjustRightInd/>
        <w:spacing w:line="380" w:lineRule="exact"/>
        <w:ind w:left="479" w:leftChars="228" w:firstLine="0" w:firstLineChars="0"/>
        <w:textAlignment w:val="auto"/>
        <w:rPr>
          <w:rFonts w:hint="eastAsia" w:ascii="宋体" w:hAnsi="宋体" w:eastAsia="宋体" w:cs="宋体"/>
          <w:sz w:val="24"/>
          <w:lang w:eastAsia="zh-CN"/>
        </w:rPr>
      </w:pPr>
      <w:r>
        <w:rPr>
          <w:rFonts w:hint="eastAsia" w:ascii="宋体" w:hAnsi="宋体" w:eastAsia="宋体" w:cs="宋体"/>
          <w:sz w:val="24"/>
          <w:lang w:eastAsia="zh-CN"/>
        </w:rPr>
        <w:t>合同履约期限：详见招标文件</w:t>
      </w:r>
    </w:p>
    <w:p>
      <w:pPr>
        <w:pStyle w:val="1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本项目接受联合体投标</w:t>
      </w:r>
      <w:r>
        <w:rPr>
          <w:rFonts w:hint="eastAsia" w:ascii="宋体" w:hAnsi="宋体" w:cs="宋体"/>
          <w:color w:val="auto"/>
          <w:sz w:val="24"/>
          <w:highlight w:val="none"/>
          <w:lang w:eastAsia="zh-CN"/>
        </w:rPr>
        <w:t>。</w:t>
      </w:r>
    </w:p>
    <w:p>
      <w:pPr>
        <w:adjustRightInd w:val="0"/>
        <w:snapToGrid w:val="0"/>
        <w:spacing w:line="440" w:lineRule="exact"/>
        <w:rPr>
          <w:rFonts w:ascii="宋体" w:hAnsi="宋体" w:cs="宋体"/>
          <w:b/>
          <w:bCs/>
          <w:strike/>
          <w:sz w:val="24"/>
        </w:rPr>
      </w:pPr>
      <w:r>
        <w:rPr>
          <w:rFonts w:hint="eastAsia" w:ascii="宋体" w:hAnsi="宋体" w:cs="宋体"/>
          <w:b/>
          <w:bCs/>
          <w:sz w:val="24"/>
        </w:rPr>
        <w:t xml:space="preserve">▲二、申请人的资格要求： </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近三年各行政部门处罚的以上两网未记录的其他重大违法记录，经举报查实的，取消中标资格。</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2、落实政府采购政策需满足的资格要求</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A、本项目不限，所有大中小微型企业均可参加投标。</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B、本项目接受大中型企业与小微企业组成联合体投标，接受大中型企业向一家或者多家小微企业分包。组成联合体投标的或者向小微企业分包的，对于联合体协议或者分包意向约定小微企业服务合同份额占到总金额40%以上的，对联合体或者大中型企业的报价给予</w:t>
      </w:r>
      <w:r>
        <w:rPr>
          <w:rFonts w:hint="eastAsia" w:ascii="宋体" w:hAnsi="宋体" w:cs="宋体"/>
          <w:sz w:val="24"/>
          <w:lang w:val="en-US" w:eastAsia="zh-CN"/>
        </w:rPr>
        <w:t>6</w:t>
      </w:r>
      <w:r>
        <w:rPr>
          <w:rFonts w:hint="eastAsia" w:ascii="宋体" w:hAnsi="宋体" w:eastAsia="宋体" w:cs="宋体"/>
          <w:sz w:val="24"/>
        </w:rPr>
        <w:t>%的扣除，用扣除后的价格参与价格评审。组成联合体投标的，需提供联合体协议（格式见附件）和中小企业声明函（格式见附件）；向小微企业分包的，提供分包意向（格式见附件）和中小企业声明函（格式见附件）。</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C、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D、中小企业享受扶持政策获得政府采购合同的，小微企业不得将合同分包给大中型企业，中型企业不得将合同分包给大型企业。组成联合体或者接受分包的中小微企业与联合体内其他大中型企业、分包的大中型企业之间存在直接控股、管理关系的，不享受《政府采购促进中小企业发展管理办法》规定的优惠政策。</w:t>
      </w:r>
    </w:p>
    <w:p>
      <w:pPr>
        <w:adjustRightInd w:val="0"/>
        <w:snapToGrid w:val="0"/>
        <w:spacing w:line="440" w:lineRule="exact"/>
        <w:ind w:firstLine="480" w:firstLineChars="200"/>
        <w:rPr>
          <w:rFonts w:ascii="宋体" w:hAnsi="宋体" w:cs="宋体"/>
          <w:sz w:val="24"/>
        </w:rPr>
      </w:pPr>
      <w:r>
        <w:rPr>
          <w:rFonts w:hint="eastAsia" w:ascii="宋体" w:hAnsi="宋体" w:eastAsia="宋体" w:cs="宋体"/>
          <w:sz w:val="24"/>
        </w:rPr>
        <w:t>E、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r>
        <w:rPr>
          <w:rFonts w:hint="eastAsia" w:ascii="宋体" w:hAnsi="宋体" w:cs="宋体"/>
          <w:sz w:val="24"/>
        </w:rPr>
        <w:t xml:space="preserve">   </w:t>
      </w:r>
    </w:p>
    <w:p>
      <w:pPr>
        <w:adjustRightInd w:val="0"/>
        <w:snapToGrid w:val="0"/>
        <w:spacing w:line="440" w:lineRule="exact"/>
        <w:ind w:firstLine="480" w:firstLineChars="200"/>
        <w:rPr>
          <w:rFonts w:ascii="宋体" w:hAnsi="宋体" w:cs="宋体"/>
          <w:b/>
          <w:bCs/>
          <w:sz w:val="24"/>
        </w:rPr>
      </w:pPr>
      <w:r>
        <w:rPr>
          <w:rFonts w:hint="eastAsia" w:ascii="宋体" w:hAnsi="宋体" w:cs="宋体"/>
          <w:sz w:val="24"/>
        </w:rPr>
        <w:t>4、本项目的特定资格要求：</w:t>
      </w:r>
    </w:p>
    <w:p>
      <w:pPr>
        <w:pStyle w:val="10"/>
        <w:spacing w:line="440" w:lineRule="exact"/>
        <w:ind w:firstLine="480" w:firstLineChars="200"/>
        <w:rPr>
          <w:rFonts w:hint="eastAsia" w:ascii="宋体" w:hAnsi="宋体" w:cs="宋体"/>
          <w:color w:val="auto"/>
          <w:sz w:val="24"/>
          <w:highlight w:val="none"/>
        </w:rPr>
      </w:pPr>
      <w:r>
        <w:rPr>
          <w:rFonts w:hint="eastAsia" w:ascii="宋体" w:hAnsi="宋体" w:cs="宋体"/>
          <w:sz w:val="24"/>
        </w:rPr>
        <w:t>投标人须为浙江政府采购网注册的正式供应商或承诺中标后30天内注册为浙江政府采购网正式供应商。</w:t>
      </w:r>
    </w:p>
    <w:p>
      <w:pPr>
        <w:snapToGrid w:val="0"/>
        <w:spacing w:line="440" w:lineRule="exact"/>
        <w:rPr>
          <w:rFonts w:hint="eastAsia" w:ascii="宋体" w:hAnsi="宋体" w:cs="宋体"/>
          <w:b/>
          <w:bCs/>
          <w:color w:val="auto"/>
          <w:sz w:val="24"/>
          <w:highlight w:val="none"/>
        </w:rPr>
      </w:pPr>
      <w:r>
        <w:rPr>
          <w:rFonts w:hint="eastAsia" w:ascii="宋体" w:hAnsi="宋体" w:cs="宋体"/>
          <w:b/>
          <w:bCs/>
          <w:color w:val="auto"/>
          <w:sz w:val="24"/>
          <w:highlight w:val="none"/>
        </w:rPr>
        <w:t xml:space="preserve">▲三、获取招标文件： </w:t>
      </w:r>
    </w:p>
    <w:p>
      <w:pPr>
        <w:spacing w:line="440" w:lineRule="exact"/>
        <w:ind w:firstLine="640"/>
        <w:rPr>
          <w:rFonts w:hint="eastAsia" w:ascii="宋体" w:hAnsi="宋体" w:cs="宋体"/>
          <w:color w:val="auto"/>
          <w:sz w:val="24"/>
          <w:highlight w:val="none"/>
        </w:rPr>
      </w:pPr>
      <w:r>
        <w:rPr>
          <w:rFonts w:hint="eastAsia" w:ascii="宋体" w:hAnsi="宋体" w:cs="宋体"/>
          <w:color w:val="auto"/>
          <w:sz w:val="24"/>
          <w:highlight w:val="none"/>
        </w:rPr>
        <w:t>时间：/至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5</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14</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00分</w:t>
      </w:r>
      <w:r>
        <w:rPr>
          <w:rFonts w:hint="eastAsia" w:ascii="宋体" w:hAnsi="宋体" w:cs="宋体"/>
          <w:color w:val="auto"/>
          <w:sz w:val="24"/>
          <w:highlight w:val="none"/>
        </w:rPr>
        <w:t>，每天上午00：00至12:00，下午12:00至23:59（北京时间，线上获取法定节假日均可，线下获取文件法定节假日除外）</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地点（网址）：浙江政府采购网（http://zfcg.czt.zj.gov.cn/）； 东阳市公共资源交易网</w:t>
      </w:r>
      <w:r>
        <w:rPr>
          <w:rFonts w:hint="eastAsia" w:ascii="宋体" w:hAnsi="宋体" w:cs="Arial"/>
          <w:color w:val="auto"/>
          <w:sz w:val="24"/>
          <w:highlight w:val="none"/>
        </w:rPr>
        <w:t>(</w:t>
      </w:r>
      <w:r>
        <w:rPr>
          <w:rFonts w:hint="eastAsia" w:ascii="宋体" w:hAnsi="宋体" w:cs="宋体"/>
          <w:color w:val="auto"/>
          <w:sz w:val="24"/>
          <w:highlight w:val="none"/>
          <w:u w:val="single"/>
        </w:rPr>
        <w:t>http://www.dongyang.gov.cn/ggzyjy/index.html</w:t>
      </w:r>
      <w:r>
        <w:rPr>
          <w:rFonts w:hint="eastAsia" w:ascii="宋体" w:hAnsi="宋体" w:cs="Arial"/>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方式：1、由投标人通过登录浙江省政府采购网(http://zfcg.czt.zj.gov.cn/)上的政采云系统进行获取（首次参加投标的单位应先登录浙江省政府采购网(http://zfcg.czt.zj.gov.cn/)进行账户注册，注册完毕待审核成功后方可登录政采云系统获取；注册流程见网址</w:t>
      </w:r>
    </w:p>
    <w:p>
      <w:pPr>
        <w:snapToGrid w:val="0"/>
        <w:spacing w:line="440" w:lineRule="exact"/>
        <w:rPr>
          <w:rFonts w:hint="eastAsia" w:ascii="宋体" w:hAnsi="宋体" w:cs="宋体"/>
          <w:color w:val="auto"/>
          <w:sz w:val="24"/>
          <w:highlight w:val="none"/>
        </w:rPr>
      </w:pPr>
      <w:r>
        <w:rPr>
          <w:rFonts w:hint="eastAsia" w:ascii="宋体" w:hAnsi="宋体" w:cs="宋体"/>
          <w:color w:val="auto"/>
          <w:sz w:val="24"/>
          <w:highlight w:val="none"/>
        </w:rPr>
        <w:t>http://zfcg.czt.zj.gov.cn/register/2017-07-24/6728.html?_=2017-11-13%2011:10:28）；</w:t>
      </w:r>
    </w:p>
    <w:p>
      <w:pPr>
        <w:snapToGrid w:val="0"/>
        <w:spacing w:line="440" w:lineRule="exact"/>
        <w:ind w:firstLine="480" w:firstLineChars="200"/>
        <w:rPr>
          <w:rFonts w:hint="eastAsia" w:ascii="宋体" w:hAnsi="宋体" w:cs="宋体"/>
          <w:color w:val="auto"/>
          <w:highlight w:val="none"/>
        </w:rPr>
      </w:pPr>
      <w:r>
        <w:rPr>
          <w:rFonts w:hint="eastAsia" w:ascii="宋体" w:hAnsi="宋体" w:cs="宋体"/>
          <w:color w:val="auto"/>
          <w:sz w:val="24"/>
          <w:highlight w:val="none"/>
        </w:rPr>
        <w:t>2、招标文件获取流程：浙江政府采购网-政采云用户登录-用户中心-项目采购-获取采购文件管理。</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3、浙江政府采购网上以“游客”身份获取的采购文件仅供阅览；潜在供应商应按上述方式获取采购文件；未按上述方式获取采购文件的，不得对采购文件提起质疑投诉。</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 售价（元）：0</w:t>
      </w:r>
    </w:p>
    <w:p>
      <w:pPr>
        <w:snapToGrid w:val="0"/>
        <w:spacing w:line="440" w:lineRule="exact"/>
        <w:rPr>
          <w:rFonts w:hint="eastAsia" w:ascii="宋体" w:hAnsi="宋体" w:cs="宋体"/>
          <w:b/>
          <w:bCs/>
          <w:color w:val="auto"/>
          <w:sz w:val="24"/>
          <w:highlight w:val="none"/>
        </w:rPr>
      </w:pPr>
      <w:r>
        <w:rPr>
          <w:rFonts w:hint="eastAsia" w:ascii="宋体" w:hAnsi="宋体" w:cs="宋体"/>
          <w:b/>
          <w:bCs/>
          <w:color w:val="auto"/>
          <w:sz w:val="24"/>
          <w:highlight w:val="none"/>
        </w:rPr>
        <w:t>四、提交投标文件截止时间、开标时间和地点</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提交投标文件截止时间：</w:t>
      </w:r>
      <w:r>
        <w:rPr>
          <w:rFonts w:hint="eastAsia" w:ascii="宋体" w:hAnsi="宋体" w:cs="宋体"/>
          <w:color w:val="auto"/>
          <w:sz w:val="24"/>
          <w:highlight w:val="none"/>
          <w:u w:val="single"/>
          <w:lang w:eastAsia="zh-CN"/>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lang w:eastAsia="zh-CN"/>
        </w:rPr>
        <w:t>年</w:t>
      </w:r>
      <w:r>
        <w:rPr>
          <w:rFonts w:hint="eastAsia" w:ascii="宋体" w:hAnsi="宋体" w:cs="宋体"/>
          <w:bCs/>
          <w:color w:val="auto"/>
          <w:sz w:val="24"/>
          <w:highlight w:val="none"/>
          <w:u w:val="single"/>
          <w:lang w:val="en-US" w:eastAsia="zh-CN"/>
        </w:rPr>
        <w:t>5</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 xml:space="preserve"> 14</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00分</w:t>
      </w:r>
      <w:r>
        <w:rPr>
          <w:rFonts w:hint="eastAsia" w:ascii="宋体" w:hAnsi="宋体" w:cs="宋体"/>
          <w:color w:val="auto"/>
          <w:sz w:val="24"/>
          <w:highlight w:val="none"/>
        </w:rPr>
        <w:t>（北京时间）</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投标地点（网址）：政采云平台</w:t>
      </w:r>
    </w:p>
    <w:p>
      <w:pPr>
        <w:snapToGri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开标时间：</w:t>
      </w:r>
      <w:r>
        <w:rPr>
          <w:rFonts w:hint="eastAsia" w:ascii="宋体" w:hAnsi="宋体" w:cs="宋体"/>
          <w:color w:val="auto"/>
          <w:sz w:val="24"/>
          <w:highlight w:val="none"/>
          <w:u w:val="single"/>
          <w:lang w:eastAsia="zh-CN"/>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lang w:eastAsia="zh-CN"/>
        </w:rPr>
        <w:t>年</w:t>
      </w:r>
      <w:r>
        <w:rPr>
          <w:rFonts w:hint="eastAsia" w:ascii="宋体" w:hAnsi="宋体" w:cs="宋体"/>
          <w:bCs/>
          <w:color w:val="auto"/>
          <w:sz w:val="24"/>
          <w:highlight w:val="none"/>
          <w:u w:val="single"/>
          <w:lang w:val="en-US" w:eastAsia="zh-CN"/>
        </w:rPr>
        <w:t xml:space="preserve"> 5</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 xml:space="preserve"> 14</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00分</w:t>
      </w:r>
    </w:p>
    <w:p>
      <w:pPr>
        <w:snapToGrid w:val="0"/>
        <w:spacing w:line="440" w:lineRule="exact"/>
        <w:ind w:firstLine="481"/>
        <w:rPr>
          <w:rFonts w:hint="eastAsia" w:ascii="宋体" w:hAnsi="宋体" w:cs="宋体"/>
          <w:color w:val="auto"/>
          <w:sz w:val="24"/>
          <w:highlight w:val="none"/>
        </w:rPr>
      </w:pPr>
      <w:r>
        <w:rPr>
          <w:rFonts w:hint="eastAsia" w:ascii="宋体" w:hAnsi="宋体" w:cs="宋体"/>
          <w:color w:val="auto"/>
          <w:sz w:val="24"/>
          <w:highlight w:val="none"/>
        </w:rPr>
        <w:t>开标地点（网址）：政采云平台</w:t>
      </w:r>
    </w:p>
    <w:p>
      <w:pPr>
        <w:numPr>
          <w:ilvl w:val="0"/>
          <w:numId w:val="0"/>
        </w:numPr>
        <w:snapToGrid w:val="0"/>
        <w:spacing w:line="440" w:lineRule="exact"/>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五、</w:t>
      </w:r>
      <w:r>
        <w:rPr>
          <w:rFonts w:hint="eastAsia" w:ascii="宋体" w:hAnsi="宋体" w:eastAsia="宋体" w:cs="宋体"/>
          <w:b/>
          <w:bCs/>
          <w:color w:val="auto"/>
          <w:sz w:val="24"/>
          <w:highlight w:val="none"/>
          <w:lang w:val="en-US" w:eastAsia="zh-CN"/>
        </w:rPr>
        <w:t>采购意向公开链接</w:t>
      </w:r>
    </w:p>
    <w:p>
      <w:pPr>
        <w:adjustRightInd w:val="0"/>
        <w:snapToGrid w:val="0"/>
        <w:spacing w:line="440" w:lineRule="exact"/>
        <w:ind w:firstLine="480" w:firstLineChars="200"/>
        <w:rPr>
          <w:rFonts w:hint="default" w:ascii="微软雅黑" w:hAnsi="微软雅黑" w:eastAsia="微软雅黑" w:cs="微软雅黑"/>
          <w:i w:val="0"/>
          <w:caps w:val="0"/>
          <w:color w:val="666666"/>
          <w:spacing w:val="0"/>
          <w:sz w:val="21"/>
          <w:szCs w:val="21"/>
          <w:lang w:val="en-US" w:eastAsia="zh-CN"/>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"https://zfcg.czt.zj.gov.cn/site/detail?parentId=600007&amp;articleId=3p7owprOpVD55cVup64%2BOg%3D%3D&amp;utm=site.site-PC-37000.979-pc-websitegroup-zhejiang-secondPage-front.63.f275bb40fd3511ee9efa3ff4a4619d06"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https://zfcg.czt.zj.gov.cn/site/detail?parentId=600007&amp;articleId=3p7owprOpVD55cVup64%2BOg%3D%3D&amp;utm=site.site-PC-37000.979-pc-websitegroup-zhejiang-secondPage-front.63.f275bb40fd3511ee9efa3ff4a4619d06</w:t>
      </w:r>
      <w:r>
        <w:rPr>
          <w:rFonts w:hint="eastAsia" w:ascii="宋体" w:hAnsi="宋体" w:cs="宋体"/>
          <w:color w:val="auto"/>
          <w:sz w:val="24"/>
          <w:highlight w:val="none"/>
        </w:rPr>
        <w:fldChar w:fldCharType="end"/>
      </w:r>
    </w:p>
    <w:p>
      <w:pPr>
        <w:snapToGrid w:val="0"/>
        <w:spacing w:line="440" w:lineRule="exact"/>
        <w:rPr>
          <w:rFonts w:ascii="宋体" w:hAnsi="宋体" w:cs="宋体"/>
          <w:b/>
          <w:bCs/>
          <w:color w:val="auto"/>
          <w:sz w:val="24"/>
          <w:highlight w:val="none"/>
        </w:rPr>
      </w:pPr>
      <w:r>
        <w:rPr>
          <w:rFonts w:hint="eastAsia" w:ascii="宋体" w:hAnsi="宋体" w:cs="宋体"/>
          <w:b/>
          <w:bCs/>
          <w:color w:val="auto"/>
          <w:sz w:val="24"/>
          <w:highlight w:val="none"/>
          <w:lang w:eastAsia="zh-CN"/>
        </w:rPr>
        <w:t>六</w:t>
      </w:r>
      <w:r>
        <w:rPr>
          <w:rFonts w:hint="eastAsia" w:ascii="宋体" w:hAnsi="宋体" w:cs="宋体"/>
          <w:b/>
          <w:bCs/>
          <w:color w:val="auto"/>
          <w:sz w:val="24"/>
          <w:highlight w:val="none"/>
        </w:rPr>
        <w:t>、公告期限</w:t>
      </w:r>
    </w:p>
    <w:p>
      <w:pPr>
        <w:numPr>
          <w:ilvl w:val="0"/>
          <w:numId w:val="0"/>
        </w:numPr>
        <w:snapToGrid w:val="0"/>
        <w:spacing w:line="440" w:lineRule="exact"/>
        <w:ind w:firstLine="480" w:firstLineChars="200"/>
        <w:rPr>
          <w:rFonts w:hint="eastAsia" w:ascii="宋体" w:hAnsi="宋体" w:cs="宋体"/>
          <w:sz w:val="24"/>
        </w:rPr>
      </w:pPr>
      <w:r>
        <w:rPr>
          <w:rFonts w:hint="eastAsia" w:ascii="宋体" w:hAnsi="宋体" w:cs="宋体"/>
          <w:sz w:val="24"/>
        </w:rPr>
        <w:t>自本公告发布之日起5个工作日</w:t>
      </w:r>
    </w:p>
    <w:p>
      <w:pPr>
        <w:numPr>
          <w:ilvl w:val="0"/>
          <w:numId w:val="0"/>
        </w:numPr>
        <w:snapToGrid w:val="0"/>
        <w:spacing w:line="440" w:lineRule="exact"/>
        <w:rPr>
          <w:rFonts w:ascii="宋体" w:hAnsi="宋体" w:cs="宋体"/>
          <w:b/>
          <w:bCs/>
          <w:color w:val="auto"/>
          <w:sz w:val="24"/>
          <w:highlight w:val="none"/>
        </w:rPr>
      </w:pPr>
      <w:r>
        <w:rPr>
          <w:rFonts w:hint="eastAsia" w:ascii="宋体" w:hAnsi="宋体" w:cs="宋体"/>
          <w:b/>
          <w:bCs/>
          <w:color w:val="auto"/>
          <w:sz w:val="24"/>
          <w:highlight w:val="none"/>
          <w:lang w:eastAsia="zh-CN"/>
        </w:rPr>
        <w:t>七、</w:t>
      </w:r>
      <w:r>
        <w:rPr>
          <w:rFonts w:hint="eastAsia" w:ascii="宋体" w:hAnsi="宋体" w:cs="宋体"/>
          <w:b/>
          <w:bCs/>
          <w:color w:val="auto"/>
          <w:sz w:val="24"/>
          <w:highlight w:val="none"/>
        </w:rPr>
        <w:t>其他补充事宜</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eastAsia="zh-CN"/>
        </w:rPr>
        <w:t>供</w:t>
      </w:r>
      <w:r>
        <w:rPr>
          <w:rFonts w:hint="eastAsia" w:ascii="宋体" w:hAnsi="宋体" w:cs="宋体"/>
          <w:sz w:val="24"/>
        </w:rPr>
        <w:t>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440" w:lineRule="exact"/>
        <w:ind w:firstLine="480" w:firstLineChars="200"/>
        <w:jc w:val="left"/>
      </w:pPr>
      <w:r>
        <w:rPr>
          <w:rFonts w:hint="eastAsia" w:ascii="宋体" w:hAnsi="宋体" w:cs="宋体"/>
          <w:sz w:val="24"/>
          <w:szCs w:val="22"/>
        </w:rPr>
        <w:t>4、需要落实的政府采购政策：包括节约资源、保护环境、支持创新、促进中小企业发展等。</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5、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6、投 标 人 应 在 开 标 前 完 成 CA 数 字 证 书 办 理 。 （ 办 理 流 程 详 见http://zfcg.czt.zj.gov.cn/bidClientTemplate/2019-05-27/12945.html）。完成 CA 数字证书办理预计一周左右，建议各投标人抓紧时间办理。</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7、投标人通过政采云平台电子投标工具制作投标文件，电子投标工具请供应商自行前往浙江省政府采购网下载并安装，（下载网址：http://zfcg.czt.zj.gov.cn/bidClientTemplate/2019-08-30/12975.html），</w:t>
      </w:r>
    </w:p>
    <w:p>
      <w:pPr>
        <w:adjustRightInd w:val="0"/>
        <w:snapToGrid w:val="0"/>
        <w:spacing w:line="440" w:lineRule="exact"/>
        <w:jc w:val="left"/>
        <w:rPr>
          <w:rFonts w:ascii="宋体" w:hAnsi="宋体" w:cs="宋体"/>
          <w:sz w:val="24"/>
        </w:rPr>
      </w:pPr>
      <w:r>
        <w:rPr>
          <w:rFonts w:hint="eastAsia" w:ascii="宋体" w:hAnsi="宋体" w:cs="宋体"/>
          <w:sz w:val="24"/>
        </w:rPr>
        <w:t xml:space="preserve">（电 子 投 标 相 关 学 习 网 址 ： </w:t>
      </w:r>
      <w:r>
        <w:fldChar w:fldCharType="begin"/>
      </w:r>
      <w:r>
        <w:instrText xml:space="preserve"> HYPERLINK "https://edu.zcygov.cn/luban/e-biding?utm=a0004.2ef5001f.0001.0109.2d44db10df9111e9b92b0f36d4889416。）" </w:instrText>
      </w:r>
      <w:r>
        <w:fldChar w:fldCharType="separate"/>
      </w:r>
      <w:r>
        <w:rPr>
          <w:rStyle w:val="26"/>
          <w:rFonts w:hint="eastAsia" w:ascii="宋体" w:hAnsi="宋体" w:cs="宋体"/>
          <w:color w:val="auto"/>
          <w:sz w:val="24"/>
        </w:rPr>
        <w:t>https://edu.zcygov.cn/luban/e-biding?utm=a0004.2ef5001f.0001.0109.2d44db10df9111e9b92b0f36d4889416。）</w:t>
      </w:r>
      <w:r>
        <w:rPr>
          <w:rStyle w:val="26"/>
          <w:rFonts w:hint="eastAsia" w:ascii="宋体" w:hAnsi="宋体" w:cs="宋体"/>
          <w:color w:val="auto"/>
          <w:sz w:val="24"/>
        </w:rPr>
        <w:fldChar w:fldCharType="end"/>
      </w:r>
    </w:p>
    <w:p>
      <w:pPr>
        <w:adjustRightInd w:val="0"/>
        <w:snapToGrid w:val="0"/>
        <w:spacing w:line="440" w:lineRule="exact"/>
        <w:ind w:left="210" w:leftChars="100" w:firstLine="240" w:firstLineChars="100"/>
        <w:rPr>
          <w:rFonts w:ascii="宋体" w:hAnsi="宋体" w:cs="宋体"/>
          <w:sz w:val="24"/>
        </w:rPr>
      </w:pPr>
      <w:r>
        <w:rPr>
          <w:rFonts w:hint="eastAsia" w:ascii="宋体" w:hAnsi="宋体" w:cs="宋体"/>
          <w:sz w:val="24"/>
        </w:rPr>
        <w:t>8、企业信用融资：省财政厅、浙江银监局、省金融办制定了《浙江省政府采购支</w:t>
      </w:r>
    </w:p>
    <w:p>
      <w:pPr>
        <w:adjustRightInd w:val="0"/>
        <w:snapToGrid w:val="0"/>
        <w:spacing w:line="440" w:lineRule="exact"/>
        <w:rPr>
          <w:rFonts w:ascii="宋体" w:hAnsi="宋体" w:cs="宋体"/>
          <w:sz w:val="24"/>
        </w:rPr>
      </w:pPr>
      <w:r>
        <w:rPr>
          <w:rFonts w:hint="eastAsia" w:ascii="宋体" w:hAnsi="宋体" w:cs="宋体"/>
          <w:sz w:val="24"/>
        </w:rPr>
        <w:t>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adjustRightInd w:val="0"/>
        <w:snapToGrid w:val="0"/>
        <w:spacing w:line="440" w:lineRule="exact"/>
        <w:ind w:firstLine="482" w:firstLineChars="200"/>
        <w:rPr>
          <w:rFonts w:ascii="宋体" w:hAnsi="宋体" w:cs="宋体"/>
          <w:b/>
          <w:bCs/>
          <w:sz w:val="24"/>
        </w:rPr>
      </w:pPr>
      <w:r>
        <w:rPr>
          <w:rFonts w:hint="eastAsia" w:ascii="宋体" w:hAnsi="宋体" w:cs="宋体"/>
          <w:b/>
          <w:bCs/>
          <w:sz w:val="24"/>
        </w:rPr>
        <w:t>9、本采购项目，中标单位与采购单位签订的政府采购合同适用于政府采购贷款政策，简称“政采贷”，具体内容详见附件《政府采购支持中小企业信用融资相关事项通知》。本项目中的预付款保函也可通过政采云系统办理。</w:t>
      </w:r>
    </w:p>
    <w:p>
      <w:pPr>
        <w:adjustRightInd w:val="0"/>
        <w:snapToGrid w:val="0"/>
        <w:spacing w:line="440" w:lineRule="exact"/>
        <w:ind w:firstLine="482" w:firstLineChars="200"/>
        <w:rPr>
          <w:rFonts w:ascii="宋体" w:hAnsi="宋体" w:cs="宋体"/>
          <w:b/>
          <w:bCs/>
          <w:sz w:val="24"/>
        </w:rPr>
      </w:pPr>
      <w:r>
        <w:rPr>
          <w:rFonts w:hint="eastAsia" w:ascii="宋体" w:hAnsi="宋体" w:cs="宋体"/>
          <w:b/>
          <w:bCs/>
          <w:sz w:val="24"/>
        </w:rPr>
        <w:t xml:space="preserve">为扩大政府采购金融服务面，除政采云网上金融服务合作银行外，东阳市范围内增加线下合作银行，具体信息如下：   </w:t>
      </w:r>
    </w:p>
    <w:p>
      <w:pPr>
        <w:adjustRightInd w:val="0"/>
        <w:snapToGrid w:val="0"/>
        <w:spacing w:line="440" w:lineRule="exact"/>
        <w:ind w:firstLine="482" w:firstLineChars="200"/>
        <w:rPr>
          <w:rFonts w:ascii="宋体" w:hAnsi="宋体" w:cs="宋体"/>
          <w:b/>
          <w:bCs/>
          <w:sz w:val="24"/>
        </w:rPr>
      </w:pPr>
      <w:r>
        <w:rPr>
          <w:rFonts w:hint="eastAsia" w:ascii="宋体" w:hAnsi="宋体" w:cs="宋体"/>
          <w:b/>
          <w:bCs/>
          <w:sz w:val="24"/>
        </w:rPr>
        <w:t>浙商银行金华东阳支行联系人：许燕  联系电话：13967983441  0579-86222992</w:t>
      </w:r>
    </w:p>
    <w:p>
      <w:pPr>
        <w:pStyle w:val="10"/>
        <w:numPr>
          <w:ilvl w:val="0"/>
          <w:numId w:val="1"/>
        </w:numPr>
        <w:adjustRightInd w:val="0"/>
        <w:snapToGrid w:val="0"/>
        <w:spacing w:after="0" w:line="440" w:lineRule="exact"/>
        <w:ind w:firstLine="480" w:firstLineChars="200"/>
        <w:jc w:val="left"/>
        <w:rPr>
          <w:rFonts w:ascii="宋体" w:hAnsi="宋体" w:cs="宋体"/>
          <w:sz w:val="24"/>
        </w:rPr>
      </w:pPr>
      <w:r>
        <w:rPr>
          <w:rFonts w:hint="eastAsia" w:ascii="宋体" w:hAnsi="宋体" w:cs="宋体"/>
          <w:sz w:val="24"/>
        </w:rPr>
        <w:t>供应商在线投诉渠道（</w:t>
      </w:r>
      <w:r>
        <w:fldChar w:fldCharType="begin"/>
      </w:r>
      <w:r>
        <w:instrText xml:space="preserve"> HYPERLINK "http://www.zjzwfw.gov.cn/zjservice/item/detail/index.do?localInnerCode=2ca19a7a-aa2d-4cca-a191-a5edf3bf69f8" </w:instrText>
      </w:r>
      <w:r>
        <w:fldChar w:fldCharType="separate"/>
      </w:r>
      <w:r>
        <w:rPr>
          <w:rStyle w:val="26"/>
          <w:rFonts w:hint="eastAsia" w:ascii="宋体" w:hAnsi="宋体" w:cs="宋体"/>
          <w:color w:val="auto"/>
          <w:sz w:val="24"/>
        </w:rPr>
        <w:t>http://www.zjzwfw.gov.cn/zjservice/item/detail/index.do?localInnerCode=2ca19a7a-aa2d-4cca-a191-a5edf3bf69f8</w:t>
      </w:r>
      <w:r>
        <w:rPr>
          <w:rStyle w:val="26"/>
          <w:rFonts w:hint="eastAsia" w:ascii="宋体" w:hAnsi="宋体" w:cs="宋体"/>
          <w:color w:val="auto"/>
          <w:sz w:val="24"/>
        </w:rPr>
        <w:fldChar w:fldCharType="end"/>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11、根据《浙江省财政厅关于进一步加大政府采购支持中小企业力度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pacing w:line="440" w:lineRule="exact"/>
        <w:rPr>
          <w:rFonts w:hint="eastAsia" w:ascii="宋体" w:hAnsi="宋体" w:cs="宋体"/>
          <w:b/>
          <w:color w:val="auto"/>
          <w:sz w:val="28"/>
          <w:szCs w:val="28"/>
          <w:highlight w:val="none"/>
        </w:rPr>
      </w:pPr>
      <w:r>
        <w:rPr>
          <w:rFonts w:hint="eastAsia" w:ascii="宋体" w:hAnsi="宋体" w:cs="宋体"/>
          <w:b/>
          <w:color w:val="auto"/>
          <w:sz w:val="24"/>
          <w:highlight w:val="none"/>
          <w:lang w:eastAsia="zh-CN"/>
        </w:rPr>
        <w:t>八</w:t>
      </w:r>
      <w:r>
        <w:rPr>
          <w:rFonts w:hint="eastAsia" w:ascii="宋体" w:hAnsi="宋体" w:cs="宋体"/>
          <w:b/>
          <w:color w:val="auto"/>
          <w:sz w:val="24"/>
          <w:highlight w:val="none"/>
        </w:rPr>
        <w:t>、对本次采购提出询问、质疑、投诉，请按以下方式联系。</w:t>
      </w:r>
    </w:p>
    <w:p>
      <w:pPr>
        <w:tabs>
          <w:tab w:val="left" w:pos="345"/>
        </w:tabs>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代理机构：东阳耀辉工程咨询有限公司 </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eastAsia="zh-CN"/>
        </w:rPr>
        <w:t>许文辉</w:t>
      </w:r>
      <w:r>
        <w:rPr>
          <w:rFonts w:hint="eastAsia" w:ascii="宋体" w:hAnsi="宋体" w:cs="宋体"/>
          <w:color w:val="auto"/>
          <w:sz w:val="24"/>
          <w:highlight w:val="none"/>
        </w:rPr>
        <w:t xml:space="preserve">  朱良红  </w:t>
      </w:r>
      <w:r>
        <w:rPr>
          <w:rFonts w:hint="eastAsia" w:ascii="宋体" w:hAnsi="宋体" w:cs="宋体"/>
          <w:color w:val="auto"/>
          <w:sz w:val="24"/>
          <w:highlight w:val="none"/>
          <w:lang w:eastAsia="zh-CN"/>
        </w:rPr>
        <w:t>王骏娅</w:t>
      </w:r>
    </w:p>
    <w:p>
      <w:pPr>
        <w:tabs>
          <w:tab w:val="left" w:pos="345"/>
        </w:tabs>
        <w:snapToGrid w:val="0"/>
        <w:spacing w:line="440" w:lineRule="exact"/>
        <w:ind w:firstLine="480" w:firstLineChars="200"/>
        <w:rPr>
          <w:rFonts w:hint="default" w:ascii="宋体" w:hAnsi="宋体" w:cs="宋体"/>
          <w:color w:val="auto"/>
          <w:sz w:val="24"/>
          <w:highlight w:val="none"/>
          <w:lang w:val="en-US"/>
        </w:rPr>
      </w:pPr>
      <w:r>
        <w:rPr>
          <w:rFonts w:hint="eastAsia" w:ascii="宋体" w:hAnsi="宋体" w:cs="宋体"/>
          <w:color w:val="auto"/>
          <w:sz w:val="24"/>
          <w:highlight w:val="none"/>
        </w:rPr>
        <w:t>电话：</w:t>
      </w:r>
      <w:r>
        <w:rPr>
          <w:rFonts w:hint="eastAsia" w:ascii="宋体" w:hAnsi="宋体" w:cs="宋体"/>
          <w:color w:val="auto"/>
          <w:sz w:val="24"/>
          <w:highlight w:val="none"/>
          <w:lang w:val="en-US" w:eastAsia="zh-CN"/>
        </w:rPr>
        <w:t>13906793055</w:t>
      </w:r>
    </w:p>
    <w:p>
      <w:pPr>
        <w:tabs>
          <w:tab w:val="left" w:pos="345"/>
        </w:tabs>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电子邮箱：</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"mailto:1722002832@qq.com"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1722002832@qq.com</w:t>
      </w:r>
      <w:r>
        <w:rPr>
          <w:rFonts w:hint="eastAsia" w:ascii="宋体" w:hAnsi="宋体" w:cs="宋体"/>
          <w:color w:val="auto"/>
          <w:sz w:val="24"/>
          <w:highlight w:val="none"/>
        </w:rPr>
        <w:fldChar w:fldCharType="end"/>
      </w:r>
    </w:p>
    <w:p>
      <w:pPr>
        <w:tabs>
          <w:tab w:val="left" w:pos="345"/>
        </w:tabs>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质疑联系人：许文</w:t>
      </w:r>
      <w:r>
        <w:rPr>
          <w:rFonts w:hint="eastAsia" w:ascii="宋体" w:hAnsi="宋体" w:cs="宋体"/>
          <w:color w:val="auto"/>
          <w:sz w:val="24"/>
          <w:highlight w:val="none"/>
          <w:lang w:eastAsia="zh-CN"/>
        </w:rPr>
        <w:t>瑛</w:t>
      </w:r>
      <w:r>
        <w:rPr>
          <w:rFonts w:hint="eastAsia" w:ascii="宋体" w:hAnsi="宋体" w:cs="宋体"/>
          <w:color w:val="auto"/>
          <w:sz w:val="24"/>
          <w:highlight w:val="none"/>
        </w:rPr>
        <w:t xml:space="preserve">                </w:t>
      </w:r>
    </w:p>
    <w:p>
      <w:pPr>
        <w:tabs>
          <w:tab w:val="left" w:pos="345"/>
        </w:tabs>
        <w:snapToGrid w:val="0"/>
        <w:spacing w:line="440" w:lineRule="exac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0579-86633677</w:t>
      </w:r>
    </w:p>
    <w:p>
      <w:pPr>
        <w:tabs>
          <w:tab w:val="left" w:pos="345"/>
        </w:tabs>
        <w:snapToGrid w:val="0"/>
        <w:spacing w:line="440" w:lineRule="exact"/>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采购单位：东阳市住房和城乡建设局</w:t>
      </w:r>
    </w:p>
    <w:p>
      <w:pPr>
        <w:tabs>
          <w:tab w:val="left" w:pos="345"/>
        </w:tabs>
        <w:snapToGri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联系人</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eastAsia="zh-CN"/>
        </w:rPr>
        <w:t>李旭峰</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 xml:space="preserve">           </w:t>
      </w:r>
    </w:p>
    <w:p>
      <w:pPr>
        <w:tabs>
          <w:tab w:val="left" w:pos="345"/>
        </w:tabs>
        <w:snapToGri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联系电话：</w:t>
      </w:r>
      <w:r>
        <w:rPr>
          <w:rFonts w:hint="eastAsia" w:ascii="宋体" w:hAnsi="宋体" w:cs="宋体"/>
          <w:color w:val="auto"/>
          <w:sz w:val="24"/>
          <w:highlight w:val="none"/>
          <w:lang w:val="en-US" w:eastAsia="zh-CN"/>
        </w:rPr>
        <w:t xml:space="preserve">0579-86655685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 xml:space="preserve">  </w:t>
      </w:r>
    </w:p>
    <w:p>
      <w:pPr>
        <w:tabs>
          <w:tab w:val="left" w:pos="345"/>
        </w:tabs>
        <w:snapToGri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质疑联系人：</w:t>
      </w:r>
      <w:r>
        <w:rPr>
          <w:rFonts w:hint="eastAsia" w:ascii="宋体" w:hAnsi="宋体" w:cs="宋体"/>
          <w:color w:val="auto"/>
          <w:sz w:val="24"/>
          <w:highlight w:val="none"/>
          <w:lang w:eastAsia="zh-CN"/>
        </w:rPr>
        <w:t>许正明</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 xml:space="preserve">       </w:t>
      </w:r>
    </w:p>
    <w:p>
      <w:pPr>
        <w:tabs>
          <w:tab w:val="left" w:pos="345"/>
        </w:tabs>
        <w:snapToGri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质疑联系方式：</w:t>
      </w:r>
      <w:r>
        <w:rPr>
          <w:rFonts w:hint="eastAsia" w:ascii="宋体" w:hAnsi="宋体" w:cs="宋体"/>
          <w:color w:val="auto"/>
          <w:sz w:val="24"/>
          <w:highlight w:val="none"/>
          <w:lang w:val="en-US" w:eastAsia="zh-CN"/>
        </w:rPr>
        <w:t xml:space="preserve">0579-86655685 </w:t>
      </w:r>
      <w:r>
        <w:rPr>
          <w:rFonts w:hint="eastAsia" w:ascii="宋体" w:hAnsi="宋体" w:eastAsia="宋体" w:cs="宋体"/>
          <w:color w:val="FF0000"/>
          <w:sz w:val="24"/>
          <w:highlight w:val="none"/>
          <w:lang w:val="en-US" w:eastAsia="zh-CN"/>
        </w:rPr>
        <w:t xml:space="preserve">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政府采购行政监管及投诉受理部门：</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东阳市财政局采购办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联系电话：0579-86662677</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东阳市公共资源交易管理委员会办公室</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联系地址： 东阳市行政服务中心（艺海北路388号）C幢10楼督查科</w:t>
      </w:r>
    </w:p>
    <w:p>
      <w:pPr>
        <w:spacing w:line="440" w:lineRule="exact"/>
        <w:ind w:firstLine="480" w:firstLineChars="200"/>
        <w:rPr>
          <w:rFonts w:hint="eastAsia" w:ascii="宋体" w:hAnsi="宋体" w:cs="宋体"/>
          <w:color w:val="auto"/>
          <w:sz w:val="24"/>
          <w:highlight w:val="none"/>
        </w:rPr>
      </w:pPr>
      <w:r>
        <w:rPr>
          <w:rFonts w:hint="eastAsia" w:ascii="宋体" w:hAnsi="宋体" w:eastAsia="宋体" w:cs="宋体"/>
          <w:color w:val="auto"/>
          <w:sz w:val="24"/>
          <w:highlight w:val="none"/>
        </w:rPr>
        <w:t>联系电话：0579-86691835</w:t>
      </w:r>
      <w:r>
        <w:rPr>
          <w:rFonts w:hint="eastAsia" w:ascii="宋体" w:hAnsi="宋体" w:cs="宋体"/>
          <w:color w:val="auto"/>
          <w:sz w:val="24"/>
          <w:highlight w:val="none"/>
        </w:rPr>
        <w:t xml:space="preserve">      </w:t>
      </w:r>
    </w:p>
    <w:p>
      <w:pPr>
        <w:tabs>
          <w:tab w:val="left" w:pos="345"/>
        </w:tabs>
        <w:snapToGrid w:val="0"/>
        <w:spacing w:line="440" w:lineRule="exact"/>
        <w:ind w:firstLine="5520" w:firstLineChars="2300"/>
        <w:rPr>
          <w:rFonts w:hint="eastAsia"/>
          <w:color w:val="auto"/>
          <w:highlight w:val="none"/>
          <w:lang w:eastAsia="zh-CN"/>
        </w:rPr>
      </w:pPr>
      <w:r>
        <w:rPr>
          <w:rFonts w:hint="eastAsia" w:ascii="宋体" w:hAnsi="宋体" w:cs="宋体"/>
          <w:color w:val="auto"/>
          <w:sz w:val="24"/>
          <w:highlight w:val="none"/>
          <w:lang w:eastAsia="zh-CN"/>
        </w:rPr>
        <w:t>东阳市住房和城乡建设局</w:t>
      </w:r>
    </w:p>
    <w:p>
      <w:pPr>
        <w:spacing w:line="440" w:lineRule="exact"/>
        <w:ind w:firstLine="360" w:firstLineChars="150"/>
        <w:contextualSpacing/>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东阳耀辉工程咨询有限公司</w:t>
      </w:r>
    </w:p>
    <w:p>
      <w:pPr>
        <w:spacing w:line="440" w:lineRule="exact"/>
        <w:ind w:firstLine="360" w:firstLineChars="150"/>
        <w:contextualSpacing/>
        <w:rPr>
          <w:rFonts w:hint="eastAsia" w:ascii="宋体" w:hAnsi="宋体" w:cs="宋体"/>
          <w:color w:val="auto"/>
          <w:sz w:val="30"/>
          <w:szCs w:val="30"/>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 xml:space="preserve">月                                           </w:t>
      </w:r>
    </w:p>
    <w:p>
      <w:pPr>
        <w:snapToGrid w:val="0"/>
        <w:spacing w:line="440" w:lineRule="exact"/>
        <w:rPr>
          <w:rFonts w:hint="eastAsia" w:ascii="宋体" w:hAnsi="宋体" w:cs="宋体"/>
          <w:color w:val="auto"/>
          <w:sz w:val="30"/>
          <w:szCs w:val="30"/>
          <w:highlight w:val="none"/>
        </w:rPr>
      </w:pPr>
    </w:p>
    <w:p>
      <w:pPr>
        <w:widowControl/>
        <w:spacing w:line="440" w:lineRule="exact"/>
        <w:jc w:val="left"/>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若对项目采购电子交易系统操作有疑问，可登录政采云（https://www.zcygov.cn/），点击右侧咨询小采，获取采小蜜智能服务管家帮助，或拨打政采云服务热线400-881-7190获取热线服务帮助。       </w:t>
      </w:r>
    </w:p>
    <w:p>
      <w:pPr>
        <w:widowControl/>
        <w:spacing w:line="440" w:lineRule="exact"/>
        <w:jc w:val="left"/>
        <w:rPr>
          <w:rFonts w:hint="eastAsia" w:ascii="宋体" w:hAnsi="宋体" w:cs="宋体"/>
          <w:color w:val="auto"/>
          <w:highlight w:val="none"/>
        </w:rPr>
      </w:pPr>
      <w:r>
        <w:rPr>
          <w:rFonts w:hint="eastAsia" w:ascii="宋体" w:hAnsi="宋体" w:cs="宋体"/>
          <w:color w:val="auto"/>
          <w:kern w:val="0"/>
          <w:sz w:val="24"/>
          <w:szCs w:val="24"/>
          <w:highlight w:val="none"/>
          <w:lang w:bidi="ar"/>
        </w:rPr>
        <w:t>CA问题联系电话（人工）：汇信CA 400-888-4636；天谷CA 400-087-8198。</w:t>
      </w:r>
      <w:r>
        <w:rPr>
          <w:rFonts w:hint="eastAsia" w:ascii="宋体" w:hAnsi="宋体" w:cs="宋体"/>
          <w:color w:val="auto"/>
          <w:sz w:val="24"/>
          <w:highlight w:val="none"/>
        </w:rPr>
        <w:t xml:space="preserve">                                           </w:t>
      </w:r>
    </w:p>
    <w:p>
      <w:pPr>
        <w:snapToGrid w:val="0"/>
        <w:spacing w:line="360" w:lineRule="auto"/>
        <w:rPr>
          <w:rFonts w:hint="eastAsia" w:ascii="宋体" w:hAnsi="宋体" w:cs="宋体"/>
          <w:color w:val="auto"/>
          <w:sz w:val="30"/>
          <w:szCs w:val="30"/>
          <w:highlight w:val="none"/>
        </w:rPr>
      </w:pPr>
    </w:p>
    <w:p>
      <w:pPr>
        <w:tabs>
          <w:tab w:val="left" w:pos="2920"/>
        </w:tabs>
        <w:snapToGrid w:val="0"/>
        <w:spacing w:line="480" w:lineRule="auto"/>
        <w:jc w:val="both"/>
        <w:rPr>
          <w:rFonts w:hint="eastAsia" w:ascii="宋体" w:hAnsi="宋体" w:cs="宋体"/>
          <w:b/>
          <w:bCs/>
          <w:color w:val="auto"/>
          <w:sz w:val="32"/>
          <w:szCs w:val="32"/>
          <w:highlight w:val="none"/>
        </w:rPr>
      </w:pPr>
    </w:p>
    <w:p>
      <w:pPr>
        <w:tabs>
          <w:tab w:val="left" w:pos="2920"/>
        </w:tabs>
        <w:snapToGrid w:val="0"/>
        <w:spacing w:line="48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第二章   招 标 需 求</w:t>
      </w:r>
    </w:p>
    <w:p>
      <w:pPr>
        <w:spacing w:line="380" w:lineRule="exact"/>
        <w:ind w:firstLine="420"/>
        <w:rPr>
          <w:rFonts w:hint="eastAsia" w:ascii="宋体" w:hAnsi="宋体" w:cs="宋体"/>
          <w:b/>
          <w:bCs/>
          <w:sz w:val="24"/>
        </w:rPr>
      </w:pPr>
      <w:r>
        <w:rPr>
          <w:rFonts w:hint="eastAsia" w:ascii="宋体" w:hAnsi="宋体" w:cs="宋体"/>
          <w:b/>
          <w:bCs/>
          <w:sz w:val="24"/>
        </w:rPr>
        <w:t>一</w:t>
      </w:r>
      <w:r>
        <w:rPr>
          <w:rFonts w:hint="eastAsia" w:ascii="宋体" w:hAnsi="宋体" w:cs="宋体"/>
          <w:b/>
          <w:bCs/>
          <w:sz w:val="24"/>
          <w:lang w:eastAsia="zh-CN"/>
        </w:rPr>
        <w:t>、</w:t>
      </w:r>
      <w:r>
        <w:rPr>
          <w:rFonts w:hint="eastAsia" w:ascii="宋体" w:hAnsi="宋体" w:cs="宋体"/>
          <w:b/>
          <w:bCs/>
          <w:sz w:val="24"/>
        </w:rPr>
        <w:t>编制背景</w:t>
      </w:r>
    </w:p>
    <w:p>
      <w:pPr>
        <w:spacing w:line="380" w:lineRule="exact"/>
        <w:ind w:firstLine="420"/>
        <w:rPr>
          <w:rFonts w:hint="eastAsia" w:ascii="宋体" w:hAnsi="宋体" w:cs="宋体"/>
          <w:sz w:val="24"/>
        </w:rPr>
      </w:pPr>
      <w:r>
        <w:rPr>
          <w:rFonts w:hint="eastAsia" w:ascii="宋体" w:hAnsi="宋体" w:cs="宋体"/>
          <w:sz w:val="24"/>
        </w:rPr>
        <w:t>为推进未来社区全域落地，加快打造共同富裕现代化基本单元，根据省委、省政府的部署要求，开展未来社区创建工作。</w:t>
      </w:r>
    </w:p>
    <w:p>
      <w:pPr>
        <w:spacing w:line="380" w:lineRule="exact"/>
        <w:ind w:firstLine="420"/>
        <w:rPr>
          <w:rFonts w:hint="eastAsia" w:ascii="宋体" w:hAnsi="宋体" w:cs="宋体"/>
          <w:b/>
          <w:bCs/>
          <w:sz w:val="24"/>
        </w:rPr>
      </w:pPr>
      <w:r>
        <w:rPr>
          <w:rFonts w:hint="eastAsia" w:ascii="宋体" w:hAnsi="宋体" w:cs="宋体"/>
          <w:b/>
          <w:bCs/>
          <w:sz w:val="24"/>
        </w:rPr>
        <w:t>二</w:t>
      </w:r>
      <w:r>
        <w:rPr>
          <w:rFonts w:hint="eastAsia" w:ascii="宋体" w:hAnsi="宋体" w:cs="宋体"/>
          <w:b/>
          <w:bCs/>
          <w:sz w:val="24"/>
          <w:lang w:eastAsia="zh-CN"/>
        </w:rPr>
        <w:t>、</w:t>
      </w:r>
      <w:r>
        <w:rPr>
          <w:rFonts w:hint="eastAsia" w:ascii="宋体" w:hAnsi="宋体" w:cs="宋体"/>
          <w:b/>
          <w:bCs/>
          <w:sz w:val="24"/>
        </w:rPr>
        <w:t>编制目的</w:t>
      </w:r>
    </w:p>
    <w:p>
      <w:pPr>
        <w:spacing w:line="380" w:lineRule="exact"/>
        <w:ind w:firstLine="420"/>
        <w:rPr>
          <w:rFonts w:hint="eastAsia" w:ascii="宋体" w:hAnsi="宋体" w:cs="宋体"/>
          <w:color w:val="auto"/>
          <w:sz w:val="24"/>
        </w:rPr>
      </w:pPr>
      <w:r>
        <w:rPr>
          <w:rFonts w:hint="eastAsia" w:ascii="宋体" w:hAnsi="宋体" w:cs="宋体"/>
          <w:sz w:val="24"/>
        </w:rPr>
        <w:t>针对金华市</w:t>
      </w:r>
      <w:r>
        <w:rPr>
          <w:rFonts w:hint="eastAsia" w:ascii="宋体" w:hAnsi="宋体" w:cs="宋体"/>
          <w:color w:val="auto"/>
          <w:sz w:val="24"/>
          <w:highlight w:val="none"/>
          <w:lang w:eastAsia="zh-CN"/>
        </w:rPr>
        <w:t>东阳市吴宁街道东岘、西街、雍和、朝阳、迎晖、卢宅、西园未来社区一体化方案编制及验收专项服务项目采购</w:t>
      </w:r>
      <w:r>
        <w:rPr>
          <w:rFonts w:hint="eastAsia" w:ascii="宋体" w:hAnsi="宋体" w:cs="宋体"/>
          <w:sz w:val="24"/>
        </w:rPr>
        <w:t>创建统筹谋划，开展</w:t>
      </w:r>
      <w:r>
        <w:rPr>
          <w:rFonts w:hint="eastAsia" w:ascii="宋体" w:hAnsi="宋体" w:cs="宋体"/>
          <w:sz w:val="24"/>
          <w:lang w:eastAsia="zh-CN"/>
        </w:rPr>
        <w:t>未来社区</w:t>
      </w:r>
      <w:r>
        <w:rPr>
          <w:rFonts w:hint="eastAsia" w:ascii="宋体" w:hAnsi="宋体" w:cs="宋体"/>
          <w:sz w:val="24"/>
        </w:rPr>
        <w:t>创建</w:t>
      </w:r>
      <w:r>
        <w:rPr>
          <w:rFonts w:hint="eastAsia" w:ascii="宋体" w:hAnsi="宋体" w:cs="宋体"/>
          <w:color w:val="auto"/>
          <w:sz w:val="24"/>
        </w:rPr>
        <w:t>项目申报</w:t>
      </w:r>
      <w:r>
        <w:rPr>
          <w:rFonts w:hint="eastAsia" w:ascii="宋体" w:hAnsi="宋体" w:cs="宋体"/>
          <w:b w:val="0"/>
          <w:bCs w:val="0"/>
          <w:color w:val="auto"/>
          <w:sz w:val="24"/>
          <w:lang w:eastAsia="zh-CN"/>
        </w:rPr>
        <w:t>、验收等</w:t>
      </w:r>
      <w:r>
        <w:rPr>
          <w:rFonts w:hint="eastAsia" w:ascii="宋体" w:hAnsi="宋体" w:cs="宋体"/>
          <w:color w:val="auto"/>
          <w:sz w:val="24"/>
          <w:lang w:eastAsia="zh-CN"/>
        </w:rPr>
        <w:t>相关服务</w:t>
      </w:r>
      <w:r>
        <w:rPr>
          <w:rFonts w:hint="eastAsia" w:ascii="宋体" w:hAnsi="宋体" w:cs="宋体"/>
          <w:color w:val="auto"/>
          <w:sz w:val="24"/>
        </w:rPr>
        <w:t>。</w:t>
      </w:r>
    </w:p>
    <w:p>
      <w:pPr>
        <w:spacing w:line="380" w:lineRule="exact"/>
        <w:ind w:firstLine="420"/>
        <w:rPr>
          <w:rFonts w:hint="eastAsia" w:ascii="宋体" w:hAnsi="宋体" w:cs="宋体"/>
          <w:b/>
          <w:bCs/>
          <w:color w:val="auto"/>
          <w:sz w:val="24"/>
        </w:rPr>
      </w:pPr>
      <w:r>
        <w:rPr>
          <w:rFonts w:hint="eastAsia" w:ascii="宋体" w:hAnsi="宋体" w:cs="宋体"/>
          <w:b/>
          <w:bCs/>
          <w:color w:val="auto"/>
          <w:sz w:val="24"/>
        </w:rPr>
        <w:t>三</w:t>
      </w:r>
      <w:r>
        <w:rPr>
          <w:rFonts w:hint="eastAsia" w:ascii="宋体" w:hAnsi="宋体" w:cs="宋体"/>
          <w:b/>
          <w:bCs/>
          <w:color w:val="auto"/>
          <w:sz w:val="24"/>
          <w:lang w:eastAsia="zh-CN"/>
        </w:rPr>
        <w:t>、</w:t>
      </w:r>
      <w:r>
        <w:rPr>
          <w:rFonts w:hint="eastAsia" w:ascii="宋体" w:hAnsi="宋体" w:cs="宋体"/>
          <w:b/>
          <w:bCs/>
          <w:color w:val="auto"/>
          <w:sz w:val="24"/>
        </w:rPr>
        <w:t>编制要求</w:t>
      </w:r>
    </w:p>
    <w:p>
      <w:pPr>
        <w:spacing w:line="380" w:lineRule="exact"/>
        <w:ind w:firstLine="420"/>
        <w:rPr>
          <w:rFonts w:hint="eastAsia" w:ascii="宋体" w:hAnsi="宋体" w:cs="宋体"/>
          <w:sz w:val="24"/>
        </w:rPr>
      </w:pPr>
      <w:r>
        <w:rPr>
          <w:rFonts w:hint="eastAsia" w:ascii="宋体" w:hAnsi="宋体" w:cs="宋体"/>
          <w:color w:val="auto"/>
          <w:sz w:val="24"/>
        </w:rPr>
        <w:t>按照城镇未来社区创建的有关要求，编制创建方案。根据省发改委对未来社区创建的具体要求，分步骤按时向甲方做好创建方案</w:t>
      </w:r>
      <w:r>
        <w:rPr>
          <w:rFonts w:hint="eastAsia" w:ascii="宋体" w:hAnsi="宋体" w:cs="宋体"/>
          <w:color w:val="auto"/>
          <w:sz w:val="24"/>
          <w:lang w:eastAsia="zh-CN"/>
        </w:rPr>
        <w:t>申报、验收等相关</w:t>
      </w:r>
      <w:r>
        <w:rPr>
          <w:rFonts w:hint="eastAsia" w:ascii="宋体" w:hAnsi="宋体" w:cs="宋体"/>
          <w:color w:val="auto"/>
          <w:sz w:val="24"/>
        </w:rPr>
        <w:t>工</w:t>
      </w:r>
      <w:r>
        <w:rPr>
          <w:rFonts w:hint="eastAsia" w:ascii="宋体" w:hAnsi="宋体" w:cs="宋体"/>
          <w:sz w:val="24"/>
        </w:rPr>
        <w:t>作。</w:t>
      </w:r>
    </w:p>
    <w:p>
      <w:pPr>
        <w:spacing w:line="380" w:lineRule="exact"/>
        <w:ind w:firstLine="420"/>
        <w:rPr>
          <w:rFonts w:hint="eastAsia" w:ascii="宋体" w:hAnsi="宋体" w:cs="宋体"/>
          <w:sz w:val="24"/>
        </w:rPr>
      </w:pPr>
      <w:r>
        <w:rPr>
          <w:rFonts w:hint="eastAsia" w:ascii="宋体" w:hAnsi="宋体" w:cs="宋体"/>
          <w:sz w:val="24"/>
        </w:rPr>
        <w:t>未来社区要坚持党建统领，突出人本化、生态化、数字化，注重文化建设，挖掘特色场景，因地制宜落实九大场景创建评价指标体系，突出主题定位。在城镇社区建设专项规划指引下，联动推进未来社区、城乡风貌与未来乡村整治提升，鼓励多个小区连片开展创建。整合社区及周边公园、广场、绿道等公共空间资源，重点推进创业服务、邻里活动、全民康养、商业服务等基础公共服务落实，因地制宜的打造创业、邻里、健康、服务等特色场景落地见效。满足居民日常生活需求，加快社区范围内公共服务均等普及，努力实现社区高质量发展、高水平均衡、高品质生活、高效能治理。</w:t>
      </w:r>
    </w:p>
    <w:p>
      <w:pPr>
        <w:spacing w:line="380" w:lineRule="exact"/>
        <w:ind w:firstLine="420"/>
        <w:rPr>
          <w:rFonts w:hint="eastAsia" w:ascii="宋体" w:hAnsi="宋体" w:cs="宋体"/>
          <w:b/>
          <w:bCs/>
          <w:sz w:val="24"/>
        </w:rPr>
      </w:pPr>
      <w:r>
        <w:rPr>
          <w:rFonts w:hint="eastAsia" w:ascii="宋体" w:hAnsi="宋体" w:cs="宋体"/>
          <w:b/>
          <w:bCs/>
          <w:sz w:val="24"/>
        </w:rPr>
        <w:t>四</w:t>
      </w:r>
      <w:r>
        <w:rPr>
          <w:rFonts w:hint="eastAsia" w:ascii="宋体" w:hAnsi="宋体" w:cs="宋体"/>
          <w:b/>
          <w:bCs/>
          <w:sz w:val="24"/>
          <w:lang w:eastAsia="zh-CN"/>
        </w:rPr>
        <w:t>、项目</w:t>
      </w:r>
      <w:r>
        <w:rPr>
          <w:rFonts w:hint="eastAsia" w:ascii="宋体" w:hAnsi="宋体" w:cs="宋体"/>
          <w:b/>
          <w:bCs/>
          <w:sz w:val="24"/>
        </w:rPr>
        <w:t>内容</w:t>
      </w:r>
    </w:p>
    <w:p>
      <w:pPr>
        <w:spacing w:line="380" w:lineRule="exact"/>
        <w:ind w:firstLine="420"/>
        <w:rPr>
          <w:rFonts w:hint="eastAsia" w:ascii="宋体" w:hAnsi="宋体" w:cs="宋体"/>
          <w:color w:val="auto"/>
          <w:sz w:val="24"/>
          <w:highlight w:val="none"/>
          <w:lang w:eastAsia="zh-CN"/>
        </w:rPr>
      </w:pPr>
      <w:r>
        <w:rPr>
          <w:rFonts w:hint="eastAsia" w:ascii="宋体" w:hAnsi="宋体" w:cs="宋体"/>
          <w:b/>
          <w:bCs/>
          <w:sz w:val="24"/>
          <w:lang w:eastAsia="zh-CN"/>
        </w:rPr>
        <w:t>（一）未来社区一体化方案编制内容</w:t>
      </w:r>
    </w:p>
    <w:p>
      <w:pPr>
        <w:spacing w:line="380" w:lineRule="exact"/>
        <w:ind w:firstLine="420"/>
        <w:rPr>
          <w:rFonts w:hint="eastAsia" w:ascii="宋体" w:hAnsi="宋体" w:cs="宋体"/>
          <w:sz w:val="24"/>
        </w:rPr>
      </w:pPr>
      <w:r>
        <w:rPr>
          <w:rFonts w:hint="eastAsia" w:ascii="宋体" w:hAnsi="宋体" w:cs="宋体"/>
          <w:color w:val="auto"/>
          <w:sz w:val="24"/>
          <w:highlight w:val="none"/>
          <w:lang w:eastAsia="zh-CN"/>
        </w:rPr>
        <w:t>东阳市吴宁街道东岘、西街、雍和、朝阳、迎晖、卢宅、西园未来社区一体化方案项目采购</w:t>
      </w:r>
      <w:r>
        <w:rPr>
          <w:rFonts w:hint="eastAsia" w:ascii="宋体" w:hAnsi="宋体" w:cs="宋体"/>
          <w:sz w:val="24"/>
        </w:rPr>
        <w:t>编制要从人本化、生态化、数字化三维价值维度体现一体化方案的系统性、完整性、落地性、创新性和相关政策贯彻落实情况。</w:t>
      </w:r>
    </w:p>
    <w:p>
      <w:pPr>
        <w:spacing w:line="380" w:lineRule="exact"/>
        <w:ind w:firstLine="420"/>
        <w:rPr>
          <w:rFonts w:hint="eastAsia" w:ascii="宋体" w:hAnsi="宋体" w:cs="宋体"/>
          <w:sz w:val="24"/>
        </w:rPr>
      </w:pPr>
      <w:r>
        <w:rPr>
          <w:rFonts w:hint="eastAsia" w:ascii="宋体" w:hAnsi="宋体" w:cs="宋体"/>
          <w:sz w:val="24"/>
        </w:rPr>
        <w:t>创建方案内容包括项目背景、现状研究、创建目标、空间总体设计、场景设计及技术要求、数字化系统设计、运营组织、概算与资金平衡、政策与机制保障等。</w:t>
      </w:r>
    </w:p>
    <w:p>
      <w:pPr>
        <w:spacing w:line="380" w:lineRule="exact"/>
        <w:ind w:firstLine="420"/>
        <w:rPr>
          <w:rFonts w:hint="eastAsia" w:ascii="宋体" w:hAnsi="宋体" w:cs="宋体"/>
          <w:sz w:val="24"/>
        </w:rPr>
      </w:pPr>
      <w:r>
        <w:rPr>
          <w:rFonts w:hint="eastAsia" w:ascii="宋体" w:hAnsi="宋体" w:cs="宋体"/>
          <w:sz w:val="24"/>
        </w:rPr>
        <w:t>1、项目背景</w:t>
      </w:r>
    </w:p>
    <w:p>
      <w:pPr>
        <w:spacing w:line="380" w:lineRule="exact"/>
        <w:ind w:firstLine="420"/>
        <w:rPr>
          <w:rFonts w:hint="eastAsia" w:ascii="宋体" w:hAnsi="宋体" w:cs="宋体"/>
          <w:sz w:val="24"/>
        </w:rPr>
      </w:pPr>
      <w:r>
        <w:rPr>
          <w:rFonts w:hint="eastAsia" w:ascii="宋体" w:hAnsi="宋体" w:cs="宋体"/>
          <w:sz w:val="24"/>
        </w:rPr>
        <w:t>对未来社区发展背景、核心、定义以及未来社区侧重点等进行分析总结。</w:t>
      </w:r>
    </w:p>
    <w:p>
      <w:pPr>
        <w:spacing w:line="380" w:lineRule="exact"/>
        <w:ind w:firstLine="420"/>
        <w:rPr>
          <w:rFonts w:hint="eastAsia" w:ascii="宋体" w:hAnsi="宋体" w:cs="宋体"/>
          <w:sz w:val="24"/>
        </w:rPr>
      </w:pPr>
      <w:r>
        <w:rPr>
          <w:rFonts w:hint="eastAsia" w:ascii="宋体" w:hAnsi="宋体" w:cs="宋体"/>
          <w:sz w:val="24"/>
        </w:rPr>
        <w:t>2、现状研究</w:t>
      </w:r>
    </w:p>
    <w:p>
      <w:pPr>
        <w:spacing w:line="380" w:lineRule="exact"/>
        <w:ind w:firstLine="420"/>
        <w:rPr>
          <w:rFonts w:hint="eastAsia" w:ascii="宋体" w:hAnsi="宋体" w:cs="宋体"/>
          <w:sz w:val="24"/>
        </w:rPr>
      </w:pPr>
      <w:r>
        <w:rPr>
          <w:rFonts w:hint="eastAsia" w:ascii="宋体" w:hAnsi="宋体" w:cs="宋体"/>
          <w:sz w:val="24"/>
        </w:rPr>
        <w:t>紧扣通知要求进行社区范围、社区情况、公共设施、存量空间等分析总结。</w:t>
      </w:r>
    </w:p>
    <w:p>
      <w:pPr>
        <w:spacing w:line="380" w:lineRule="exact"/>
        <w:ind w:firstLine="420"/>
        <w:rPr>
          <w:rFonts w:hint="eastAsia" w:ascii="宋体" w:hAnsi="宋体" w:cs="宋体"/>
          <w:sz w:val="24"/>
        </w:rPr>
      </w:pPr>
      <w:r>
        <w:rPr>
          <w:rFonts w:hint="eastAsia" w:ascii="宋体" w:hAnsi="宋体" w:cs="宋体"/>
          <w:sz w:val="24"/>
        </w:rPr>
        <w:t>2.1社区范围</w:t>
      </w:r>
    </w:p>
    <w:p>
      <w:pPr>
        <w:spacing w:line="380" w:lineRule="exact"/>
        <w:ind w:firstLine="420"/>
        <w:rPr>
          <w:rFonts w:hint="eastAsia" w:ascii="宋体" w:hAnsi="宋体" w:cs="宋体"/>
          <w:sz w:val="24"/>
        </w:rPr>
      </w:pPr>
      <w:r>
        <w:rPr>
          <w:rFonts w:hint="eastAsia" w:ascii="宋体" w:hAnsi="宋体" w:cs="宋体"/>
          <w:sz w:val="24"/>
        </w:rPr>
        <w:t>2.2社区情况</w:t>
      </w:r>
    </w:p>
    <w:p>
      <w:pPr>
        <w:spacing w:line="380" w:lineRule="exact"/>
        <w:ind w:firstLine="420"/>
        <w:rPr>
          <w:rFonts w:hint="eastAsia" w:ascii="宋体" w:hAnsi="宋体" w:cs="宋体"/>
          <w:sz w:val="24"/>
        </w:rPr>
      </w:pPr>
      <w:r>
        <w:rPr>
          <w:rFonts w:hint="eastAsia" w:ascii="宋体" w:hAnsi="宋体" w:cs="宋体"/>
          <w:sz w:val="24"/>
        </w:rPr>
        <w:t>2.3居民调研及分析</w:t>
      </w:r>
    </w:p>
    <w:p>
      <w:pPr>
        <w:spacing w:line="380" w:lineRule="exact"/>
        <w:ind w:firstLine="420"/>
        <w:rPr>
          <w:rFonts w:hint="eastAsia" w:ascii="宋体" w:hAnsi="宋体" w:cs="宋体"/>
          <w:sz w:val="24"/>
        </w:rPr>
      </w:pPr>
      <w:r>
        <w:rPr>
          <w:rFonts w:hint="eastAsia" w:ascii="宋体" w:hAnsi="宋体" w:cs="宋体"/>
          <w:sz w:val="24"/>
        </w:rPr>
        <w:t>3、创建目标</w:t>
      </w:r>
    </w:p>
    <w:p>
      <w:pPr>
        <w:spacing w:line="380" w:lineRule="exact"/>
        <w:ind w:firstLine="420"/>
        <w:rPr>
          <w:rFonts w:hint="eastAsia" w:ascii="宋体" w:hAnsi="宋体" w:cs="宋体"/>
          <w:sz w:val="24"/>
        </w:rPr>
      </w:pPr>
      <w:r>
        <w:rPr>
          <w:rFonts w:hint="eastAsia" w:ascii="宋体" w:hAnsi="宋体" w:cs="宋体"/>
          <w:sz w:val="24"/>
        </w:rPr>
        <w:t>梳理并整合现有工作基础，总结提炼特色、亮点，落实创建思路，提出特色主题。</w:t>
      </w:r>
    </w:p>
    <w:p>
      <w:pPr>
        <w:spacing w:line="380" w:lineRule="exact"/>
        <w:ind w:firstLine="420"/>
        <w:rPr>
          <w:rFonts w:hint="eastAsia" w:ascii="宋体" w:hAnsi="宋体" w:cs="宋体"/>
          <w:sz w:val="24"/>
        </w:rPr>
      </w:pPr>
      <w:r>
        <w:rPr>
          <w:rFonts w:hint="eastAsia" w:ascii="宋体" w:hAnsi="宋体" w:cs="宋体"/>
          <w:sz w:val="24"/>
        </w:rPr>
        <w:t>3.1开展文化专篇研究，挖掘和展示未来社区的文化底蕴，提炼文化元素。</w:t>
      </w:r>
    </w:p>
    <w:p>
      <w:pPr>
        <w:spacing w:line="380" w:lineRule="exact"/>
        <w:ind w:firstLine="420"/>
        <w:rPr>
          <w:rFonts w:hint="eastAsia" w:ascii="宋体" w:hAnsi="宋体" w:cs="宋体"/>
          <w:sz w:val="24"/>
        </w:rPr>
      </w:pPr>
      <w:r>
        <w:rPr>
          <w:rFonts w:hint="eastAsia" w:ascii="宋体" w:hAnsi="宋体" w:cs="宋体"/>
          <w:sz w:val="24"/>
        </w:rPr>
        <w:t>3.2提出社区的创建思路、目标定位和特色主题。</w:t>
      </w:r>
    </w:p>
    <w:p>
      <w:pPr>
        <w:spacing w:line="380" w:lineRule="exact"/>
        <w:ind w:firstLine="420"/>
        <w:rPr>
          <w:rFonts w:hint="eastAsia" w:ascii="宋体" w:hAnsi="宋体" w:cs="宋体"/>
          <w:sz w:val="24"/>
        </w:rPr>
      </w:pPr>
      <w:r>
        <w:rPr>
          <w:rFonts w:hint="eastAsia" w:ascii="宋体" w:hAnsi="宋体" w:cs="宋体"/>
          <w:sz w:val="24"/>
        </w:rPr>
        <w:t>3.3明确社区受益人数。</w:t>
      </w:r>
    </w:p>
    <w:p>
      <w:pPr>
        <w:spacing w:line="380" w:lineRule="exact"/>
        <w:ind w:firstLine="420"/>
        <w:rPr>
          <w:rFonts w:hint="eastAsia" w:ascii="宋体" w:hAnsi="宋体" w:cs="宋体"/>
          <w:sz w:val="24"/>
        </w:rPr>
      </w:pPr>
      <w:r>
        <w:rPr>
          <w:rFonts w:hint="eastAsia" w:ascii="宋体" w:hAnsi="宋体" w:cs="宋体"/>
          <w:sz w:val="24"/>
        </w:rPr>
        <w:t>4、空间总体设计</w:t>
      </w:r>
    </w:p>
    <w:p>
      <w:pPr>
        <w:spacing w:line="380" w:lineRule="exact"/>
        <w:ind w:firstLine="420"/>
        <w:rPr>
          <w:rFonts w:hint="eastAsia" w:ascii="宋体" w:hAnsi="宋体" w:cs="宋体"/>
          <w:sz w:val="24"/>
        </w:rPr>
      </w:pPr>
      <w:r>
        <w:rPr>
          <w:rFonts w:hint="eastAsia" w:ascii="宋体" w:hAnsi="宋体" w:cs="宋体"/>
          <w:sz w:val="24"/>
        </w:rPr>
        <w:t>明确实施单元具体的空间方案，注重自然空间、历史文化、建筑形态的系统融合，突出未来社区特色。</w:t>
      </w:r>
    </w:p>
    <w:p>
      <w:pPr>
        <w:spacing w:line="380" w:lineRule="exact"/>
        <w:ind w:firstLine="420"/>
        <w:rPr>
          <w:rFonts w:hint="eastAsia" w:ascii="宋体" w:hAnsi="宋体" w:cs="宋体"/>
          <w:sz w:val="24"/>
        </w:rPr>
      </w:pPr>
      <w:r>
        <w:rPr>
          <w:rFonts w:hint="eastAsia" w:ascii="宋体" w:hAnsi="宋体" w:cs="宋体"/>
          <w:sz w:val="24"/>
        </w:rPr>
        <w:t>4.1围绕社区创建目标，明确实施单元具体的空间方案。</w:t>
      </w:r>
    </w:p>
    <w:p>
      <w:pPr>
        <w:spacing w:line="380" w:lineRule="exact"/>
        <w:ind w:firstLine="420"/>
        <w:rPr>
          <w:rFonts w:hint="eastAsia" w:ascii="宋体" w:hAnsi="宋体" w:cs="宋体"/>
          <w:sz w:val="24"/>
        </w:rPr>
      </w:pPr>
      <w:r>
        <w:rPr>
          <w:rFonts w:hint="eastAsia" w:ascii="宋体" w:hAnsi="宋体" w:cs="宋体"/>
          <w:sz w:val="24"/>
        </w:rPr>
        <w:t>4.2绘制保留、拆除、改造、新建的社区建筑更新图，明确改造部分的具体措施；明确产权变更情况。</w:t>
      </w:r>
    </w:p>
    <w:p>
      <w:pPr>
        <w:spacing w:line="380" w:lineRule="exact"/>
        <w:ind w:firstLine="420"/>
        <w:rPr>
          <w:rFonts w:hint="eastAsia" w:ascii="宋体" w:hAnsi="宋体" w:cs="宋体"/>
          <w:sz w:val="24"/>
        </w:rPr>
      </w:pPr>
      <w:r>
        <w:rPr>
          <w:rFonts w:hint="eastAsia" w:ascii="宋体" w:hAnsi="宋体" w:cs="宋体"/>
          <w:sz w:val="24"/>
        </w:rPr>
        <w:t>4.3涉及新建的项目应提供与设计方案相匹配的控规用地规划图与规划条件，并需获得空间规划行政管理部门认可。</w:t>
      </w:r>
    </w:p>
    <w:p>
      <w:pPr>
        <w:spacing w:line="380" w:lineRule="exact"/>
        <w:ind w:firstLine="420"/>
        <w:rPr>
          <w:rFonts w:hint="eastAsia" w:ascii="宋体" w:hAnsi="宋体" w:cs="宋体"/>
          <w:sz w:val="24"/>
        </w:rPr>
      </w:pPr>
      <w:r>
        <w:rPr>
          <w:rFonts w:hint="eastAsia" w:ascii="宋体" w:hAnsi="宋体" w:cs="宋体"/>
          <w:sz w:val="24"/>
        </w:rPr>
        <w:t>5、场景设计及技术要求</w:t>
      </w:r>
    </w:p>
    <w:p>
      <w:pPr>
        <w:spacing w:line="380" w:lineRule="exact"/>
        <w:ind w:firstLine="420"/>
        <w:rPr>
          <w:rFonts w:hint="eastAsia" w:ascii="宋体" w:hAnsi="宋体" w:cs="宋体"/>
          <w:sz w:val="24"/>
        </w:rPr>
      </w:pPr>
      <w:r>
        <w:rPr>
          <w:rFonts w:hint="eastAsia" w:ascii="宋体" w:hAnsi="宋体" w:cs="宋体"/>
          <w:sz w:val="24"/>
        </w:rPr>
        <w:t>5.1 根据需求明确社区的核心场景和打造思路。</w:t>
      </w:r>
    </w:p>
    <w:p>
      <w:pPr>
        <w:spacing w:line="380" w:lineRule="exact"/>
        <w:ind w:firstLine="420"/>
        <w:rPr>
          <w:rFonts w:hint="eastAsia" w:ascii="宋体" w:hAnsi="宋体" w:cs="宋体"/>
          <w:sz w:val="24"/>
        </w:rPr>
      </w:pPr>
      <w:r>
        <w:rPr>
          <w:rFonts w:hint="eastAsia" w:ascii="宋体" w:hAnsi="宋体" w:cs="宋体"/>
          <w:sz w:val="24"/>
        </w:rPr>
        <w:t>5.2分地块明确各项内容与规模，汇总形成项目场景系统方案，绘制场景空间集成图，编制配套空间配置清单，并填写创建评价指标响应表。</w:t>
      </w:r>
    </w:p>
    <w:p>
      <w:pPr>
        <w:spacing w:line="380" w:lineRule="exact"/>
        <w:ind w:firstLine="420"/>
        <w:rPr>
          <w:rFonts w:hint="eastAsia" w:ascii="宋体" w:hAnsi="宋体" w:cs="宋体"/>
          <w:sz w:val="24"/>
        </w:rPr>
      </w:pPr>
      <w:r>
        <w:rPr>
          <w:rFonts w:hint="eastAsia" w:ascii="宋体" w:hAnsi="宋体" w:cs="宋体"/>
          <w:sz w:val="24"/>
        </w:rPr>
        <w:t>6、数字化系统设计</w:t>
      </w:r>
    </w:p>
    <w:p>
      <w:pPr>
        <w:spacing w:line="380" w:lineRule="exact"/>
        <w:ind w:firstLine="420"/>
        <w:rPr>
          <w:rFonts w:hint="eastAsia" w:ascii="宋体" w:hAnsi="宋体" w:cs="宋体"/>
          <w:sz w:val="24"/>
        </w:rPr>
      </w:pPr>
      <w:r>
        <w:rPr>
          <w:rFonts w:hint="eastAsia" w:ascii="宋体" w:hAnsi="宋体" w:cs="宋体"/>
          <w:sz w:val="24"/>
        </w:rPr>
        <w:t xml:space="preserve">数字化系统建设应遵循“顶层设计、问策于民、低本高效、融合运营”原则，充分结合百姓需求，围绕基层治理和社区服务打造高频应用，推动线上线下融合塑造九大场景。 </w:t>
      </w:r>
    </w:p>
    <w:p>
      <w:pPr>
        <w:spacing w:line="380" w:lineRule="exact"/>
        <w:ind w:firstLine="420"/>
        <w:rPr>
          <w:rFonts w:hint="eastAsia" w:ascii="宋体" w:hAnsi="宋体" w:cs="宋体"/>
          <w:sz w:val="24"/>
        </w:rPr>
      </w:pPr>
      <w:r>
        <w:rPr>
          <w:rFonts w:hint="eastAsia" w:ascii="宋体" w:hAnsi="宋体" w:cs="宋体"/>
          <w:sz w:val="24"/>
        </w:rPr>
        <w:t>6.1明确平台建设模式与组织架构。</w:t>
      </w:r>
    </w:p>
    <w:p>
      <w:pPr>
        <w:spacing w:line="380" w:lineRule="exact"/>
        <w:ind w:firstLine="420"/>
        <w:rPr>
          <w:rFonts w:hint="eastAsia" w:ascii="宋体" w:hAnsi="宋体" w:cs="宋体"/>
          <w:sz w:val="24"/>
        </w:rPr>
      </w:pPr>
      <w:r>
        <w:rPr>
          <w:rFonts w:hint="eastAsia" w:ascii="宋体" w:hAnsi="宋体" w:cs="宋体"/>
          <w:sz w:val="24"/>
        </w:rPr>
        <w:t>6.2充分利用现有数字化资源，梳理数字化需求清单，提出数字化建设的目标和任务。</w:t>
      </w:r>
    </w:p>
    <w:p>
      <w:pPr>
        <w:spacing w:line="380" w:lineRule="exact"/>
        <w:ind w:firstLine="420"/>
        <w:rPr>
          <w:rFonts w:hint="eastAsia" w:ascii="宋体" w:hAnsi="宋体" w:cs="宋体"/>
          <w:sz w:val="24"/>
        </w:rPr>
      </w:pPr>
      <w:r>
        <w:rPr>
          <w:rFonts w:hint="eastAsia" w:ascii="宋体" w:hAnsi="宋体" w:cs="宋体"/>
          <w:sz w:val="24"/>
        </w:rPr>
        <w:t>6.3从社区现状出发，围绕“1N93”总体框架，设计数字化建设总体框架图。</w:t>
      </w:r>
    </w:p>
    <w:p>
      <w:pPr>
        <w:spacing w:line="380" w:lineRule="exact"/>
        <w:ind w:firstLine="420"/>
        <w:rPr>
          <w:rFonts w:hint="eastAsia" w:ascii="宋体" w:hAnsi="宋体" w:cs="宋体"/>
          <w:sz w:val="24"/>
        </w:rPr>
      </w:pPr>
      <w:r>
        <w:rPr>
          <w:rFonts w:hint="eastAsia" w:ascii="宋体" w:hAnsi="宋体" w:cs="宋体"/>
          <w:sz w:val="24"/>
        </w:rPr>
        <w:t>6.4拟建设/落地的重点数字化应用，包含需求问题、应用名称、应用描述、空间配套、运营思路等。</w:t>
      </w:r>
    </w:p>
    <w:p>
      <w:pPr>
        <w:spacing w:line="380" w:lineRule="exact"/>
        <w:ind w:firstLine="420"/>
        <w:rPr>
          <w:rFonts w:hint="eastAsia" w:ascii="宋体" w:hAnsi="宋体" w:cs="宋体"/>
          <w:sz w:val="24"/>
        </w:rPr>
      </w:pPr>
      <w:r>
        <w:rPr>
          <w:rFonts w:hint="eastAsia" w:ascii="宋体" w:hAnsi="宋体" w:cs="宋体"/>
          <w:sz w:val="24"/>
        </w:rPr>
        <w:t>6.5明确数字社会公共服务落地方案。</w:t>
      </w:r>
    </w:p>
    <w:p>
      <w:pPr>
        <w:spacing w:line="380" w:lineRule="exact"/>
        <w:ind w:firstLine="420"/>
        <w:rPr>
          <w:rFonts w:hint="eastAsia" w:ascii="宋体" w:hAnsi="宋体" w:cs="宋体"/>
          <w:sz w:val="24"/>
        </w:rPr>
      </w:pPr>
      <w:r>
        <w:rPr>
          <w:rFonts w:hint="eastAsia" w:ascii="宋体" w:hAnsi="宋体" w:cs="宋体"/>
          <w:sz w:val="24"/>
        </w:rPr>
        <w:t>6.6明确数字化融合社区运营方案。</w:t>
      </w:r>
    </w:p>
    <w:p>
      <w:pPr>
        <w:spacing w:line="380" w:lineRule="exact"/>
        <w:ind w:firstLine="420"/>
        <w:rPr>
          <w:rFonts w:hint="eastAsia" w:ascii="宋体" w:hAnsi="宋体" w:cs="宋体"/>
          <w:sz w:val="24"/>
        </w:rPr>
      </w:pPr>
      <w:r>
        <w:rPr>
          <w:rFonts w:hint="eastAsia" w:ascii="宋体" w:hAnsi="宋体" w:cs="宋体"/>
          <w:sz w:val="24"/>
        </w:rPr>
        <w:t>7、运营组织</w:t>
      </w:r>
    </w:p>
    <w:p>
      <w:pPr>
        <w:spacing w:line="380" w:lineRule="exact"/>
        <w:ind w:firstLine="420"/>
        <w:rPr>
          <w:rFonts w:hint="eastAsia" w:ascii="宋体" w:hAnsi="宋体" w:cs="宋体"/>
          <w:sz w:val="24"/>
        </w:rPr>
      </w:pPr>
      <w:r>
        <w:rPr>
          <w:rFonts w:hint="eastAsia" w:ascii="宋体" w:hAnsi="宋体" w:cs="宋体"/>
          <w:sz w:val="24"/>
        </w:rPr>
        <w:t>7.1明确公益性、惠民及商业经营性业态空间布局，明确各项内容与规模。运营空间应具有开放性。</w:t>
      </w:r>
    </w:p>
    <w:p>
      <w:pPr>
        <w:spacing w:line="380" w:lineRule="exact"/>
        <w:ind w:firstLine="420"/>
        <w:rPr>
          <w:rFonts w:hint="eastAsia" w:ascii="宋体" w:hAnsi="宋体" w:cs="宋体"/>
          <w:sz w:val="24"/>
        </w:rPr>
      </w:pPr>
      <w:r>
        <w:rPr>
          <w:rFonts w:hint="eastAsia" w:ascii="宋体" w:hAnsi="宋体" w:cs="宋体"/>
          <w:sz w:val="24"/>
        </w:rPr>
        <w:t>7.2明确运营主体和运营组织架构。</w:t>
      </w:r>
    </w:p>
    <w:p>
      <w:pPr>
        <w:spacing w:line="380" w:lineRule="exact"/>
        <w:ind w:firstLine="420"/>
        <w:rPr>
          <w:rFonts w:hint="eastAsia" w:ascii="宋体" w:hAnsi="宋体" w:cs="宋体"/>
          <w:sz w:val="24"/>
        </w:rPr>
      </w:pPr>
      <w:r>
        <w:rPr>
          <w:rFonts w:hint="eastAsia" w:ascii="宋体" w:hAnsi="宋体" w:cs="宋体"/>
          <w:sz w:val="24"/>
        </w:rPr>
        <w:t>7.3明确场景运营的初步方案，包括运营主体、运营内容和资金平衡模式，绘制运营模式图。</w:t>
      </w:r>
    </w:p>
    <w:p>
      <w:pPr>
        <w:spacing w:line="380" w:lineRule="exact"/>
        <w:ind w:firstLine="420"/>
        <w:rPr>
          <w:rFonts w:hint="eastAsia" w:ascii="宋体" w:hAnsi="宋体" w:cs="宋体"/>
          <w:sz w:val="24"/>
        </w:rPr>
      </w:pPr>
      <w:r>
        <w:rPr>
          <w:rFonts w:hint="eastAsia" w:ascii="宋体" w:hAnsi="宋体" w:cs="宋体"/>
          <w:sz w:val="24"/>
        </w:rPr>
        <w:t>8、概算与资金平衡</w:t>
      </w:r>
    </w:p>
    <w:p>
      <w:pPr>
        <w:spacing w:line="380" w:lineRule="exact"/>
        <w:ind w:firstLine="420"/>
        <w:rPr>
          <w:rFonts w:hint="eastAsia" w:ascii="宋体" w:hAnsi="宋体" w:cs="宋体"/>
          <w:sz w:val="24"/>
        </w:rPr>
      </w:pPr>
      <w:r>
        <w:rPr>
          <w:rFonts w:hint="eastAsia" w:ascii="宋体" w:hAnsi="宋体" w:cs="宋体"/>
          <w:sz w:val="24"/>
        </w:rPr>
        <w:t>8.1明确政府方投入收益和资金筹措情况，编制政府方投入收益情况表和土地使用方建设期资金测算表。</w:t>
      </w:r>
    </w:p>
    <w:p>
      <w:pPr>
        <w:spacing w:line="380" w:lineRule="exact"/>
        <w:ind w:firstLine="420"/>
        <w:rPr>
          <w:rFonts w:hint="eastAsia" w:ascii="宋体" w:hAnsi="宋体" w:cs="宋体"/>
          <w:sz w:val="24"/>
        </w:rPr>
      </w:pPr>
      <w:r>
        <w:rPr>
          <w:rFonts w:hint="eastAsia" w:ascii="宋体" w:hAnsi="宋体" w:cs="宋体"/>
          <w:sz w:val="24"/>
        </w:rPr>
        <w:t>8.2明确在运营期内的财务收支方案，编制运营期资金平衡测算表。</w:t>
      </w:r>
    </w:p>
    <w:p>
      <w:pPr>
        <w:spacing w:line="380" w:lineRule="exact"/>
        <w:ind w:firstLine="420"/>
        <w:rPr>
          <w:rFonts w:hint="eastAsia" w:ascii="宋体" w:hAnsi="宋体" w:cs="宋体"/>
          <w:sz w:val="24"/>
        </w:rPr>
      </w:pPr>
      <w:r>
        <w:rPr>
          <w:rFonts w:hint="eastAsia" w:ascii="宋体" w:hAnsi="宋体" w:cs="宋体"/>
          <w:sz w:val="24"/>
        </w:rPr>
        <w:t>9、政策与机制保障</w:t>
      </w:r>
    </w:p>
    <w:p>
      <w:pPr>
        <w:spacing w:line="380" w:lineRule="exact"/>
        <w:ind w:firstLine="420"/>
        <w:rPr>
          <w:rFonts w:hint="eastAsia" w:ascii="宋体" w:hAnsi="宋体" w:eastAsia="宋体" w:cs="宋体"/>
          <w:sz w:val="24"/>
        </w:rPr>
      </w:pPr>
      <w:r>
        <w:rPr>
          <w:rFonts w:hint="eastAsia" w:ascii="宋体" w:hAnsi="宋体" w:eastAsia="宋体" w:cs="宋体"/>
          <w:sz w:val="24"/>
        </w:rPr>
        <w:t>9.1提供实施推进计划。</w:t>
      </w:r>
    </w:p>
    <w:p>
      <w:pPr>
        <w:spacing w:line="380" w:lineRule="exact"/>
        <w:ind w:firstLine="420"/>
        <w:rPr>
          <w:rFonts w:hint="eastAsia" w:ascii="宋体" w:hAnsi="宋体" w:eastAsia="宋体" w:cs="宋体"/>
          <w:sz w:val="24"/>
        </w:rPr>
      </w:pPr>
      <w:r>
        <w:rPr>
          <w:rFonts w:hint="eastAsia" w:ascii="宋体" w:hAnsi="宋体" w:eastAsia="宋体" w:cs="宋体"/>
          <w:sz w:val="24"/>
        </w:rPr>
        <w:t>9.1 提供创建项目建设工作专班名单以及工作专班职责分工情况。</w:t>
      </w:r>
    </w:p>
    <w:p>
      <w:pPr>
        <w:spacing w:line="380" w:lineRule="exact"/>
        <w:ind w:firstLine="420"/>
        <w:rPr>
          <w:rFonts w:hint="default"/>
          <w:lang w:val="en-US" w:eastAsia="zh-CN"/>
        </w:rPr>
      </w:pPr>
      <w:r>
        <w:rPr>
          <w:rFonts w:hint="eastAsia" w:ascii="宋体" w:hAnsi="宋体" w:eastAsia="宋体" w:cs="宋体"/>
          <w:sz w:val="24"/>
          <w:lang w:val="en-US" w:eastAsia="zh-CN"/>
        </w:rPr>
        <w:t>9.2 参加编制人员不得少于</w:t>
      </w:r>
      <w:r>
        <w:rPr>
          <w:rFonts w:hint="eastAsia" w:ascii="宋体" w:hAnsi="宋体" w:cs="宋体"/>
          <w:sz w:val="24"/>
          <w:lang w:val="en-US" w:eastAsia="zh-CN"/>
        </w:rPr>
        <w:t>7</w:t>
      </w:r>
      <w:r>
        <w:rPr>
          <w:rFonts w:hint="eastAsia" w:ascii="宋体" w:hAnsi="宋体" w:eastAsia="宋体" w:cs="宋体"/>
          <w:sz w:val="24"/>
          <w:lang w:val="en-US" w:eastAsia="zh-CN"/>
        </w:rPr>
        <w:t>人。</w:t>
      </w:r>
    </w:p>
    <w:p>
      <w:pPr>
        <w:spacing w:line="380" w:lineRule="exact"/>
        <w:ind w:firstLine="482" w:firstLineChars="200"/>
        <w:rPr>
          <w:rFonts w:hint="eastAsia" w:ascii="宋体" w:hAnsi="宋体" w:cs="宋体"/>
          <w:b/>
          <w:sz w:val="24"/>
          <w:lang w:eastAsia="zh-CN"/>
        </w:rPr>
      </w:pPr>
      <w:r>
        <w:rPr>
          <w:rFonts w:hint="eastAsia" w:ascii="宋体" w:hAnsi="宋体" w:cs="宋体"/>
          <w:b/>
          <w:sz w:val="24"/>
          <w:lang w:eastAsia="zh-CN"/>
        </w:rPr>
        <w:t>（二）验收专项服务</w:t>
      </w:r>
    </w:p>
    <w:p>
      <w:pPr>
        <w:spacing w:line="440" w:lineRule="exact"/>
        <w:ind w:firstLine="480" w:firstLineChars="200"/>
        <w:rPr>
          <w:rFonts w:hint="eastAsia" w:ascii="宋体" w:hAnsi="宋体" w:eastAsia="宋体" w:cs="宋体"/>
          <w:sz w:val="24"/>
        </w:rPr>
      </w:pPr>
      <w:r>
        <w:rPr>
          <w:rFonts w:hint="eastAsia" w:ascii="宋体" w:hAnsi="宋体" w:cs="宋体"/>
          <w:sz w:val="24"/>
          <w:lang w:val="en-US" w:eastAsia="zh-CN"/>
        </w:rPr>
        <w:t>1、</w:t>
      </w:r>
      <w:r>
        <w:rPr>
          <w:rFonts w:hint="eastAsia" w:ascii="宋体" w:hAnsi="宋体" w:cs="宋体"/>
          <w:sz w:val="24"/>
        </w:rPr>
        <w:t>根据最新《浙江省未来社区验收办法（试行）》要求，开展验收过程咨询指导并编制未来社区验收自评报告，报告具体</w:t>
      </w:r>
      <w:r>
        <w:rPr>
          <w:rFonts w:hint="eastAsia" w:ascii="宋体" w:hAnsi="宋体" w:eastAsia="宋体" w:cs="宋体"/>
          <w:sz w:val="24"/>
        </w:rPr>
        <w:t>内容包括：</w:t>
      </w:r>
    </w:p>
    <w:p>
      <w:pPr>
        <w:spacing w:line="44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1.1、考核相关项目梳理，验收线路确定；</w:t>
      </w:r>
    </w:p>
    <w:p>
      <w:pPr>
        <w:spacing w:line="44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1.2、项目建设和验收氛围营造的服务指导；</w:t>
      </w:r>
    </w:p>
    <w:p>
      <w:pPr>
        <w:spacing w:line="44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1.3、验收台账资料收集整理和系统上传；</w:t>
      </w:r>
    </w:p>
    <w:p>
      <w:pPr>
        <w:spacing w:line="44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1.4、优秀案例编制；</w:t>
      </w:r>
    </w:p>
    <w:p>
      <w:pPr>
        <w:spacing w:line="44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1.5、验收汇报材料（含ppt）的起草；</w:t>
      </w:r>
    </w:p>
    <w:p>
      <w:pPr>
        <w:spacing w:line="440" w:lineRule="exact"/>
        <w:ind w:firstLine="482" w:firstLineChars="200"/>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2、项目具体内容</w:t>
      </w:r>
    </w:p>
    <w:tbl>
      <w:tblPr>
        <w:tblStyle w:val="24"/>
        <w:tblW w:w="9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367"/>
        <w:gridCol w:w="4300"/>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3" w:type="dxa"/>
            <w:gridSpan w:val="4"/>
            <w:noWrap w:val="0"/>
            <w:vAlign w:val="top"/>
          </w:tcPr>
          <w:p>
            <w:pPr>
              <w:spacing w:line="440" w:lineRule="exact"/>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验收顾问服务内容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noWrap w:val="0"/>
            <w:vAlign w:val="top"/>
          </w:tcPr>
          <w:p>
            <w:pPr>
              <w:spacing w:line="440" w:lineRule="exact"/>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服务项目</w:t>
            </w:r>
          </w:p>
        </w:tc>
        <w:tc>
          <w:tcPr>
            <w:tcW w:w="1367" w:type="dxa"/>
            <w:noWrap w:val="0"/>
            <w:vAlign w:val="top"/>
          </w:tcPr>
          <w:p>
            <w:pPr>
              <w:spacing w:line="440" w:lineRule="exact"/>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服务内容</w:t>
            </w:r>
          </w:p>
        </w:tc>
        <w:tc>
          <w:tcPr>
            <w:tcW w:w="4300" w:type="dxa"/>
            <w:noWrap w:val="0"/>
            <w:vAlign w:val="top"/>
          </w:tcPr>
          <w:p>
            <w:pPr>
              <w:spacing w:line="440" w:lineRule="exact"/>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内容说明</w:t>
            </w:r>
          </w:p>
        </w:tc>
        <w:tc>
          <w:tcPr>
            <w:tcW w:w="2789" w:type="dxa"/>
            <w:noWrap w:val="0"/>
            <w:vAlign w:val="top"/>
          </w:tcPr>
          <w:p>
            <w:pPr>
              <w:spacing w:line="440" w:lineRule="exact"/>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7" w:type="dxa"/>
            <w:noWrap w:val="0"/>
            <w:vAlign w:val="center"/>
          </w:tcPr>
          <w:p>
            <w:pPr>
              <w:widowControl/>
              <w:jc w:val="center"/>
              <w:textAlignment w:val="center"/>
              <w:rPr>
                <w:rFonts w:hint="eastAsia" w:ascii="宋体" w:hAnsi="宋体" w:eastAsia="宋体" w:cs="宋体"/>
                <w:b w:val="0"/>
                <w:bCs w:val="0"/>
                <w:sz w:val="24"/>
                <w:szCs w:val="24"/>
                <w:vertAlign w:val="baseline"/>
                <w:lang w:eastAsia="zh-CN"/>
              </w:rPr>
            </w:pPr>
            <w:r>
              <w:rPr>
                <w:rFonts w:hint="eastAsia" w:ascii="宋体" w:hAnsi="宋体" w:cs="宋体"/>
                <w:color w:val="000000"/>
                <w:kern w:val="0"/>
                <w:sz w:val="24"/>
                <w:lang w:bidi="ar"/>
              </w:rPr>
              <w:t>验收评估服务</w:t>
            </w:r>
          </w:p>
        </w:tc>
        <w:tc>
          <w:tcPr>
            <w:tcW w:w="1367" w:type="dxa"/>
            <w:noWrap w:val="0"/>
            <w:vAlign w:val="center"/>
          </w:tcPr>
          <w:p>
            <w:pPr>
              <w:widowControl/>
              <w:jc w:val="center"/>
              <w:textAlignment w:val="center"/>
              <w:rPr>
                <w:rFonts w:hint="eastAsia" w:ascii="宋体" w:hAnsi="宋体" w:eastAsia="宋体" w:cs="宋体"/>
                <w:b w:val="0"/>
                <w:bCs w:val="0"/>
                <w:sz w:val="24"/>
                <w:szCs w:val="24"/>
                <w:vertAlign w:val="baseline"/>
                <w:lang w:eastAsia="zh-CN"/>
              </w:rPr>
            </w:pPr>
            <w:r>
              <w:rPr>
                <w:rFonts w:hint="eastAsia" w:ascii="宋体" w:hAnsi="宋体" w:cs="宋体"/>
                <w:color w:val="000000"/>
                <w:kern w:val="0"/>
                <w:sz w:val="24"/>
                <w:lang w:bidi="ar"/>
              </w:rPr>
              <w:t>未来社区建设成熟度评估</w:t>
            </w:r>
          </w:p>
        </w:tc>
        <w:tc>
          <w:tcPr>
            <w:tcW w:w="4300" w:type="dxa"/>
            <w:noWrap w:val="0"/>
            <w:vAlign w:val="center"/>
          </w:tcPr>
          <w:p>
            <w:pPr>
              <w:widowControl/>
              <w:jc w:val="center"/>
              <w:textAlignment w:val="center"/>
              <w:rPr>
                <w:rFonts w:hint="eastAsia" w:ascii="宋体" w:hAnsi="宋体" w:eastAsia="宋体" w:cs="宋体"/>
                <w:b w:val="0"/>
                <w:bCs w:val="0"/>
                <w:sz w:val="24"/>
                <w:szCs w:val="24"/>
                <w:vertAlign w:val="baseline"/>
                <w:lang w:eastAsia="zh-CN"/>
              </w:rPr>
            </w:pPr>
            <w:r>
              <w:rPr>
                <w:rFonts w:hint="eastAsia" w:ascii="宋体" w:hAnsi="宋体" w:cs="宋体"/>
                <w:color w:val="000000"/>
                <w:kern w:val="0"/>
                <w:sz w:val="24"/>
                <w:lang w:bidi="ar"/>
              </w:rPr>
              <w:t>根据未来社区验收政策及相关标准文件，对项目开展未来社区建设成熟度评估工作，包括社区场景建设及运营成熟度、数字化建设及运营成熟度等内容。</w:t>
            </w:r>
          </w:p>
        </w:tc>
        <w:tc>
          <w:tcPr>
            <w:tcW w:w="2789" w:type="dxa"/>
            <w:noWrap w:val="0"/>
            <w:vAlign w:val="center"/>
          </w:tcPr>
          <w:p>
            <w:pPr>
              <w:widowControl/>
              <w:jc w:val="left"/>
              <w:textAlignment w:val="center"/>
              <w:rPr>
                <w:rFonts w:hint="eastAsia" w:ascii="宋体" w:hAnsi="宋体" w:eastAsia="宋体" w:cs="宋体"/>
                <w:b w:val="0"/>
                <w:bCs w:val="0"/>
                <w:sz w:val="24"/>
                <w:szCs w:val="24"/>
                <w:vertAlign w:val="baseline"/>
                <w:lang w:eastAsia="zh-CN"/>
              </w:rPr>
            </w:pPr>
            <w:r>
              <w:rPr>
                <w:rFonts w:hint="eastAsia" w:ascii="宋体" w:hAnsi="宋体" w:cs="宋体"/>
                <w:color w:val="000000"/>
                <w:kern w:val="0"/>
                <w:sz w:val="24"/>
                <w:lang w:bidi="ar"/>
              </w:rPr>
              <w:t>完成项目自评，输出《项目未来社区建设成熟度自评表》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restart"/>
            <w:noWrap w:val="0"/>
            <w:vAlign w:val="top"/>
          </w:tcPr>
          <w:p>
            <w:pPr>
              <w:spacing w:line="440" w:lineRule="exact"/>
              <w:rPr>
                <w:rFonts w:hint="eastAsia" w:ascii="宋体" w:hAnsi="宋体" w:eastAsia="宋体" w:cs="宋体"/>
                <w:b/>
                <w:bCs/>
                <w:sz w:val="24"/>
                <w:szCs w:val="24"/>
                <w:vertAlign w:val="baseline"/>
                <w:lang w:eastAsia="zh-CN"/>
              </w:rPr>
            </w:pPr>
          </w:p>
          <w:p>
            <w:pPr>
              <w:spacing w:line="440" w:lineRule="exact"/>
              <w:rPr>
                <w:rFonts w:hint="eastAsia" w:ascii="宋体" w:hAnsi="宋体" w:eastAsia="宋体" w:cs="宋体"/>
                <w:b/>
                <w:bCs/>
                <w:sz w:val="24"/>
                <w:szCs w:val="24"/>
                <w:vertAlign w:val="baseline"/>
                <w:lang w:eastAsia="zh-CN"/>
              </w:rPr>
            </w:pPr>
          </w:p>
          <w:p>
            <w:pPr>
              <w:spacing w:line="440" w:lineRule="exact"/>
              <w:rPr>
                <w:rFonts w:hint="eastAsia" w:ascii="宋体" w:hAnsi="宋体" w:eastAsia="宋体" w:cs="宋体"/>
                <w:b/>
                <w:bCs/>
                <w:sz w:val="24"/>
                <w:szCs w:val="24"/>
                <w:vertAlign w:val="baseline"/>
                <w:lang w:eastAsia="zh-CN"/>
              </w:rPr>
            </w:pPr>
          </w:p>
          <w:p>
            <w:pPr>
              <w:spacing w:line="440" w:lineRule="exact"/>
              <w:rPr>
                <w:rFonts w:hint="eastAsia" w:ascii="宋体" w:hAnsi="宋体" w:eastAsia="宋体" w:cs="宋体"/>
                <w:b/>
                <w:bCs/>
                <w:sz w:val="24"/>
                <w:szCs w:val="24"/>
                <w:vertAlign w:val="baseline"/>
                <w:lang w:eastAsia="zh-CN"/>
              </w:rPr>
            </w:pPr>
          </w:p>
          <w:p>
            <w:pPr>
              <w:spacing w:line="440" w:lineRule="exact"/>
              <w:rPr>
                <w:rFonts w:hint="eastAsia" w:ascii="宋体" w:hAnsi="宋体" w:eastAsia="宋体" w:cs="宋体"/>
                <w:b/>
                <w:bCs/>
                <w:sz w:val="24"/>
                <w:szCs w:val="24"/>
                <w:vertAlign w:val="baseline"/>
                <w:lang w:eastAsia="zh-CN"/>
              </w:rPr>
            </w:pPr>
          </w:p>
          <w:p>
            <w:pPr>
              <w:spacing w:line="440" w:lineRule="exact"/>
              <w:rPr>
                <w:rFonts w:hint="eastAsia" w:ascii="宋体" w:hAnsi="宋体" w:eastAsia="宋体" w:cs="宋体"/>
                <w:b/>
                <w:bCs/>
                <w:sz w:val="24"/>
                <w:szCs w:val="24"/>
                <w:vertAlign w:val="baseline"/>
                <w:lang w:eastAsia="zh-CN"/>
              </w:rPr>
            </w:pPr>
          </w:p>
          <w:p>
            <w:pPr>
              <w:spacing w:line="440" w:lineRule="exact"/>
              <w:rPr>
                <w:rFonts w:hint="eastAsia" w:ascii="宋体" w:hAnsi="宋体" w:eastAsia="宋体" w:cs="宋体"/>
                <w:b/>
                <w:bCs/>
                <w:sz w:val="24"/>
                <w:szCs w:val="24"/>
                <w:vertAlign w:val="baseline"/>
                <w:lang w:eastAsia="zh-CN"/>
              </w:rPr>
            </w:pPr>
          </w:p>
          <w:p>
            <w:pPr>
              <w:spacing w:line="440" w:lineRule="exact"/>
              <w:rPr>
                <w:rFonts w:hint="eastAsia" w:ascii="宋体" w:hAnsi="宋体" w:eastAsia="宋体" w:cs="宋体"/>
                <w:b/>
                <w:bCs/>
                <w:sz w:val="24"/>
                <w:szCs w:val="24"/>
                <w:vertAlign w:val="baseline"/>
                <w:lang w:eastAsia="zh-CN"/>
              </w:rPr>
            </w:pPr>
          </w:p>
          <w:p>
            <w:pPr>
              <w:spacing w:line="440" w:lineRule="exact"/>
              <w:rPr>
                <w:rFonts w:hint="eastAsia" w:ascii="宋体" w:hAnsi="宋体" w:eastAsia="宋体" w:cs="宋体"/>
                <w:b/>
                <w:bCs/>
                <w:sz w:val="24"/>
                <w:szCs w:val="24"/>
                <w:vertAlign w:val="baseline"/>
                <w:lang w:eastAsia="zh-CN"/>
              </w:rPr>
            </w:pPr>
          </w:p>
          <w:p>
            <w:pPr>
              <w:spacing w:line="440" w:lineRule="exact"/>
              <w:rPr>
                <w:rFonts w:hint="eastAsia" w:ascii="宋体" w:hAnsi="宋体" w:eastAsia="宋体" w:cs="宋体"/>
                <w:b/>
                <w:bCs/>
                <w:sz w:val="24"/>
                <w:szCs w:val="24"/>
                <w:vertAlign w:val="baseline"/>
                <w:lang w:eastAsia="zh-CN"/>
              </w:rPr>
            </w:pPr>
          </w:p>
          <w:p>
            <w:pPr>
              <w:spacing w:line="440" w:lineRule="exact"/>
              <w:rPr>
                <w:rFonts w:hint="eastAsia" w:ascii="宋体" w:hAnsi="宋体" w:eastAsia="宋体" w:cs="宋体"/>
                <w:b/>
                <w:bCs/>
                <w:sz w:val="24"/>
                <w:szCs w:val="24"/>
                <w:vertAlign w:val="baseline"/>
                <w:lang w:eastAsia="zh-CN"/>
              </w:rPr>
            </w:pPr>
          </w:p>
          <w:p>
            <w:pPr>
              <w:spacing w:line="440" w:lineRule="exact"/>
              <w:jc w:val="center"/>
              <w:rPr>
                <w:rFonts w:hint="eastAsia" w:ascii="宋体" w:hAnsi="宋体" w:eastAsia="宋体" w:cs="宋体"/>
                <w:b/>
                <w:bCs/>
                <w:sz w:val="24"/>
                <w:szCs w:val="24"/>
                <w:vertAlign w:val="baseline"/>
                <w:lang w:eastAsia="zh-CN"/>
              </w:rPr>
            </w:pPr>
          </w:p>
          <w:p>
            <w:pPr>
              <w:spacing w:line="440" w:lineRule="exact"/>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验收咨询服务</w:t>
            </w:r>
          </w:p>
        </w:tc>
        <w:tc>
          <w:tcPr>
            <w:tcW w:w="1367" w:type="dxa"/>
            <w:noWrap w:val="0"/>
            <w:vAlign w:val="center"/>
          </w:tcPr>
          <w:p>
            <w:pPr>
              <w:widowControl/>
              <w:jc w:val="center"/>
              <w:textAlignment w:val="center"/>
              <w:rPr>
                <w:rFonts w:hint="eastAsia" w:ascii="宋体" w:hAnsi="宋体" w:eastAsia="宋体" w:cs="宋体"/>
                <w:b w:val="0"/>
                <w:bCs w:val="0"/>
                <w:sz w:val="24"/>
                <w:szCs w:val="24"/>
                <w:vertAlign w:val="baseline"/>
                <w:lang w:eastAsia="zh-CN"/>
              </w:rPr>
            </w:pPr>
            <w:r>
              <w:rPr>
                <w:rFonts w:hint="eastAsia" w:ascii="宋体" w:hAnsi="宋体" w:cs="宋体"/>
                <w:color w:val="000000"/>
                <w:kern w:val="0"/>
                <w:sz w:val="24"/>
                <w:lang w:bidi="ar"/>
              </w:rPr>
              <w:t>政策解读</w:t>
            </w:r>
          </w:p>
        </w:tc>
        <w:tc>
          <w:tcPr>
            <w:tcW w:w="4300"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根据未来社区验收政策，对未来社区验收办法进行解读；分析验收的重难点以及注意事项</w:t>
            </w:r>
            <w:r>
              <w:rPr>
                <w:rFonts w:hint="eastAsia" w:ascii="宋体" w:hAnsi="宋体" w:cs="宋体"/>
                <w:color w:val="000000"/>
                <w:kern w:val="0"/>
                <w:sz w:val="24"/>
                <w:lang w:eastAsia="zh-CN" w:bidi="ar"/>
              </w:rPr>
              <w:t>。</w:t>
            </w:r>
          </w:p>
        </w:tc>
        <w:tc>
          <w:tcPr>
            <w:tcW w:w="2789"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完成验收政策解读培训、验收重难点培训和验收注意事项培训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sz w:val="24"/>
                <w:szCs w:val="24"/>
                <w:vertAlign w:val="baseline"/>
                <w:lang w:eastAsia="zh-CN"/>
              </w:rPr>
            </w:pPr>
          </w:p>
        </w:tc>
        <w:tc>
          <w:tcPr>
            <w:tcW w:w="1367" w:type="dxa"/>
            <w:vMerge w:val="restart"/>
            <w:noWrap w:val="0"/>
            <w:vAlign w:val="center"/>
          </w:tcPr>
          <w:p>
            <w:pPr>
              <w:widowControl/>
              <w:jc w:val="center"/>
              <w:textAlignment w:val="center"/>
              <w:rPr>
                <w:rFonts w:hint="eastAsia" w:ascii="宋体" w:hAnsi="宋体" w:eastAsia="宋体" w:cs="宋体"/>
                <w:b w:val="0"/>
                <w:bCs w:val="0"/>
                <w:sz w:val="24"/>
                <w:szCs w:val="24"/>
                <w:vertAlign w:val="baseline"/>
                <w:lang w:eastAsia="zh-CN"/>
              </w:rPr>
            </w:pPr>
            <w:r>
              <w:rPr>
                <w:rFonts w:hint="eastAsia" w:ascii="宋体" w:hAnsi="宋体" w:cs="宋体"/>
                <w:color w:val="000000"/>
                <w:kern w:val="0"/>
                <w:sz w:val="24"/>
                <w:lang w:bidi="ar"/>
              </w:rPr>
              <w:t>项目解读</w:t>
            </w:r>
          </w:p>
        </w:tc>
        <w:tc>
          <w:tcPr>
            <w:tcW w:w="4300"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实地勘探项目基本情况，依据已备案的实施方案，分析项目建设总体定位、亮点场景打造策略、九大场景空间及数字化建设落地完成度</w:t>
            </w:r>
            <w:r>
              <w:rPr>
                <w:rFonts w:hint="eastAsia" w:ascii="宋体" w:hAnsi="宋体" w:cs="宋体"/>
                <w:color w:val="000000"/>
                <w:kern w:val="0"/>
                <w:sz w:val="24"/>
                <w:lang w:eastAsia="zh-CN" w:bidi="ar"/>
              </w:rPr>
              <w:t>。</w:t>
            </w:r>
          </w:p>
        </w:tc>
        <w:tc>
          <w:tcPr>
            <w:tcW w:w="2789"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输出项目实施方案落地完成度分析内容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sz w:val="24"/>
                <w:szCs w:val="24"/>
                <w:vertAlign w:val="baseline"/>
                <w:lang w:eastAsia="zh-CN"/>
              </w:rPr>
            </w:pPr>
          </w:p>
        </w:tc>
        <w:tc>
          <w:tcPr>
            <w:tcW w:w="1367" w:type="dxa"/>
            <w:vMerge w:val="continue"/>
            <w:noWrap w:val="0"/>
            <w:vAlign w:val="top"/>
          </w:tcPr>
          <w:p>
            <w:pPr>
              <w:spacing w:line="440" w:lineRule="exact"/>
              <w:rPr>
                <w:rFonts w:hint="eastAsia" w:ascii="宋体" w:hAnsi="宋体" w:eastAsia="宋体" w:cs="宋体"/>
                <w:b w:val="0"/>
                <w:bCs w:val="0"/>
                <w:sz w:val="24"/>
                <w:szCs w:val="24"/>
                <w:vertAlign w:val="baseline"/>
                <w:lang w:eastAsia="zh-CN"/>
              </w:rPr>
            </w:pPr>
          </w:p>
        </w:tc>
        <w:tc>
          <w:tcPr>
            <w:tcW w:w="4300"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通过项目验收启动会整合参与单位，构建权责分明、一体协作的验收项目团队</w:t>
            </w:r>
            <w:r>
              <w:rPr>
                <w:rFonts w:hint="eastAsia" w:ascii="宋体" w:hAnsi="宋体" w:cs="宋体"/>
                <w:color w:val="000000"/>
                <w:kern w:val="0"/>
                <w:sz w:val="24"/>
                <w:lang w:eastAsia="zh-CN" w:bidi="ar"/>
              </w:rPr>
              <w:t>。</w:t>
            </w:r>
          </w:p>
        </w:tc>
        <w:tc>
          <w:tcPr>
            <w:tcW w:w="2789"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（1）输出《项目考察建议明细》，确定服务项目及内容；</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（2）协助组建验收小组，输出《小组成员清单》和《各主体验收职责划分清单》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sz w:val="24"/>
                <w:szCs w:val="24"/>
                <w:vertAlign w:val="baseline"/>
                <w:lang w:eastAsia="zh-CN"/>
              </w:rPr>
            </w:pPr>
          </w:p>
        </w:tc>
        <w:tc>
          <w:tcPr>
            <w:tcW w:w="1367" w:type="dxa"/>
            <w:vMerge w:val="restart"/>
            <w:noWrap w:val="0"/>
            <w:vAlign w:val="center"/>
          </w:tcPr>
          <w:p>
            <w:pPr>
              <w:widowControl/>
              <w:jc w:val="center"/>
              <w:textAlignment w:val="center"/>
              <w:rPr>
                <w:rFonts w:hint="eastAsia" w:ascii="宋体" w:hAnsi="宋体" w:eastAsia="宋体" w:cs="宋体"/>
                <w:b w:val="0"/>
                <w:bCs w:val="0"/>
                <w:sz w:val="24"/>
                <w:szCs w:val="24"/>
                <w:vertAlign w:val="baseline"/>
                <w:lang w:eastAsia="zh-CN"/>
              </w:rPr>
            </w:pPr>
            <w:r>
              <w:rPr>
                <w:rFonts w:hint="eastAsia" w:ascii="宋体" w:hAnsi="宋体" w:cs="宋体"/>
                <w:color w:val="000000"/>
                <w:kern w:val="0"/>
                <w:sz w:val="24"/>
                <w:lang w:bidi="ar"/>
              </w:rPr>
              <w:t>报告指导</w:t>
            </w:r>
          </w:p>
        </w:tc>
        <w:tc>
          <w:tcPr>
            <w:tcW w:w="4300"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对验收全流程进行培训和持续跟进，确保指标拆解到位、对接主体明确、材料收集准确并完整</w:t>
            </w:r>
            <w:r>
              <w:rPr>
                <w:rFonts w:hint="eastAsia" w:ascii="宋体" w:hAnsi="宋体" w:cs="宋体"/>
                <w:color w:val="000000"/>
                <w:kern w:val="0"/>
                <w:sz w:val="24"/>
                <w:lang w:eastAsia="zh-CN" w:bidi="ar"/>
              </w:rPr>
              <w:t>。</w:t>
            </w:r>
          </w:p>
        </w:tc>
        <w:tc>
          <w:tcPr>
            <w:tcW w:w="2789"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完成九大场景响应度、数字化平台落地、运营可持续性、特色亮点塑造等要点要点培训</w:t>
            </w:r>
            <w:r>
              <w:rPr>
                <w:rFonts w:hint="eastAsia" w:ascii="宋体" w:hAnsi="宋体" w:cs="宋体"/>
                <w:color w:val="000000"/>
                <w:kern w:val="0"/>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sz w:val="24"/>
                <w:szCs w:val="24"/>
                <w:vertAlign w:val="baseline"/>
                <w:lang w:eastAsia="zh-CN"/>
              </w:rPr>
            </w:pPr>
          </w:p>
        </w:tc>
        <w:tc>
          <w:tcPr>
            <w:tcW w:w="1367" w:type="dxa"/>
            <w:vMerge w:val="continue"/>
            <w:noWrap w:val="0"/>
            <w:vAlign w:val="top"/>
          </w:tcPr>
          <w:p>
            <w:pPr>
              <w:spacing w:line="440" w:lineRule="exact"/>
              <w:rPr>
                <w:rFonts w:hint="eastAsia" w:ascii="宋体" w:hAnsi="宋体" w:eastAsia="宋体" w:cs="宋体"/>
                <w:b w:val="0"/>
                <w:bCs w:val="0"/>
                <w:sz w:val="24"/>
                <w:szCs w:val="24"/>
                <w:vertAlign w:val="baseline"/>
                <w:lang w:eastAsia="zh-CN"/>
              </w:rPr>
            </w:pPr>
          </w:p>
        </w:tc>
        <w:tc>
          <w:tcPr>
            <w:tcW w:w="4300"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针对九大场景响应、数字化平台落地、运营可持续性、特色亮点塑造等要点进行专项培训</w:t>
            </w:r>
            <w:r>
              <w:rPr>
                <w:rFonts w:hint="eastAsia" w:ascii="宋体" w:hAnsi="宋体" w:cs="宋体"/>
                <w:color w:val="000000"/>
                <w:kern w:val="0"/>
                <w:sz w:val="24"/>
                <w:lang w:eastAsia="zh-CN" w:bidi="ar"/>
              </w:rPr>
              <w:t>。</w:t>
            </w:r>
          </w:p>
        </w:tc>
        <w:tc>
          <w:tcPr>
            <w:tcW w:w="2789"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输出《九大场景佐证材料清单》、《各主体单位材料清单》、《材料缺失清单》、《报告拟评分及失分项标注文档》、《报告拟评分及失分项标注文档》，协助提交《验收报告》最终版</w:t>
            </w:r>
            <w:r>
              <w:rPr>
                <w:rFonts w:hint="eastAsia" w:ascii="宋体" w:hAnsi="宋体" w:cs="宋体"/>
                <w:color w:val="000000"/>
                <w:kern w:val="0"/>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sz w:val="24"/>
                <w:szCs w:val="24"/>
                <w:vertAlign w:val="baseline"/>
                <w:lang w:eastAsia="zh-CN"/>
              </w:rPr>
            </w:pPr>
          </w:p>
        </w:tc>
        <w:tc>
          <w:tcPr>
            <w:tcW w:w="1367" w:type="dxa"/>
            <w:noWrap w:val="0"/>
            <w:vAlign w:val="center"/>
          </w:tcPr>
          <w:p>
            <w:pPr>
              <w:widowControl/>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运营指导</w:t>
            </w:r>
          </w:p>
        </w:tc>
        <w:tc>
          <w:tcPr>
            <w:tcW w:w="4300" w:type="dxa"/>
            <w:noWrap w:val="0"/>
            <w:vAlign w:val="center"/>
          </w:tcPr>
          <w:p>
            <w:pPr>
              <w:widowControl/>
              <w:jc w:val="left"/>
              <w:textAlignment w:val="center"/>
              <w:rPr>
                <w:rFonts w:hint="eastAsia" w:ascii="宋体" w:hAnsi="宋体" w:cs="宋体"/>
                <w:color w:val="auto"/>
                <w:kern w:val="0"/>
                <w:sz w:val="24"/>
                <w:lang w:eastAsia="zh-CN" w:bidi="ar"/>
              </w:rPr>
            </w:pPr>
            <w:r>
              <w:rPr>
                <w:rFonts w:hint="eastAsia" w:ascii="宋体" w:hAnsi="宋体" w:cs="宋体"/>
                <w:color w:val="auto"/>
                <w:kern w:val="0"/>
                <w:sz w:val="24"/>
                <w:lang w:bidi="ar"/>
              </w:rPr>
              <w:t>根据省市未来社区专班要求及验收标准要求，指导建设单位和运营单位根据未来社区数字化运营要求完成相关数字化运营等工作。</w:t>
            </w:r>
          </w:p>
        </w:tc>
        <w:tc>
          <w:tcPr>
            <w:tcW w:w="2789" w:type="dxa"/>
            <w:noWrap w:val="0"/>
            <w:vAlign w:val="top"/>
          </w:tcPr>
          <w:p>
            <w:pPr>
              <w:widowControl/>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围绕验收要求，对场景布置、空间运营、线上运营、宣传工作及其他过程性工作做全过程指导</w:t>
            </w:r>
            <w:r>
              <w:rPr>
                <w:rFonts w:hint="eastAsia" w:ascii="宋体" w:hAnsi="宋体" w:cs="宋体"/>
                <w:color w:val="000000"/>
                <w:kern w:val="0"/>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sz w:val="24"/>
                <w:szCs w:val="24"/>
                <w:vertAlign w:val="baseline"/>
                <w:lang w:eastAsia="zh-CN"/>
              </w:rPr>
            </w:pPr>
          </w:p>
        </w:tc>
        <w:tc>
          <w:tcPr>
            <w:tcW w:w="1367" w:type="dxa"/>
            <w:noWrap w:val="0"/>
            <w:vAlign w:val="center"/>
          </w:tcPr>
          <w:p>
            <w:pPr>
              <w:widowControl/>
              <w:jc w:val="center"/>
              <w:textAlignment w:val="center"/>
              <w:rPr>
                <w:rFonts w:hint="eastAsia" w:ascii="宋体" w:hAnsi="宋体" w:eastAsia="宋体" w:cs="宋体"/>
                <w:b w:val="0"/>
                <w:bCs w:val="0"/>
                <w:sz w:val="24"/>
                <w:szCs w:val="24"/>
                <w:vertAlign w:val="baseline"/>
                <w:lang w:eastAsia="zh-CN"/>
              </w:rPr>
            </w:pPr>
            <w:r>
              <w:rPr>
                <w:rFonts w:hint="eastAsia" w:ascii="宋体" w:hAnsi="宋体" w:cs="宋体"/>
                <w:color w:val="000000"/>
                <w:kern w:val="0"/>
                <w:sz w:val="24"/>
                <w:lang w:bidi="ar"/>
              </w:rPr>
              <w:t>节点管控</w:t>
            </w:r>
          </w:p>
        </w:tc>
        <w:tc>
          <w:tcPr>
            <w:tcW w:w="4300"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制定验收工作排期表并与各参与单位同步，对验收节奏进行整体把控，对整个验收时间节点进行过程管理</w:t>
            </w:r>
            <w:r>
              <w:rPr>
                <w:rFonts w:hint="eastAsia" w:ascii="宋体" w:hAnsi="宋体" w:cs="宋体"/>
                <w:color w:val="000000"/>
                <w:kern w:val="0"/>
                <w:sz w:val="24"/>
                <w:lang w:eastAsia="zh-CN" w:bidi="ar"/>
              </w:rPr>
              <w:t>。</w:t>
            </w:r>
          </w:p>
        </w:tc>
        <w:tc>
          <w:tcPr>
            <w:tcW w:w="2789"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《验收工作排期表》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sz w:val="24"/>
                <w:szCs w:val="24"/>
                <w:vertAlign w:val="baseline"/>
                <w:lang w:eastAsia="zh-CN"/>
              </w:rPr>
            </w:pPr>
          </w:p>
        </w:tc>
        <w:tc>
          <w:tcPr>
            <w:tcW w:w="1367" w:type="dxa"/>
            <w:noWrap w:val="0"/>
            <w:vAlign w:val="center"/>
          </w:tcPr>
          <w:p>
            <w:pPr>
              <w:widowControl/>
              <w:jc w:val="center"/>
              <w:textAlignment w:val="center"/>
              <w:rPr>
                <w:rFonts w:hint="eastAsia" w:ascii="宋体" w:hAnsi="宋体" w:eastAsia="宋体" w:cs="宋体"/>
                <w:b w:val="0"/>
                <w:bCs w:val="0"/>
                <w:sz w:val="24"/>
                <w:szCs w:val="24"/>
                <w:vertAlign w:val="baseline"/>
                <w:lang w:eastAsia="zh-CN"/>
              </w:rPr>
            </w:pPr>
            <w:r>
              <w:rPr>
                <w:rFonts w:hint="eastAsia" w:ascii="宋体" w:hAnsi="宋体" w:cs="宋体"/>
                <w:color w:val="000000"/>
                <w:kern w:val="0"/>
                <w:sz w:val="24"/>
                <w:lang w:bidi="ar"/>
              </w:rPr>
              <w:t>报告指导</w:t>
            </w:r>
          </w:p>
        </w:tc>
        <w:tc>
          <w:tcPr>
            <w:tcW w:w="4300"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提供验收报告撰写的标准格式要求，并指导各单位进行报告各板块内容编写</w:t>
            </w:r>
            <w:r>
              <w:rPr>
                <w:rFonts w:hint="eastAsia" w:ascii="宋体" w:hAnsi="宋体" w:cs="宋体"/>
                <w:color w:val="000000"/>
                <w:kern w:val="0"/>
                <w:sz w:val="24"/>
                <w:lang w:eastAsia="zh-CN" w:bidi="ar"/>
              </w:rPr>
              <w:t>。</w:t>
            </w:r>
          </w:p>
        </w:tc>
        <w:tc>
          <w:tcPr>
            <w:tcW w:w="2789" w:type="dxa"/>
            <w:noWrap w:val="0"/>
            <w:vAlign w:val="center"/>
          </w:tcPr>
          <w:p>
            <w:pPr>
              <w:widowControl/>
              <w:jc w:val="left"/>
              <w:textAlignment w:val="center"/>
              <w:rPr>
                <w:rFonts w:hint="eastAsia" w:ascii="宋体" w:hAnsi="宋体" w:eastAsia="宋体" w:cs="宋体"/>
                <w:b/>
                <w:bCs/>
                <w:sz w:val="24"/>
                <w:szCs w:val="24"/>
                <w:vertAlign w:val="baseline"/>
                <w:lang w:eastAsia="zh-CN"/>
              </w:rPr>
            </w:pPr>
            <w:r>
              <w:rPr>
                <w:rFonts w:hint="eastAsia" w:ascii="宋体" w:hAnsi="宋体" w:cs="宋体"/>
                <w:color w:val="000000"/>
                <w:kern w:val="0"/>
                <w:sz w:val="24"/>
                <w:lang w:bidi="ar"/>
              </w:rPr>
              <w:t>输出《报告撰写标准格式参考书》</w:t>
            </w:r>
          </w:p>
        </w:tc>
      </w:tr>
    </w:tbl>
    <w:p>
      <w:pPr>
        <w:spacing w:line="440" w:lineRule="exact"/>
        <w:rPr>
          <w:rFonts w:hint="eastAsia" w:ascii="宋体" w:hAnsi="宋体" w:eastAsia="宋体" w:cs="宋体"/>
          <w:b/>
          <w:bCs/>
          <w:sz w:val="24"/>
          <w:szCs w:val="24"/>
          <w:lang w:eastAsia="zh-CN"/>
        </w:rPr>
      </w:pPr>
    </w:p>
    <w:tbl>
      <w:tblPr>
        <w:tblStyle w:val="24"/>
        <w:tblW w:w="9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1765"/>
        <w:gridCol w:w="3770"/>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9" w:type="dxa"/>
            <w:gridSpan w:val="4"/>
            <w:noWrap w:val="0"/>
            <w:vAlign w:val="top"/>
          </w:tcPr>
          <w:p>
            <w:pPr>
              <w:spacing w:line="440" w:lineRule="exact"/>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验收台账撰写服务内容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noWrap w:val="0"/>
            <w:vAlign w:val="top"/>
          </w:tcPr>
          <w:p>
            <w:pPr>
              <w:spacing w:line="440" w:lineRule="exact"/>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服务项目</w:t>
            </w:r>
          </w:p>
        </w:tc>
        <w:tc>
          <w:tcPr>
            <w:tcW w:w="1765" w:type="dxa"/>
            <w:noWrap w:val="0"/>
            <w:vAlign w:val="top"/>
          </w:tcPr>
          <w:p>
            <w:pPr>
              <w:spacing w:line="440" w:lineRule="exact"/>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服务内容</w:t>
            </w:r>
          </w:p>
        </w:tc>
        <w:tc>
          <w:tcPr>
            <w:tcW w:w="3770" w:type="dxa"/>
            <w:noWrap w:val="0"/>
            <w:vAlign w:val="top"/>
          </w:tcPr>
          <w:p>
            <w:pPr>
              <w:spacing w:line="440" w:lineRule="exact"/>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内容说明</w:t>
            </w:r>
          </w:p>
        </w:tc>
        <w:tc>
          <w:tcPr>
            <w:tcW w:w="2672" w:type="dxa"/>
            <w:noWrap w:val="0"/>
            <w:vAlign w:val="top"/>
          </w:tcPr>
          <w:p>
            <w:pPr>
              <w:spacing w:line="440" w:lineRule="exact"/>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restar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自评报告</w:t>
            </w:r>
          </w:p>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编制</w:t>
            </w:r>
          </w:p>
        </w:tc>
        <w:tc>
          <w:tcPr>
            <w:tcW w:w="1765" w:type="dxa"/>
            <w:vMerge w:val="restart"/>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报告撰写</w:t>
            </w: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《实施方案符合度》篇章</w:t>
            </w:r>
          </w:p>
        </w:tc>
        <w:tc>
          <w:tcPr>
            <w:tcW w:w="2672"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指导设计单位，输出《实施方案符合度》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p>
        </w:tc>
        <w:tc>
          <w:tcPr>
            <w:tcW w:w="176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《九大场景响应》篇章</w:t>
            </w:r>
          </w:p>
        </w:tc>
        <w:tc>
          <w:tcPr>
            <w:tcW w:w="2672"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输出《场景响应度自评报告》，街道和社区提供所需素材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p>
        </w:tc>
        <w:tc>
          <w:tcPr>
            <w:tcW w:w="176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《数字化平台落地》篇章</w:t>
            </w:r>
          </w:p>
        </w:tc>
        <w:tc>
          <w:tcPr>
            <w:tcW w:w="2672"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指导数字化建设单位，输出《数字化平台落地性自评报告》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p>
        </w:tc>
        <w:tc>
          <w:tcPr>
            <w:tcW w:w="176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《运营可持续性》篇章</w:t>
            </w:r>
          </w:p>
        </w:tc>
        <w:tc>
          <w:tcPr>
            <w:tcW w:w="2672"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指导输出《运营可持续性自评报告》，运营单位协助提供素材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p>
        </w:tc>
        <w:tc>
          <w:tcPr>
            <w:tcW w:w="176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《特色亮点塑造》篇章</w:t>
            </w:r>
          </w:p>
        </w:tc>
        <w:tc>
          <w:tcPr>
            <w:tcW w:w="2672"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指导输出《特色亮点塑造自评报告》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p>
        </w:tc>
        <w:tc>
          <w:tcPr>
            <w:tcW w:w="1765"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报告补充</w:t>
            </w: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根据评审专家意见，对验收报告的内容进行整改、资料补充，并上传提交</w:t>
            </w:r>
            <w:r>
              <w:rPr>
                <w:rFonts w:hint="eastAsia" w:ascii="宋体" w:hAnsi="宋体" w:cs="宋体"/>
                <w:i w:val="0"/>
                <w:iCs w:val="0"/>
                <w:color w:val="000000"/>
                <w:kern w:val="0"/>
                <w:sz w:val="24"/>
                <w:szCs w:val="24"/>
                <w:u w:val="none"/>
                <w:lang w:val="en-US" w:eastAsia="zh-CN" w:bidi="ar"/>
              </w:rPr>
              <w:t>。</w:t>
            </w:r>
          </w:p>
        </w:tc>
        <w:tc>
          <w:tcPr>
            <w:tcW w:w="2672"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输出《验收补充材料》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p>
        </w:tc>
        <w:tc>
          <w:tcPr>
            <w:tcW w:w="1765"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现场验收材料准备</w:t>
            </w: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根据专班验收通知，核对验收要求及进行材料准备；并参与验收专家评审，协助进行验收讲解、现场答辩等</w:t>
            </w:r>
            <w:r>
              <w:rPr>
                <w:rFonts w:hint="eastAsia" w:ascii="宋体" w:hAnsi="宋体" w:cs="宋体"/>
                <w:i w:val="0"/>
                <w:iCs w:val="0"/>
                <w:color w:val="000000"/>
                <w:kern w:val="0"/>
                <w:sz w:val="24"/>
                <w:szCs w:val="24"/>
                <w:u w:val="none"/>
                <w:lang w:val="en-US" w:eastAsia="zh-CN" w:bidi="ar"/>
              </w:rPr>
              <w:t>。</w:t>
            </w:r>
          </w:p>
        </w:tc>
        <w:tc>
          <w:tcPr>
            <w:tcW w:w="2672"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记录《专家评审改进要点》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验收整改实施服务</w:t>
            </w:r>
          </w:p>
        </w:tc>
        <w:tc>
          <w:tcPr>
            <w:tcW w:w="1765"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验收整改</w:t>
            </w: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根据专家评审意见，针对性验收整改内容进行落地性策划（包括线上运营、活动运营、宣传策划、社区展陈等方面）</w:t>
            </w:r>
            <w:r>
              <w:rPr>
                <w:rFonts w:hint="eastAsia" w:ascii="宋体" w:hAnsi="宋体" w:cs="宋体"/>
                <w:i w:val="0"/>
                <w:iCs w:val="0"/>
                <w:color w:val="000000"/>
                <w:kern w:val="0"/>
                <w:sz w:val="24"/>
                <w:szCs w:val="24"/>
                <w:u w:val="none"/>
                <w:lang w:val="en-US" w:eastAsia="zh-CN" w:bidi="ar"/>
              </w:rPr>
              <w:t>。</w:t>
            </w:r>
          </w:p>
        </w:tc>
        <w:tc>
          <w:tcPr>
            <w:tcW w:w="2672" w:type="dxa"/>
            <w:noWrap w:val="0"/>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输出《整改实施指导意见》及《策划方案》</w:t>
            </w:r>
          </w:p>
        </w:tc>
      </w:tr>
    </w:tbl>
    <w:p>
      <w:pPr>
        <w:pStyle w:val="10"/>
        <w:rPr>
          <w:rFonts w:hint="default"/>
          <w:lang w:val="en-US" w:eastAsia="zh-CN"/>
        </w:rPr>
      </w:pPr>
      <w:r>
        <w:rPr>
          <w:rFonts w:hint="eastAsia"/>
          <w:lang w:val="en-US" w:eastAsia="zh-CN"/>
        </w:rPr>
        <w:t xml:space="preserve"> </w:t>
      </w:r>
    </w:p>
    <w:p>
      <w:pPr>
        <w:spacing w:line="380" w:lineRule="exact"/>
        <w:ind w:firstLine="482" w:firstLineChars="200"/>
        <w:rPr>
          <w:rFonts w:hint="eastAsia" w:ascii="宋体" w:hAnsi="宋体" w:cs="宋体"/>
          <w:b/>
          <w:sz w:val="24"/>
          <w:lang w:eastAsia="zh-CN"/>
        </w:rPr>
      </w:pPr>
      <w:r>
        <w:rPr>
          <w:rFonts w:hint="eastAsia" w:ascii="宋体" w:hAnsi="宋体" w:cs="宋体"/>
          <w:b/>
          <w:sz w:val="24"/>
          <w:lang w:eastAsia="zh-CN"/>
        </w:rPr>
        <w:t>五、编制质量</w:t>
      </w:r>
    </w:p>
    <w:p>
      <w:pPr>
        <w:spacing w:line="380" w:lineRule="exact"/>
        <w:ind w:firstLine="480" w:firstLineChars="200"/>
        <w:rPr>
          <w:rFonts w:hint="eastAsia" w:ascii="宋体" w:hAnsi="宋体" w:cs="宋体"/>
          <w:color w:val="auto"/>
          <w:sz w:val="24"/>
          <w:lang w:eastAsia="zh-CN"/>
        </w:rPr>
      </w:pPr>
      <w:r>
        <w:rPr>
          <w:rFonts w:hint="eastAsia" w:ascii="宋体" w:hAnsi="宋体" w:cs="宋体"/>
          <w:sz w:val="24"/>
          <w:lang w:eastAsia="zh-CN"/>
        </w:rPr>
        <w:t>通过专家评审，并列入省</w:t>
      </w:r>
      <w:r>
        <w:rPr>
          <w:rFonts w:hint="eastAsia" w:ascii="宋体" w:hAnsi="宋体" w:cs="宋体"/>
          <w:color w:val="auto"/>
          <w:sz w:val="24"/>
          <w:lang w:eastAsia="zh-CN"/>
        </w:rPr>
        <w:t>级未来社区创建名单，如未列入省级未来社区创建名单不支付任何费用。</w:t>
      </w:r>
    </w:p>
    <w:p>
      <w:pPr>
        <w:numPr>
          <w:ilvl w:val="0"/>
          <w:numId w:val="2"/>
        </w:numPr>
        <w:spacing w:line="380" w:lineRule="exact"/>
        <w:ind w:firstLine="482" w:firstLineChars="200"/>
        <w:rPr>
          <w:rFonts w:hint="eastAsia" w:ascii="宋体" w:hAnsi="宋体" w:cs="宋体"/>
          <w:b/>
          <w:color w:val="auto"/>
          <w:sz w:val="24"/>
          <w:lang w:eastAsia="zh-CN"/>
        </w:rPr>
      </w:pPr>
      <w:r>
        <w:rPr>
          <w:rFonts w:hint="eastAsia" w:ascii="宋体" w:hAnsi="宋体" w:cs="宋体"/>
          <w:b/>
          <w:color w:val="auto"/>
          <w:sz w:val="24"/>
          <w:lang w:eastAsia="zh-CN"/>
        </w:rPr>
        <w:t>服务周期</w:t>
      </w:r>
    </w:p>
    <w:p>
      <w:pPr>
        <w:numPr>
          <w:ilvl w:val="0"/>
          <w:numId w:val="0"/>
        </w:numPr>
        <w:spacing w:line="380" w:lineRule="exact"/>
        <w:ind w:firstLine="480" w:firstLineChars="200"/>
        <w:rPr>
          <w:rFonts w:hint="default" w:ascii="宋体" w:hAnsi="宋体" w:eastAsia="宋体" w:cs="宋体"/>
          <w:b w:val="0"/>
          <w:bCs/>
          <w:color w:val="auto"/>
          <w:sz w:val="24"/>
          <w:lang w:val="en-US" w:eastAsia="zh-CN"/>
        </w:rPr>
      </w:pPr>
      <w:r>
        <w:rPr>
          <w:rFonts w:hint="eastAsia" w:ascii="宋体" w:hAnsi="宋体" w:cs="宋体"/>
          <w:b w:val="0"/>
          <w:bCs/>
          <w:color w:val="auto"/>
          <w:sz w:val="24"/>
          <w:lang w:val="en-US" w:eastAsia="zh-CN"/>
        </w:rPr>
        <w:t>30日历天内</w:t>
      </w:r>
      <w:r>
        <w:rPr>
          <w:rFonts w:hint="eastAsia" w:ascii="宋体" w:hAnsi="宋体" w:eastAsia="宋体" w:cs="宋体"/>
          <w:b w:val="0"/>
          <w:bCs/>
          <w:color w:val="auto"/>
          <w:sz w:val="24"/>
          <w:lang w:val="en-US" w:eastAsia="zh-CN"/>
        </w:rPr>
        <w:t>完成实施方案编制</w:t>
      </w:r>
      <w:r>
        <w:rPr>
          <w:rFonts w:hint="eastAsia" w:ascii="宋体" w:hAnsi="宋体" w:cs="宋体"/>
          <w:b w:val="0"/>
          <w:bCs/>
          <w:color w:val="auto"/>
          <w:sz w:val="24"/>
          <w:lang w:val="en-US" w:eastAsia="zh-CN"/>
        </w:rPr>
        <w:t>，专项服务根据项目实施进展在2025年12月底前完成</w:t>
      </w:r>
      <w:r>
        <w:rPr>
          <w:rFonts w:hint="eastAsia" w:ascii="宋体" w:hAnsi="宋体" w:eastAsia="宋体" w:cs="宋体"/>
          <w:b w:val="0"/>
          <w:bCs/>
          <w:color w:val="auto"/>
          <w:sz w:val="24"/>
          <w:lang w:val="en-US" w:eastAsia="zh-CN"/>
        </w:rPr>
        <w:t>。</w:t>
      </w:r>
      <w:r>
        <w:rPr>
          <w:rFonts w:hint="eastAsia" w:ascii="宋体" w:hAnsi="宋体" w:cs="宋体"/>
          <w:b w:val="0"/>
          <w:bCs/>
          <w:color w:val="auto"/>
          <w:sz w:val="24"/>
          <w:lang w:val="en-US" w:eastAsia="zh-CN"/>
        </w:rPr>
        <w:t>采购单位可根据实际情况分别签定单项合同。</w:t>
      </w:r>
    </w:p>
    <w:p>
      <w:pPr>
        <w:pStyle w:val="12"/>
        <w:keepNext w:val="0"/>
        <w:keepLines w:val="0"/>
        <w:pageBreakBefore w:val="0"/>
        <w:widowControl w:val="0"/>
        <w:kinsoku/>
        <w:wordWrap/>
        <w:overflowPunct/>
        <w:topLinePunct w:val="0"/>
        <w:autoSpaceDE/>
        <w:autoSpaceDN/>
        <w:bidi w:val="0"/>
        <w:adjustRightInd/>
        <w:spacing w:beforeLines="0" w:afterLines="0" w:line="440" w:lineRule="atLeast"/>
        <w:ind w:left="0"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sz w:val="24"/>
          <w:szCs w:val="24"/>
          <w:highlight w:val="none"/>
          <w:lang w:val="en-US" w:eastAsia="zh-CN"/>
        </w:rPr>
        <w:t>▲七、项目团队要求</w:t>
      </w:r>
    </w:p>
    <w:p>
      <w:pPr>
        <w:keepNext w:val="0"/>
        <w:keepLines w:val="0"/>
        <w:pageBreakBefore w:val="0"/>
        <w:widowControl w:val="0"/>
        <w:kinsoku/>
        <w:wordWrap/>
        <w:overflowPunct/>
        <w:topLinePunct w:val="0"/>
        <w:autoSpaceDE/>
        <w:autoSpaceDN/>
        <w:bidi w:val="0"/>
        <w:snapToGrid w:val="0"/>
        <w:spacing w:line="440" w:lineRule="atLeast"/>
        <w:ind w:left="0" w:leftChars="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pacing w:val="-6"/>
          <w:kern w:val="0"/>
          <w:sz w:val="24"/>
          <w:szCs w:val="24"/>
          <w:highlight w:val="none"/>
        </w:rPr>
        <w:t>本项目</w:t>
      </w:r>
      <w:r>
        <w:rPr>
          <w:rFonts w:hint="eastAsia" w:ascii="宋体" w:hAnsi="宋体" w:eastAsia="宋体" w:cs="宋体"/>
          <w:color w:val="auto"/>
          <w:spacing w:val="-6"/>
          <w:kern w:val="0"/>
          <w:sz w:val="24"/>
          <w:szCs w:val="24"/>
          <w:highlight w:val="none"/>
          <w:lang w:eastAsia="zh-CN"/>
        </w:rPr>
        <w:t>拟派人员</w:t>
      </w:r>
      <w:r>
        <w:rPr>
          <w:rFonts w:hint="eastAsia" w:ascii="宋体" w:hAnsi="宋体" w:eastAsia="宋体" w:cs="宋体"/>
          <w:color w:val="auto"/>
          <w:spacing w:val="-6"/>
          <w:kern w:val="0"/>
          <w:sz w:val="24"/>
          <w:szCs w:val="24"/>
          <w:highlight w:val="none"/>
        </w:rPr>
        <w:t>不</w:t>
      </w:r>
      <w:r>
        <w:rPr>
          <w:rFonts w:hint="eastAsia" w:ascii="宋体" w:hAnsi="宋体" w:eastAsia="宋体" w:cs="宋体"/>
          <w:color w:val="auto"/>
          <w:spacing w:val="-6"/>
          <w:kern w:val="0"/>
          <w:sz w:val="24"/>
          <w:szCs w:val="24"/>
          <w:highlight w:val="none"/>
          <w:lang w:eastAsia="zh-CN"/>
        </w:rPr>
        <w:t>得</w:t>
      </w:r>
      <w:r>
        <w:rPr>
          <w:rFonts w:hint="eastAsia" w:ascii="宋体" w:hAnsi="宋体" w:eastAsia="宋体" w:cs="宋体"/>
          <w:color w:val="auto"/>
          <w:spacing w:val="-6"/>
          <w:kern w:val="0"/>
          <w:sz w:val="24"/>
          <w:szCs w:val="24"/>
          <w:highlight w:val="none"/>
        </w:rPr>
        <w:t>少于</w:t>
      </w:r>
      <w:r>
        <w:rPr>
          <w:rFonts w:hint="eastAsia" w:ascii="宋体" w:hAnsi="宋体" w:eastAsia="宋体" w:cs="宋体"/>
          <w:color w:val="auto"/>
          <w:spacing w:val="-6"/>
          <w:kern w:val="0"/>
          <w:sz w:val="24"/>
          <w:szCs w:val="24"/>
          <w:highlight w:val="none"/>
          <w:lang w:val="en-US" w:eastAsia="zh-CN"/>
        </w:rPr>
        <w:t>7</w:t>
      </w:r>
      <w:r>
        <w:rPr>
          <w:rFonts w:hint="eastAsia" w:ascii="宋体" w:hAnsi="宋体" w:eastAsia="宋体" w:cs="宋体"/>
          <w:color w:val="auto"/>
          <w:spacing w:val="-6"/>
          <w:kern w:val="0"/>
          <w:sz w:val="24"/>
          <w:szCs w:val="24"/>
          <w:highlight w:val="none"/>
        </w:rPr>
        <w:t>人</w:t>
      </w:r>
      <w:r>
        <w:rPr>
          <w:rFonts w:hint="eastAsia" w:ascii="宋体" w:hAnsi="宋体" w:eastAsia="宋体" w:cs="宋体"/>
          <w:color w:val="auto"/>
          <w:spacing w:val="-6"/>
          <w:kern w:val="0"/>
          <w:sz w:val="24"/>
          <w:szCs w:val="24"/>
          <w:highlight w:val="none"/>
          <w:lang w:eastAsia="zh-CN"/>
        </w:rPr>
        <w:t>：包含项目负责人</w:t>
      </w:r>
      <w:r>
        <w:rPr>
          <w:rFonts w:hint="eastAsia" w:ascii="宋体" w:hAnsi="宋体" w:eastAsia="宋体" w:cs="宋体"/>
          <w:color w:val="auto"/>
          <w:spacing w:val="-6"/>
          <w:kern w:val="0"/>
          <w:sz w:val="24"/>
          <w:szCs w:val="24"/>
          <w:highlight w:val="none"/>
          <w:lang w:val="en-US" w:eastAsia="zh-CN"/>
        </w:rPr>
        <w:t>1名，其他项目人员6名。</w:t>
      </w:r>
    </w:p>
    <w:p>
      <w:pPr>
        <w:keepNext w:val="0"/>
        <w:keepLines w:val="0"/>
        <w:pageBreakBefore w:val="0"/>
        <w:widowControl w:val="0"/>
        <w:kinsoku/>
        <w:wordWrap/>
        <w:overflowPunct/>
        <w:topLinePunct w:val="0"/>
        <w:autoSpaceDE/>
        <w:autoSpaceDN/>
        <w:bidi w:val="0"/>
        <w:snapToGrid w:val="0"/>
        <w:spacing w:line="440" w:lineRule="atLeas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2、项目组成人员须报采购人备案，在履行合同过程中，未经采购人许可，项目负责人及项目组成人员不能更换。如遇特殊情况必须更换的，更换人员须满足工作及工作组组成要求，经采购人书面同意后，方可进行；投标人须做出项目组组成人员结构及同等人员更换承诺；采购人可根据招标项目性质、规模和复杂情况适当调整项目组人员。 </w:t>
      </w:r>
    </w:p>
    <w:p>
      <w:pPr>
        <w:keepNext w:val="0"/>
        <w:keepLines w:val="0"/>
        <w:pageBreakBefore w:val="0"/>
        <w:widowControl w:val="0"/>
        <w:kinsoku/>
        <w:wordWrap/>
        <w:overflowPunct/>
        <w:topLinePunct w:val="0"/>
        <w:autoSpaceDE/>
        <w:autoSpaceDN/>
        <w:bidi w:val="0"/>
        <w:snapToGrid w:val="0"/>
        <w:spacing w:line="440" w:lineRule="atLeast"/>
        <w:ind w:left="0" w:leftChars="0" w:firstLine="480" w:firstLineChars="200"/>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color w:val="000000"/>
          <w:sz w:val="24"/>
          <w:szCs w:val="24"/>
          <w:highlight w:val="none"/>
          <w:lang w:val="en-US" w:eastAsia="zh-CN"/>
        </w:rPr>
        <w:t>3、本次投标活动中标单位的项目负责人必须参加中标后第一轮对接，并由项目负责人本人负责初步方案、中间方案、专家评审方案及成果方案汇报，如不能按要求参加需书面征求采购人意见。中标单位须安排相关人员配合好采购人（业主单位）做好本项目进行中相关联的工作。</w:t>
      </w:r>
    </w:p>
    <w:p>
      <w:pPr>
        <w:spacing w:line="380" w:lineRule="exact"/>
        <w:ind w:firstLine="482" w:firstLineChars="200"/>
        <w:rPr>
          <w:rFonts w:hint="eastAsia" w:ascii="宋体" w:hAnsi="宋体" w:eastAsia="宋体" w:cs="宋体"/>
          <w:b/>
          <w:sz w:val="24"/>
          <w:lang w:val="en-US" w:eastAsia="zh-CN"/>
        </w:rPr>
      </w:pPr>
      <w:r>
        <w:rPr>
          <w:rFonts w:hint="eastAsia" w:ascii="宋体" w:hAnsi="宋体" w:cs="宋体"/>
          <w:b/>
          <w:sz w:val="24"/>
          <w:lang w:val="en-US" w:eastAsia="zh-CN"/>
        </w:rPr>
        <w:t>八</w:t>
      </w:r>
      <w:r>
        <w:rPr>
          <w:rFonts w:hint="eastAsia" w:ascii="宋体" w:hAnsi="宋体" w:eastAsia="宋体" w:cs="宋体"/>
          <w:b/>
          <w:sz w:val="24"/>
          <w:lang w:val="en-US" w:eastAsia="zh-CN"/>
        </w:rPr>
        <w:t>、报价要求</w:t>
      </w:r>
    </w:p>
    <w:p>
      <w:pPr>
        <w:spacing w:line="380" w:lineRule="exact"/>
        <w:ind w:firstLine="420"/>
        <w:rPr>
          <w:rFonts w:hint="eastAsia" w:ascii="宋体" w:hAnsi="宋体" w:cs="宋体"/>
          <w:sz w:val="24"/>
        </w:rPr>
      </w:pPr>
      <w:r>
        <w:rPr>
          <w:rFonts w:hint="eastAsia" w:ascii="宋体" w:hAnsi="宋体" w:cs="宋体"/>
          <w:sz w:val="24"/>
        </w:rPr>
        <w:t>▲</w:t>
      </w:r>
      <w:r>
        <w:rPr>
          <w:rFonts w:hint="eastAsia" w:ascii="宋体" w:hAnsi="宋体" w:eastAsia="宋体" w:cs="宋体"/>
          <w:color w:val="auto"/>
          <w:sz w:val="24"/>
          <w:szCs w:val="22"/>
          <w:highlight w:val="none"/>
        </w:rPr>
        <w:t>投标报价是履行合同的最终价格，应为承包完成本次投标需完成全部工作所发生的所有费用，并承担一切风险责任，</w:t>
      </w:r>
      <w:r>
        <w:rPr>
          <w:rFonts w:hint="eastAsia" w:ascii="宋体" w:hAnsi="宋体" w:eastAsia="宋体" w:cs="宋体"/>
          <w:color w:val="auto"/>
          <w:sz w:val="24"/>
          <w:szCs w:val="24"/>
          <w:highlight w:val="none"/>
        </w:rPr>
        <w:t>报价包括因领取基础资料、现场踏勘等需要产生的食、宿、交通等费用，</w:t>
      </w:r>
      <w:r>
        <w:rPr>
          <w:rFonts w:hint="eastAsia" w:ascii="宋体" w:hAnsi="宋体" w:eastAsia="宋体" w:cs="宋体"/>
          <w:color w:val="auto"/>
          <w:sz w:val="24"/>
          <w:szCs w:val="24"/>
          <w:highlight w:val="none"/>
          <w:lang w:eastAsia="zh-CN"/>
        </w:rPr>
        <w:t>编制</w:t>
      </w:r>
      <w:r>
        <w:rPr>
          <w:rFonts w:hint="eastAsia" w:ascii="宋体" w:hAnsi="宋体" w:eastAsia="宋体" w:cs="宋体"/>
          <w:color w:val="auto"/>
          <w:sz w:val="24"/>
          <w:szCs w:val="24"/>
          <w:highlight w:val="none"/>
        </w:rPr>
        <w:t>服务费、服务成果打印、</w:t>
      </w:r>
      <w:r>
        <w:rPr>
          <w:rFonts w:hint="eastAsia" w:ascii="宋体" w:hAnsi="宋体" w:eastAsia="宋体" w:cs="宋体"/>
          <w:b w:val="0"/>
          <w:bCs w:val="0"/>
          <w:kern w:val="2"/>
          <w:sz w:val="24"/>
          <w:szCs w:val="24"/>
          <w:lang w:val="en-US" w:eastAsia="zh-CN" w:bidi="ar-SA"/>
        </w:rPr>
        <w:t>人员劳务费（含人身意外保险费）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专家评审费、</w:t>
      </w:r>
      <w:r>
        <w:rPr>
          <w:rFonts w:hint="eastAsia" w:ascii="宋体" w:hAnsi="宋体" w:cs="宋体"/>
          <w:color w:val="auto"/>
          <w:sz w:val="24"/>
          <w:szCs w:val="24"/>
          <w:highlight w:val="none"/>
          <w:lang w:eastAsia="zh-CN"/>
        </w:rPr>
        <w:t>代理服务费、</w:t>
      </w:r>
      <w:r>
        <w:rPr>
          <w:rFonts w:hint="eastAsia" w:ascii="宋体" w:hAnsi="宋体" w:eastAsia="宋体" w:cs="宋体"/>
          <w:color w:val="auto"/>
          <w:sz w:val="24"/>
          <w:szCs w:val="24"/>
          <w:highlight w:val="none"/>
        </w:rPr>
        <w:t>售后服务</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税金等一切</w:t>
      </w:r>
      <w:r>
        <w:rPr>
          <w:rFonts w:hint="eastAsia" w:ascii="宋体" w:hAnsi="宋体" w:cs="宋体"/>
          <w:color w:val="auto"/>
          <w:sz w:val="24"/>
          <w:szCs w:val="24"/>
          <w:highlight w:val="none"/>
          <w:lang w:eastAsia="zh-CN"/>
        </w:rPr>
        <w:t>与本项目相关的</w:t>
      </w:r>
      <w:r>
        <w:rPr>
          <w:rFonts w:hint="eastAsia" w:ascii="宋体" w:hAnsi="宋体" w:eastAsia="宋体" w:cs="宋体"/>
          <w:color w:val="auto"/>
          <w:sz w:val="24"/>
          <w:szCs w:val="24"/>
          <w:highlight w:val="none"/>
        </w:rPr>
        <w:t>费用</w:t>
      </w:r>
      <w:r>
        <w:rPr>
          <w:rFonts w:hint="eastAsia" w:ascii="宋体" w:hAnsi="宋体" w:eastAsia="宋体" w:cs="宋体"/>
          <w:color w:val="auto"/>
          <w:sz w:val="24"/>
          <w:szCs w:val="22"/>
          <w:highlight w:val="none"/>
        </w:rPr>
        <w:t>。投标人所投报的投标报价为投标人所能承受的整个项目的最终最低报价，如有漏项，视同已包含在其它项目中，合同价不作调整。</w:t>
      </w:r>
    </w:p>
    <w:p>
      <w:pPr>
        <w:spacing w:line="380" w:lineRule="exact"/>
        <w:ind w:firstLine="482" w:firstLineChars="200"/>
        <w:rPr>
          <w:rFonts w:hint="eastAsia" w:ascii="宋体" w:hAnsi="宋体" w:cs="宋体"/>
          <w:b/>
          <w:sz w:val="24"/>
        </w:rPr>
      </w:pPr>
      <w:r>
        <w:rPr>
          <w:rFonts w:hint="eastAsia" w:ascii="宋体" w:hAnsi="宋体" w:cs="宋体"/>
          <w:b/>
          <w:sz w:val="24"/>
          <w:lang w:eastAsia="zh-CN"/>
        </w:rPr>
        <w:t>九</w:t>
      </w:r>
      <w:r>
        <w:rPr>
          <w:rFonts w:hint="eastAsia" w:ascii="宋体" w:hAnsi="宋体" w:cs="宋体"/>
          <w:b/>
          <w:sz w:val="24"/>
        </w:rPr>
        <w:t>、履约保证金及付款方式</w:t>
      </w:r>
    </w:p>
    <w:p>
      <w:pPr>
        <w:spacing w:line="380" w:lineRule="exact"/>
        <w:ind w:firstLine="420"/>
        <w:rPr>
          <w:rFonts w:hint="eastAsia" w:ascii="宋体" w:hAnsi="宋体" w:cs="宋体"/>
          <w:sz w:val="24"/>
        </w:rPr>
      </w:pPr>
      <w:r>
        <w:rPr>
          <w:rFonts w:hint="eastAsia" w:ascii="宋体" w:hAnsi="宋体" w:cs="宋体"/>
          <w:sz w:val="24"/>
        </w:rPr>
        <w:t>▲1、履约保证金：</w:t>
      </w:r>
      <w:r>
        <w:rPr>
          <w:rFonts w:hint="eastAsia" w:ascii="宋体" w:hAnsi="宋体" w:cs="宋体"/>
          <w:sz w:val="24"/>
          <w:lang w:eastAsia="zh-CN"/>
        </w:rPr>
        <w:t>本项目不收取</w:t>
      </w:r>
      <w:r>
        <w:rPr>
          <w:rFonts w:hint="eastAsia" w:ascii="宋体" w:hAnsi="宋体" w:cs="宋体"/>
          <w:sz w:val="24"/>
        </w:rPr>
        <w:t>履约保证金。</w:t>
      </w:r>
    </w:p>
    <w:p>
      <w:pPr>
        <w:spacing w:line="380" w:lineRule="exact"/>
        <w:ind w:firstLine="420"/>
        <w:rPr>
          <w:rFonts w:hint="eastAsia" w:ascii="宋体" w:hAnsi="宋体" w:eastAsia="宋体" w:cs="宋体"/>
          <w:b w:val="0"/>
          <w:bCs/>
          <w:color w:val="auto"/>
          <w:sz w:val="24"/>
          <w:lang w:val="en-US" w:eastAsia="zh-CN"/>
        </w:rPr>
      </w:pPr>
      <w:r>
        <w:rPr>
          <w:rFonts w:hint="eastAsia" w:ascii="宋体" w:hAnsi="宋体" w:cs="宋体"/>
          <w:sz w:val="24"/>
        </w:rPr>
        <w:t>▲2、</w:t>
      </w:r>
      <w:r>
        <w:rPr>
          <w:rFonts w:hint="eastAsia" w:ascii="宋体" w:hAnsi="宋体" w:eastAsia="宋体" w:cs="宋体"/>
          <w:b w:val="0"/>
          <w:bCs/>
          <w:sz w:val="24"/>
          <w:lang w:val="en-US" w:eastAsia="zh-CN"/>
        </w:rPr>
        <w:t>付款方式：</w:t>
      </w:r>
      <w:r>
        <w:rPr>
          <w:rFonts w:hint="eastAsia" w:ascii="宋体" w:hAnsi="宋体" w:eastAsia="宋体" w:cs="宋体"/>
          <w:b w:val="0"/>
          <w:bCs/>
          <w:color w:val="auto"/>
          <w:sz w:val="24"/>
          <w:lang w:val="en-US" w:eastAsia="zh-CN"/>
        </w:rPr>
        <w:t>合同签订具备实施条件后7个工作日内付至合同价款的</w:t>
      </w:r>
      <w:r>
        <w:rPr>
          <w:rFonts w:hint="eastAsia" w:ascii="宋体" w:hAnsi="宋体" w:cs="宋体"/>
          <w:b w:val="0"/>
          <w:bCs/>
          <w:color w:val="auto"/>
          <w:sz w:val="24"/>
          <w:lang w:val="en-US" w:eastAsia="zh-CN"/>
        </w:rPr>
        <w:t>4</w:t>
      </w:r>
      <w:r>
        <w:rPr>
          <w:rFonts w:hint="eastAsia" w:ascii="宋体" w:hAnsi="宋体" w:eastAsia="宋体" w:cs="宋体"/>
          <w:b w:val="0"/>
          <w:bCs/>
          <w:color w:val="auto"/>
          <w:sz w:val="24"/>
          <w:lang w:val="en-US" w:eastAsia="zh-CN"/>
        </w:rPr>
        <w:t>0%，单个社区通过专家评审完成备案后支付至该社区合同价款的60%；单个社区完成考核专项服务列入省未来社区建成名单后支付至该社区合同价款的100%。</w:t>
      </w:r>
    </w:p>
    <w:p>
      <w:pPr>
        <w:numPr>
          <w:ilvl w:val="0"/>
          <w:numId w:val="0"/>
        </w:numPr>
        <w:spacing w:line="38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在履行合同期间如成本有上涨或降低，采购人对价格一律不作调整。</w:t>
      </w:r>
    </w:p>
    <w:p>
      <w:pPr>
        <w:spacing w:line="380" w:lineRule="exact"/>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val="en-US" w:eastAsia="zh-CN"/>
        </w:rPr>
        <w:t>4、在签订合同时，中标方明确表示无需预付款或者主动要求降低预付款比例的，采购单位可不支付或减少预付款支付比例。</w:t>
      </w:r>
    </w:p>
    <w:p>
      <w:pPr>
        <w:spacing w:line="380" w:lineRule="exact"/>
        <w:ind w:firstLine="482" w:firstLineChars="200"/>
        <w:rPr>
          <w:rFonts w:hint="eastAsia" w:ascii="宋体" w:hAnsi="宋体" w:eastAsia="宋体" w:cs="宋体"/>
          <w:b/>
          <w:bCs w:val="0"/>
          <w:sz w:val="24"/>
          <w:lang w:eastAsia="zh-CN"/>
        </w:rPr>
      </w:pPr>
      <w:r>
        <w:rPr>
          <w:rFonts w:hint="eastAsia" w:ascii="宋体" w:hAnsi="宋体" w:cs="宋体"/>
          <w:b/>
          <w:bCs w:val="0"/>
          <w:sz w:val="24"/>
          <w:lang w:eastAsia="zh-CN"/>
        </w:rPr>
        <w:t>十</w:t>
      </w:r>
      <w:r>
        <w:rPr>
          <w:rFonts w:hint="eastAsia" w:ascii="宋体" w:hAnsi="宋体" w:eastAsia="宋体" w:cs="宋体"/>
          <w:b/>
          <w:bCs w:val="0"/>
          <w:sz w:val="24"/>
          <w:lang w:eastAsia="zh-CN"/>
        </w:rPr>
        <w:t>、验收</w:t>
      </w:r>
    </w:p>
    <w:p>
      <w:pPr>
        <w:spacing w:line="380" w:lineRule="exact"/>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 xml:space="preserve">根据中华人民共和国现行技术标准，按招标文件、投标文件以及合同规定的验收评定标准等规范，由采购人根据相关文件要求，通过专家评审后，列入省级未来社区创建名单为验收合格。 </w:t>
      </w:r>
    </w:p>
    <w:p>
      <w:pPr>
        <w:spacing w:line="380" w:lineRule="exact"/>
        <w:ind w:firstLine="482" w:firstLineChars="200"/>
        <w:rPr>
          <w:rFonts w:hint="eastAsia" w:ascii="宋体" w:hAnsi="宋体" w:eastAsia="宋体" w:cs="宋体"/>
          <w:b/>
          <w:bCs w:val="0"/>
          <w:sz w:val="24"/>
          <w:lang w:eastAsia="zh-CN"/>
        </w:rPr>
      </w:pPr>
      <w:r>
        <w:rPr>
          <w:rFonts w:hint="eastAsia" w:ascii="宋体" w:hAnsi="宋体" w:eastAsia="宋体" w:cs="宋体"/>
          <w:b/>
          <w:bCs w:val="0"/>
          <w:sz w:val="24"/>
          <w:lang w:eastAsia="zh-CN"/>
        </w:rPr>
        <w:t>十</w:t>
      </w:r>
      <w:r>
        <w:rPr>
          <w:rFonts w:hint="eastAsia" w:ascii="宋体" w:hAnsi="宋体" w:cs="宋体"/>
          <w:b/>
          <w:bCs w:val="0"/>
          <w:sz w:val="24"/>
          <w:lang w:eastAsia="zh-CN"/>
        </w:rPr>
        <w:t>一</w:t>
      </w:r>
      <w:r>
        <w:rPr>
          <w:rFonts w:hint="eastAsia" w:ascii="宋体" w:hAnsi="宋体" w:eastAsia="宋体" w:cs="宋体"/>
          <w:b/>
          <w:bCs w:val="0"/>
          <w:sz w:val="24"/>
          <w:lang w:eastAsia="zh-CN"/>
        </w:rPr>
        <w:t>、知识产权及保密</w:t>
      </w:r>
    </w:p>
    <w:p>
      <w:pPr>
        <w:spacing w:line="380" w:lineRule="exact"/>
        <w:ind w:firstLine="480" w:firstLineChars="200"/>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1、采购人支付相应的费用后即取得本项目所有成果和文件的所有权、使用权和知识产权。</w:t>
      </w:r>
    </w:p>
    <w:p>
      <w:pPr>
        <w:spacing w:line="380" w:lineRule="exact"/>
        <w:ind w:firstLine="480" w:firstLineChars="200"/>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2、中标人保证本项目所有成果和文件未侵犯他人的知识产权，否则须承担由此引起的全部法律责任和经济责任；若中标人使用他人的专利、专有技术，中标人应自行承担所涉及的一切费用。</w:t>
      </w:r>
    </w:p>
    <w:p>
      <w:pPr>
        <w:spacing w:line="380" w:lineRule="exact"/>
        <w:ind w:firstLine="480" w:firstLineChars="200"/>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 xml:space="preserve">3、中标人须建立严格的保密制度，并加强对工作人员的保密管理及保密知识教育。 </w:t>
      </w:r>
    </w:p>
    <w:p>
      <w:pPr>
        <w:spacing w:line="380" w:lineRule="exact"/>
        <w:ind w:firstLine="480" w:firstLineChars="200"/>
        <w:rPr>
          <w:rFonts w:hint="eastAsia" w:ascii="宋体" w:hAnsi="宋体" w:eastAsia="宋体" w:cs="宋体"/>
          <w:sz w:val="24"/>
          <w:lang w:val="en-US" w:eastAsia="zh-CN"/>
        </w:rPr>
      </w:pPr>
      <w:r>
        <w:rPr>
          <w:rFonts w:hint="eastAsia" w:ascii="宋体" w:hAnsi="宋体" w:eastAsia="宋体" w:cs="宋体"/>
          <w:b w:val="0"/>
          <w:bCs/>
          <w:sz w:val="24"/>
          <w:lang w:val="en-US" w:eastAsia="zh-CN"/>
        </w:rPr>
        <w:t>4、中标人须承担与此有关的技术情报和数据资料的保密责任。与本项目有关的资料及数据成果中涉及国家秘密的内容，均要求按照《国家保密法》及相关法律法规执行。</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2" w:firstLineChars="200"/>
        <w:textAlignment w:val="auto"/>
        <w:outlineLvl w:val="1"/>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十二</w:t>
      </w:r>
      <w:r>
        <w:rPr>
          <w:rFonts w:hint="eastAsia" w:ascii="宋体" w:hAnsi="宋体" w:eastAsia="宋体" w:cs="宋体"/>
          <w:b/>
          <w:color w:val="auto"/>
          <w:sz w:val="24"/>
          <w:szCs w:val="24"/>
          <w:highlight w:val="none"/>
          <w:lang w:eastAsia="zh-CN"/>
        </w:rPr>
        <w:t>、合同的签订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textAlignment w:val="auto"/>
        <w:outlineLvl w:val="1"/>
        <w:rPr>
          <w:rFonts w:hint="eastAsia" w:ascii="宋体" w:hAnsi="宋体" w:cs="宋体"/>
          <w:b/>
          <w:bCs/>
          <w:color w:val="auto"/>
          <w:sz w:val="32"/>
          <w:szCs w:val="32"/>
          <w:highlight w:val="none"/>
        </w:rPr>
      </w:pPr>
      <w:r>
        <w:rPr>
          <w:rFonts w:hint="eastAsia" w:ascii="宋体" w:hAnsi="宋体" w:eastAsia="宋体" w:cs="宋体"/>
          <w:b w:val="0"/>
          <w:bCs/>
          <w:color w:val="auto"/>
          <w:sz w:val="24"/>
          <w:szCs w:val="24"/>
          <w:highlight w:val="none"/>
          <w:shd w:val="clear" w:color="auto" w:fill="auto"/>
        </w:rPr>
        <w:t>中标单位在收到《中标通知书》后</w:t>
      </w:r>
      <w:r>
        <w:rPr>
          <w:rFonts w:hint="eastAsia" w:ascii="宋体" w:hAnsi="宋体" w:cs="宋体"/>
          <w:b w:val="0"/>
          <w:bCs/>
          <w:color w:val="auto"/>
          <w:sz w:val="24"/>
          <w:szCs w:val="24"/>
          <w:highlight w:val="none"/>
          <w:shd w:val="clear" w:color="auto" w:fill="auto"/>
          <w:lang w:val="en-US" w:eastAsia="zh-CN"/>
        </w:rPr>
        <w:t>2</w:t>
      </w:r>
      <w:r>
        <w:rPr>
          <w:rFonts w:hint="eastAsia" w:ascii="宋体" w:hAnsi="宋体" w:eastAsia="宋体" w:cs="宋体"/>
          <w:b w:val="0"/>
          <w:bCs/>
          <w:color w:val="auto"/>
          <w:sz w:val="24"/>
          <w:szCs w:val="24"/>
          <w:highlight w:val="none"/>
          <w:shd w:val="clear" w:color="auto" w:fill="auto"/>
        </w:rPr>
        <w:t>0日内与</w:t>
      </w:r>
      <w:r>
        <w:rPr>
          <w:rFonts w:hint="eastAsia" w:ascii="宋体" w:hAnsi="宋体" w:cs="宋体"/>
          <w:color w:val="auto"/>
          <w:sz w:val="24"/>
          <w:highlight w:val="none"/>
          <w:lang w:eastAsia="zh-CN"/>
        </w:rPr>
        <w:t>东阳市住房和城乡建设局</w:t>
      </w:r>
      <w:r>
        <w:rPr>
          <w:rFonts w:hint="eastAsia" w:ascii="宋体" w:hAnsi="宋体" w:eastAsia="宋体" w:cs="宋体"/>
          <w:b w:val="0"/>
          <w:bCs/>
          <w:color w:val="auto"/>
          <w:sz w:val="24"/>
          <w:szCs w:val="24"/>
          <w:highlight w:val="none"/>
          <w:shd w:val="clear" w:color="auto" w:fill="auto"/>
        </w:rPr>
        <w:t>签订合同。</w:t>
      </w: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both"/>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p>
    <w:p>
      <w:pPr>
        <w:spacing w:before="120" w:beforeLines="50" w:after="120" w:afterLines="50" w:line="440" w:lineRule="exact"/>
        <w:contextualSpacing/>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第三章  投标人须知</w:t>
      </w:r>
    </w:p>
    <w:p>
      <w:pPr>
        <w:snapToGrid w:val="0"/>
        <w:spacing w:before="120" w:beforeLines="50" w:after="120" w:afterLines="50"/>
        <w:ind w:left="238"/>
        <w:outlineLvl w:val="1"/>
        <w:rPr>
          <w:rFonts w:hint="eastAsia" w:ascii="宋体" w:hAnsi="宋体" w:cs="宋体"/>
          <w:b/>
          <w:color w:val="auto"/>
          <w:sz w:val="24"/>
          <w:highlight w:val="none"/>
        </w:rPr>
      </w:pPr>
      <w:r>
        <w:rPr>
          <w:rFonts w:hint="eastAsia" w:ascii="宋体" w:hAnsi="宋体" w:cs="宋体"/>
          <w:b/>
          <w:color w:val="auto"/>
          <w:sz w:val="24"/>
          <w:highlight w:val="none"/>
        </w:rPr>
        <w:t xml:space="preserve">                                前  附  表</w:t>
      </w:r>
    </w:p>
    <w:tbl>
      <w:tblPr>
        <w:tblStyle w:val="23"/>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bCs/>
                <w:color w:val="auto"/>
                <w:sz w:val="24"/>
                <w:highlight w:val="none"/>
              </w:rPr>
            </w:pPr>
            <w:r>
              <w:rPr>
                <w:rFonts w:hint="eastAsia" w:ascii="宋体" w:hAnsi="宋体" w:cs="宋体"/>
                <w:b/>
                <w:bCs/>
                <w:color w:val="auto"/>
                <w:sz w:val="24"/>
                <w:highlight w:val="none"/>
              </w:rPr>
              <w:t>序号</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bCs/>
                <w:color w:val="auto"/>
                <w:sz w:val="24"/>
                <w:highlight w:val="none"/>
              </w:rPr>
            </w:pPr>
            <w:r>
              <w:rPr>
                <w:rFonts w:hint="eastAsia" w:ascii="宋体" w:hAnsi="宋体" w:cs="宋体"/>
                <w:b/>
                <w:bCs/>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东阳市吴宁街道未来社区一体化方案项目采购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2</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投标报价及费用：1、本项目投标应以人民币报价；2、不论投标结果如何，投标人均应自行承担所有与投标有关的全部费用；3、投标费用：本项目代理服务费按照本章第五条收费标准向中标单位收取。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r>
              <w:rPr>
                <w:rFonts w:hint="eastAsia" w:ascii="宋体" w:hAnsi="宋体" w:eastAsia="宋体" w:cs="宋体"/>
                <w:color w:val="auto"/>
                <w:sz w:val="24"/>
                <w:highlight w:val="none"/>
                <w:lang w:val="en-US" w:eastAsia="zh-CN"/>
              </w:rPr>
              <w:t>3</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宋体" w:hAnsi="宋体" w:eastAsia="宋体" w:cs="宋体"/>
                <w:sz w:val="24"/>
              </w:rPr>
            </w:pPr>
            <w:r>
              <w:rPr>
                <w:rFonts w:hint="eastAsia" w:ascii="宋体" w:hAnsi="宋体" w:eastAsia="宋体" w:cs="宋体"/>
                <w:sz w:val="24"/>
              </w:rPr>
              <w:t>落实政府采购政策需满足的资格要求：</w:t>
            </w:r>
          </w:p>
          <w:p>
            <w:pPr>
              <w:adjustRightInd w:val="0"/>
              <w:snapToGrid w:val="0"/>
              <w:spacing w:line="320" w:lineRule="exact"/>
              <w:rPr>
                <w:rFonts w:hint="eastAsia" w:ascii="宋体" w:hAnsi="宋体" w:eastAsia="宋体" w:cs="宋体"/>
                <w:sz w:val="24"/>
              </w:rPr>
            </w:pPr>
            <w:r>
              <w:rPr>
                <w:rFonts w:hint="eastAsia" w:ascii="宋体" w:hAnsi="宋体" w:eastAsia="宋体" w:cs="宋体"/>
                <w:sz w:val="24"/>
              </w:rPr>
              <w:t>A、本项目不限，所有大中小微型企业均可参加投标。</w:t>
            </w:r>
          </w:p>
          <w:p>
            <w:pPr>
              <w:rPr>
                <w:rFonts w:hint="eastAsia" w:ascii="宋体" w:hAnsi="宋体" w:cs="宋体"/>
                <w:color w:val="auto"/>
                <w:sz w:val="24"/>
                <w:highlight w:val="none"/>
              </w:rPr>
            </w:pPr>
            <w:r>
              <w:rPr>
                <w:rFonts w:hint="eastAsia" w:ascii="宋体" w:hAnsi="宋体" w:eastAsia="宋体" w:cs="宋体"/>
                <w:sz w:val="24"/>
              </w:rPr>
              <w:t>B、本项目接收接受大中型企业与小微企业组成联合体投标，接受大中型企业向一家或者多家小微企业分包。组成联合体投标的，需提供联合协议和中小企业声明函；向小微企业分包的，需提供分包意向协议和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7"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4</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sz w:val="24"/>
                <w:highlight w:val="none"/>
              </w:rPr>
            </w:pPr>
            <w:r>
              <w:rPr>
                <w:rFonts w:hint="eastAsia" w:ascii="宋体" w:hAnsi="宋体" w:cs="宋体"/>
                <w:sz w:val="24"/>
              </w:rPr>
              <w:t>答疑与澄清：投标人如认为招标文件表述不清晰、存在歧视性、排他性或者其他违法内容的，应当</w:t>
            </w:r>
            <w:r>
              <w:rPr>
                <w:rFonts w:hint="eastAsia" w:ascii="宋体" w:hAnsi="宋体" w:cs="宋体"/>
                <w:sz w:val="24"/>
                <w:shd w:val="clear" w:color="auto" w:fill="FFFFFF"/>
              </w:rPr>
              <w:t>于</w:t>
            </w:r>
            <w:r>
              <w:rPr>
                <w:rFonts w:hint="eastAsia" w:ascii="宋体" w:hAnsi="宋体" w:cs="宋体"/>
                <w:b/>
                <w:bCs/>
                <w:sz w:val="24"/>
                <w:u w:val="single"/>
                <w:shd w:val="clear" w:color="auto" w:fill="FFFFFF"/>
              </w:rPr>
              <w:t>质疑期限届满之日</w:t>
            </w:r>
            <w:r>
              <w:rPr>
                <w:rFonts w:hint="eastAsia" w:ascii="宋体" w:hAnsi="宋体" w:cs="宋体"/>
                <w:sz w:val="24"/>
                <w:shd w:val="clear" w:color="auto" w:fill="FFFFFF"/>
              </w:rPr>
              <w:t>前，</w:t>
            </w:r>
            <w:r>
              <w:rPr>
                <w:rFonts w:hint="eastAsia" w:ascii="宋体" w:hAnsi="宋体" w:cs="宋体"/>
                <w:sz w:val="24"/>
              </w:rPr>
              <w:t>以书面形式要求招标采购单位作出书面解释、澄清或者向招标采购单位提出书面质疑（</w:t>
            </w:r>
            <w:r>
              <w:rPr>
                <w:rFonts w:hint="eastAsia" w:ascii="宋体" w:hAnsi="宋体" w:cs="宋体"/>
                <w:b/>
                <w:sz w:val="24"/>
              </w:rPr>
              <w:t>超过此规定时间的质疑函将不予受理）</w:t>
            </w:r>
            <w:r>
              <w:rPr>
                <w:rFonts w:hint="eastAsia" w:ascii="宋体" w:hAnsi="宋体" w:cs="宋体"/>
                <w:sz w:val="24"/>
              </w:rPr>
              <w:t>；招标采购单位将于</w:t>
            </w:r>
            <w:r>
              <w:rPr>
                <w:rFonts w:hint="eastAsia" w:ascii="宋体" w:hAnsi="宋体" w:cs="宋体"/>
                <w:b/>
                <w:bCs/>
                <w:sz w:val="24"/>
                <w:u w:val="single"/>
                <w:shd w:val="clear" w:color="auto" w:fill="FFFFFF"/>
              </w:rPr>
              <w:t>答疑期限届满之日</w:t>
            </w:r>
            <w:r>
              <w:rPr>
                <w:rFonts w:hint="eastAsia" w:ascii="宋体" w:hAnsi="宋体" w:cs="宋体"/>
                <w:b/>
                <w:bCs/>
                <w:sz w:val="24"/>
                <w:shd w:val="clear" w:color="auto" w:fill="FFFFFF"/>
              </w:rPr>
              <w:t>前</w:t>
            </w:r>
            <w:r>
              <w:rPr>
                <w:rFonts w:hint="eastAsia" w:ascii="宋体" w:hAnsi="宋体" w:cs="宋体"/>
                <w:sz w:val="24"/>
                <w:shd w:val="clear" w:color="auto" w:fill="FFFFFF"/>
              </w:rPr>
              <w:t>将答疑内容以传真或网上发布公告的形式通知所有已报名的投标人；答疑内容是招标</w:t>
            </w:r>
            <w:r>
              <w:rPr>
                <w:rFonts w:hint="eastAsia" w:ascii="宋体" w:hAnsi="宋体" w:cs="宋体"/>
                <w:sz w:val="24"/>
              </w:rPr>
              <w:t>文件的组成部分；因其他紧急情况影响本项目正常招标活动的，招标采购单位将于投标截止日期5天前书面通知所有已报名的投标人。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本项目投标文件由资格审查文件、商务技术文件和报价文件三部分组成。投标人应按以下方式递交投标文件：</w:t>
            </w:r>
          </w:p>
          <w:p>
            <w:pPr>
              <w:rPr>
                <w:rFonts w:hint="eastAsia" w:ascii="宋体" w:hAnsi="宋体" w:cs="宋体"/>
                <w:color w:val="auto"/>
                <w:sz w:val="24"/>
                <w:highlight w:val="none"/>
              </w:rPr>
            </w:pPr>
            <w:r>
              <w:rPr>
                <w:rFonts w:hint="eastAsia" w:ascii="宋体" w:hAnsi="宋体" w:cs="宋体"/>
                <w:color w:val="auto"/>
                <w:sz w:val="24"/>
                <w:highlight w:val="none"/>
              </w:rPr>
              <w:t>▲1、本项目实行“网上投标、电子评标”，投标人应于投标截止时间前在“政采云”（电子交易平台）上传输、递交电子版投标文件（包括资格审查文件、商务技术文件和报价文件）；</w:t>
            </w:r>
          </w:p>
          <w:p>
            <w:pPr>
              <w:rPr>
                <w:rFonts w:hint="eastAsia" w:ascii="宋体" w:hAnsi="宋体" w:cs="宋体"/>
                <w:color w:val="auto"/>
                <w:sz w:val="24"/>
                <w:highlight w:val="none"/>
              </w:rPr>
            </w:pPr>
            <w:r>
              <w:rPr>
                <w:rFonts w:hint="eastAsia" w:ascii="宋体" w:hAnsi="宋体" w:cs="宋体"/>
                <w:color w:val="auto"/>
                <w:sz w:val="24"/>
                <w:highlight w:val="none"/>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东阳耀辉工程咨询有限公司邮箱：1722002832@qq.com，逾期发送或发错后缀名的备份投标文件将被视为无效；</w:t>
            </w:r>
          </w:p>
          <w:p>
            <w:pPr>
              <w:rPr>
                <w:rFonts w:hint="eastAsia" w:ascii="宋体" w:hAnsi="宋体" w:cs="宋体"/>
                <w:color w:val="auto"/>
                <w:sz w:val="24"/>
                <w:highlight w:val="none"/>
              </w:rPr>
            </w:pPr>
            <w:r>
              <w:rPr>
                <w:rFonts w:hint="eastAsia" w:ascii="宋体" w:hAnsi="宋体" w:cs="宋体"/>
                <w:color w:val="auto"/>
                <w:sz w:val="24"/>
                <w:highlight w:val="none"/>
              </w:rPr>
              <w:t>3、投标人仅提交电子备份投标文件的，投标无效；</w:t>
            </w:r>
          </w:p>
          <w:p>
            <w:pPr>
              <w:rPr>
                <w:rFonts w:hint="eastAsia" w:ascii="宋体" w:hAnsi="宋体" w:cs="宋体"/>
                <w:color w:val="auto"/>
                <w:sz w:val="24"/>
                <w:highlight w:val="none"/>
              </w:rPr>
            </w:pPr>
            <w:r>
              <w:rPr>
                <w:rFonts w:hint="eastAsia" w:ascii="宋体" w:hAnsi="宋体" w:cs="宋体"/>
                <w:color w:val="auto"/>
                <w:sz w:val="24"/>
                <w:highlight w:val="none"/>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 w:val="24"/>
                <w:highlight w:val="none"/>
                <w:u w:val="single"/>
                <w:lang w:val="en-US" w:eastAsia="zh-CN"/>
              </w:rPr>
            </w:pPr>
            <w:r>
              <w:rPr>
                <w:rFonts w:hint="eastAsia" w:ascii="宋体" w:hAnsi="宋体" w:cs="宋体"/>
                <w:color w:val="auto"/>
                <w:sz w:val="24"/>
                <w:highlight w:val="none"/>
              </w:rPr>
              <w:t>投标截止时间：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5</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14</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00分</w:t>
            </w:r>
          </w:p>
          <w:p>
            <w:pPr>
              <w:rPr>
                <w:rFonts w:hint="eastAsia" w:ascii="宋体" w:hAnsi="宋体" w:cs="宋体"/>
                <w:color w:val="auto"/>
                <w:sz w:val="24"/>
                <w:highlight w:val="none"/>
              </w:rPr>
            </w:pPr>
            <w:r>
              <w:rPr>
                <w:rFonts w:hint="eastAsia" w:ascii="宋体" w:hAnsi="宋体" w:cs="宋体"/>
                <w:color w:val="auto"/>
                <w:sz w:val="24"/>
                <w:highlight w:val="none"/>
              </w:rPr>
              <w:t>1、投标人应当在</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5</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14</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00分</w:t>
            </w:r>
            <w:r>
              <w:rPr>
                <w:rFonts w:hint="eastAsia" w:ascii="宋体" w:hAnsi="宋体" w:cs="宋体"/>
                <w:color w:val="auto"/>
                <w:sz w:val="24"/>
                <w:highlight w:val="none"/>
              </w:rPr>
              <w:t>前在“政采云”（电子交易平台）上自行上传加密的电子投标文件。投标截止时间后递交的电子投标文件，将被政采云平台拒收。</w:t>
            </w:r>
          </w:p>
          <w:p>
            <w:pPr>
              <w:rPr>
                <w:rFonts w:hint="eastAsia" w:ascii="宋体" w:hAnsi="宋体" w:cs="宋体"/>
                <w:color w:val="auto"/>
                <w:sz w:val="24"/>
                <w:highlight w:val="none"/>
              </w:rPr>
            </w:pPr>
            <w:r>
              <w:rPr>
                <w:rFonts w:hint="eastAsia" w:ascii="宋体" w:hAnsi="宋体" w:cs="宋体"/>
                <w:color w:val="auto"/>
                <w:sz w:val="24"/>
                <w:highlight w:val="none"/>
              </w:rPr>
              <w:t>2、电子备份投标文件的递交时间：投标人应当在</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5</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14</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00分</w:t>
            </w:r>
            <w:r>
              <w:rPr>
                <w:rFonts w:hint="eastAsia" w:ascii="宋体" w:hAnsi="宋体" w:cs="宋体"/>
                <w:color w:val="auto"/>
                <w:sz w:val="24"/>
                <w:highlight w:val="none"/>
              </w:rPr>
              <w:t>前，逾期未递交的视为自动放弃。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7</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5</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 xml:space="preserve"> 14</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00分</w:t>
            </w:r>
          </w:p>
          <w:p>
            <w:pPr>
              <w:rPr>
                <w:rFonts w:hint="eastAsia" w:ascii="宋体" w:hAnsi="宋体" w:cs="宋体"/>
                <w:color w:val="auto"/>
                <w:sz w:val="24"/>
                <w:highlight w:val="none"/>
              </w:rPr>
            </w:pPr>
            <w:r>
              <w:rPr>
                <w:rFonts w:hint="eastAsia" w:ascii="宋体" w:hAnsi="宋体" w:cs="宋体"/>
                <w:color w:val="auto"/>
                <w:sz w:val="24"/>
                <w:highlight w:val="none"/>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8</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中标结果公告：自中标人确定之日起2个工作日内，中标结果公告于浙江省政府采购网(</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"http://www.zjzfcg.gov.cn/"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www.zjzfcg.gov.cn</w:t>
            </w:r>
            <w:r>
              <w:rPr>
                <w:rFonts w:hint="eastAsia" w:ascii="宋体" w:hAnsi="宋体" w:cs="宋体"/>
                <w:color w:val="auto"/>
                <w:sz w:val="24"/>
                <w:highlight w:val="none"/>
              </w:rPr>
              <w:fldChar w:fldCharType="end"/>
            </w:r>
            <w:r>
              <w:rPr>
                <w:rFonts w:hint="eastAsia" w:ascii="宋体" w:hAnsi="宋体" w:cs="宋体"/>
                <w:color w:val="auto"/>
                <w:sz w:val="24"/>
                <w:highlight w:val="none"/>
              </w:rPr>
              <w:t>)、东阳市公共资源交易网</w:t>
            </w:r>
            <w:r>
              <w:rPr>
                <w:rFonts w:hint="eastAsia" w:ascii="宋体" w:hAnsi="宋体" w:cs="Arial"/>
                <w:color w:val="auto"/>
                <w:sz w:val="24"/>
                <w:highlight w:val="none"/>
              </w:rPr>
              <w:t>(</w:t>
            </w:r>
            <w:r>
              <w:rPr>
                <w:rFonts w:hint="eastAsia" w:ascii="宋体" w:hAnsi="宋体" w:cs="宋体"/>
                <w:color w:val="auto"/>
                <w:sz w:val="24"/>
                <w:highlight w:val="none"/>
                <w:u w:val="single"/>
              </w:rPr>
              <w:t>http://www.dongyang.gov.cn/ggzyjy/index.html</w:t>
            </w:r>
            <w:r>
              <w:rPr>
                <w:rFonts w:hint="eastAsia" w:ascii="宋体" w:hAnsi="宋体" w:cs="Arial"/>
                <w:color w:val="auto"/>
                <w:sz w:val="24"/>
                <w:highlight w:val="none"/>
              </w:rPr>
              <w:t>)</w:t>
            </w:r>
            <w:r>
              <w:rPr>
                <w:rFonts w:hint="eastAsia" w:ascii="宋体" w:hAnsi="宋体" w:cs="宋体"/>
                <w:color w:val="auto"/>
                <w:sz w:val="24"/>
                <w:highlight w:val="none"/>
              </w:rPr>
              <w:t>，公告1个工作日。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10</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中标通知书：确定中标人后，中标人应在三个工作日内，向招标人领取《中标通知书》，否则按放弃中标资格处理。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b w:val="0"/>
                <w:bCs w:val="0"/>
                <w:color w:val="auto"/>
                <w:kern w:val="0"/>
                <w:sz w:val="24"/>
                <w:highlight w:val="none"/>
              </w:rPr>
            </w:pPr>
            <w:r>
              <w:rPr>
                <w:rFonts w:hint="eastAsia" w:ascii="宋体" w:hAnsi="宋体" w:cs="宋体"/>
                <w:b w:val="0"/>
                <w:bCs w:val="0"/>
                <w:color w:val="auto"/>
                <w:sz w:val="24"/>
                <w:highlight w:val="none"/>
              </w:rPr>
              <w:t>投标保证金：本项目</w:t>
            </w:r>
            <w:r>
              <w:rPr>
                <w:rFonts w:hint="eastAsia" w:ascii="宋体" w:hAnsi="宋体" w:cs="宋体"/>
                <w:b w:val="0"/>
                <w:bCs w:val="0"/>
                <w:color w:val="auto"/>
                <w:kern w:val="0"/>
                <w:sz w:val="24"/>
                <w:highlight w:val="none"/>
              </w:rPr>
              <w:t>不收取投标保证金</w:t>
            </w:r>
          </w:p>
          <w:p>
            <w:pPr>
              <w:snapToGrid w:val="0"/>
              <w:rPr>
                <w:rFonts w:hint="eastAsia" w:ascii="宋体" w:hAnsi="宋体" w:cs="宋体"/>
                <w:color w:val="auto"/>
                <w:sz w:val="24"/>
                <w:highlight w:val="none"/>
              </w:rPr>
            </w:pPr>
            <w:r>
              <w:rPr>
                <w:rFonts w:hint="eastAsia" w:ascii="宋体" w:hAnsi="宋体" w:cs="宋体"/>
                <w:b w:val="0"/>
                <w:bCs w:val="0"/>
                <w:color w:val="auto"/>
                <w:kern w:val="0"/>
                <w:sz w:val="24"/>
                <w:highlight w:val="none"/>
              </w:rPr>
              <w:t>履约保证金:</w:t>
            </w:r>
            <w:r>
              <w:rPr>
                <w:rFonts w:hint="eastAsia" w:ascii="宋体" w:hAnsi="宋体" w:cs="宋体"/>
                <w:b w:val="0"/>
                <w:bCs w:val="0"/>
                <w:color w:val="auto"/>
                <w:kern w:val="0"/>
                <w:sz w:val="24"/>
                <w:highlight w:val="none"/>
                <w:lang w:val="en-US" w:eastAsia="zh-CN"/>
              </w:rPr>
              <w:t xml:space="preserve"> </w:t>
            </w:r>
            <w:r>
              <w:rPr>
                <w:rFonts w:hint="eastAsia" w:ascii="宋体" w:hAnsi="宋体" w:cs="宋体"/>
                <w:b w:val="0"/>
                <w:bCs w:val="0"/>
                <w:color w:val="auto"/>
                <w:sz w:val="24"/>
                <w:highlight w:val="none"/>
              </w:rPr>
              <w:t>本项目</w:t>
            </w:r>
            <w:r>
              <w:rPr>
                <w:rFonts w:hint="eastAsia" w:ascii="宋体" w:hAnsi="宋体" w:cs="宋体"/>
                <w:b w:val="0"/>
                <w:bCs w:val="0"/>
                <w:color w:val="auto"/>
                <w:kern w:val="0"/>
                <w:sz w:val="24"/>
                <w:highlight w:val="none"/>
              </w:rPr>
              <w:t>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color w:val="auto"/>
                <w:sz w:val="24"/>
                <w:highlight w:val="none"/>
              </w:rPr>
            </w:pPr>
            <w:r>
              <w:rPr>
                <w:rFonts w:hint="eastAsia" w:ascii="宋体" w:hAnsi="宋体" w:cs="宋体"/>
                <w:color w:val="auto"/>
                <w:sz w:val="24"/>
                <w:highlight w:val="none"/>
              </w:rPr>
              <w:t>签订合同时间：中标通知书发出后</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4"/>
                <w:lang w:eastAsia="zh-CN"/>
              </w:rPr>
            </w:pPr>
            <w:r>
              <w:rPr>
                <w:rFonts w:hint="eastAsia" w:ascii="宋体" w:hAnsi="宋体" w:eastAsia="宋体" w:cs="宋体"/>
                <w:color w:val="auto"/>
                <w:sz w:val="24"/>
                <w:highlight w:val="none"/>
              </w:rPr>
              <w:t>付款方式：</w:t>
            </w:r>
            <w:r>
              <w:rPr>
                <w:rFonts w:hint="eastAsia" w:ascii="宋体" w:hAnsi="宋体" w:eastAsia="宋体" w:cs="宋体"/>
                <w:color w:val="auto"/>
                <w:sz w:val="24"/>
                <w:highlight w:val="none"/>
                <w:lang w:eastAsia="zh-CN"/>
              </w:rPr>
              <w:t>合同签订具备实施条件后7个工作日内付至合同价款的</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eastAsia="zh-CN"/>
              </w:rPr>
              <w:t>0%，单个社区通过专家评审完成备案后支付至该社区合同价款的60%；单个社区完成考核专项服务列入省未来社区建成名单后支付至该社区合同价款的100%。</w:t>
            </w:r>
          </w:p>
          <w:p>
            <w:pPr>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在签订合同时，中标方明确表示无需预付款或者主动要求降低预付款比例的，采购单位可不支付或减少预付款支付比例。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sz w:val="24"/>
                <w:highlight w:val="none"/>
              </w:rPr>
            </w:pPr>
            <w:r>
              <w:rPr>
                <w:rFonts w:hint="eastAsia" w:ascii="宋体" w:hAnsi="宋体" w:cs="宋体"/>
                <w:color w:val="auto"/>
                <w:sz w:val="24"/>
                <w:highlight w:val="none"/>
              </w:rPr>
              <w:t>服务地点：东阳市内，采购人指定的地点。</w:t>
            </w:r>
          </w:p>
          <w:p>
            <w:pPr>
              <w:snapToGrid w:val="0"/>
              <w:rPr>
                <w:rFonts w:hint="eastAsia" w:ascii="宋体" w:hAnsi="宋体" w:cs="宋体"/>
                <w:color w:val="auto"/>
                <w:sz w:val="24"/>
                <w:highlight w:val="none"/>
              </w:rPr>
            </w:pPr>
            <w:r>
              <w:rPr>
                <w:rFonts w:hint="eastAsia" w:ascii="宋体" w:hAnsi="宋体" w:cs="宋体"/>
                <w:color w:val="auto"/>
                <w:sz w:val="24"/>
                <w:highlight w:val="none"/>
              </w:rPr>
              <w:t>根据中华人民共和国现行技术标准，按招标文件以及合同规定的验收评定标准等规范，由采购人组织相关人员进行验收，验收合格后，采购人出具验收报告；验收费用由中标人承担；采购人出具一式二份验收报告，一份由中标人保管，一份由东阳耀辉工程咨询有限公司（原件）存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sz w:val="24"/>
                <w:highlight w:val="none"/>
              </w:rPr>
            </w:pPr>
            <w:r>
              <w:rPr>
                <w:rFonts w:hint="eastAsia" w:ascii="宋体" w:hAnsi="宋体" w:cs="宋体"/>
                <w:color w:val="auto"/>
                <w:sz w:val="24"/>
                <w:highlight w:val="none"/>
              </w:rPr>
              <w:t>投标文件有效期：</w:t>
            </w:r>
            <w:r>
              <w:rPr>
                <w:rFonts w:hint="eastAsia" w:ascii="宋体" w:hAnsi="宋体" w:cs="宋体"/>
                <w:color w:val="auto"/>
                <w:sz w:val="24"/>
                <w:highlight w:val="none"/>
                <w:u w:val="single"/>
              </w:rPr>
              <w:t xml:space="preserve"> 60 </w:t>
            </w:r>
            <w:r>
              <w:rPr>
                <w:rFonts w:hint="eastAsia" w:ascii="宋体" w:hAnsi="宋体" w:cs="宋体"/>
                <w:color w:val="auto"/>
                <w:sz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16</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为扩大政府采购金融服务面，除政采云网上金融服务合作银行外，东阳市范围内增加浙商银行金华分行东阳支行作为线下合作银行。   </w:t>
            </w:r>
          </w:p>
          <w:p>
            <w:pPr>
              <w:snapToGrid w:val="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浙商银行金华东阳支行联系人：许燕  联系电话：13967983441  0579-86222992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38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17</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380" w:lineRule="exact"/>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根据</w:t>
            </w:r>
            <w:r>
              <w:rPr>
                <w:rFonts w:hint="eastAsia" w:ascii="宋体" w:hAnsi="宋体" w:cs="宋体"/>
                <w:color w:val="auto"/>
                <w:sz w:val="24"/>
                <w:highlight w:val="none"/>
              </w:rPr>
              <w:t>《关于印发&lt;政府采购促进中小企业发展管理办法&gt;的通知》(财库〔2020〕46号)文件、《财政部、司法部关于政府采购支持监狱企业发展有关问题的通知》（财库〔2014〕68号）文件及《财政部、民政部、中国残疾人联合会关于促进残疾人就业政府采购政策的通知》（财库〔2017〕141号）的规定，对小型和微型企业、监狱企业、残疾人福利性单位价格给予</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%扣除</w:t>
            </w:r>
            <w:r>
              <w:rPr>
                <w:rFonts w:hint="eastAsia" w:ascii="宋体" w:hAnsi="宋体" w:cs="宋体"/>
                <w:color w:val="auto"/>
                <w:sz w:val="24"/>
                <w:highlight w:val="none"/>
                <w:lang w:eastAsia="zh-CN"/>
              </w:rPr>
              <w:t>，用扣除后的价格参与评审，但不重复享受价格扣除。</w:t>
            </w:r>
          </w:p>
          <w:p>
            <w:pPr>
              <w:keepNext w:val="0"/>
              <w:keepLines w:val="0"/>
              <w:pageBreakBefore w:val="0"/>
              <w:widowControl w:val="0"/>
              <w:kinsoku/>
              <w:wordWrap/>
              <w:overflowPunct/>
              <w:topLinePunct w:val="0"/>
              <w:bidi w:val="0"/>
              <w:adjustRightInd/>
              <w:snapToGrid/>
              <w:spacing w:line="380" w:lineRule="exact"/>
              <w:jc w:val="left"/>
              <w:rPr>
                <w:rFonts w:hint="eastAsia" w:ascii="宋体" w:hAnsi="宋体" w:cs="宋体"/>
                <w:color w:val="auto"/>
                <w:sz w:val="24"/>
                <w:highlight w:val="none"/>
              </w:rPr>
            </w:pPr>
            <w:r>
              <w:rPr>
                <w:rFonts w:hint="eastAsia" w:ascii="宋体" w:hAnsi="宋体" w:cs="宋体"/>
                <w:color w:val="auto"/>
                <w:sz w:val="24"/>
                <w:highlight w:val="none"/>
              </w:rPr>
              <w:t>大中型企业与小微企业组成联合体或者允许大中型企业向一家或者多家小微企业分包的政府采购货物或服务项目，对于联合</w:t>
            </w:r>
            <w:r>
              <w:rPr>
                <w:rFonts w:hint="eastAsia" w:ascii="宋体" w:hAnsi="宋体" w:cs="宋体"/>
                <w:color w:val="auto"/>
                <w:sz w:val="24"/>
                <w:highlight w:val="none"/>
                <w:lang w:eastAsia="zh-CN"/>
              </w:rPr>
              <w:t>体</w:t>
            </w:r>
            <w:r>
              <w:rPr>
                <w:rFonts w:hint="eastAsia" w:ascii="宋体" w:hAnsi="宋体" w:cs="宋体"/>
                <w:color w:val="auto"/>
                <w:sz w:val="24"/>
                <w:highlight w:val="none"/>
              </w:rPr>
              <w:t>协议或者分包意向协议约定小微企业的合同份额占到合同总金额</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0%以上的，对联合体或者大中型企业的报价给予</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bidi w:val="0"/>
              <w:adjustRightInd/>
              <w:snapToGrid/>
              <w:spacing w:line="380" w:lineRule="exact"/>
              <w:jc w:val="left"/>
              <w:rPr>
                <w:rFonts w:hint="eastAsia" w:ascii="宋体" w:hAnsi="宋体" w:cs="宋体"/>
                <w:color w:val="auto"/>
                <w:sz w:val="24"/>
                <w:highlight w:val="none"/>
              </w:rPr>
            </w:pPr>
            <w:r>
              <w:rPr>
                <w:rFonts w:hint="eastAsia" w:ascii="宋体" w:hAnsi="宋体" w:cs="宋体"/>
                <w:color w:val="auto"/>
                <w:sz w:val="24"/>
                <w:highlight w:val="none"/>
              </w:rPr>
              <w:t>小型和微型企业是指投标文件中提供了中小企业声明函且符合《关于印发&lt;政府采购促进中小企业发展管理办法&gt;的通知》(财库〔2020〕46号)规定的要求。残疾人福利性单位是指投标文件中提供了残疾人福利性单位声明函且符合《财政部、民政部、中国残疾人联合会关于促进残疾人就业政府采购政策的通知》（财库〔2017〕141号）规定的企业。监狱企业是指投标文件中提供了由省级以上监狱管理局、戒毒管理局（含新疆生产建设兵团）出具的属于监狱企业的证明文件的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38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18</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380" w:lineRule="exact"/>
              <w:jc w:val="left"/>
              <w:rPr>
                <w:rFonts w:hint="eastAsia" w:ascii="宋体" w:hAnsi="宋体" w:cs="宋体"/>
                <w:color w:val="auto"/>
                <w:sz w:val="24"/>
                <w:highlight w:val="none"/>
              </w:rPr>
            </w:pPr>
            <w:r>
              <w:rPr>
                <w:rFonts w:hint="eastAsia" w:ascii="宋体" w:hAnsi="宋体" w:cs="宋体"/>
                <w:color w:val="auto"/>
                <w:sz w:val="24"/>
                <w:highlight w:val="none"/>
              </w:rPr>
              <w:t>根据《关于在政府采购活动中查询及使用信用记录有关问题的通知》财库[2016]125号的规定：</w:t>
            </w:r>
          </w:p>
          <w:p>
            <w:pPr>
              <w:keepNext w:val="0"/>
              <w:keepLines w:val="0"/>
              <w:pageBreakBefore w:val="0"/>
              <w:widowControl w:val="0"/>
              <w:kinsoku/>
              <w:wordWrap/>
              <w:overflowPunct/>
              <w:topLinePunct w:val="0"/>
              <w:bidi w:val="0"/>
              <w:adjustRightInd/>
              <w:snapToGrid/>
              <w:spacing w:line="380" w:lineRule="exact"/>
              <w:jc w:val="left"/>
              <w:rPr>
                <w:rFonts w:hint="eastAsia" w:ascii="宋体" w:hAnsi="宋体" w:cs="宋体"/>
                <w:color w:val="auto"/>
                <w:sz w:val="24"/>
                <w:highlight w:val="none"/>
              </w:rPr>
            </w:pPr>
            <w:r>
              <w:rPr>
                <w:rFonts w:hint="eastAsia" w:ascii="宋体" w:hAnsi="宋体" w:cs="宋体"/>
                <w:color w:val="auto"/>
                <w:sz w:val="24"/>
                <w:highlight w:val="none"/>
              </w:rPr>
              <w:t>（1）招标人或采购代理机构将对本项目供应商的信用记录进行查询。查询渠道为信用中国网站（www.creditchina.gov.cn）、中国政府采购网（www.ccgp.gov.cn）；</w:t>
            </w:r>
          </w:p>
          <w:p>
            <w:pPr>
              <w:keepNext w:val="0"/>
              <w:keepLines w:val="0"/>
              <w:pageBreakBefore w:val="0"/>
              <w:widowControl w:val="0"/>
              <w:kinsoku/>
              <w:wordWrap/>
              <w:overflowPunct/>
              <w:topLinePunct w:val="0"/>
              <w:bidi w:val="0"/>
              <w:adjustRightInd/>
              <w:snapToGrid/>
              <w:spacing w:line="380" w:lineRule="exact"/>
              <w:jc w:val="left"/>
              <w:rPr>
                <w:rFonts w:hint="eastAsia" w:ascii="宋体" w:hAnsi="宋体" w:cs="宋体"/>
                <w:color w:val="auto"/>
                <w:sz w:val="24"/>
                <w:highlight w:val="none"/>
              </w:rPr>
            </w:pPr>
            <w:r>
              <w:rPr>
                <w:rFonts w:hint="eastAsia" w:ascii="宋体" w:hAnsi="宋体" w:cs="宋体"/>
                <w:color w:val="auto"/>
                <w:sz w:val="24"/>
                <w:highlight w:val="none"/>
              </w:rPr>
              <w:t>（2）截止时点：提交投标文件（响应文件）截止时间前3年内；</w:t>
            </w:r>
          </w:p>
          <w:p>
            <w:pPr>
              <w:keepNext w:val="0"/>
              <w:keepLines w:val="0"/>
              <w:pageBreakBefore w:val="0"/>
              <w:widowControl w:val="0"/>
              <w:kinsoku/>
              <w:wordWrap/>
              <w:overflowPunct/>
              <w:topLinePunct w:val="0"/>
              <w:bidi w:val="0"/>
              <w:adjustRightInd/>
              <w:snapToGrid/>
              <w:spacing w:line="380" w:lineRule="exact"/>
              <w:jc w:val="left"/>
              <w:rPr>
                <w:rFonts w:hint="eastAsia" w:ascii="宋体" w:hAnsi="宋体" w:cs="宋体"/>
                <w:color w:val="auto"/>
                <w:sz w:val="24"/>
                <w:highlight w:val="none"/>
              </w:rPr>
            </w:pPr>
            <w:r>
              <w:rPr>
                <w:rFonts w:hint="eastAsia" w:ascii="宋体" w:hAnsi="宋体" w:cs="宋体"/>
                <w:color w:val="auto"/>
                <w:sz w:val="24"/>
                <w:highlight w:val="none"/>
              </w:rPr>
              <w:t>（3）查询记录和证据的留存：信用信息查询记录和证据以网页截图等方式留存。</w:t>
            </w:r>
          </w:p>
          <w:p>
            <w:pPr>
              <w:keepNext w:val="0"/>
              <w:keepLines w:val="0"/>
              <w:pageBreakBefore w:val="0"/>
              <w:widowControl w:val="0"/>
              <w:kinsoku/>
              <w:wordWrap/>
              <w:overflowPunct/>
              <w:topLinePunct w:val="0"/>
              <w:bidi w:val="0"/>
              <w:adjustRightInd/>
              <w:snapToGrid/>
              <w:spacing w:line="380" w:lineRule="exact"/>
              <w:jc w:val="left"/>
              <w:rPr>
                <w:rFonts w:hint="eastAsia" w:ascii="宋体" w:hAnsi="宋体" w:cs="宋体"/>
                <w:color w:val="auto"/>
                <w:sz w:val="24"/>
                <w:highlight w:val="none"/>
              </w:rPr>
            </w:pPr>
            <w:r>
              <w:rPr>
                <w:rFonts w:hint="eastAsia" w:ascii="宋体" w:hAnsi="宋体" w:cs="宋体"/>
                <w:color w:val="auto"/>
                <w:sz w:val="24"/>
                <w:highlight w:val="none"/>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widowControl w:val="0"/>
              <w:kinsoku/>
              <w:wordWrap/>
              <w:overflowPunct/>
              <w:topLinePunct w:val="0"/>
              <w:bidi w:val="0"/>
              <w:adjustRightInd/>
              <w:snapToGrid/>
              <w:spacing w:line="380" w:lineRule="exact"/>
              <w:jc w:val="left"/>
              <w:rPr>
                <w:rFonts w:hint="eastAsia" w:ascii="宋体" w:hAnsi="宋体" w:cs="宋体"/>
                <w:color w:val="auto"/>
                <w:sz w:val="24"/>
                <w:highlight w:val="none"/>
              </w:rPr>
            </w:pPr>
            <w:r>
              <w:rPr>
                <w:rFonts w:hint="eastAsia" w:ascii="宋体" w:hAnsi="宋体" w:cs="宋体"/>
                <w:color w:val="auto"/>
                <w:sz w:val="24"/>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380" w:lineRule="exact"/>
              <w:jc w:val="center"/>
              <w:rPr>
                <w:rFonts w:hint="default" w:ascii="宋体" w:hAnsi="宋体" w:cs="宋体"/>
                <w:color w:val="auto"/>
                <w:sz w:val="24"/>
                <w:highlight w:val="none"/>
                <w:lang w:val="en-US" w:eastAsia="zh-CN"/>
              </w:rPr>
            </w:pPr>
            <w:r>
              <w:rPr>
                <w:rFonts w:hint="eastAsia" w:ascii="宋体" w:hAnsi="宋体" w:eastAsia="宋体" w:cs="宋体"/>
                <w:color w:val="auto"/>
                <w:sz w:val="24"/>
                <w:highlight w:val="none"/>
                <w:lang w:val="en-US" w:eastAsia="zh-CN"/>
              </w:rPr>
              <w:t>19</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3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根据《关于印发中小企业划型标准规定的通知》（工信部联企业〔2011〕300号）</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采购标的对应的中小企业划分标准所属行业，</w:t>
            </w:r>
            <w:r>
              <w:rPr>
                <w:rFonts w:hint="eastAsia" w:ascii="宋体" w:hAnsi="宋体" w:eastAsia="宋体" w:cs="宋体"/>
                <w:color w:val="auto"/>
                <w:sz w:val="24"/>
                <w:highlight w:val="none"/>
                <w:lang w:eastAsia="zh-CN"/>
              </w:rPr>
              <w:t>本项目</w:t>
            </w:r>
            <w:r>
              <w:rPr>
                <w:rFonts w:hint="eastAsia" w:ascii="宋体" w:hAnsi="宋体" w:eastAsia="宋体" w:cs="宋体"/>
                <w:color w:val="auto"/>
                <w:sz w:val="24"/>
                <w:highlight w:val="none"/>
              </w:rPr>
              <w:t>属于其他未列明行业；</w:t>
            </w:r>
          </w:p>
          <w:p>
            <w:pPr>
              <w:keepNext w:val="0"/>
              <w:keepLines w:val="0"/>
              <w:pageBreakBefore w:val="0"/>
              <w:widowControl w:val="0"/>
              <w:kinsoku/>
              <w:wordWrap/>
              <w:overflowPunct/>
              <w:topLinePunct w:val="0"/>
              <w:bidi w:val="0"/>
              <w:adjustRightInd/>
              <w:snapToGrid/>
              <w:spacing w:line="380" w:lineRule="exact"/>
              <w:jc w:val="left"/>
              <w:rPr>
                <w:rFonts w:hint="eastAsia" w:ascii="宋体" w:hAnsi="宋体" w:cs="宋体"/>
                <w:color w:val="auto"/>
                <w:sz w:val="24"/>
                <w:highlight w:val="none"/>
              </w:rPr>
            </w:pPr>
            <w:r>
              <w:rPr>
                <w:rFonts w:hint="eastAsia" w:ascii="宋体" w:hAnsi="宋体" w:eastAsia="宋体" w:cs="宋体"/>
                <w:color w:val="auto"/>
                <w:sz w:val="24"/>
                <w:highlight w:val="none"/>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380" w:lineRule="exac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b/>
                <w:bCs/>
                <w:sz w:val="24"/>
              </w:rPr>
            </w:pPr>
            <w:r>
              <w:rPr>
                <w:rFonts w:hint="eastAsia" w:ascii="宋体" w:hAnsi="宋体" w:cs="宋体"/>
                <w:b/>
                <w:bCs/>
                <w:sz w:val="24"/>
              </w:rPr>
              <w:t>节能产品、环境标志产品的强制采购政策</w:t>
            </w:r>
          </w:p>
          <w:p>
            <w:pPr>
              <w:snapToGrid w:val="0"/>
              <w:ind w:firstLine="480" w:firstLineChars="200"/>
              <w:rPr>
                <w:rFonts w:ascii="宋体" w:hAnsi="宋体" w:cs="宋体"/>
                <w:sz w:val="24"/>
              </w:rPr>
            </w:pPr>
            <w:r>
              <w:rPr>
                <w:rFonts w:hint="eastAsia" w:ascii="宋体" w:hAnsi="宋体" w:cs="宋体"/>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napToGrid w:val="0"/>
              <w:rPr>
                <w:rFonts w:ascii="宋体" w:hAnsi="宋体" w:cs="宋体"/>
                <w:b/>
                <w:bCs/>
                <w:sz w:val="24"/>
              </w:rPr>
            </w:pPr>
            <w:r>
              <w:rPr>
                <w:rFonts w:hint="eastAsia" w:ascii="宋体" w:hAnsi="宋体" w:cs="宋体"/>
                <w:b/>
                <w:bCs/>
                <w:sz w:val="24"/>
              </w:rPr>
              <w:t>节能产品、环境标志产品的优先采购政策</w:t>
            </w:r>
          </w:p>
          <w:p>
            <w:pPr>
              <w:keepNext w:val="0"/>
              <w:keepLines w:val="0"/>
              <w:pageBreakBefore w:val="0"/>
              <w:widowControl w:val="0"/>
              <w:kinsoku/>
              <w:wordWrap/>
              <w:overflowPunct/>
              <w:topLinePunct w:val="0"/>
              <w:bidi w:val="0"/>
              <w:adjustRightInd/>
              <w:snapToGrid/>
              <w:spacing w:line="380" w:lineRule="exact"/>
              <w:jc w:val="left"/>
              <w:rPr>
                <w:rFonts w:hint="eastAsia" w:ascii="宋体" w:hAnsi="宋体" w:eastAsia="宋体" w:cs="宋体"/>
                <w:color w:val="auto"/>
                <w:sz w:val="24"/>
                <w:highlight w:val="none"/>
              </w:rPr>
            </w:pPr>
            <w:r>
              <w:rPr>
                <w:rFonts w:hint="eastAsia" w:ascii="宋体" w:hAnsi="宋体" w:cs="宋体"/>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380" w:lineRule="exac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21</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3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节能产品：□ 强制采购节能产品  </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 优先采购节能产品   </w:t>
            </w:r>
            <w:r>
              <w:rPr>
                <w:rFonts w:hint="eastAsia" w:ascii="宋体" w:hAnsi="宋体" w:eastAsia="宋体" w:cs="宋体"/>
                <w:color w:val="auto"/>
                <w:sz w:val="24"/>
                <w:highlight w:val="none"/>
              </w:rPr>
              <w:sym w:font="Wingdings" w:char="00FE"/>
            </w:r>
            <w:r>
              <w:rPr>
                <w:rFonts w:hint="eastAsia" w:ascii="宋体" w:hAnsi="宋体" w:eastAsia="宋体" w:cs="宋体"/>
                <w:color w:val="auto"/>
                <w:sz w:val="24"/>
                <w:highlight w:val="none"/>
              </w:rPr>
              <w:t xml:space="preserve"> 不适用</w:t>
            </w:r>
          </w:p>
          <w:p>
            <w:pPr>
              <w:keepNext w:val="0"/>
              <w:keepLines w:val="0"/>
              <w:pageBreakBefore w:val="0"/>
              <w:widowControl w:val="0"/>
              <w:kinsoku/>
              <w:wordWrap/>
              <w:overflowPunct/>
              <w:topLinePunct w:val="0"/>
              <w:bidi w:val="0"/>
              <w:adjustRightInd/>
              <w:snapToGrid/>
              <w:spacing w:line="3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环境标志产品： </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 优先采购环境标志产品   </w:t>
            </w:r>
            <w:r>
              <w:rPr>
                <w:rFonts w:hint="eastAsia" w:ascii="宋体" w:hAnsi="宋体" w:eastAsia="宋体" w:cs="宋体"/>
                <w:color w:val="auto"/>
                <w:sz w:val="24"/>
                <w:highlight w:val="none"/>
              </w:rPr>
              <w:sym w:font="Wingdings" w:char="00FE"/>
            </w:r>
            <w:r>
              <w:rPr>
                <w:rFonts w:hint="eastAsia" w:ascii="宋体" w:hAnsi="宋体" w:eastAsia="宋体" w:cs="宋体"/>
                <w:color w:val="auto"/>
                <w:sz w:val="24"/>
                <w:highlight w:val="none"/>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22</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val="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2.采购人可以邀请参加本项目的其他供应商或者第三方机构参与验收。参与验收的供应商或者第三方机构的意见作为验收书的参考资料一并存档。</w:t>
            </w:r>
          </w:p>
          <w:p>
            <w:pPr>
              <w:snapToGrid w:val="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4.采购人原则上应当在履约验收之日起2个工作日内，将履约验收结果在浙江政府采购网上公告。</w:t>
            </w:r>
          </w:p>
          <w:p>
            <w:pPr>
              <w:snapToGrid w:val="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5.验收合格的项目，采购人将根据采购合同的约定及时向供应商支付采购资金、退还履约保证金。</w:t>
            </w:r>
          </w:p>
          <w:p>
            <w:pPr>
              <w:snapToGrid w:val="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380" w:lineRule="exac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23</w:t>
            </w:r>
          </w:p>
        </w:tc>
        <w:tc>
          <w:tcPr>
            <w:tcW w:w="8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380" w:lineRule="exact"/>
              <w:jc w:val="left"/>
              <w:rPr>
                <w:rFonts w:hint="eastAsia" w:ascii="宋体" w:hAnsi="宋体" w:cs="宋体"/>
                <w:color w:val="auto"/>
                <w:sz w:val="24"/>
                <w:highlight w:val="none"/>
              </w:rPr>
            </w:pPr>
            <w:r>
              <w:rPr>
                <w:rFonts w:hint="eastAsia" w:ascii="宋体" w:hAnsi="宋体" w:cs="宋体"/>
                <w:color w:val="auto"/>
                <w:sz w:val="24"/>
                <w:highlight w:val="none"/>
              </w:rPr>
              <w:t>采购人和招标代理机构的任何工作人员对投标人所作的任何口头解释、介绍、答复，仅供投标人参考，不作为招标依据，对采购人、招标代理机构和投标人无任何约束力，一切以网上公告及书面形式为准。</w:t>
            </w:r>
          </w:p>
        </w:tc>
      </w:tr>
    </w:tbl>
    <w:p>
      <w:pPr>
        <w:snapToGrid w:val="0"/>
        <w:spacing w:line="480" w:lineRule="auto"/>
        <w:rPr>
          <w:rFonts w:hint="eastAsia" w:ascii="宋体" w:hAnsi="宋体" w:cs="宋体"/>
          <w:b/>
          <w:color w:val="auto"/>
          <w:sz w:val="28"/>
          <w:szCs w:val="28"/>
          <w:highlight w:val="none"/>
        </w:rPr>
      </w:pPr>
      <w:r>
        <w:rPr>
          <w:rFonts w:hint="eastAsia" w:ascii="宋体" w:hAnsi="宋体" w:cs="宋体"/>
          <w:b/>
          <w:color w:val="auto"/>
          <w:sz w:val="24"/>
          <w:highlight w:val="none"/>
        </w:rPr>
        <w:t>注：如本招标文件后面的条款与本表有矛盾的以本表的内容为准。</w:t>
      </w:r>
      <w:r>
        <w:rPr>
          <w:rFonts w:hint="eastAsia" w:ascii="宋体" w:hAnsi="宋体" w:cs="宋体"/>
          <w:b/>
          <w:color w:val="auto"/>
          <w:sz w:val="28"/>
          <w:szCs w:val="28"/>
          <w:highlight w:val="none"/>
        </w:rPr>
        <w:t xml:space="preserve"> </w:t>
      </w:r>
    </w:p>
    <w:p>
      <w:pPr>
        <w:snapToGrid w:val="0"/>
        <w:spacing w:line="480" w:lineRule="auto"/>
        <w:rPr>
          <w:rFonts w:hint="eastAsia" w:ascii="宋体" w:hAnsi="宋体" w:cs="宋体"/>
          <w:b/>
          <w:color w:val="auto"/>
          <w:sz w:val="28"/>
          <w:szCs w:val="28"/>
          <w:highlight w:val="none"/>
        </w:rPr>
      </w:pPr>
    </w:p>
    <w:p>
      <w:pPr>
        <w:snapToGrid w:val="0"/>
        <w:spacing w:line="480" w:lineRule="auto"/>
        <w:rPr>
          <w:rFonts w:hint="eastAsia" w:ascii="宋体" w:hAnsi="宋体" w:cs="宋体"/>
          <w:b/>
          <w:color w:val="auto"/>
          <w:sz w:val="28"/>
          <w:szCs w:val="28"/>
          <w:highlight w:val="none"/>
        </w:rPr>
      </w:pPr>
    </w:p>
    <w:p>
      <w:pPr>
        <w:snapToGrid w:val="0"/>
        <w:spacing w:line="480" w:lineRule="auto"/>
        <w:rPr>
          <w:rFonts w:hint="eastAsia" w:ascii="宋体" w:hAnsi="宋体" w:cs="宋体"/>
          <w:b/>
          <w:color w:val="auto"/>
          <w:sz w:val="28"/>
          <w:szCs w:val="28"/>
          <w:highlight w:val="none"/>
        </w:rPr>
      </w:pPr>
    </w:p>
    <w:p>
      <w:pPr>
        <w:rPr>
          <w:rFonts w:hint="eastAsia" w:ascii="宋体" w:hAnsi="宋体" w:cs="宋体"/>
          <w:b/>
          <w:color w:val="auto"/>
          <w:sz w:val="28"/>
          <w:szCs w:val="28"/>
          <w:highlight w:val="none"/>
        </w:rPr>
      </w:pPr>
    </w:p>
    <w:p>
      <w:pPr>
        <w:pStyle w:val="10"/>
        <w:rPr>
          <w:rFonts w:hint="eastAsia"/>
        </w:rPr>
      </w:pPr>
    </w:p>
    <w:p>
      <w:pPr>
        <w:snapToGrid w:val="0"/>
        <w:spacing w:line="480" w:lineRule="auto"/>
        <w:rPr>
          <w:rFonts w:hint="eastAsia" w:ascii="宋体" w:hAnsi="宋体" w:cs="宋体"/>
          <w:b/>
          <w:color w:val="auto"/>
          <w:sz w:val="28"/>
          <w:szCs w:val="28"/>
          <w:highlight w:val="none"/>
        </w:rPr>
      </w:pPr>
    </w:p>
    <w:p>
      <w:pPr>
        <w:snapToGrid w:val="0"/>
        <w:spacing w:line="480" w:lineRule="auto"/>
        <w:rPr>
          <w:rFonts w:hint="eastAsia" w:ascii="宋体" w:hAnsi="宋体" w:cs="宋体"/>
          <w:b/>
          <w:color w:val="auto"/>
          <w:sz w:val="28"/>
          <w:szCs w:val="28"/>
          <w:highlight w:val="none"/>
        </w:rPr>
      </w:pPr>
    </w:p>
    <w:p>
      <w:pPr>
        <w:snapToGrid w:val="0"/>
        <w:spacing w:line="480" w:lineRule="auto"/>
        <w:rPr>
          <w:rFonts w:hint="eastAsia" w:ascii="宋体" w:hAnsi="宋体" w:cs="宋体"/>
          <w:b/>
          <w:color w:val="auto"/>
          <w:sz w:val="28"/>
          <w:szCs w:val="28"/>
          <w:highlight w:val="none"/>
        </w:rPr>
      </w:pPr>
    </w:p>
    <w:p>
      <w:pPr>
        <w:snapToGrid w:val="0"/>
        <w:spacing w:line="480" w:lineRule="auto"/>
        <w:rPr>
          <w:rFonts w:hint="eastAsia" w:ascii="宋体" w:hAnsi="宋体" w:cs="宋体"/>
          <w:b/>
          <w:color w:val="auto"/>
          <w:sz w:val="28"/>
          <w:szCs w:val="28"/>
          <w:highlight w:val="none"/>
        </w:rPr>
      </w:pPr>
    </w:p>
    <w:p>
      <w:pPr>
        <w:snapToGrid w:val="0"/>
        <w:spacing w:line="480" w:lineRule="auto"/>
        <w:rPr>
          <w:rFonts w:hint="eastAsia" w:ascii="宋体" w:hAnsi="宋体" w:cs="宋体"/>
          <w:b/>
          <w:color w:val="auto"/>
          <w:sz w:val="28"/>
          <w:szCs w:val="28"/>
          <w:highlight w:val="none"/>
        </w:rPr>
      </w:pPr>
      <w:r>
        <w:rPr>
          <w:rFonts w:hint="eastAsia" w:ascii="宋体" w:hAnsi="宋体" w:cs="宋体"/>
          <w:b/>
          <w:color w:val="auto"/>
          <w:sz w:val="28"/>
          <w:szCs w:val="28"/>
          <w:highlight w:val="none"/>
        </w:rPr>
        <w:t>一、总则</w:t>
      </w:r>
    </w:p>
    <w:p>
      <w:pPr>
        <w:keepLines w:val="0"/>
        <w:pageBreakBefore w:val="0"/>
        <w:kinsoku/>
        <w:wordWrap/>
        <w:overflowPunct/>
        <w:topLinePunct w:val="0"/>
        <w:autoSpaceDE/>
        <w:autoSpaceDN/>
        <w:bidi w:val="0"/>
        <w:snapToGrid w:val="0"/>
        <w:spacing w:line="360" w:lineRule="exact"/>
        <w:ind w:firstLine="472" w:firstLineChars="196"/>
        <w:jc w:val="left"/>
        <w:textAlignment w:val="auto"/>
        <w:outlineLvl w:val="1"/>
        <w:rPr>
          <w:rFonts w:hint="eastAsia" w:ascii="宋体" w:hAnsi="宋体" w:cs="宋体"/>
          <w:b/>
          <w:color w:val="auto"/>
          <w:sz w:val="24"/>
          <w:szCs w:val="20"/>
          <w:highlight w:val="none"/>
        </w:rPr>
      </w:pPr>
      <w:r>
        <w:rPr>
          <w:rFonts w:hint="eastAsia" w:ascii="宋体" w:hAnsi="宋体" w:cs="宋体"/>
          <w:b/>
          <w:color w:val="auto"/>
          <w:sz w:val="24"/>
          <w:highlight w:val="none"/>
        </w:rPr>
        <w:t>（一） 适用范围</w:t>
      </w:r>
    </w:p>
    <w:p>
      <w:pPr>
        <w:keepLines w:val="0"/>
        <w:pageBreakBefore w:val="0"/>
        <w:kinsoku/>
        <w:wordWrap/>
        <w:overflowPunct/>
        <w:topLinePunct w:val="0"/>
        <w:autoSpaceDE/>
        <w:autoSpaceDN/>
        <w:bidi w:val="0"/>
        <w:snapToGrid w:val="0"/>
        <w:spacing w:line="360" w:lineRule="exact"/>
        <w:ind w:firstLine="480" w:firstLineChars="200"/>
        <w:jc w:val="left"/>
        <w:textAlignment w:val="auto"/>
        <w:rPr>
          <w:rFonts w:hint="eastAsia" w:ascii="宋体" w:hAnsi="宋体" w:cs="宋体"/>
          <w:color w:val="auto"/>
          <w:sz w:val="24"/>
          <w:szCs w:val="20"/>
          <w:highlight w:val="none"/>
        </w:rPr>
      </w:pPr>
      <w:r>
        <w:rPr>
          <w:rFonts w:hint="eastAsia" w:ascii="宋体" w:hAnsi="宋体" w:cs="宋体"/>
          <w:color w:val="auto"/>
          <w:sz w:val="24"/>
          <w:highlight w:val="none"/>
        </w:rPr>
        <w:t>本招标文件适用于</w:t>
      </w:r>
      <w:r>
        <w:rPr>
          <w:rFonts w:hint="eastAsia" w:ascii="宋体" w:hAnsi="宋体" w:cs="宋体"/>
          <w:color w:val="auto"/>
          <w:sz w:val="24"/>
          <w:highlight w:val="none"/>
          <w:lang w:eastAsia="zh-CN"/>
        </w:rPr>
        <w:t>东阳市吴宁街道未来社区一体化方案项目</w:t>
      </w:r>
      <w:r>
        <w:rPr>
          <w:rFonts w:hint="eastAsia" w:ascii="宋体" w:hAnsi="宋体" w:cs="宋体"/>
          <w:color w:val="auto"/>
          <w:sz w:val="24"/>
          <w:highlight w:val="none"/>
        </w:rPr>
        <w:t>的招标、投标、评标、定标、验收、合同履约、付款等行为（法律、法规另有规定的，从其规定）。</w:t>
      </w:r>
    </w:p>
    <w:p>
      <w:pPr>
        <w:keepLines w:val="0"/>
        <w:pageBreakBefore w:val="0"/>
        <w:kinsoku/>
        <w:wordWrap/>
        <w:overflowPunct/>
        <w:topLinePunct w:val="0"/>
        <w:autoSpaceDE/>
        <w:autoSpaceDN/>
        <w:bidi w:val="0"/>
        <w:snapToGrid w:val="0"/>
        <w:spacing w:before="120" w:beforeLines="50" w:line="360" w:lineRule="exact"/>
        <w:ind w:firstLine="354" w:firstLineChars="147"/>
        <w:jc w:val="left"/>
        <w:textAlignment w:val="auto"/>
        <w:outlineLvl w:val="1"/>
        <w:rPr>
          <w:rFonts w:hint="eastAsia" w:ascii="宋体" w:hAnsi="宋体" w:cs="宋体"/>
          <w:b/>
          <w:color w:val="auto"/>
          <w:sz w:val="24"/>
          <w:szCs w:val="20"/>
          <w:highlight w:val="none"/>
        </w:rPr>
      </w:pPr>
      <w:r>
        <w:rPr>
          <w:rFonts w:hint="eastAsia" w:ascii="宋体" w:hAnsi="宋体" w:cs="宋体"/>
          <w:b/>
          <w:color w:val="auto"/>
          <w:sz w:val="24"/>
          <w:highlight w:val="none"/>
        </w:rPr>
        <w:t>（二）定义</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szCs w:val="20"/>
          <w:highlight w:val="none"/>
        </w:rPr>
      </w:pPr>
      <w:r>
        <w:rPr>
          <w:rFonts w:hint="eastAsia" w:ascii="宋体" w:hAnsi="宋体" w:cs="宋体"/>
          <w:color w:val="auto"/>
          <w:sz w:val="24"/>
          <w:highlight w:val="none"/>
        </w:rPr>
        <w:t>1.招标采购单位系指组织本次招标的</w:t>
      </w:r>
      <w:r>
        <w:rPr>
          <w:rFonts w:hint="eastAsia" w:ascii="宋体" w:hAnsi="宋体" w:cs="宋体"/>
          <w:color w:val="auto"/>
          <w:sz w:val="24"/>
          <w:highlight w:val="none"/>
          <w:lang w:eastAsia="zh-CN"/>
        </w:rPr>
        <w:t>东阳市住房和城乡建设局</w:t>
      </w:r>
      <w:r>
        <w:rPr>
          <w:rFonts w:hint="eastAsia" w:ascii="宋体" w:hAnsi="宋体" w:cs="宋体"/>
          <w:color w:val="auto"/>
          <w:sz w:val="24"/>
          <w:highlight w:val="none"/>
        </w:rPr>
        <w:t>（“采购人”）和东阳耀辉工程咨询有限公司（“采购代理机构”）。</w:t>
      </w:r>
    </w:p>
    <w:p>
      <w:pPr>
        <w:keepLines w:val="0"/>
        <w:pageBreakBefore w:val="0"/>
        <w:kinsoku/>
        <w:wordWrap/>
        <w:overflowPunct/>
        <w:topLinePunct w:val="0"/>
        <w:autoSpaceDE/>
        <w:autoSpaceDN/>
        <w:bidi w:val="0"/>
        <w:snapToGrid w:val="0"/>
        <w:spacing w:line="360" w:lineRule="exact"/>
        <w:ind w:firstLine="480" w:firstLineChars="200"/>
        <w:jc w:val="left"/>
        <w:textAlignment w:val="auto"/>
        <w:rPr>
          <w:rFonts w:hint="eastAsia" w:ascii="宋体" w:hAnsi="宋体" w:cs="宋体"/>
          <w:color w:val="auto"/>
          <w:sz w:val="24"/>
          <w:szCs w:val="20"/>
          <w:highlight w:val="none"/>
        </w:rPr>
      </w:pPr>
      <w:r>
        <w:rPr>
          <w:rFonts w:hint="eastAsia" w:ascii="宋体" w:hAnsi="宋体" w:cs="宋体"/>
          <w:color w:val="auto"/>
          <w:sz w:val="24"/>
          <w:highlight w:val="none"/>
        </w:rPr>
        <w:t>2.“投标人”系指向招标方提交投标文件的单位。</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3.“产品”系指供方按招标文件规定，须向采购人提供的一切设备、保险、税金、备品备件、工具、手册及其它有关技术资料和材料。</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4.“服务”系指招标文件规定投标人须承担的安装、调试、技术协助、校准、培训、技术指导以及其他类似的义务。</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5.“项目”系指投标人按招标文件规定向采购人提供的产品和服务。</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6.“书面形式”包括信函、传真、邮箱等。</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7.“▲”系指实质性要求条款。</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采购项目需要落实的政府采购政策</w:t>
      </w:r>
      <w:r>
        <w:rPr>
          <w:rFonts w:hint="eastAsia" w:ascii="宋体" w:hAnsi="宋体" w:cs="宋体"/>
          <w:color w:val="auto"/>
          <w:sz w:val="24"/>
          <w:highlight w:val="none"/>
          <w:lang w:eastAsia="zh-CN"/>
        </w:rPr>
        <w:t>：</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val="en" w:eastAsia="zh-CN"/>
        </w:rPr>
        <w:t>）</w:t>
      </w:r>
      <w:r>
        <w:rPr>
          <w:rFonts w:hint="eastAsia" w:ascii="宋体" w:hAnsi="宋体" w:cs="宋体"/>
          <w:color w:val="auto"/>
          <w:sz w:val="24"/>
          <w:highlight w:val="none"/>
          <w:lang w:val="en-US" w:eastAsia="zh-CN"/>
        </w:rPr>
        <w:t xml:space="preserve">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val="en" w:eastAsia="zh-CN"/>
        </w:rPr>
        <w:t>）</w:t>
      </w:r>
      <w:r>
        <w:rPr>
          <w:rFonts w:hint="eastAsia" w:ascii="宋体" w:hAnsi="宋体" w:cs="宋体"/>
          <w:color w:val="auto"/>
          <w:sz w:val="24"/>
          <w:highlight w:val="none"/>
          <w:lang w:val="en-US" w:eastAsia="zh-CN"/>
        </w:rPr>
        <w:t xml:space="preserve"> 支持绿色发展</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val="en" w:eastAsia="zh-CN"/>
        </w:rPr>
        <w:t>）</w:t>
      </w:r>
      <w:r>
        <w:rPr>
          <w:rFonts w:hint="eastAsia" w:ascii="宋体" w:hAnsi="宋体" w:cs="宋体"/>
          <w:color w:val="auto"/>
          <w:sz w:val="24"/>
          <w:highlight w:val="none"/>
          <w:lang w:val="en-US" w:eastAsia="zh-CN"/>
        </w:rPr>
        <w:t>支持中小企业发展</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符合中小企业划分标准的个体工商户，在政府采购活动中视同中小企业。</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3.2在政府采购活动中，供应商提供的货物、工程或者服务符合下列情形的，享受中小企业扶持政策：</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3.2.1在货物采购项目中，货物由中小企业制造，即货物由中小企业生产且使用该中小企业商号或者注册商标；</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3.2.2在工程采购项目中，工程由中小企业承建，即工程施工单位为中小企业；</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3.2.3在服务采购项目中，服务由中小企业承接，即提供服务的人员为中小企业依照《中华人民共和国劳动合同法》订立劳动合同的从业人员。</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在货物采购项目中，供应商提供的货物既有中小企业制造货物，也有大型企业制造货物的，不享受中小企业扶持政策。</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以联合体形式参加政府采购活动，联合体各方均为中小企业的，联合体视同中小企业。其中，联合体各方均为小微企业的，联合体视同小微企业。</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40%以上的，对联合体或者大中型企业的报价给予6%的扣除，用扣除后的价格参加评审。组成联合体或者接受分包的小微企业与联合体内其他企业、分包企业之间存在直接控股、管理关系的，不享受价格扣除优惠政策。</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3.4符合《关于促进残疾人就业政府采购政策的通知》（财库〔2017〕141号）规定的条件并提供《残疾人福利性单位声明函》（附件1）的残疾人福利性单位视同小型、微型企业。</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3.7中小企业享受扶持政策获得政府采购合同的，小微企业不得将合同分包给大中型企业，中型企业不得将合同分包给大型企业。</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val="en" w:eastAsia="zh-CN"/>
        </w:rPr>
        <w:t>）</w:t>
      </w:r>
      <w:r>
        <w:rPr>
          <w:rFonts w:hint="eastAsia" w:ascii="宋体" w:hAnsi="宋体" w:cs="宋体"/>
          <w:color w:val="auto"/>
          <w:sz w:val="24"/>
          <w:highlight w:val="none"/>
          <w:lang w:val="en-US" w:eastAsia="zh-CN"/>
        </w:rPr>
        <w:t>支持创新发展</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4.1 采购人优先采购被认定为首台套产品和“制造精品”的自主创新产品。</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Lines w:val="0"/>
        <w:pageBreakBefore w:val="0"/>
        <w:tabs>
          <w:tab w:val="left" w:pos="345"/>
        </w:tabs>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val="en" w:eastAsia="zh-CN"/>
        </w:rPr>
        <w:t>）</w:t>
      </w:r>
      <w:r>
        <w:rPr>
          <w:rFonts w:hint="eastAsia" w:ascii="宋体" w:hAnsi="宋体" w:cs="宋体"/>
          <w:color w:val="auto"/>
          <w:sz w:val="24"/>
          <w:highlight w:val="none"/>
          <w:lang w:val="en-US" w:eastAsia="zh-CN"/>
        </w:rPr>
        <w:t>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keepLines w:val="0"/>
        <w:pageBreakBefore w:val="0"/>
        <w:kinsoku/>
        <w:wordWrap/>
        <w:overflowPunct/>
        <w:topLinePunct w:val="0"/>
        <w:autoSpaceDE/>
        <w:autoSpaceDN/>
        <w:bidi w:val="0"/>
        <w:snapToGrid w:val="0"/>
        <w:spacing w:before="120" w:beforeLines="50" w:line="360" w:lineRule="exact"/>
        <w:ind w:firstLine="472" w:firstLineChars="196"/>
        <w:jc w:val="left"/>
        <w:textAlignment w:val="auto"/>
        <w:outlineLvl w:val="1"/>
        <w:rPr>
          <w:rFonts w:hint="eastAsia" w:ascii="宋体" w:hAnsi="宋体" w:cs="宋体"/>
          <w:b/>
          <w:color w:val="auto"/>
          <w:sz w:val="24"/>
          <w:szCs w:val="20"/>
          <w:highlight w:val="none"/>
        </w:rPr>
      </w:pPr>
      <w:r>
        <w:rPr>
          <w:rFonts w:hint="eastAsia" w:ascii="宋体" w:hAnsi="宋体" w:cs="宋体"/>
          <w:b/>
          <w:color w:val="auto"/>
          <w:sz w:val="24"/>
          <w:highlight w:val="none"/>
        </w:rPr>
        <w:t>（三）招标方式</w:t>
      </w:r>
    </w:p>
    <w:p>
      <w:pPr>
        <w:keepLines w:val="0"/>
        <w:pageBreakBefore w:val="0"/>
        <w:kinsoku/>
        <w:wordWrap/>
        <w:overflowPunct/>
        <w:topLinePunct w:val="0"/>
        <w:autoSpaceDE/>
        <w:autoSpaceDN/>
        <w:bidi w:val="0"/>
        <w:snapToGrid w:val="0"/>
        <w:spacing w:line="360" w:lineRule="exact"/>
        <w:ind w:firstLine="480" w:firstLineChars="200"/>
        <w:jc w:val="left"/>
        <w:textAlignment w:val="auto"/>
        <w:rPr>
          <w:rFonts w:hint="eastAsia" w:ascii="宋体" w:hAnsi="宋体" w:cs="宋体"/>
          <w:color w:val="auto"/>
          <w:sz w:val="24"/>
          <w:szCs w:val="20"/>
          <w:highlight w:val="none"/>
        </w:rPr>
      </w:pPr>
      <w:r>
        <w:rPr>
          <w:rFonts w:hint="eastAsia" w:ascii="宋体" w:hAnsi="宋体" w:cs="宋体"/>
          <w:color w:val="auto"/>
          <w:sz w:val="24"/>
          <w:highlight w:val="none"/>
        </w:rPr>
        <w:t>本次招标采用公开招标方式进行。</w:t>
      </w:r>
    </w:p>
    <w:p>
      <w:pPr>
        <w:keepLines w:val="0"/>
        <w:pageBreakBefore w:val="0"/>
        <w:kinsoku/>
        <w:wordWrap/>
        <w:overflowPunct/>
        <w:topLinePunct w:val="0"/>
        <w:autoSpaceDE/>
        <w:autoSpaceDN/>
        <w:bidi w:val="0"/>
        <w:snapToGrid w:val="0"/>
        <w:spacing w:before="120" w:beforeLines="50" w:line="360" w:lineRule="exact"/>
        <w:ind w:firstLine="472" w:firstLineChars="196"/>
        <w:jc w:val="left"/>
        <w:textAlignment w:val="auto"/>
        <w:outlineLvl w:val="1"/>
        <w:rPr>
          <w:rFonts w:hint="eastAsia" w:ascii="宋体" w:hAnsi="宋体" w:cs="宋体"/>
          <w:b/>
          <w:color w:val="auto"/>
          <w:sz w:val="24"/>
          <w:szCs w:val="20"/>
          <w:highlight w:val="none"/>
        </w:rPr>
      </w:pPr>
      <w:r>
        <w:rPr>
          <w:rFonts w:hint="eastAsia" w:ascii="宋体" w:hAnsi="宋体" w:cs="宋体"/>
          <w:b/>
          <w:color w:val="auto"/>
          <w:sz w:val="24"/>
          <w:highlight w:val="none"/>
        </w:rPr>
        <w:t>（四）投标委托</w:t>
      </w:r>
    </w:p>
    <w:p>
      <w:pPr>
        <w:keepLines w:val="0"/>
        <w:pageBreakBefore w:val="0"/>
        <w:kinsoku/>
        <w:wordWrap/>
        <w:overflowPunct/>
        <w:topLinePunct w:val="0"/>
        <w:autoSpaceDE/>
        <w:autoSpaceDN/>
        <w:bidi w:val="0"/>
        <w:adjustRightInd w:val="0"/>
        <w:snapToGrid w:val="0"/>
        <w:spacing w:line="440" w:lineRule="atLeast"/>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项目不要求投标人到开标现场开标，但投标人应派法定代表人或委托代理人【委托代理人应当是投标人的在职正式职工（以社保网站拉具的含授权代表的投标单位社保清单为准，无社保网站拉具的投标单位社保清单的，可以提供投标人注册所在地社保部门出具的投标人本单位缴纳社保花名册）】准时在线出席电子开标会议，随时关注开标进度，如在开标过程中有电子询标，应在规定的时间内对电子询标函进行澄清、答复。超过规定时间的询标函将不予接受，评标为委员会可以作出不利于被询标人的决定。评标委员会只对投标文件内容进行询问，不接受外部补充证据，评标委员会认为投标人不符合招标文件实质性要求明确时，可不经过询标而直接予以无效标认定，但代理机构应将无效标原因当场告知投标人。</w:t>
      </w:r>
    </w:p>
    <w:p>
      <w:pPr>
        <w:keepLines w:val="0"/>
        <w:pageBreakBefore w:val="0"/>
        <w:kinsoku/>
        <w:wordWrap/>
        <w:overflowPunct/>
        <w:topLinePunct w:val="0"/>
        <w:autoSpaceDE/>
        <w:autoSpaceDN/>
        <w:bidi w:val="0"/>
        <w:snapToGrid w:val="0"/>
        <w:spacing w:before="120" w:beforeLines="50" w:line="360" w:lineRule="exact"/>
        <w:ind w:firstLine="470" w:firstLineChars="196"/>
        <w:jc w:val="left"/>
        <w:textAlignment w:val="auto"/>
        <w:outlineLvl w:val="1"/>
        <w:rPr>
          <w:rFonts w:hint="eastAsia" w:ascii="宋体" w:hAnsi="宋体" w:eastAsia="宋体" w:cs="宋体"/>
          <w:sz w:val="24"/>
          <w:szCs w:val="24"/>
        </w:rPr>
      </w:pPr>
      <w:r>
        <w:rPr>
          <w:rFonts w:hint="eastAsia" w:ascii="宋体" w:hAnsi="宋体" w:eastAsia="宋体" w:cs="宋体"/>
          <w:bCs/>
          <w:sz w:val="24"/>
          <w:szCs w:val="24"/>
        </w:rPr>
        <w:t>投标人未按招标文件要求派代表参加电子开标会议的，视同认可开标结果，不得对开标过程及开标结果提出质疑</w:t>
      </w:r>
      <w:r>
        <w:rPr>
          <w:rFonts w:hint="eastAsia" w:ascii="宋体" w:hAnsi="宋体" w:eastAsia="宋体" w:cs="宋体"/>
          <w:sz w:val="24"/>
          <w:szCs w:val="24"/>
        </w:rPr>
        <w:t>。</w:t>
      </w:r>
    </w:p>
    <w:p>
      <w:pPr>
        <w:keepLines w:val="0"/>
        <w:pageBreakBefore w:val="0"/>
        <w:kinsoku/>
        <w:wordWrap/>
        <w:overflowPunct/>
        <w:topLinePunct w:val="0"/>
        <w:autoSpaceDE/>
        <w:autoSpaceDN/>
        <w:bidi w:val="0"/>
        <w:snapToGrid w:val="0"/>
        <w:spacing w:before="120" w:beforeLines="50" w:line="360" w:lineRule="exact"/>
        <w:ind w:firstLine="472" w:firstLineChars="196"/>
        <w:jc w:val="left"/>
        <w:textAlignment w:val="auto"/>
        <w:outlineLvl w:val="1"/>
        <w:rPr>
          <w:rFonts w:hint="eastAsia" w:ascii="宋体" w:hAnsi="宋体" w:cs="宋体"/>
          <w:b/>
          <w:color w:val="auto"/>
          <w:sz w:val="24"/>
          <w:szCs w:val="20"/>
          <w:highlight w:val="none"/>
        </w:rPr>
      </w:pPr>
      <w:r>
        <w:rPr>
          <w:rFonts w:hint="eastAsia" w:ascii="宋体" w:hAnsi="宋体" w:cs="宋体"/>
          <w:b/>
          <w:color w:val="auto"/>
          <w:sz w:val="24"/>
          <w:highlight w:val="none"/>
        </w:rPr>
        <w:t>（五）投标费用</w:t>
      </w:r>
    </w:p>
    <w:p>
      <w:pPr>
        <w:keepLines w:val="0"/>
        <w:pageBreakBefore w:val="0"/>
        <w:kinsoku/>
        <w:wordWrap/>
        <w:overflowPunct/>
        <w:topLinePunct w:val="0"/>
        <w:autoSpaceDE/>
        <w:autoSpaceDN/>
        <w:bidi w:val="0"/>
        <w:snapToGrid w:val="0"/>
        <w:spacing w:line="36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1、不论投标结果如何，投标人均应自行承担所有与投标有关的全部费用（招标文件有相关规定除外）。</w:t>
      </w:r>
    </w:p>
    <w:p>
      <w:pPr>
        <w:keepLines w:val="0"/>
        <w:pageBreakBefore w:val="0"/>
        <w:kinsoku/>
        <w:wordWrap/>
        <w:overflowPunct/>
        <w:topLinePunct w:val="0"/>
        <w:autoSpaceDE/>
        <w:autoSpaceDN/>
        <w:bidi w:val="0"/>
        <w:spacing w:line="360" w:lineRule="exact"/>
        <w:ind w:firstLine="470" w:firstLineChars="196"/>
        <w:textAlignment w:val="auto"/>
        <w:rPr>
          <w:rFonts w:hint="eastAsia" w:ascii="宋体" w:hAnsi="宋体" w:cs="宋体"/>
          <w:bCs/>
          <w:color w:val="auto"/>
          <w:sz w:val="24"/>
          <w:highlight w:val="none"/>
        </w:rPr>
      </w:pPr>
      <w:r>
        <w:rPr>
          <w:rFonts w:hint="eastAsia" w:ascii="宋体" w:hAnsi="宋体" w:cs="宋体"/>
          <w:bCs/>
          <w:color w:val="auto"/>
          <w:sz w:val="24"/>
          <w:highlight w:val="none"/>
        </w:rPr>
        <w:t xml:space="preserve">2. </w:t>
      </w:r>
      <w:r>
        <w:rPr>
          <w:rFonts w:hint="eastAsia" w:ascii="宋体" w:hAnsi="宋体" w:cs="宋体"/>
          <w:bCs/>
          <w:sz w:val="24"/>
        </w:rPr>
        <w:t>东阳耀辉工程咨询有限公司按差额定率累进法计算（详见本条下列表格收费标准），向中标单位收取中标服务费，在领取中标通知书前交纳。</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0"/>
        <w:gridCol w:w="5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2950" w:type="dxa"/>
            <w:tcBorders>
              <w:top w:val="single" w:color="auto" w:sz="4" w:space="0"/>
              <w:left w:val="single" w:color="auto" w:sz="4" w:space="0"/>
              <w:bottom w:val="single" w:color="auto" w:sz="4" w:space="0"/>
              <w:right w:val="single" w:color="auto" w:sz="4" w:space="0"/>
            </w:tcBorders>
            <w:vAlign w:val="center"/>
          </w:tcPr>
          <w:p>
            <w:pPr>
              <w:tabs>
                <w:tab w:val="left" w:pos="762"/>
                <w:tab w:val="center" w:pos="2007"/>
              </w:tabs>
              <w:spacing w:line="360" w:lineRule="exact"/>
              <w:jc w:val="center"/>
              <w:rPr>
                <w:rFonts w:ascii="宋体" w:hAnsi="宋体" w:cs="宋体"/>
                <w:bCs/>
                <w:sz w:val="24"/>
              </w:rPr>
            </w:pPr>
            <w:r>
              <w:rPr>
                <w:rFonts w:hint="eastAsia" w:ascii="宋体" w:hAnsi="宋体" w:cs="宋体"/>
                <w:bCs/>
                <w:sz w:val="24"/>
              </w:rPr>
              <w:t>收费标准</w:t>
            </w:r>
          </w:p>
        </w:tc>
        <w:tc>
          <w:tcPr>
            <w:tcW w:w="5708" w:type="dxa"/>
            <w:tcBorders>
              <w:top w:val="single" w:color="auto" w:sz="4" w:space="0"/>
              <w:left w:val="single" w:color="auto" w:sz="4" w:space="0"/>
              <w:bottom w:val="single" w:color="auto" w:sz="4" w:space="0"/>
              <w:right w:val="single" w:color="auto" w:sz="4" w:space="0"/>
            </w:tcBorders>
            <w:vAlign w:val="center"/>
          </w:tcPr>
          <w:p>
            <w:pPr>
              <w:tabs>
                <w:tab w:val="left" w:pos="762"/>
                <w:tab w:val="center" w:pos="2007"/>
              </w:tabs>
              <w:spacing w:line="360" w:lineRule="exact"/>
              <w:jc w:val="left"/>
              <w:rPr>
                <w:rFonts w:ascii="宋体" w:hAnsi="宋体" w:cs="宋体"/>
                <w:bCs/>
                <w:sz w:val="24"/>
              </w:rPr>
            </w:pPr>
            <w:r>
              <w:rPr>
                <w:rFonts w:hint="eastAsia" w:ascii="宋体" w:hAnsi="宋体" w:cs="宋体"/>
                <w:bCs/>
                <w:sz w:val="24"/>
              </w:rPr>
              <w:tab/>
            </w:r>
            <w:r>
              <w:rPr>
                <w:rFonts w:hint="eastAsia" w:ascii="宋体" w:hAnsi="宋体" w:cs="宋体"/>
                <w:bCs/>
                <w:sz w:val="24"/>
              </w:rPr>
              <w:tab/>
            </w:r>
            <w:r>
              <w:rPr>
                <w:rFonts w:hint="eastAsia" w:ascii="宋体" w:hAnsi="宋体" w:cs="宋体"/>
                <w:bCs/>
                <w:sz w:val="24"/>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95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Cs/>
                <w:sz w:val="24"/>
              </w:rPr>
            </w:pPr>
            <w:r>
              <w:rPr>
                <w:rFonts w:hint="eastAsia" w:ascii="宋体" w:hAnsi="宋体" w:cs="宋体"/>
                <w:bCs/>
                <w:sz w:val="24"/>
              </w:rPr>
              <w:t>100万以下</w:t>
            </w:r>
          </w:p>
        </w:tc>
        <w:tc>
          <w:tcPr>
            <w:tcW w:w="5708"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Cs/>
                <w:sz w:val="24"/>
              </w:rPr>
            </w:pPr>
            <w:r>
              <w:rPr>
                <w:rFonts w:hint="eastAsia" w:ascii="宋体" w:hAnsi="宋体" w:cs="宋体"/>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950" w:type="dxa"/>
            <w:tcBorders>
              <w:top w:val="single" w:color="auto" w:sz="4" w:space="0"/>
              <w:left w:val="single" w:color="auto" w:sz="4" w:space="0"/>
              <w:bottom w:val="single" w:color="auto" w:sz="4" w:space="0"/>
              <w:right w:val="single" w:color="auto" w:sz="4" w:space="0"/>
            </w:tcBorders>
          </w:tcPr>
          <w:p>
            <w:pPr>
              <w:spacing w:line="360" w:lineRule="exact"/>
              <w:jc w:val="center"/>
              <w:rPr>
                <w:rFonts w:hint="default" w:ascii="宋体" w:hAnsi="宋体" w:eastAsia="宋体" w:cs="宋体"/>
                <w:bCs/>
                <w:sz w:val="24"/>
                <w:lang w:val="en-US" w:eastAsia="zh-CN"/>
              </w:rPr>
            </w:pPr>
            <w:r>
              <w:rPr>
                <w:rFonts w:hint="eastAsia" w:ascii="宋体" w:hAnsi="宋体" w:cs="宋体"/>
                <w:bCs/>
                <w:sz w:val="24"/>
                <w:lang w:val="en-US" w:eastAsia="zh-CN"/>
              </w:rPr>
              <w:t>100万元-500万元</w:t>
            </w:r>
          </w:p>
        </w:tc>
        <w:tc>
          <w:tcPr>
            <w:tcW w:w="5708" w:type="dxa"/>
            <w:tcBorders>
              <w:top w:val="single" w:color="auto" w:sz="4" w:space="0"/>
              <w:left w:val="single" w:color="auto" w:sz="4" w:space="0"/>
              <w:bottom w:val="single" w:color="auto" w:sz="4" w:space="0"/>
              <w:right w:val="single" w:color="auto" w:sz="4" w:space="0"/>
            </w:tcBorders>
          </w:tcPr>
          <w:p>
            <w:pPr>
              <w:spacing w:line="360" w:lineRule="exact"/>
              <w:jc w:val="center"/>
              <w:rPr>
                <w:rFonts w:hint="default" w:ascii="宋体" w:hAnsi="宋体" w:eastAsia="宋体" w:cs="宋体"/>
                <w:bCs/>
                <w:sz w:val="24"/>
                <w:lang w:val="en-US" w:eastAsia="zh-CN"/>
              </w:rPr>
            </w:pPr>
            <w:r>
              <w:rPr>
                <w:rFonts w:hint="eastAsia" w:ascii="宋体" w:hAnsi="宋体" w:cs="宋体"/>
                <w:bCs/>
                <w:sz w:val="24"/>
                <w:lang w:val="en-US" w:eastAsia="zh-CN"/>
              </w:rPr>
              <w:t>0.8%</w:t>
            </w:r>
          </w:p>
        </w:tc>
      </w:tr>
    </w:tbl>
    <w:p>
      <w:pPr>
        <w:keepLines w:val="0"/>
        <w:pageBreakBefore w:val="0"/>
        <w:kinsoku/>
        <w:wordWrap/>
        <w:overflowPunct/>
        <w:topLinePunct w:val="0"/>
        <w:autoSpaceDE/>
        <w:autoSpaceDN/>
        <w:bidi w:val="0"/>
        <w:spacing w:line="36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中标服务费由中标人汇至以下账户：</w:t>
      </w:r>
    </w:p>
    <w:p>
      <w:pPr>
        <w:keepLines w:val="0"/>
        <w:pageBreakBefore w:val="0"/>
        <w:kinsoku/>
        <w:wordWrap/>
        <w:overflowPunct/>
        <w:topLinePunct w:val="0"/>
        <w:autoSpaceDE/>
        <w:autoSpaceDN/>
        <w:bidi w:val="0"/>
        <w:spacing w:line="360" w:lineRule="exact"/>
        <w:ind w:firstLine="480"/>
        <w:textAlignment w:val="auto"/>
        <w:rPr>
          <w:rFonts w:hint="eastAsia" w:ascii="宋体" w:hAnsi="宋体" w:cs="宋体"/>
          <w:color w:val="auto"/>
          <w:sz w:val="24"/>
          <w:highlight w:val="none"/>
        </w:rPr>
      </w:pPr>
      <w:r>
        <w:rPr>
          <w:rFonts w:hint="eastAsia" w:ascii="宋体" w:hAnsi="宋体" w:cs="宋体"/>
          <w:color w:val="auto"/>
          <w:sz w:val="24"/>
          <w:highlight w:val="none"/>
        </w:rPr>
        <w:t>账户名称：东阳耀辉工程咨询有限公司</w:t>
      </w:r>
    </w:p>
    <w:p>
      <w:pPr>
        <w:keepLines w:val="0"/>
        <w:pageBreakBefore w:val="0"/>
        <w:kinsoku/>
        <w:wordWrap/>
        <w:overflowPunct/>
        <w:topLinePunct w:val="0"/>
        <w:autoSpaceDE/>
        <w:autoSpaceDN/>
        <w:bidi w:val="0"/>
        <w:spacing w:line="360" w:lineRule="exact"/>
        <w:ind w:firstLine="480"/>
        <w:textAlignment w:val="auto"/>
        <w:rPr>
          <w:rFonts w:hint="eastAsia" w:ascii="宋体" w:hAnsi="宋体" w:cs="宋体"/>
          <w:color w:val="auto"/>
          <w:sz w:val="24"/>
          <w:highlight w:val="none"/>
        </w:rPr>
      </w:pPr>
      <w:r>
        <w:rPr>
          <w:rFonts w:hint="eastAsia" w:ascii="宋体" w:hAnsi="宋体" w:cs="宋体"/>
          <w:color w:val="auto"/>
          <w:sz w:val="24"/>
          <w:highlight w:val="none"/>
        </w:rPr>
        <w:t>开户银行：中国农业银行东阳吴宁支行</w:t>
      </w:r>
    </w:p>
    <w:p>
      <w:pPr>
        <w:keepLines w:val="0"/>
        <w:pageBreakBefore w:val="0"/>
        <w:kinsoku/>
        <w:wordWrap/>
        <w:overflowPunct/>
        <w:topLinePunct w:val="0"/>
        <w:autoSpaceDE/>
        <w:autoSpaceDN/>
        <w:bidi w:val="0"/>
        <w:spacing w:line="360" w:lineRule="exact"/>
        <w:ind w:firstLine="480"/>
        <w:textAlignment w:val="auto"/>
        <w:rPr>
          <w:rFonts w:hint="eastAsia" w:ascii="宋体" w:hAnsi="宋体" w:cs="宋体"/>
          <w:b/>
          <w:bCs/>
          <w:color w:val="auto"/>
          <w:sz w:val="24"/>
          <w:highlight w:val="none"/>
        </w:rPr>
      </w:pPr>
      <w:r>
        <w:rPr>
          <w:rFonts w:hint="eastAsia" w:ascii="宋体" w:hAnsi="宋体" w:cs="宋体"/>
          <w:color w:val="auto"/>
          <w:sz w:val="24"/>
          <w:highlight w:val="none"/>
        </w:rPr>
        <w:t>银行账号：</w:t>
      </w:r>
      <w:r>
        <w:rPr>
          <w:rFonts w:hint="eastAsia" w:ascii="宋体" w:hAnsi="宋体" w:cs="宋体"/>
          <w:color w:val="auto"/>
          <w:sz w:val="24"/>
          <w:highlight w:val="none"/>
          <w:u w:val="single"/>
        </w:rPr>
        <w:t>19635601040010736</w:t>
      </w:r>
    </w:p>
    <w:p>
      <w:pPr>
        <w:keepLines w:val="0"/>
        <w:pageBreakBefore w:val="0"/>
        <w:kinsoku/>
        <w:wordWrap/>
        <w:overflowPunct/>
        <w:topLinePunct w:val="0"/>
        <w:autoSpaceDE/>
        <w:autoSpaceDN/>
        <w:bidi w:val="0"/>
        <w:snapToGrid w:val="0"/>
        <w:spacing w:before="120" w:beforeLines="50" w:line="360" w:lineRule="exact"/>
        <w:ind w:firstLine="482" w:firstLineChars="200"/>
        <w:jc w:val="left"/>
        <w:textAlignment w:val="auto"/>
        <w:rPr>
          <w:rFonts w:hint="eastAsia" w:ascii="宋体" w:hAnsi="宋体" w:cs="宋体"/>
          <w:b/>
          <w:color w:val="auto"/>
          <w:sz w:val="24"/>
          <w:highlight w:val="none"/>
        </w:rPr>
      </w:pPr>
      <w:r>
        <w:rPr>
          <w:rFonts w:hint="eastAsia" w:ascii="宋体" w:hAnsi="宋体" w:cs="宋体"/>
          <w:b/>
          <w:color w:val="auto"/>
          <w:sz w:val="24"/>
          <w:highlight w:val="none"/>
        </w:rPr>
        <w:t>（六）联合体投标</w:t>
      </w:r>
    </w:p>
    <w:p>
      <w:pPr>
        <w:keepLines w:val="0"/>
        <w:pageBreakBefore w:val="0"/>
        <w:kinsoku/>
        <w:wordWrap/>
        <w:overflowPunct/>
        <w:topLinePunct w:val="0"/>
        <w:autoSpaceDE/>
        <w:autoSpaceDN/>
        <w:bidi w:val="0"/>
        <w:snapToGrid w:val="0"/>
        <w:spacing w:before="120" w:beforeLines="50" w:line="360" w:lineRule="exact"/>
        <w:ind w:firstLine="470" w:firstLineChars="196"/>
        <w:jc w:val="left"/>
        <w:textAlignment w:val="auto"/>
        <w:rPr>
          <w:rFonts w:hint="eastAsia" w:ascii="宋体" w:hAnsi="宋体" w:cs="宋体"/>
          <w:color w:val="auto"/>
          <w:sz w:val="24"/>
          <w:highlight w:val="none"/>
        </w:rPr>
      </w:pPr>
      <w:r>
        <w:rPr>
          <w:rFonts w:hint="eastAsia" w:ascii="宋体" w:hAnsi="宋体" w:cs="宋体"/>
          <w:color w:val="auto"/>
          <w:sz w:val="24"/>
          <w:highlight w:val="none"/>
        </w:rPr>
        <w:t>本项目接受联合体投标。</w:t>
      </w:r>
    </w:p>
    <w:p>
      <w:pPr>
        <w:keepLines w:val="0"/>
        <w:pageBreakBefore w:val="0"/>
        <w:kinsoku/>
        <w:wordWrap/>
        <w:overflowPunct/>
        <w:topLinePunct w:val="0"/>
        <w:autoSpaceDE/>
        <w:autoSpaceDN/>
        <w:bidi w:val="0"/>
        <w:snapToGrid w:val="0"/>
        <w:spacing w:line="360" w:lineRule="exact"/>
        <w:ind w:firstLine="482" w:firstLineChars="200"/>
        <w:textAlignment w:val="auto"/>
        <w:rPr>
          <w:rFonts w:hint="eastAsia" w:ascii="宋体" w:hAnsi="宋体" w:cs="宋体"/>
          <w:b/>
          <w:color w:val="auto"/>
          <w:kern w:val="0"/>
          <w:sz w:val="24"/>
          <w:szCs w:val="20"/>
          <w:highlight w:val="none"/>
        </w:rPr>
      </w:pPr>
      <w:r>
        <w:rPr>
          <w:rFonts w:hint="eastAsia" w:ascii="宋体" w:hAnsi="宋体" w:cs="宋体"/>
          <w:b/>
          <w:color w:val="auto"/>
          <w:sz w:val="24"/>
          <w:highlight w:val="none"/>
        </w:rPr>
        <w:t>（七）</w:t>
      </w:r>
      <w:r>
        <w:rPr>
          <w:rFonts w:hint="eastAsia" w:ascii="宋体" w:hAnsi="宋体" w:cs="宋体"/>
          <w:b/>
          <w:color w:val="auto"/>
          <w:kern w:val="0"/>
          <w:sz w:val="24"/>
          <w:highlight w:val="none"/>
        </w:rPr>
        <w:t>转包与分包</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kern w:val="0"/>
          <w:sz w:val="24"/>
          <w:szCs w:val="20"/>
          <w:highlight w:val="none"/>
        </w:rPr>
      </w:pPr>
      <w:r>
        <w:rPr>
          <w:rFonts w:hint="eastAsia" w:ascii="宋体" w:hAnsi="宋体" w:cs="宋体"/>
          <w:color w:val="auto"/>
          <w:kern w:val="0"/>
          <w:sz w:val="24"/>
          <w:highlight w:val="none"/>
        </w:rPr>
        <w:t>1.本项目不允许转包。</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b/>
          <w:color w:val="auto"/>
          <w:sz w:val="24"/>
          <w:highlight w:val="none"/>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eastAsia="zh-CN"/>
        </w:rPr>
        <w:t>本项目分包按照浙财采监[2022]3号文件执行。</w:t>
      </w:r>
    </w:p>
    <w:p>
      <w:pPr>
        <w:keepLines w:val="0"/>
        <w:pageBreakBefore w:val="0"/>
        <w:kinsoku/>
        <w:wordWrap/>
        <w:overflowPunct/>
        <w:topLinePunct w:val="0"/>
        <w:autoSpaceDE/>
        <w:autoSpaceDN/>
        <w:bidi w:val="0"/>
        <w:snapToGrid w:val="0"/>
        <w:spacing w:before="120" w:beforeLines="50" w:line="360" w:lineRule="exact"/>
        <w:ind w:firstLine="472" w:firstLineChars="196"/>
        <w:jc w:val="left"/>
        <w:textAlignment w:val="auto"/>
        <w:outlineLvl w:val="1"/>
        <w:rPr>
          <w:rFonts w:hint="eastAsia" w:ascii="宋体" w:hAnsi="宋体" w:cs="宋体"/>
          <w:b/>
          <w:color w:val="auto"/>
          <w:sz w:val="24"/>
          <w:highlight w:val="none"/>
        </w:rPr>
      </w:pPr>
      <w:r>
        <w:rPr>
          <w:rFonts w:hint="eastAsia" w:ascii="宋体" w:hAnsi="宋体" w:cs="宋体"/>
          <w:b/>
          <w:color w:val="auto"/>
          <w:sz w:val="24"/>
          <w:highlight w:val="none"/>
        </w:rPr>
        <w:t>（八）特别说明</w:t>
      </w:r>
    </w:p>
    <w:p>
      <w:pPr>
        <w:keepLines w:val="0"/>
        <w:pageBreakBefore w:val="0"/>
        <w:kinsoku/>
        <w:wordWrap/>
        <w:overflowPunct/>
        <w:topLinePunct w:val="0"/>
        <w:autoSpaceDE/>
        <w:autoSpaceDN/>
        <w:bidi w:val="0"/>
        <w:snapToGrid w:val="0"/>
        <w:spacing w:line="360" w:lineRule="exact"/>
        <w:ind w:left="2" w:leftChars="1" w:firstLine="420" w:firstLineChars="200"/>
        <w:textAlignment w:val="auto"/>
        <w:rPr>
          <w:rFonts w:hint="eastAsia" w:ascii="宋体" w:hAnsi="宋体" w:cs="宋体"/>
          <w:color w:val="auto"/>
          <w:sz w:val="24"/>
          <w:highlight w:val="none"/>
        </w:rPr>
      </w:pPr>
      <w:r>
        <w:rPr>
          <w:rFonts w:hint="eastAsia" w:ascii="宋体" w:hAnsi="宋体" w:cs="宋体"/>
          <w:color w:val="auto"/>
          <w:highlight w:val="none"/>
        </w:rPr>
        <w:t>▲</w:t>
      </w:r>
      <w:r>
        <w:rPr>
          <w:rFonts w:hint="eastAsia" w:ascii="宋体" w:hAnsi="宋体" w:cs="宋体"/>
          <w:color w:val="auto"/>
          <w:sz w:val="24"/>
          <w:highlight w:val="none"/>
        </w:rPr>
        <w:t>1.多家投标人参加投标，如其中两家或两家以上投标人的法定代表人为同一人或相互之间存在投资关系且达到控股的，应当按一个投标人认定。</w:t>
      </w:r>
    </w:p>
    <w:p>
      <w:pPr>
        <w:keepLines w:val="0"/>
        <w:pageBreakBefore w:val="0"/>
        <w:kinsoku/>
        <w:wordWrap/>
        <w:overflowPunct/>
        <w:topLinePunct w:val="0"/>
        <w:autoSpaceDE/>
        <w:autoSpaceDN/>
        <w:bidi w:val="0"/>
        <w:snapToGrid w:val="0"/>
        <w:spacing w:line="360" w:lineRule="exact"/>
        <w:ind w:left="2" w:leftChars="1"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▲2.投标人投标所使用的资格、信誉、荣誉、业绩与企业认证必须为本投标单位所拥有。</w:t>
      </w:r>
    </w:p>
    <w:p>
      <w:pPr>
        <w:keepLines w:val="0"/>
        <w:pageBreakBefore w:val="0"/>
        <w:kinsoku/>
        <w:wordWrap/>
        <w:overflowPunct/>
        <w:topLinePunct w:val="0"/>
        <w:autoSpaceDE/>
        <w:autoSpaceDN/>
        <w:bidi w:val="0"/>
        <w:snapToGrid w:val="0"/>
        <w:spacing w:line="360" w:lineRule="exact"/>
        <w:ind w:left="2" w:leftChars="1"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▲投标人投标所使用的采购项目实施人员必须为本投标单位员工（或必须为本投标单位或控股公司正式员工）。</w:t>
      </w:r>
    </w:p>
    <w:p>
      <w:pPr>
        <w:keepLines w:val="0"/>
        <w:pageBreakBefore w:val="0"/>
        <w:kinsoku/>
        <w:wordWrap/>
        <w:overflowPunct/>
        <w:topLinePunct w:val="0"/>
        <w:autoSpaceDE/>
        <w:autoSpaceDN/>
        <w:bidi w:val="0"/>
        <w:snapToGrid w:val="0"/>
        <w:spacing w:line="360" w:lineRule="exact"/>
        <w:ind w:left="2" w:leftChars="1"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▲3.投标人应仔细阅读招标文件的所有内容，按照招标文件的要求提交投标文件，并对所提供的全部资料的真实性承担法律责任。</w:t>
      </w:r>
    </w:p>
    <w:p>
      <w:pPr>
        <w:keepLines w:val="0"/>
        <w:pageBreakBefore w:val="0"/>
        <w:kinsoku/>
        <w:wordWrap/>
        <w:overflowPunct/>
        <w:topLinePunct w:val="0"/>
        <w:autoSpaceDE/>
        <w:autoSpaceDN/>
        <w:bidi w:val="0"/>
        <w:snapToGrid w:val="0"/>
        <w:spacing w:line="360" w:lineRule="exact"/>
        <w:ind w:left="2" w:leftChars="1"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4.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p>
    <w:p>
      <w:pPr>
        <w:keepLines w:val="0"/>
        <w:pageBreakBefore w:val="0"/>
        <w:kinsoku/>
        <w:wordWrap/>
        <w:overflowPunct/>
        <w:topLinePunct w:val="0"/>
        <w:autoSpaceDE/>
        <w:autoSpaceDN/>
        <w:bidi w:val="0"/>
        <w:snapToGrid w:val="0"/>
        <w:spacing w:line="360" w:lineRule="exact"/>
        <w:ind w:left="2" w:leftChars="1"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▲5. 评标委员会认为投标人的报价明显低于其他通过符合性审查投标人的报价，有可能影响成果质量或者不能诚信履约的，应当要求其在评标现场合理的时间内提供书面说明，投标人不能证明其报价合理性的，评标委员会应当将其作为无效投标处理。</w:t>
      </w:r>
    </w:p>
    <w:p>
      <w:pPr>
        <w:keepLines w:val="0"/>
        <w:pageBreakBefore w:val="0"/>
        <w:kinsoku/>
        <w:wordWrap/>
        <w:overflowPunct/>
        <w:topLinePunct w:val="0"/>
        <w:autoSpaceDE/>
        <w:autoSpaceDN/>
        <w:bidi w:val="0"/>
        <w:snapToGrid w:val="0"/>
        <w:spacing w:line="360" w:lineRule="exact"/>
        <w:ind w:left="2" w:leftChars="1"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▲6. 招标方不保证最低报价者为中标方。</w:t>
      </w:r>
    </w:p>
    <w:p>
      <w:pPr>
        <w:keepLines w:val="0"/>
        <w:pageBreakBefore w:val="0"/>
        <w:kinsoku/>
        <w:wordWrap/>
        <w:overflowPunct/>
        <w:topLinePunct w:val="0"/>
        <w:autoSpaceDE/>
        <w:autoSpaceDN/>
        <w:bidi w:val="0"/>
        <w:snapToGrid w:val="0"/>
        <w:spacing w:line="360" w:lineRule="exact"/>
        <w:ind w:left="2" w:leftChars="1" w:firstLine="480" w:firstLineChars="200"/>
        <w:textAlignment w:val="auto"/>
        <w:rPr>
          <w:rFonts w:hint="eastAsia" w:ascii="宋体" w:hAnsi="宋体" w:cs="宋体"/>
          <w:color w:val="auto"/>
          <w:highlight w:val="none"/>
        </w:rPr>
      </w:pPr>
      <w:r>
        <w:rPr>
          <w:rFonts w:hint="eastAsia" w:ascii="宋体" w:hAnsi="宋体" w:cs="宋体"/>
          <w:color w:val="auto"/>
          <w:sz w:val="24"/>
          <w:highlight w:val="none"/>
        </w:rPr>
        <w:t>▲7.为维护国家利益及招标方自身利益，允许招标方在合同签订之前仍有选择或拒绝任何或全部投标的权力。</w:t>
      </w:r>
    </w:p>
    <w:p>
      <w:pPr>
        <w:keepLines w:val="0"/>
        <w:pageBreakBefore w:val="0"/>
        <w:kinsoku/>
        <w:wordWrap/>
        <w:overflowPunct/>
        <w:topLinePunct w:val="0"/>
        <w:autoSpaceDE/>
        <w:autoSpaceDN/>
        <w:bidi w:val="0"/>
        <w:snapToGrid w:val="0"/>
        <w:spacing w:line="360" w:lineRule="exact"/>
        <w:ind w:left="2" w:leftChars="1" w:firstLine="480" w:firstLineChars="200"/>
        <w:textAlignment w:val="auto"/>
        <w:rPr>
          <w:rFonts w:hint="eastAsia" w:ascii="宋体" w:hAnsi="宋体" w:cs="宋体"/>
          <w:color w:val="auto"/>
          <w:highlight w:val="none"/>
        </w:rPr>
      </w:pPr>
      <w:r>
        <w:rPr>
          <w:rFonts w:hint="eastAsia" w:ascii="宋体" w:hAnsi="宋体" w:cs="宋体"/>
          <w:color w:val="auto"/>
          <w:sz w:val="24"/>
          <w:highlight w:val="none"/>
        </w:rPr>
        <w:t>▲8. “政采云”平台运营机构以及与该机构有直接控股或者管理关系可能影响采购公正性的任何单位和个人，不得在该平台进行的政府采购项目电子交易中投标、响应政府采购项目。</w:t>
      </w:r>
    </w:p>
    <w:p>
      <w:pPr>
        <w:keepLines w:val="0"/>
        <w:pageBreakBefore w:val="0"/>
        <w:kinsoku/>
        <w:wordWrap/>
        <w:overflowPunct/>
        <w:topLinePunct w:val="0"/>
        <w:autoSpaceDE/>
        <w:autoSpaceDN/>
        <w:bidi w:val="0"/>
        <w:snapToGrid w:val="0"/>
        <w:spacing w:line="360" w:lineRule="exact"/>
        <w:ind w:firstLine="472" w:firstLineChars="196"/>
        <w:textAlignment w:val="auto"/>
        <w:outlineLvl w:val="1"/>
        <w:rPr>
          <w:rFonts w:hint="eastAsia" w:ascii="宋体" w:hAnsi="宋体" w:cs="宋体"/>
          <w:b/>
          <w:bCs/>
          <w:color w:val="auto"/>
          <w:sz w:val="24"/>
          <w:highlight w:val="none"/>
        </w:rPr>
      </w:pPr>
      <w:r>
        <w:rPr>
          <w:rFonts w:hint="eastAsia" w:ascii="宋体" w:hAnsi="宋体" w:cs="宋体"/>
          <w:b/>
          <w:bCs/>
          <w:color w:val="auto"/>
          <w:sz w:val="24"/>
          <w:highlight w:val="none"/>
        </w:rPr>
        <w:t>（九）质疑和投诉</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1.投标人认为招标文件、招标过程或中标结果使自己的合法权益受到损害的，应当在知道或者应知其权益受到损害之日起七个工作日内，以书面形式向采购人、招标方提出质疑。</w:t>
      </w:r>
      <w:r>
        <w:rPr>
          <w:rFonts w:hint="eastAsia" w:ascii="宋体" w:hAnsi="宋体" w:cs="宋体"/>
          <w:color w:val="auto"/>
          <w:sz w:val="24"/>
          <w:highlight w:val="none"/>
        </w:rPr>
        <w:t>投标人对招标采购单位的质疑答复不满意或者招标采购单位未在规定时间内作出答复的，可以在答复期满后十五个工作日内向同级采购监管部门投诉。</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keepLines w:val="0"/>
        <w:pageBreakBefore w:val="0"/>
        <w:kinsoku/>
        <w:wordWrap/>
        <w:overflowPunct/>
        <w:topLinePunct w:val="0"/>
        <w:autoSpaceDE/>
        <w:autoSpaceDN/>
        <w:bidi w:val="0"/>
        <w:spacing w:line="360" w:lineRule="exact"/>
        <w:ind w:firstLine="480" w:firstLineChars="200"/>
        <w:textAlignment w:val="auto"/>
        <w:rPr>
          <w:rFonts w:hint="eastAsia" w:ascii="宋体" w:hAnsi="宋体" w:cs="宋体"/>
          <w:color w:val="auto"/>
          <w:highlight w:val="none"/>
        </w:rPr>
      </w:pPr>
      <w:r>
        <w:rPr>
          <w:rFonts w:hint="eastAsia" w:ascii="宋体" w:hAnsi="宋体" w:cs="宋体"/>
          <w:color w:val="auto"/>
          <w:sz w:val="24"/>
          <w:highlight w:val="none"/>
        </w:rPr>
        <w:t>3.采购人、招标方应当按照《浙江省政府采购供应商质疑处理办法》、中华人民共和国财政部第94号令《政府采购质疑和投诉办法》进行受理与答复质疑。</w:t>
      </w:r>
    </w:p>
    <w:p>
      <w:pPr>
        <w:keepLines w:val="0"/>
        <w:pageBreakBefore w:val="0"/>
        <w:kinsoku/>
        <w:wordWrap/>
        <w:overflowPunct/>
        <w:topLinePunct w:val="0"/>
        <w:autoSpaceDE/>
        <w:autoSpaceDN/>
        <w:bidi w:val="0"/>
        <w:snapToGrid w:val="0"/>
        <w:spacing w:line="360" w:lineRule="exact"/>
        <w:ind w:firstLine="551" w:firstLineChars="196"/>
        <w:textAlignment w:val="auto"/>
        <w:outlineLvl w:val="0"/>
        <w:rPr>
          <w:rFonts w:hint="eastAsia" w:ascii="宋体" w:hAnsi="宋体" w:cs="宋体"/>
          <w:b/>
          <w:color w:val="auto"/>
          <w:sz w:val="28"/>
          <w:szCs w:val="28"/>
          <w:highlight w:val="none"/>
        </w:rPr>
      </w:pPr>
      <w:r>
        <w:rPr>
          <w:rFonts w:hint="eastAsia" w:ascii="宋体" w:hAnsi="宋体" w:cs="宋体"/>
          <w:b/>
          <w:color w:val="auto"/>
          <w:sz w:val="28"/>
          <w:szCs w:val="28"/>
          <w:highlight w:val="none"/>
        </w:rPr>
        <w:t>二、招标文件</w:t>
      </w:r>
    </w:p>
    <w:p>
      <w:pPr>
        <w:keepLines w:val="0"/>
        <w:pageBreakBefore w:val="0"/>
        <w:kinsoku/>
        <w:wordWrap/>
        <w:overflowPunct/>
        <w:topLinePunct w:val="0"/>
        <w:autoSpaceDE/>
        <w:autoSpaceDN/>
        <w:bidi w:val="0"/>
        <w:snapToGrid w:val="0"/>
        <w:spacing w:line="360" w:lineRule="exact"/>
        <w:ind w:firstLine="472" w:firstLineChars="196"/>
        <w:jc w:val="left"/>
        <w:textAlignment w:val="auto"/>
        <w:rPr>
          <w:rFonts w:hint="eastAsia" w:ascii="宋体" w:hAnsi="宋体" w:cs="宋体"/>
          <w:b/>
          <w:color w:val="auto"/>
          <w:sz w:val="24"/>
          <w:szCs w:val="20"/>
          <w:highlight w:val="none"/>
        </w:rPr>
      </w:pPr>
      <w:r>
        <w:rPr>
          <w:rFonts w:hint="eastAsia" w:ascii="宋体" w:hAnsi="宋体" w:cs="宋体"/>
          <w:b/>
          <w:color w:val="auto"/>
          <w:sz w:val="24"/>
          <w:highlight w:val="none"/>
        </w:rPr>
        <w:t>（一）招标文件的构成。本招标文件由以下部</w:t>
      </w:r>
      <w:r>
        <w:rPr>
          <w:rFonts w:hint="eastAsia" w:ascii="宋体" w:hAnsi="宋体" w:cs="宋体"/>
          <w:b/>
          <w:color w:val="auto"/>
          <w:sz w:val="24"/>
          <w:highlight w:val="none"/>
          <w:lang w:eastAsia="zh-CN"/>
        </w:rPr>
        <w:t>分</w:t>
      </w:r>
      <w:r>
        <w:rPr>
          <w:rFonts w:hint="eastAsia" w:ascii="宋体" w:hAnsi="宋体" w:cs="宋体"/>
          <w:b/>
          <w:color w:val="auto"/>
          <w:sz w:val="24"/>
          <w:highlight w:val="none"/>
        </w:rPr>
        <w:t>组成：</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1.招标公告</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2.招标需求</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3.投标人须知</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4.评标办法及标准</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5.合同主要条款</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6.投标文件格式</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7.本项目招标文件的澄清、答复、修改、补充的内容</w:t>
      </w:r>
    </w:p>
    <w:p>
      <w:pPr>
        <w:keepLines w:val="0"/>
        <w:pageBreakBefore w:val="0"/>
        <w:kinsoku/>
        <w:wordWrap/>
        <w:overflowPunct/>
        <w:topLinePunct w:val="0"/>
        <w:autoSpaceDE/>
        <w:autoSpaceDN/>
        <w:bidi w:val="0"/>
        <w:snapToGrid w:val="0"/>
        <w:spacing w:before="120" w:beforeLines="50" w:line="360" w:lineRule="exact"/>
        <w:ind w:firstLine="472" w:firstLineChars="196"/>
        <w:jc w:val="left"/>
        <w:textAlignment w:val="auto"/>
        <w:rPr>
          <w:rFonts w:hint="eastAsia" w:ascii="宋体" w:hAnsi="宋体" w:cs="宋体"/>
          <w:b/>
          <w:color w:val="auto"/>
          <w:sz w:val="24"/>
          <w:szCs w:val="20"/>
          <w:highlight w:val="none"/>
        </w:rPr>
      </w:pPr>
      <w:r>
        <w:rPr>
          <w:rFonts w:hint="eastAsia" w:ascii="宋体" w:hAnsi="宋体" w:cs="宋体"/>
          <w:b/>
          <w:color w:val="auto"/>
          <w:sz w:val="24"/>
          <w:highlight w:val="none"/>
        </w:rPr>
        <w:t>（二）投标人的风险</w:t>
      </w:r>
    </w:p>
    <w:p>
      <w:pPr>
        <w:pStyle w:val="32"/>
        <w:keepLines w:val="0"/>
        <w:pageBreakBefore w:val="0"/>
        <w:kinsoku/>
        <w:wordWrap/>
        <w:overflowPunct/>
        <w:topLinePunct w:val="0"/>
        <w:autoSpaceDE/>
        <w:autoSpaceDN/>
        <w:bidi w:val="0"/>
        <w:spacing w:line="360" w:lineRule="exact"/>
        <w:jc w:val="left"/>
        <w:textAlignment w:val="auto"/>
        <w:rPr>
          <w:rFonts w:hint="eastAsia" w:ascii="宋体" w:hAnsi="宋体" w:cs="宋体"/>
          <w:color w:val="auto"/>
          <w:spacing w:val="0"/>
          <w:kern w:val="2"/>
          <w:szCs w:val="24"/>
          <w:highlight w:val="none"/>
        </w:rPr>
      </w:pPr>
      <w:r>
        <w:rPr>
          <w:rFonts w:hint="eastAsia" w:ascii="宋体" w:hAnsi="宋体" w:cs="宋体"/>
          <w:color w:val="auto"/>
          <w:szCs w:val="24"/>
          <w:highlight w:val="none"/>
        </w:rPr>
        <w:t xml:space="preserve">  </w:t>
      </w:r>
      <w:r>
        <w:rPr>
          <w:rFonts w:hint="eastAsia" w:ascii="宋体" w:hAnsi="宋体" w:cs="宋体"/>
          <w:color w:val="auto"/>
          <w:spacing w:val="0"/>
          <w:kern w:val="2"/>
          <w:szCs w:val="24"/>
          <w:highlight w:val="none"/>
        </w:rPr>
        <w:t>投标人没有按照招标文件要求提供全部资料，或者投标人没有对招标文件在各方面作出实质性响应是投标人的风险，并可能导致其投标被拒绝。</w:t>
      </w:r>
    </w:p>
    <w:p>
      <w:pPr>
        <w:pStyle w:val="13"/>
        <w:keepLines w:val="0"/>
        <w:pageBreakBefore w:val="0"/>
        <w:kinsoku/>
        <w:wordWrap/>
        <w:overflowPunct/>
        <w:topLinePunct w:val="0"/>
        <w:autoSpaceDE/>
        <w:autoSpaceDN/>
        <w:bidi w:val="0"/>
        <w:snapToGrid w:val="0"/>
        <w:spacing w:before="120" w:beforeLines="50" w:line="360" w:lineRule="exact"/>
        <w:ind w:leftChars="0" w:firstLine="236" w:firstLineChars="98"/>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（三）招标文件的澄清与修改 </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投标人应认真阅读本招标文件，发现其中有误或有不合理要求的，投标人应当按照公开招标公告第八条规定以书面形式要求招标方澄清。招标方对已发出的招标文件进行必要澄清、答复、修改或补充的，应当在招标文件要求提交投标文件截止时间15日前，在财政部门指定的政府采购信息发布媒体上发布更正公告，并以书面形式通知所有招标文件收受人。</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2.招标方必须以书面形式答复投标人要求澄清的问题，并将不包含问题来源的答复书面通知所有购买招标文件的投标人；除书面答复以外的其他澄清方式及澄清内容均无效。</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3.招标文件澄清、答复、修改、补充的内容为招标文件的组成部分。当招标文件与招标文件的答复、澄清、修改、补充通知就同一内容的表述不一致时，以最后发出的书面文件为准。</w:t>
      </w:r>
    </w:p>
    <w:p>
      <w:pPr>
        <w:keepLines w:val="0"/>
        <w:pageBreakBefore w:val="0"/>
        <w:kinsoku/>
        <w:wordWrap/>
        <w:overflowPunct/>
        <w:topLinePunct w:val="0"/>
        <w:autoSpaceDE/>
        <w:autoSpaceDN/>
        <w:bidi w:val="0"/>
        <w:snapToGrid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4.招标文件的澄清、答复、修改或补充都应该通过本招标机构以法定形式发布，采购人非通过本机构，不得擅自澄清、答复、修改或补充招标文件。</w:t>
      </w:r>
    </w:p>
    <w:p>
      <w:pPr>
        <w:keepLines w:val="0"/>
        <w:pageBreakBefore w:val="0"/>
        <w:kinsoku/>
        <w:wordWrap/>
        <w:overflowPunct/>
        <w:topLinePunct w:val="0"/>
        <w:autoSpaceDE/>
        <w:autoSpaceDN/>
        <w:bidi w:val="0"/>
        <w:snapToGrid w:val="0"/>
        <w:spacing w:line="360" w:lineRule="exact"/>
        <w:ind w:firstLine="551" w:firstLineChars="196"/>
        <w:textAlignment w:val="auto"/>
        <w:outlineLvl w:val="1"/>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rPr>
        <w:t>三、投标文件的编制</w:t>
      </w:r>
    </w:p>
    <w:p>
      <w:pPr>
        <w:keepLines w:val="0"/>
        <w:pageBreakBefore w:val="0"/>
        <w:kinsoku/>
        <w:wordWrap/>
        <w:overflowPunct/>
        <w:topLinePunct w:val="0"/>
        <w:autoSpaceDE/>
        <w:autoSpaceDN/>
        <w:bidi w:val="0"/>
        <w:snapToGrid w:val="0"/>
        <w:spacing w:line="360" w:lineRule="exact"/>
        <w:ind w:firstLine="472" w:firstLineChars="196"/>
        <w:jc w:val="left"/>
        <w:textAlignment w:val="auto"/>
        <w:outlineLvl w:val="0"/>
        <w:rPr>
          <w:rFonts w:hint="eastAsia" w:ascii="宋体" w:hAnsi="宋体" w:cs="宋体"/>
          <w:b/>
          <w:color w:val="auto"/>
          <w:sz w:val="24"/>
          <w:szCs w:val="20"/>
          <w:highlight w:val="none"/>
        </w:rPr>
      </w:pPr>
      <w:r>
        <w:rPr>
          <w:rFonts w:hint="eastAsia" w:ascii="宋体" w:hAnsi="宋体" w:cs="宋体"/>
          <w:b/>
          <w:color w:val="auto"/>
          <w:sz w:val="24"/>
          <w:highlight w:val="none"/>
        </w:rPr>
        <w:t>（一）投标文件的组成</w:t>
      </w:r>
    </w:p>
    <w:p>
      <w:pPr>
        <w:keepLines w:val="0"/>
        <w:pageBreakBefore w:val="0"/>
        <w:kinsoku/>
        <w:wordWrap/>
        <w:overflowPunct/>
        <w:topLinePunct w:val="0"/>
        <w:autoSpaceDE/>
        <w:autoSpaceDN/>
        <w:bidi w:val="0"/>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投标文件由资格审查文件、商务资信技术文件、报价文件三部分组成。</w:t>
      </w: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r>
        <w:rPr>
          <w:rFonts w:hint="eastAsia" w:ascii="宋体" w:hAnsi="宋体" w:eastAsia="宋体" w:cs="宋体"/>
          <w:b/>
          <w:color w:val="auto"/>
          <w:sz w:val="24"/>
          <w:highlight w:val="none"/>
          <w:lang w:val="en-US" w:eastAsia="zh-CN"/>
        </w:rPr>
        <w:t>1</w:t>
      </w:r>
      <w:r>
        <w:rPr>
          <w:rFonts w:hint="eastAsia" w:ascii="宋体" w:hAnsi="宋体" w:eastAsia="宋体" w:cs="宋体"/>
          <w:b/>
          <w:color w:val="auto"/>
          <w:sz w:val="24"/>
          <w:highlight w:val="none"/>
        </w:rPr>
        <w:t>.资格审查文件：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（1）有效的企业法人营业执照副本</w:t>
      </w:r>
      <w:r>
        <w:rPr>
          <w:rFonts w:ascii="宋体" w:hAnsi="宋体" w:cs="宋体"/>
          <w:sz w:val="24"/>
          <w:szCs w:val="21"/>
        </w:rPr>
        <w:t>(或事业法人登记证书或其它工商等登记证明材料；自然人参与提供身份证)</w:t>
      </w:r>
      <w:r>
        <w:rPr>
          <w:rFonts w:hint="eastAsia" w:ascii="宋体" w:hAnsi="宋体" w:cs="宋体"/>
          <w:bCs/>
          <w:color w:val="auto"/>
          <w:sz w:val="24"/>
          <w:highlight w:val="none"/>
        </w:rPr>
        <w:t>复印件；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（2）法定代表人授权委托书(格式见附件)；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）法定代表人身份证复印件或被授权人身份证复印件；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lang w:eastAsia="zh-CN"/>
        </w:rPr>
      </w:pP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lang w:eastAsia="zh-CN"/>
        </w:rPr>
        <w:t>）</w:t>
      </w:r>
      <w:r>
        <w:rPr>
          <w:rFonts w:hint="eastAsia" w:ascii="宋体" w:hAnsi="宋体" w:eastAsia="宋体" w:cs="宋体"/>
          <w:sz w:val="24"/>
          <w:szCs w:val="21"/>
        </w:rPr>
        <w:t>信用记录网络查询页面截图（信用中国与中国政府采购网）</w:t>
      </w:r>
      <w:r>
        <w:rPr>
          <w:rFonts w:hint="eastAsia" w:ascii="宋体" w:hAnsi="宋体" w:eastAsia="宋体" w:cs="宋体"/>
          <w:sz w:val="24"/>
          <w:szCs w:val="21"/>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w:t>
      </w:r>
      <w:r>
        <w:rPr>
          <w:rFonts w:hint="eastAsia" w:ascii="宋体" w:hAnsi="宋体" w:cs="宋体"/>
          <w:sz w:val="24"/>
          <w:szCs w:val="21"/>
          <w:lang w:val="en-US" w:eastAsia="zh-CN"/>
        </w:rPr>
        <w:t>5</w:t>
      </w:r>
      <w:r>
        <w:rPr>
          <w:rFonts w:hint="eastAsia" w:ascii="宋体" w:hAnsi="宋体" w:eastAsia="宋体" w:cs="宋体"/>
          <w:sz w:val="24"/>
          <w:szCs w:val="21"/>
        </w:rPr>
        <w:t>）浙江政府采购网注册正式供应商的网络截图或承诺书；</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rPr>
      </w:pPr>
      <w:r>
        <w:rPr>
          <w:rFonts w:hint="eastAsia" w:ascii="宋体" w:hAnsi="宋体" w:eastAsia="宋体" w:cs="宋体"/>
          <w:sz w:val="24"/>
          <w:szCs w:val="21"/>
        </w:rPr>
        <w:t>（</w:t>
      </w:r>
      <w:r>
        <w:rPr>
          <w:rFonts w:hint="eastAsia" w:ascii="宋体" w:hAnsi="宋体" w:cs="宋体"/>
          <w:sz w:val="24"/>
          <w:szCs w:val="21"/>
          <w:lang w:val="en-US" w:eastAsia="zh-CN"/>
        </w:rPr>
        <w:t>6</w:t>
      </w:r>
      <w:r>
        <w:rPr>
          <w:rFonts w:hint="eastAsia" w:ascii="宋体" w:hAnsi="宋体" w:eastAsia="宋体" w:cs="宋体"/>
          <w:sz w:val="24"/>
          <w:szCs w:val="21"/>
        </w:rPr>
        <w:t>）政府采购活动</w:t>
      </w:r>
      <w:r>
        <w:rPr>
          <w:rFonts w:hint="eastAsia" w:ascii="宋体" w:hAnsi="宋体" w:cs="宋体"/>
          <w:bCs/>
          <w:color w:val="auto"/>
          <w:sz w:val="24"/>
          <w:highlight w:val="none"/>
        </w:rPr>
        <w:t>现场确认声明书 (格式见附件) ；</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lang w:eastAsia="zh-CN"/>
        </w:rPr>
      </w:pP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7</w:t>
      </w:r>
      <w:r>
        <w:rPr>
          <w:rFonts w:hint="eastAsia" w:ascii="宋体" w:hAnsi="宋体" w:cs="宋体"/>
          <w:bCs/>
          <w:color w:val="auto"/>
          <w:sz w:val="24"/>
          <w:highlight w:val="none"/>
        </w:rPr>
        <w:t>）政府采购代理机构考评表(格式见附件)</w:t>
      </w:r>
      <w:r>
        <w:rPr>
          <w:rFonts w:hint="eastAsia" w:ascii="宋体" w:hAnsi="宋体" w:cs="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lang w:eastAsia="zh-CN"/>
        </w:rPr>
      </w:pP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联合体协议（联合体投标时提供，格式见附件）</w:t>
      </w:r>
      <w:r>
        <w:rPr>
          <w:rFonts w:hint="eastAsia" w:ascii="宋体" w:hAnsi="宋体" w:cs="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lang w:eastAsia="zh-CN"/>
        </w:rPr>
      </w:pP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9</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分包协议（分包时提供，格式见附件）</w:t>
      </w:r>
      <w:r>
        <w:rPr>
          <w:rFonts w:hint="eastAsia" w:ascii="宋体" w:hAnsi="宋体" w:cs="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10</w:t>
      </w:r>
      <w:r>
        <w:rPr>
          <w:rFonts w:hint="eastAsia" w:ascii="宋体" w:hAnsi="宋体" w:cs="宋体"/>
          <w:bCs/>
          <w:color w:val="auto"/>
          <w:sz w:val="24"/>
          <w:highlight w:val="none"/>
        </w:rPr>
        <w:t>）中小企业声明函（</w:t>
      </w:r>
      <w:r>
        <w:rPr>
          <w:rFonts w:hint="eastAsia" w:ascii="宋体" w:hAnsi="宋体" w:eastAsia="宋体" w:cs="宋体"/>
          <w:sz w:val="24"/>
          <w:lang w:eastAsia="zh-CN"/>
        </w:rPr>
        <w:t>如有，</w:t>
      </w:r>
      <w:r>
        <w:rPr>
          <w:rFonts w:hint="eastAsia" w:ascii="宋体" w:hAnsi="宋体" w:cs="宋体"/>
          <w:bCs/>
          <w:color w:val="auto"/>
          <w:sz w:val="24"/>
          <w:highlight w:val="none"/>
        </w:rPr>
        <w:t>格式见附件）</w:t>
      </w:r>
      <w:r>
        <w:rPr>
          <w:rFonts w:hint="eastAsia" w:ascii="宋体" w:hAnsi="宋体" w:cs="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.商务资信技术文件：</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（1）评分响应表（格式见附件）；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（2）投标声明书 (格式见附件)；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（3）法定代表人授权委托书(格式见附件)；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（4）投标单位情况表(格式见附件)；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（5）符合参加政府采购活动应当具备的一般条件的承诺函（格式见附件）；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lang w:eastAsia="zh-CN"/>
        </w:rPr>
        <w:t>（</w:t>
      </w:r>
      <w:r>
        <w:rPr>
          <w:rFonts w:hint="eastAsia" w:ascii="宋体" w:hAnsi="宋体" w:eastAsia="宋体" w:cs="宋体"/>
          <w:sz w:val="24"/>
          <w:szCs w:val="21"/>
          <w:lang w:val="en-US" w:eastAsia="zh-CN"/>
        </w:rPr>
        <w:t>6</w:t>
      </w:r>
      <w:r>
        <w:rPr>
          <w:rFonts w:hint="eastAsia" w:ascii="宋体" w:hAnsi="宋体" w:eastAsia="宋体" w:cs="宋体"/>
          <w:sz w:val="24"/>
          <w:szCs w:val="21"/>
          <w:lang w:eastAsia="zh-CN"/>
        </w:rPr>
        <w:t>）</w:t>
      </w:r>
      <w:r>
        <w:rPr>
          <w:rFonts w:hint="eastAsia" w:ascii="宋体" w:hAnsi="宋体" w:eastAsia="宋体" w:cs="宋体"/>
          <w:sz w:val="24"/>
          <w:szCs w:val="21"/>
        </w:rPr>
        <w:t>投标人依法缴纳税收和社保费、无失信行为的声明函(格式见附件)；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lang w:val="zh-CN"/>
        </w:rPr>
        <w:t>（</w:t>
      </w:r>
      <w:r>
        <w:rPr>
          <w:rFonts w:hint="eastAsia" w:ascii="宋体" w:hAnsi="宋体" w:eastAsia="宋体" w:cs="宋体"/>
          <w:sz w:val="24"/>
          <w:szCs w:val="21"/>
          <w:lang w:val="en-US" w:eastAsia="zh-CN"/>
        </w:rPr>
        <w:t>7</w:t>
      </w:r>
      <w:r>
        <w:rPr>
          <w:rFonts w:hint="eastAsia" w:ascii="宋体" w:hAnsi="宋体" w:eastAsia="宋体" w:cs="宋体"/>
          <w:sz w:val="24"/>
          <w:szCs w:val="21"/>
          <w:lang w:val="zh-CN"/>
        </w:rPr>
        <w:t>）</w:t>
      </w:r>
      <w:r>
        <w:rPr>
          <w:rFonts w:hint="eastAsia" w:ascii="宋体" w:hAnsi="宋体" w:eastAsia="宋体" w:cs="宋体"/>
          <w:sz w:val="24"/>
          <w:szCs w:val="21"/>
        </w:rPr>
        <w:t>无重大违法记录声明书(格式见附件)；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lang w:val="zh-CN"/>
        </w:rPr>
        <w:t>（</w:t>
      </w:r>
      <w:r>
        <w:rPr>
          <w:rFonts w:hint="eastAsia" w:ascii="宋体" w:hAnsi="宋体" w:eastAsia="宋体" w:cs="宋体"/>
          <w:sz w:val="24"/>
          <w:szCs w:val="21"/>
          <w:lang w:val="en-US" w:eastAsia="zh-CN"/>
        </w:rPr>
        <w:t>8</w:t>
      </w:r>
      <w:r>
        <w:rPr>
          <w:rFonts w:hint="eastAsia" w:ascii="宋体" w:hAnsi="宋体" w:eastAsia="宋体" w:cs="宋体"/>
          <w:sz w:val="24"/>
          <w:szCs w:val="21"/>
          <w:lang w:val="zh-CN"/>
        </w:rPr>
        <w:t>）政府采购供应商诚信承诺书（格式见附件）；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w:t>
      </w:r>
      <w:r>
        <w:rPr>
          <w:rFonts w:hint="eastAsia" w:ascii="宋体" w:hAnsi="宋体" w:eastAsia="宋体" w:cs="宋体"/>
          <w:sz w:val="24"/>
          <w:szCs w:val="21"/>
          <w:lang w:val="en-US" w:eastAsia="zh-CN"/>
        </w:rPr>
        <w:t>9</w:t>
      </w:r>
      <w:r>
        <w:rPr>
          <w:rFonts w:hint="eastAsia" w:ascii="宋体" w:hAnsi="宋体" w:eastAsia="宋体" w:cs="宋体"/>
          <w:sz w:val="24"/>
          <w:szCs w:val="21"/>
        </w:rPr>
        <w:t>）中标服务费承诺书（格式见附件）；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w:t>
      </w:r>
      <w:r>
        <w:rPr>
          <w:rFonts w:hint="eastAsia" w:ascii="宋体" w:hAnsi="宋体" w:eastAsia="宋体" w:cs="宋体"/>
          <w:sz w:val="24"/>
          <w:szCs w:val="21"/>
          <w:lang w:val="en-US" w:eastAsia="zh-CN"/>
        </w:rPr>
        <w:t>10</w:t>
      </w:r>
      <w:r>
        <w:rPr>
          <w:rFonts w:hint="eastAsia" w:ascii="宋体" w:hAnsi="宋体" w:eastAsia="宋体" w:cs="宋体"/>
          <w:sz w:val="24"/>
          <w:szCs w:val="21"/>
        </w:rPr>
        <w:t>）</w:t>
      </w:r>
      <w:r>
        <w:rPr>
          <w:rFonts w:hint="eastAsia" w:ascii="宋体" w:hAnsi="宋体" w:eastAsia="宋体" w:cs="宋体"/>
          <w:sz w:val="24"/>
          <w:szCs w:val="21"/>
          <w:lang w:eastAsia="zh-CN"/>
        </w:rPr>
        <w:t>技术</w:t>
      </w:r>
      <w:r>
        <w:rPr>
          <w:rFonts w:hint="eastAsia" w:ascii="宋体" w:hAnsi="宋体" w:eastAsia="宋体" w:cs="宋体"/>
          <w:sz w:val="24"/>
          <w:szCs w:val="21"/>
        </w:rPr>
        <w:t>响应表（格式见附件）；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lang w:val="zh-CN"/>
        </w:rPr>
      </w:pPr>
      <w:r>
        <w:rPr>
          <w:rFonts w:hint="eastAsia" w:ascii="宋体" w:hAnsi="宋体" w:eastAsia="宋体" w:cs="宋体"/>
          <w:sz w:val="24"/>
          <w:szCs w:val="21"/>
        </w:rPr>
        <w:t>（1</w:t>
      </w:r>
      <w:r>
        <w:rPr>
          <w:rFonts w:hint="eastAsia" w:ascii="宋体" w:hAnsi="宋体" w:eastAsia="宋体" w:cs="宋体"/>
          <w:sz w:val="24"/>
          <w:szCs w:val="21"/>
          <w:lang w:val="en-US" w:eastAsia="zh-CN"/>
        </w:rPr>
        <w:t>1</w:t>
      </w:r>
      <w:r>
        <w:rPr>
          <w:rFonts w:hint="eastAsia" w:ascii="宋体" w:hAnsi="宋体" w:eastAsia="宋体" w:cs="宋体"/>
          <w:sz w:val="24"/>
          <w:szCs w:val="21"/>
        </w:rPr>
        <w:t>）商务响应表</w:t>
      </w:r>
      <w:r>
        <w:rPr>
          <w:rFonts w:hint="eastAsia" w:ascii="宋体" w:hAnsi="宋体" w:eastAsia="宋体" w:cs="宋体"/>
          <w:sz w:val="24"/>
          <w:szCs w:val="21"/>
          <w:lang w:val="zh-CN"/>
        </w:rPr>
        <w:t>（格式见附件）；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lang w:eastAsia="zh-CN"/>
        </w:rPr>
        <w:t>（</w:t>
      </w:r>
      <w:r>
        <w:rPr>
          <w:rFonts w:hint="eastAsia" w:ascii="宋体" w:hAnsi="宋体" w:eastAsia="宋体" w:cs="宋体"/>
          <w:sz w:val="24"/>
          <w:szCs w:val="21"/>
        </w:rPr>
        <w:t>1</w:t>
      </w:r>
      <w:r>
        <w:rPr>
          <w:rFonts w:hint="eastAsia" w:ascii="宋体" w:hAnsi="宋体" w:eastAsia="宋体" w:cs="宋体"/>
          <w:sz w:val="24"/>
          <w:szCs w:val="21"/>
          <w:lang w:val="en-US" w:eastAsia="zh-CN"/>
        </w:rPr>
        <w:t>2）</w:t>
      </w:r>
      <w:r>
        <w:rPr>
          <w:rFonts w:hint="eastAsia" w:ascii="宋体" w:hAnsi="宋体" w:eastAsia="宋体" w:cs="宋体"/>
          <w:sz w:val="24"/>
          <w:szCs w:val="21"/>
          <w:lang w:val="zh-CN"/>
        </w:rPr>
        <w:t>同类业绩一览表</w:t>
      </w:r>
      <w:r>
        <w:rPr>
          <w:rFonts w:hint="eastAsia" w:ascii="宋体" w:hAnsi="宋体" w:eastAsia="宋体" w:cs="宋体"/>
          <w:sz w:val="24"/>
          <w:szCs w:val="21"/>
        </w:rPr>
        <w:t>（格式见附件）；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default" w:ascii="宋体" w:hAnsi="宋体" w:eastAsia="宋体" w:cs="宋体"/>
          <w:sz w:val="24"/>
          <w:szCs w:val="21"/>
          <w:lang w:val="en-US" w:eastAsia="zh-CN"/>
        </w:rPr>
      </w:pPr>
      <w:r>
        <w:rPr>
          <w:rFonts w:hint="eastAsia" w:ascii="宋体" w:hAnsi="宋体" w:eastAsia="宋体" w:cs="宋体"/>
          <w:sz w:val="24"/>
          <w:szCs w:val="21"/>
          <w:lang w:eastAsia="zh-CN"/>
        </w:rPr>
        <w:t>（</w:t>
      </w:r>
      <w:r>
        <w:rPr>
          <w:rFonts w:hint="eastAsia" w:ascii="宋体" w:hAnsi="宋体" w:eastAsia="宋体" w:cs="宋体"/>
          <w:sz w:val="24"/>
          <w:szCs w:val="21"/>
          <w:lang w:val="en-US" w:eastAsia="zh-CN"/>
        </w:rPr>
        <w:t>13</w:t>
      </w:r>
      <w:r>
        <w:rPr>
          <w:rFonts w:hint="eastAsia" w:ascii="宋体" w:hAnsi="宋体" w:eastAsia="宋体" w:cs="宋体"/>
          <w:sz w:val="24"/>
          <w:szCs w:val="21"/>
          <w:lang w:eastAsia="zh-CN"/>
        </w:rPr>
        <w:t>）</w:t>
      </w:r>
      <w:r>
        <w:rPr>
          <w:rFonts w:hint="eastAsia" w:ascii="宋体" w:hAnsi="宋体" w:eastAsia="宋体" w:cs="宋体"/>
          <w:sz w:val="24"/>
          <w:szCs w:val="21"/>
          <w:lang w:val="en-US" w:eastAsia="zh-CN"/>
        </w:rPr>
        <w:t>项目实施人员一览表</w:t>
      </w:r>
      <w:r>
        <w:rPr>
          <w:rFonts w:hint="eastAsia" w:ascii="宋体" w:hAnsi="宋体" w:eastAsia="宋体" w:cs="宋体"/>
          <w:sz w:val="24"/>
          <w:szCs w:val="21"/>
        </w:rPr>
        <w:t>（格式见附件）；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（1</w:t>
      </w:r>
      <w:r>
        <w:rPr>
          <w:rFonts w:hint="eastAsia" w:ascii="宋体" w:hAnsi="宋体" w:eastAsia="宋体" w:cs="宋体"/>
          <w:sz w:val="24"/>
          <w:szCs w:val="21"/>
          <w:lang w:val="en-US" w:eastAsia="zh-CN"/>
        </w:rPr>
        <w:t>4</w:t>
      </w:r>
      <w:r>
        <w:rPr>
          <w:rFonts w:hint="eastAsia" w:ascii="宋体" w:hAnsi="宋体" w:eastAsia="宋体" w:cs="宋体"/>
          <w:sz w:val="24"/>
          <w:szCs w:val="21"/>
        </w:rPr>
        <w:t>）</w:t>
      </w:r>
      <w:r>
        <w:rPr>
          <w:rFonts w:hint="eastAsia" w:ascii="宋体" w:hAnsi="宋体" w:eastAsia="宋体" w:cs="宋体"/>
          <w:sz w:val="24"/>
          <w:szCs w:val="21"/>
          <w:lang w:val="zh-CN"/>
        </w:rPr>
        <w:t>技术部分（至少包括技术方案、售后服务</w:t>
      </w:r>
      <w:r>
        <w:rPr>
          <w:rFonts w:hint="eastAsia" w:ascii="宋体" w:hAnsi="宋体" w:eastAsia="宋体" w:cs="宋体"/>
          <w:sz w:val="24"/>
          <w:szCs w:val="21"/>
        </w:rPr>
        <w:t>等内容）；</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（1</w:t>
      </w:r>
      <w:r>
        <w:rPr>
          <w:rFonts w:hint="eastAsia" w:ascii="宋体" w:hAnsi="宋体" w:eastAsia="宋体" w:cs="宋体"/>
          <w:sz w:val="24"/>
          <w:szCs w:val="21"/>
          <w:lang w:val="en-US" w:eastAsia="zh-CN"/>
        </w:rPr>
        <w:t>5</w:t>
      </w:r>
      <w:r>
        <w:rPr>
          <w:rFonts w:hint="eastAsia" w:ascii="宋体" w:hAnsi="宋体" w:eastAsia="宋体" w:cs="宋体"/>
          <w:sz w:val="24"/>
          <w:szCs w:val="21"/>
        </w:rPr>
        <w:t>）其它按照评标办法可加分的内容说明、证明文件；</w:t>
      </w:r>
    </w:p>
    <w:p>
      <w:pPr>
        <w:keepLines w:val="0"/>
        <w:pageBreakBefore w:val="0"/>
        <w:kinsoku/>
        <w:wordWrap/>
        <w:overflowPunct/>
        <w:topLinePunct w:val="0"/>
        <w:autoSpaceDE/>
        <w:autoSpaceDN/>
        <w:bidi w:val="0"/>
        <w:snapToGrid w:val="0"/>
        <w:spacing w:line="360" w:lineRule="exact"/>
        <w:ind w:firstLine="470" w:firstLineChars="196"/>
        <w:jc w:val="left"/>
        <w:textAlignment w:val="auto"/>
        <w:rPr>
          <w:rFonts w:hint="eastAsia" w:ascii="宋体" w:hAnsi="宋体" w:eastAsia="宋体" w:cs="宋体"/>
          <w:sz w:val="24"/>
          <w:szCs w:val="21"/>
        </w:rPr>
      </w:pPr>
      <w:r>
        <w:rPr>
          <w:rFonts w:hint="eastAsia" w:ascii="宋体" w:hAnsi="宋体" w:eastAsia="宋体" w:cs="宋体"/>
          <w:sz w:val="24"/>
          <w:szCs w:val="21"/>
        </w:rPr>
        <w:t>（1</w:t>
      </w:r>
      <w:r>
        <w:rPr>
          <w:rFonts w:hint="eastAsia" w:ascii="宋体" w:hAnsi="宋体" w:eastAsia="宋体" w:cs="宋体"/>
          <w:sz w:val="24"/>
          <w:szCs w:val="21"/>
          <w:lang w:val="en-US" w:eastAsia="zh-CN"/>
        </w:rPr>
        <w:t>6</w:t>
      </w:r>
      <w:r>
        <w:rPr>
          <w:rFonts w:hint="eastAsia" w:ascii="宋体" w:hAnsi="宋体" w:eastAsia="宋体" w:cs="宋体"/>
          <w:sz w:val="24"/>
          <w:szCs w:val="21"/>
        </w:rPr>
        <w:t>）投标人需要说明的其他文件和说明。</w:t>
      </w:r>
    </w:p>
    <w:p>
      <w:pPr>
        <w:keepLines w:val="0"/>
        <w:pageBreakBefore w:val="0"/>
        <w:kinsoku/>
        <w:wordWrap/>
        <w:overflowPunct/>
        <w:topLinePunct w:val="0"/>
        <w:autoSpaceDE/>
        <w:autoSpaceDN/>
        <w:bidi w:val="0"/>
        <w:snapToGrid w:val="0"/>
        <w:spacing w:line="360" w:lineRule="exact"/>
        <w:ind w:firstLine="472" w:firstLineChars="196"/>
        <w:jc w:val="left"/>
        <w:textAlignment w:val="auto"/>
        <w:rPr>
          <w:rFonts w:hint="eastAsia" w:ascii="宋体" w:hAnsi="宋体" w:cs="宋体"/>
          <w:b/>
          <w:color w:val="auto"/>
          <w:sz w:val="24"/>
          <w:szCs w:val="20"/>
          <w:highlight w:val="none"/>
        </w:rPr>
      </w:pPr>
      <w:r>
        <w:rPr>
          <w:rFonts w:hint="eastAsia" w:ascii="宋体" w:hAnsi="宋体" w:cs="宋体"/>
          <w:b/>
          <w:color w:val="auto"/>
          <w:sz w:val="24"/>
          <w:highlight w:val="none"/>
        </w:rPr>
        <w:t>3.报价文件</w:t>
      </w:r>
    </w:p>
    <w:p>
      <w:pPr>
        <w:keepLines w:val="0"/>
        <w:pageBreakBefore w:val="0"/>
        <w:kinsoku/>
        <w:wordWrap/>
        <w:overflowPunct/>
        <w:topLinePunct w:val="0"/>
        <w:autoSpaceDE/>
        <w:autoSpaceDN/>
        <w:bidi w:val="0"/>
        <w:snapToGrid w:val="0"/>
        <w:spacing w:before="120" w:beforeLines="50" w:line="360" w:lineRule="exact"/>
        <w:ind w:left="412" w:leftChars="196"/>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 xml:space="preserve">（1）投标函（格式见附件）； </w:t>
      </w:r>
    </w:p>
    <w:p>
      <w:pPr>
        <w:keepLines w:val="0"/>
        <w:pageBreakBefore w:val="0"/>
        <w:kinsoku/>
        <w:wordWrap/>
        <w:overflowPunct/>
        <w:topLinePunct w:val="0"/>
        <w:autoSpaceDE/>
        <w:autoSpaceDN/>
        <w:bidi w:val="0"/>
        <w:snapToGrid w:val="0"/>
        <w:spacing w:before="120" w:beforeLines="50" w:line="360" w:lineRule="exact"/>
        <w:ind w:left="412" w:leftChars="196"/>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（2）开标一览表（格式见附件）；</w:t>
      </w:r>
    </w:p>
    <w:p>
      <w:pPr>
        <w:keepLines w:val="0"/>
        <w:pageBreakBefore w:val="0"/>
        <w:kinsoku/>
        <w:wordWrap/>
        <w:overflowPunct/>
        <w:topLinePunct w:val="0"/>
        <w:autoSpaceDE/>
        <w:autoSpaceDN/>
        <w:bidi w:val="0"/>
        <w:snapToGrid w:val="0"/>
        <w:spacing w:before="120" w:beforeLines="50" w:line="360" w:lineRule="exact"/>
        <w:ind w:left="412" w:leftChars="196"/>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（3投标人针对报价需要说明的其他文件和说明（不允许含报价）。</w:t>
      </w:r>
    </w:p>
    <w:p>
      <w:pPr>
        <w:keepLines w:val="0"/>
        <w:pageBreakBefore w:val="0"/>
        <w:kinsoku/>
        <w:wordWrap/>
        <w:overflowPunct/>
        <w:topLinePunct w:val="0"/>
        <w:autoSpaceDE/>
        <w:autoSpaceDN/>
        <w:bidi w:val="0"/>
        <w:snapToGrid w:val="0"/>
        <w:spacing w:before="120" w:beforeLines="50" w:line="360" w:lineRule="exact"/>
        <w:ind w:firstLine="472" w:firstLineChars="196"/>
        <w:jc w:val="left"/>
        <w:textAlignment w:val="auto"/>
        <w:outlineLvl w:val="0"/>
        <w:rPr>
          <w:rFonts w:hint="eastAsia" w:ascii="宋体" w:hAnsi="宋体" w:cs="宋体"/>
          <w:b/>
          <w:color w:val="auto"/>
          <w:sz w:val="24"/>
          <w:highlight w:val="none"/>
        </w:rPr>
      </w:pPr>
      <w:r>
        <w:rPr>
          <w:rFonts w:hint="eastAsia" w:ascii="宋体" w:hAnsi="宋体" w:cs="宋体"/>
          <w:b/>
          <w:color w:val="auto"/>
          <w:sz w:val="24"/>
          <w:highlight w:val="none"/>
        </w:rPr>
        <w:t>（二）投标文件的语言及计量</w:t>
      </w:r>
    </w:p>
    <w:p>
      <w:pPr>
        <w:keepNext w:val="0"/>
        <w:keepLines w:val="0"/>
        <w:pageBreakBefore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cs="宋体"/>
          <w:color w:val="auto"/>
          <w:sz w:val="24"/>
          <w:szCs w:val="20"/>
          <w:highlight w:val="none"/>
        </w:rPr>
      </w:pPr>
      <w:r>
        <w:rPr>
          <w:rFonts w:hint="eastAsia" w:ascii="宋体" w:hAnsi="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keepNext w:val="0"/>
        <w:keepLines w:val="0"/>
        <w:pageBreakBefore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cs="宋体"/>
          <w:color w:val="auto"/>
          <w:sz w:val="24"/>
          <w:szCs w:val="20"/>
          <w:highlight w:val="none"/>
        </w:rPr>
      </w:pPr>
      <w:r>
        <w:rPr>
          <w:rFonts w:hint="eastAsia" w:ascii="宋体" w:hAnsi="宋体" w:cs="宋体"/>
          <w:color w:val="auto"/>
          <w:sz w:val="24"/>
          <w:highlight w:val="none"/>
        </w:rPr>
        <w:t>▲2.投标计量单位，应采用中华人民共和国法定计量单位（货币单位：人民币元），否则视同未响应。</w:t>
      </w:r>
    </w:p>
    <w:p>
      <w:pPr>
        <w:keepNext w:val="0"/>
        <w:keepLines w:val="0"/>
        <w:pageBreakBefore w:val="0"/>
        <w:kinsoku/>
        <w:wordWrap/>
        <w:overflowPunct/>
        <w:topLinePunct w:val="0"/>
        <w:autoSpaceDE/>
        <w:autoSpaceDN/>
        <w:bidi w:val="0"/>
        <w:adjustRightInd w:val="0"/>
        <w:snapToGrid w:val="0"/>
        <w:spacing w:before="120" w:beforeLines="50" w:line="400" w:lineRule="exact"/>
        <w:ind w:firstLine="472" w:firstLineChars="196"/>
        <w:jc w:val="left"/>
        <w:textAlignment w:val="auto"/>
        <w:outlineLvl w:val="0"/>
        <w:rPr>
          <w:rFonts w:hint="eastAsia" w:ascii="宋体" w:hAnsi="宋体" w:cs="宋体"/>
          <w:b/>
          <w:color w:val="auto"/>
          <w:sz w:val="24"/>
          <w:szCs w:val="20"/>
          <w:highlight w:val="none"/>
        </w:rPr>
      </w:pPr>
      <w:r>
        <w:rPr>
          <w:rFonts w:hint="eastAsia" w:ascii="宋体" w:hAnsi="宋体" w:cs="宋体"/>
          <w:b/>
          <w:color w:val="auto"/>
          <w:sz w:val="24"/>
          <w:highlight w:val="none"/>
        </w:rPr>
        <w:t>（三）投标报价</w:t>
      </w:r>
    </w:p>
    <w:p>
      <w:pPr>
        <w:keepNext w:val="0"/>
        <w:keepLines w:val="0"/>
        <w:pageBreakBefore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cs="宋体"/>
          <w:b/>
          <w:color w:val="auto"/>
          <w:sz w:val="24"/>
          <w:highlight w:val="none"/>
        </w:rPr>
      </w:pPr>
      <w:r>
        <w:rPr>
          <w:rFonts w:hint="eastAsia" w:ascii="宋体" w:hAnsi="宋体" w:cs="宋体"/>
          <w:color w:val="auto"/>
          <w:sz w:val="24"/>
          <w:highlight w:val="none"/>
        </w:rPr>
        <w:t>1.投标报价应按招标文件中相关附表格式填写。</w:t>
      </w:r>
    </w:p>
    <w:p>
      <w:pPr>
        <w:keepNext w:val="0"/>
        <w:keepLines w:val="0"/>
        <w:pageBreakBefore w:val="0"/>
        <w:widowControl w:val="0"/>
        <w:kinsoku/>
        <w:wordWrap/>
        <w:overflowPunct/>
        <w:topLinePunct w:val="0"/>
        <w:autoSpaceDE/>
        <w:autoSpaceDN/>
        <w:bidi w:val="0"/>
        <w:adjustRightInd w:val="0"/>
        <w:snapToGrid w:val="0"/>
        <w:spacing w:line="400" w:lineRule="exact"/>
        <w:ind w:firstLine="240" w:firstLineChars="1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eastAsia="宋体" w:cs="宋体"/>
          <w:color w:val="auto"/>
          <w:sz w:val="24"/>
          <w:szCs w:val="22"/>
          <w:highlight w:val="none"/>
        </w:rPr>
        <w:t>投标报价是履行合同的最终价格，应为承包完成本次投标需完成全部工作所发生的所有费用，并承担一切风险责任，</w:t>
      </w:r>
      <w:r>
        <w:rPr>
          <w:rFonts w:hint="eastAsia" w:ascii="宋体" w:hAnsi="宋体" w:eastAsia="宋体" w:cs="宋体"/>
          <w:color w:val="auto"/>
          <w:sz w:val="24"/>
          <w:szCs w:val="24"/>
          <w:highlight w:val="none"/>
        </w:rPr>
        <w:t>报价包括因领取基础资料、现场踏勘等需要产生的食、宿、交通等费用，</w:t>
      </w:r>
      <w:r>
        <w:rPr>
          <w:rFonts w:hint="eastAsia" w:ascii="宋体" w:hAnsi="宋体" w:eastAsia="宋体" w:cs="宋体"/>
          <w:color w:val="auto"/>
          <w:sz w:val="24"/>
          <w:szCs w:val="24"/>
          <w:highlight w:val="none"/>
          <w:lang w:eastAsia="zh-CN"/>
        </w:rPr>
        <w:t>编制</w:t>
      </w:r>
      <w:r>
        <w:rPr>
          <w:rFonts w:hint="eastAsia" w:ascii="宋体" w:hAnsi="宋体" w:eastAsia="宋体" w:cs="宋体"/>
          <w:color w:val="auto"/>
          <w:sz w:val="24"/>
          <w:szCs w:val="24"/>
          <w:highlight w:val="none"/>
        </w:rPr>
        <w:t>服务费、服务成果打印、</w:t>
      </w:r>
      <w:r>
        <w:rPr>
          <w:rFonts w:hint="eastAsia" w:ascii="宋体" w:hAnsi="宋体" w:eastAsia="宋体" w:cs="宋体"/>
          <w:b w:val="0"/>
          <w:bCs w:val="0"/>
          <w:kern w:val="2"/>
          <w:sz w:val="24"/>
          <w:szCs w:val="24"/>
          <w:lang w:val="en-US" w:eastAsia="zh-CN" w:bidi="ar-SA"/>
        </w:rPr>
        <w:t>人员劳务费（含人身意外保险费）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专家评审费、</w:t>
      </w:r>
      <w:r>
        <w:rPr>
          <w:rFonts w:hint="eastAsia" w:ascii="宋体" w:hAnsi="宋体" w:cs="宋体"/>
          <w:color w:val="auto"/>
          <w:sz w:val="24"/>
          <w:szCs w:val="24"/>
          <w:highlight w:val="none"/>
          <w:lang w:eastAsia="zh-CN"/>
        </w:rPr>
        <w:t>代理服务费、</w:t>
      </w:r>
      <w:r>
        <w:rPr>
          <w:rFonts w:hint="eastAsia" w:ascii="宋体" w:hAnsi="宋体" w:eastAsia="宋体" w:cs="宋体"/>
          <w:color w:val="auto"/>
          <w:sz w:val="24"/>
          <w:szCs w:val="24"/>
          <w:highlight w:val="none"/>
        </w:rPr>
        <w:t>售后服务</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税金等一切</w:t>
      </w:r>
      <w:r>
        <w:rPr>
          <w:rFonts w:hint="eastAsia" w:ascii="宋体" w:hAnsi="宋体" w:cs="宋体"/>
          <w:color w:val="auto"/>
          <w:sz w:val="24"/>
          <w:szCs w:val="24"/>
          <w:highlight w:val="none"/>
          <w:lang w:eastAsia="zh-CN"/>
        </w:rPr>
        <w:t>与本项目相关的</w:t>
      </w:r>
      <w:r>
        <w:rPr>
          <w:rFonts w:hint="eastAsia" w:ascii="宋体" w:hAnsi="宋体" w:eastAsia="宋体" w:cs="宋体"/>
          <w:color w:val="auto"/>
          <w:sz w:val="24"/>
          <w:szCs w:val="24"/>
          <w:highlight w:val="none"/>
        </w:rPr>
        <w:t>费用</w:t>
      </w:r>
      <w:r>
        <w:rPr>
          <w:rFonts w:hint="eastAsia" w:ascii="宋体" w:hAnsi="宋体" w:eastAsia="宋体" w:cs="宋体"/>
          <w:color w:val="auto"/>
          <w:sz w:val="24"/>
          <w:szCs w:val="22"/>
          <w:highlight w:val="none"/>
        </w:rPr>
        <w:t>。投标人所投报的投标报价为投标人所能承受的整个项目的最终最低报价，如有漏项，视同已包含在其它项目中，合同价不作调整。</w:t>
      </w:r>
    </w:p>
    <w:p>
      <w:pPr>
        <w:keepNext w:val="0"/>
        <w:keepLines w:val="0"/>
        <w:pageBreakBefore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cs="宋体"/>
          <w:b/>
          <w:bCs/>
          <w:color w:val="auto"/>
          <w:highlight w:val="none"/>
        </w:rPr>
      </w:pPr>
      <w:r>
        <w:rPr>
          <w:rFonts w:hint="eastAsia" w:ascii="宋体" w:hAnsi="宋体" w:cs="宋体"/>
          <w:color w:val="auto"/>
          <w:sz w:val="24"/>
          <w:highlight w:val="none"/>
        </w:rPr>
        <w:t>▲</w:t>
      </w:r>
      <w:r>
        <w:rPr>
          <w:rFonts w:hint="eastAsia" w:ascii="宋体" w:hAnsi="宋体" w:cs="宋体"/>
          <w:b/>
          <w:bCs/>
          <w:color w:val="auto"/>
          <w:sz w:val="24"/>
          <w:highlight w:val="none"/>
        </w:rPr>
        <w:t>3.高于或等于预算价的按无效标处理。</w:t>
      </w:r>
    </w:p>
    <w:p>
      <w:pPr>
        <w:pStyle w:val="13"/>
        <w:keepNext w:val="0"/>
        <w:keepLines w:val="0"/>
        <w:pageBreakBefore w:val="0"/>
        <w:kinsoku/>
        <w:wordWrap/>
        <w:overflowPunct/>
        <w:topLinePunct w:val="0"/>
        <w:autoSpaceDE/>
        <w:autoSpaceDN/>
        <w:bidi w:val="0"/>
        <w:adjustRightInd w:val="0"/>
        <w:snapToGrid w:val="0"/>
        <w:spacing w:before="120" w:beforeLines="50" w:line="400" w:lineRule="exact"/>
        <w:ind w:left="78" w:leftChars="37" w:firstLine="141" w:firstLineChars="50"/>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（四）投标文件的有效期</w:t>
      </w:r>
    </w:p>
    <w:p>
      <w:pPr>
        <w:pStyle w:val="13"/>
        <w:keepNext w:val="0"/>
        <w:keepLines w:val="0"/>
        <w:pageBreakBefore w:val="0"/>
        <w:kinsoku/>
        <w:wordWrap/>
        <w:overflowPunct/>
        <w:topLinePunct w:val="0"/>
        <w:autoSpaceDE/>
        <w:autoSpaceDN/>
        <w:bidi w:val="0"/>
        <w:adjustRightInd w:val="0"/>
        <w:snapToGrid w:val="0"/>
        <w:spacing w:line="400" w:lineRule="exact"/>
        <w:ind w:lef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▲1.自投标截止日起</w:t>
      </w:r>
      <w:r>
        <w:rPr>
          <w:rFonts w:hint="eastAsia" w:ascii="宋体" w:hAnsi="宋体" w:eastAsia="宋体" w:cs="宋体"/>
          <w:color w:val="auto"/>
          <w:sz w:val="24"/>
          <w:szCs w:val="24"/>
          <w:highlight w:val="none"/>
          <w:u w:val="single"/>
        </w:rPr>
        <w:t xml:space="preserve"> 60</w:t>
      </w:r>
      <w:r>
        <w:rPr>
          <w:rFonts w:hint="eastAsia" w:ascii="宋体" w:hAnsi="宋体" w:eastAsia="宋体" w:cs="宋体"/>
          <w:color w:val="auto"/>
          <w:sz w:val="24"/>
          <w:szCs w:val="24"/>
          <w:highlight w:val="none"/>
        </w:rPr>
        <w:t>天投标文件应保持有效。有效期不足的投标文件将被拒绝。</w:t>
      </w:r>
    </w:p>
    <w:p>
      <w:pPr>
        <w:pStyle w:val="13"/>
        <w:keepNext w:val="0"/>
        <w:keepLines w:val="0"/>
        <w:pageBreakBefore w:val="0"/>
        <w:kinsoku/>
        <w:wordWrap/>
        <w:overflowPunct/>
        <w:topLinePunct w:val="0"/>
        <w:autoSpaceDE/>
        <w:autoSpaceDN/>
        <w:bidi w:val="0"/>
        <w:adjustRightInd w:val="0"/>
        <w:snapToGrid w:val="0"/>
        <w:spacing w:line="400" w:lineRule="exact"/>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2.在特殊情况下，招标人可与投标人协商延长投标书的有效期，这种要求和答复均以书面形式进行。</w:t>
      </w:r>
    </w:p>
    <w:p>
      <w:pPr>
        <w:keepNext w:val="0"/>
        <w:keepLines w:val="0"/>
        <w:pageBreakBefore w:val="0"/>
        <w:kinsoku/>
        <w:wordWrap/>
        <w:overflowPunct/>
        <w:topLinePunct w:val="0"/>
        <w:autoSpaceDE/>
        <w:autoSpaceDN/>
        <w:bidi w:val="0"/>
        <w:adjustRightInd w:val="0"/>
        <w:snapToGrid w:val="0"/>
        <w:spacing w:line="400" w:lineRule="exact"/>
        <w:ind w:firstLine="480" w:firstLineChars="200"/>
        <w:jc w:val="left"/>
        <w:textAlignment w:val="auto"/>
        <w:outlineLvl w:val="0"/>
        <w:rPr>
          <w:rFonts w:hint="eastAsia" w:ascii="宋体" w:hAnsi="宋体" w:cs="宋体"/>
          <w:b/>
          <w:color w:val="auto"/>
          <w:sz w:val="24"/>
          <w:szCs w:val="20"/>
          <w:highlight w:val="none"/>
        </w:rPr>
      </w:pPr>
      <w:r>
        <w:rPr>
          <w:rFonts w:hint="eastAsia" w:ascii="宋体" w:hAnsi="宋体" w:cs="宋体"/>
          <w:color w:val="auto"/>
          <w:sz w:val="24"/>
          <w:highlight w:val="none"/>
        </w:rPr>
        <w:t>3.投标人可拒绝接受延期要求。同意延长有效期的投标人不能修改投标文件。</w:t>
      </w:r>
      <w:r>
        <w:rPr>
          <w:rFonts w:hint="eastAsia" w:ascii="宋体" w:hAnsi="宋体" w:cs="宋体"/>
          <w:b/>
          <w:color w:val="auto"/>
          <w:sz w:val="24"/>
          <w:highlight w:val="none"/>
        </w:rPr>
        <w:t xml:space="preserve"> </w:t>
      </w:r>
    </w:p>
    <w:p>
      <w:pPr>
        <w:keepNext w:val="0"/>
        <w:keepLines w:val="0"/>
        <w:pageBreakBefore w:val="0"/>
        <w:kinsoku/>
        <w:wordWrap/>
        <w:overflowPunct/>
        <w:topLinePunct w:val="0"/>
        <w:autoSpaceDE/>
        <w:autoSpaceDN/>
        <w:bidi w:val="0"/>
        <w:adjustRightInd w:val="0"/>
        <w:snapToGrid w:val="0"/>
        <w:spacing w:line="400" w:lineRule="exact"/>
        <w:ind w:firstLine="480" w:firstLineChars="200"/>
        <w:jc w:val="left"/>
        <w:textAlignment w:val="auto"/>
        <w:outlineLvl w:val="0"/>
        <w:rPr>
          <w:rFonts w:hint="eastAsia" w:ascii="宋体" w:hAnsi="宋体" w:cs="宋体"/>
          <w:b/>
          <w:color w:val="auto"/>
          <w:sz w:val="24"/>
          <w:highlight w:val="none"/>
        </w:rPr>
      </w:pPr>
      <w:r>
        <w:rPr>
          <w:rFonts w:hint="eastAsia" w:ascii="宋体" w:hAnsi="宋体" w:cs="宋体"/>
          <w:color w:val="auto"/>
          <w:sz w:val="24"/>
          <w:highlight w:val="none"/>
        </w:rPr>
        <w:t>4.中标人的投标文件自开标之日起至合同履行完毕止均应保持有效。</w:t>
      </w:r>
    </w:p>
    <w:p>
      <w:pPr>
        <w:keepNext w:val="0"/>
        <w:keepLines w:val="0"/>
        <w:pageBreakBefore w:val="0"/>
        <w:kinsoku/>
        <w:wordWrap/>
        <w:overflowPunct/>
        <w:topLinePunct w:val="0"/>
        <w:autoSpaceDE/>
        <w:autoSpaceDN/>
        <w:bidi w:val="0"/>
        <w:adjustRightInd w:val="0"/>
        <w:snapToGrid w:val="0"/>
        <w:spacing w:before="120" w:beforeLines="50" w:line="400" w:lineRule="exact"/>
        <w:ind w:firstLine="472" w:firstLineChars="196"/>
        <w:jc w:val="left"/>
        <w:textAlignment w:val="auto"/>
        <w:outlineLvl w:val="0"/>
        <w:rPr>
          <w:rFonts w:hint="eastAsia" w:ascii="宋体" w:hAnsi="宋体" w:cs="宋体"/>
          <w:b/>
          <w:color w:val="auto"/>
          <w:sz w:val="24"/>
          <w:szCs w:val="20"/>
          <w:highlight w:val="none"/>
        </w:rPr>
      </w:pPr>
      <w:r>
        <w:rPr>
          <w:rFonts w:hint="eastAsia" w:ascii="宋体" w:hAnsi="宋体" w:cs="宋体"/>
          <w:b/>
          <w:color w:val="auto"/>
          <w:sz w:val="24"/>
          <w:highlight w:val="none"/>
        </w:rPr>
        <w:t>（五）投标文件的签署</w:t>
      </w:r>
    </w:p>
    <w:p>
      <w:pPr>
        <w:keepNext w:val="0"/>
        <w:keepLines w:val="0"/>
        <w:pageBreakBefore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cs="宋体"/>
          <w:b/>
          <w:bCs/>
          <w:color w:val="auto"/>
          <w:sz w:val="24"/>
          <w:highlight w:val="none"/>
        </w:rPr>
      </w:pPr>
      <w:r>
        <w:rPr>
          <w:rFonts w:hint="eastAsia" w:ascii="宋体" w:hAnsi="宋体" w:cs="宋体"/>
          <w:color w:val="auto"/>
          <w:sz w:val="24"/>
          <w:highlight w:val="none"/>
        </w:rPr>
        <w:t>1、投标人应认真阅读招标文件所有内容，按本招标文件规定的要求、编制顺序和统一格式编制投标文件并标注页码，</w:t>
      </w:r>
      <w:r>
        <w:rPr>
          <w:rFonts w:hint="eastAsia" w:ascii="宋体" w:hAnsi="宋体" w:cs="宋体"/>
          <w:b/>
          <w:bCs/>
          <w:color w:val="auto"/>
          <w:sz w:val="24"/>
          <w:highlight w:val="none"/>
        </w:rPr>
        <w:t>电子投标文件须根据评分标准进行关联定位。</w:t>
      </w:r>
      <w:r>
        <w:rPr>
          <w:rFonts w:hint="eastAsia" w:ascii="宋体" w:hAnsi="宋体" w:cs="宋体"/>
          <w:color w:val="auto"/>
          <w:sz w:val="24"/>
          <w:highlight w:val="none"/>
        </w:rPr>
        <w:t>投标文件因内容不完整、编排混乱，</w:t>
      </w:r>
      <w:r>
        <w:rPr>
          <w:rFonts w:hint="eastAsia" w:ascii="宋体" w:hAnsi="宋体" w:cs="宋体"/>
          <w:b/>
          <w:bCs/>
          <w:color w:val="auto"/>
          <w:sz w:val="24"/>
          <w:highlight w:val="none"/>
        </w:rPr>
        <w:t>或者电子投标文件未按评分标准进行关联定位或者关联定位不准确，</w:t>
      </w:r>
      <w:r>
        <w:rPr>
          <w:rFonts w:hint="eastAsia" w:ascii="宋体" w:hAnsi="宋体" w:cs="宋体"/>
          <w:color w:val="auto"/>
          <w:sz w:val="24"/>
          <w:highlight w:val="none"/>
        </w:rPr>
        <w:t>导致投标文件被误读、漏读或者查找不到相关内容的，是投标人的责任。</w:t>
      </w:r>
      <w:r>
        <w:rPr>
          <w:rFonts w:hint="eastAsia" w:ascii="宋体" w:hAnsi="宋体" w:cs="宋体"/>
          <w:b/>
          <w:color w:val="auto"/>
          <w:sz w:val="24"/>
          <w:highlight w:val="none"/>
        </w:rPr>
        <w:t>电子投标文件须</w:t>
      </w:r>
      <w:r>
        <w:rPr>
          <w:rFonts w:hint="eastAsia" w:ascii="宋体" w:hAnsi="宋体" w:cs="宋体"/>
          <w:b/>
          <w:bCs/>
          <w:color w:val="auto"/>
          <w:sz w:val="24"/>
          <w:highlight w:val="none"/>
        </w:rPr>
        <w:t>按政采云平台供应商项目采购-电子招投标操作指南</w:t>
      </w:r>
      <w:r>
        <w:rPr>
          <w:rFonts w:hint="eastAsia" w:ascii="宋体" w:hAnsi="宋体" w:cs="宋体"/>
          <w:b/>
          <w:color w:val="auto"/>
          <w:sz w:val="24"/>
          <w:highlight w:val="none"/>
        </w:rPr>
        <w:t>及本招标文件要求制作和加密。</w:t>
      </w:r>
      <w:r>
        <w:rPr>
          <w:rFonts w:hint="eastAsia" w:ascii="宋体" w:hAnsi="宋体" w:cs="宋体"/>
          <w:b/>
          <w:bCs/>
          <w:color w:val="auto"/>
          <w:sz w:val="24"/>
          <w:highlight w:val="none"/>
        </w:rPr>
        <w:t>（操作指南下载网址：</w:t>
      </w: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宋体" w:hAnsi="宋体" w:cs="宋体"/>
          <w:sz w:val="24"/>
        </w:rPr>
      </w:pPr>
      <w:r>
        <w:rPr>
          <w:rFonts w:hint="eastAsia" w:ascii="宋体" w:hAnsi="宋体" w:cs="宋体"/>
          <w:b/>
          <w:bCs/>
          <w:color w:val="auto"/>
          <w:sz w:val="24"/>
          <w:highlight w:val="none"/>
        </w:rPr>
        <w:t>https://help.zcygov.cn/web/site_2/2018/12-28/2573.html）</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cs="宋体"/>
          <w:b/>
          <w:sz w:val="24"/>
        </w:rPr>
      </w:pPr>
      <w:r>
        <w:rPr>
          <w:rFonts w:hint="eastAsia" w:ascii="宋体" w:hAnsi="宋体" w:cs="宋体"/>
          <w:b/>
          <w:sz w:val="24"/>
          <w:lang w:val="en-US" w:eastAsia="zh-CN"/>
        </w:rPr>
        <w:t>2</w:t>
      </w:r>
      <w:r>
        <w:rPr>
          <w:rFonts w:hint="eastAsia" w:ascii="宋体" w:hAnsi="宋体" w:cs="宋体"/>
          <w:b/>
          <w:sz w:val="24"/>
        </w:rPr>
        <w:t>. 投标文件需盖章签字的地方必须由投标人法定代表人或法定代表人的授权委托人签署并加盖单位公章，投标人应写全称。</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.投标文件不得涂改，若有修改错漏处，须加盖单位公章和由法定代表人或授权委托人签字或盖章。投标文件因字迹潦草或表达不清所引起的后果由投标人负责。</w:t>
      </w:r>
    </w:p>
    <w:p>
      <w:pPr>
        <w:keepNext w:val="0"/>
        <w:keepLines w:val="0"/>
        <w:pageBreakBefore w:val="0"/>
        <w:kinsoku/>
        <w:wordWrap/>
        <w:overflowPunct/>
        <w:topLinePunct w:val="0"/>
        <w:autoSpaceDE/>
        <w:autoSpaceDN/>
        <w:bidi w:val="0"/>
        <w:adjustRightInd w:val="0"/>
        <w:snapToGrid w:val="0"/>
        <w:spacing w:line="400" w:lineRule="exact"/>
        <w:ind w:firstLine="482" w:firstLineChars="200"/>
        <w:jc w:val="left"/>
        <w:textAlignment w:val="auto"/>
        <w:rPr>
          <w:rFonts w:hint="eastAsia"/>
        </w:rPr>
      </w:pPr>
      <w:r>
        <w:rPr>
          <w:rFonts w:hint="eastAsia" w:ascii="宋体" w:hAnsi="宋体" w:cs="宋体"/>
          <w:b/>
          <w:sz w:val="24"/>
          <w:lang w:val="en-US" w:eastAsia="zh-CN"/>
        </w:rPr>
        <w:t>4</w:t>
      </w:r>
      <w:r>
        <w:rPr>
          <w:rFonts w:hint="eastAsia" w:ascii="宋体" w:hAnsi="宋体" w:cs="宋体"/>
          <w:b/>
          <w:sz w:val="24"/>
        </w:rPr>
        <w:t>.招标文件对签字、盖章有特别要求的地方，纸质版本投标文件无论正本或副本（副本可以是正本的复印件）必须由投标人法定代表人或法定代表人的授权委托人签署并加盖单位公章。</w:t>
      </w:r>
      <w:r>
        <w:rPr>
          <w:rFonts w:hint="eastAsia" w:ascii="宋体" w:hAnsi="宋体" w:cs="宋体"/>
          <w:b/>
          <w:bCs/>
          <w:sz w:val="24"/>
        </w:rPr>
        <w:t>电子投标文件中有签字要求的部分，投标人可以将签字后的扫描件上传至政采云系统，有</w:t>
      </w:r>
      <w:r>
        <w:rPr>
          <w:rFonts w:hint="eastAsia" w:ascii="宋体" w:hAnsi="宋体" w:cs="宋体"/>
          <w:b/>
          <w:sz w:val="24"/>
        </w:rPr>
        <w:t>盖章要求的部分，</w:t>
      </w:r>
      <w:r>
        <w:rPr>
          <w:rFonts w:hint="eastAsia" w:ascii="宋体" w:hAnsi="宋体" w:cs="宋体"/>
          <w:b/>
          <w:bCs/>
          <w:sz w:val="24"/>
        </w:rPr>
        <w:t>要求采用CA签章。</w:t>
      </w:r>
      <w:r>
        <w:rPr>
          <w:rFonts w:hint="eastAsia" w:ascii="宋体" w:hAnsi="宋体" w:cs="宋体"/>
          <w:b/>
          <w:sz w:val="24"/>
        </w:rPr>
        <w:t>投标人应写全称。</w:t>
      </w:r>
    </w:p>
    <w:p>
      <w:pPr>
        <w:keepNext w:val="0"/>
        <w:keepLines w:val="0"/>
        <w:pageBreakBefore w:val="0"/>
        <w:kinsoku/>
        <w:wordWrap/>
        <w:overflowPunct/>
        <w:topLinePunct w:val="0"/>
        <w:autoSpaceDE/>
        <w:autoSpaceDN/>
        <w:bidi w:val="0"/>
        <w:adjustRightInd w:val="0"/>
        <w:snapToGrid w:val="0"/>
        <w:spacing w:before="120" w:beforeLines="50" w:line="400" w:lineRule="exact"/>
        <w:ind w:firstLine="354" w:firstLineChars="147"/>
        <w:jc w:val="left"/>
        <w:textAlignment w:val="auto"/>
        <w:rPr>
          <w:rFonts w:hint="eastAsia" w:ascii="宋体" w:hAnsi="宋体" w:cs="宋体"/>
          <w:b/>
          <w:color w:val="auto"/>
          <w:sz w:val="24"/>
          <w:szCs w:val="20"/>
          <w:highlight w:val="none"/>
        </w:rPr>
      </w:pPr>
      <w:r>
        <w:rPr>
          <w:rFonts w:hint="eastAsia" w:ascii="宋体" w:hAnsi="宋体" w:cs="宋体"/>
          <w:b/>
          <w:color w:val="auto"/>
          <w:sz w:val="24"/>
          <w:highlight w:val="none"/>
        </w:rPr>
        <w:t>（六）投标文件的包装、递交、修改和撤回</w:t>
      </w:r>
    </w:p>
    <w:p>
      <w:pPr>
        <w:keepNext w:val="0"/>
        <w:keepLines w:val="0"/>
        <w:pageBreakBefore w:val="0"/>
        <w:kinsoku/>
        <w:wordWrap/>
        <w:overflowPunct/>
        <w:topLinePunct w:val="0"/>
        <w:autoSpaceDE/>
        <w:autoSpaceDN/>
        <w:bidi w:val="0"/>
        <w:adjustRightInd w:val="0"/>
        <w:snapToGrid w:val="0"/>
        <w:spacing w:line="400" w:lineRule="exact"/>
        <w:ind w:firstLine="495"/>
        <w:textAlignment w:val="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rPr>
        <w:t>投标人应当在投标截止时间前在“政采云”（电子交易平台）上自行上传加密的电子投标文件。</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2.未按规定上传的投标文件将被拒绝，由此造成投标文件解密失败或被误投的风险由投标人承担。</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highlight w:val="none"/>
        </w:rPr>
        <w:t xml:space="preserve"> </w:t>
      </w:r>
      <w:r>
        <w:rPr>
          <w:rFonts w:hint="eastAsia" w:ascii="宋体" w:hAnsi="宋体" w:cs="宋体"/>
          <w:color w:val="auto"/>
          <w:sz w:val="24"/>
          <w:highlight w:val="none"/>
        </w:rPr>
        <w:t>投标人未在“政采云”（电子交易平台）上自行上传加密的电子投标文件，仅提交电子备份投标文件的，投标无效。</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highlight w:val="none"/>
        </w:rPr>
        <w:t xml:space="preserve"> </w:t>
      </w:r>
      <w:r>
        <w:rPr>
          <w:rFonts w:hint="eastAsia" w:ascii="宋体" w:hAnsi="宋体" w:cs="宋体"/>
          <w:color w:val="auto"/>
          <w:sz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5.</w:t>
      </w:r>
      <w:r>
        <w:rPr>
          <w:rFonts w:hint="eastAsia" w:ascii="宋体" w:hAnsi="宋体" w:cs="宋体"/>
          <w:color w:val="auto"/>
          <w:highlight w:val="none"/>
        </w:rPr>
        <w:t xml:space="preserve"> </w:t>
      </w:r>
      <w:r>
        <w:rPr>
          <w:rFonts w:hint="eastAsia" w:ascii="宋体" w:hAnsi="宋体" w:cs="宋体"/>
          <w:color w:val="auto"/>
          <w:sz w:val="24"/>
          <w:highlight w:val="none"/>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highlight w:val="none"/>
        </w:rPr>
        <w:t xml:space="preserve"> </w:t>
      </w:r>
      <w:r>
        <w:rPr>
          <w:rFonts w:hint="eastAsia" w:ascii="宋体" w:hAnsi="宋体" w:cs="宋体"/>
          <w:color w:val="auto"/>
          <w:sz w:val="24"/>
          <w:highlight w:val="none"/>
        </w:rPr>
        <w:t>电子投标文件无法解密或解密失败时，投标人提供了电子备份投标文件的，以电子备份投标文件作为评审依据，否则视为投标文件撤回。投标文件已按时解密的，电子备份投标文件自动失效。</w:t>
      </w:r>
    </w:p>
    <w:p>
      <w:pPr>
        <w:keepNext w:val="0"/>
        <w:keepLines w:val="0"/>
        <w:pageBreakBefore w:val="0"/>
        <w:kinsoku/>
        <w:wordWrap/>
        <w:overflowPunct/>
        <w:topLinePunct w:val="0"/>
        <w:autoSpaceDE/>
        <w:autoSpaceDN/>
        <w:bidi w:val="0"/>
        <w:adjustRightInd w:val="0"/>
        <w:snapToGrid w:val="0"/>
        <w:spacing w:line="400" w:lineRule="exact"/>
        <w:ind w:firstLine="472" w:firstLineChars="196"/>
        <w:textAlignment w:val="auto"/>
        <w:rPr>
          <w:rFonts w:ascii="宋体" w:hAnsi="宋体" w:cs="宋体"/>
          <w:b/>
          <w:bCs/>
          <w:sz w:val="24"/>
        </w:rPr>
      </w:pPr>
      <w:r>
        <w:rPr>
          <w:rFonts w:hint="eastAsia" w:ascii="宋体" w:hAnsi="宋体" w:cs="宋体"/>
          <w:b/>
          <w:bCs/>
          <w:sz w:val="24"/>
        </w:rPr>
        <w:t>（七）投标无效的情形</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限期内不补正或经补正后仍不符合招标文件要求的，应认定其投标无效。投标人修改、补正投标文件后，不影响评标委员会对其投标文件所作的评价和评分结果。</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ascii="宋体" w:hAnsi="宋体" w:cs="宋体"/>
          <w:sz w:val="22"/>
          <w:u w:val="single"/>
        </w:rPr>
      </w:pPr>
      <w:r>
        <w:rPr>
          <w:rFonts w:hint="eastAsia" w:ascii="宋体" w:hAnsi="宋体" w:cs="宋体"/>
          <w:b/>
          <w:bCs/>
          <w:sz w:val="24"/>
        </w:rPr>
        <w:t>1.在资格审查时，如发现下列情形之一的，投标无效：</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（1）资格审查材料不全的，或者不符合招标文件要求的；</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（2）资格审查材料未按招标文件要求签署、盖章的；</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（3）不具备招标文件中规定的资格条件的；</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（4）经查询存在不良信用记录的；</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（5）联合体投标的未提供</w:t>
      </w:r>
      <w:r>
        <w:rPr>
          <w:rFonts w:hint="eastAsia" w:ascii="宋体" w:hAnsi="宋体" w:cs="宋体"/>
          <w:sz w:val="24"/>
          <w:lang w:val="zh-CN"/>
        </w:rPr>
        <w:t>联合体协议书的</w:t>
      </w:r>
      <w:r>
        <w:rPr>
          <w:rFonts w:hint="eastAsia" w:ascii="宋体" w:hAnsi="宋体" w:cs="宋体"/>
          <w:sz w:val="24"/>
        </w:rPr>
        <w:t>；</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
          <w:bCs/>
          <w:sz w:val="24"/>
        </w:rPr>
      </w:pPr>
      <w:r>
        <w:rPr>
          <w:rFonts w:hint="eastAsia" w:ascii="宋体" w:hAnsi="宋体" w:cs="宋体"/>
          <w:sz w:val="24"/>
        </w:rPr>
        <w:t>（6）联合体各方在同一招标项目中以自己名义单独投标或者参加其他联合体投标的，相关投标均无效。</w:t>
      </w:r>
    </w:p>
    <w:p>
      <w:pPr>
        <w:keepNext w:val="0"/>
        <w:keepLines w:val="0"/>
        <w:pageBreakBefore w:val="0"/>
        <w:kinsoku/>
        <w:wordWrap/>
        <w:overflowPunct/>
        <w:topLinePunct w:val="0"/>
        <w:autoSpaceDE/>
        <w:autoSpaceDN/>
        <w:bidi w:val="0"/>
        <w:adjustRightInd w:val="0"/>
        <w:snapToGrid w:val="0"/>
        <w:spacing w:line="400" w:lineRule="exact"/>
        <w:ind w:firstLine="472" w:firstLineChars="196"/>
        <w:textAlignment w:val="auto"/>
        <w:rPr>
          <w:rFonts w:ascii="宋体" w:hAnsi="宋体" w:cs="宋体"/>
          <w:b/>
          <w:bCs/>
          <w:sz w:val="24"/>
        </w:rPr>
      </w:pPr>
      <w:r>
        <w:rPr>
          <w:rFonts w:hint="eastAsia" w:ascii="宋体" w:hAnsi="宋体" w:cs="宋体"/>
          <w:b/>
          <w:bCs/>
          <w:sz w:val="24"/>
        </w:rPr>
        <w:t>2.在符合性审查和商务评审时，如发现下列情形之一的，投标文件将被视为无效：</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（1）投标人仅提交电子备份投标文件的；</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（2）在开评标时出现电子投标文件无法解密或解密失败等情况，投标人未提供电子备份投标文件，无法对投标人继续进行评审的；</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ascii="宋体" w:hAnsi="宋体" w:cs="宋体"/>
          <w:sz w:val="24"/>
        </w:rPr>
      </w:pPr>
      <w:r>
        <w:rPr>
          <w:rFonts w:hint="eastAsia" w:ascii="宋体" w:hAnsi="宋体" w:cs="宋体"/>
          <w:sz w:val="24"/>
        </w:rPr>
        <w:t>（3）投标人未在规定的时间内对电子询标函进行澄清回复、拒绝澄清回复或澄清回复的内容改变了投标文件的实质性内容的；</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ascii="宋体" w:hAnsi="宋体" w:cs="宋体"/>
          <w:sz w:val="24"/>
        </w:rPr>
      </w:pPr>
      <w:r>
        <w:rPr>
          <w:rFonts w:hint="eastAsia" w:ascii="宋体" w:hAnsi="宋体" w:cs="宋体"/>
          <w:sz w:val="24"/>
        </w:rPr>
        <w:t>（4）资信及商务标内有商务报价出现的；</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ascii="宋体" w:hAnsi="宋体" w:cs="宋体"/>
          <w:sz w:val="24"/>
        </w:rPr>
      </w:pPr>
      <w:r>
        <w:rPr>
          <w:rFonts w:hint="eastAsia" w:ascii="宋体" w:hAnsi="宋体" w:cs="宋体"/>
          <w:sz w:val="24"/>
        </w:rPr>
        <w:t>（5）超出经营范围投标的；</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ascii="宋体" w:hAnsi="宋体" w:cs="宋体"/>
          <w:sz w:val="24"/>
        </w:rPr>
      </w:pPr>
      <w:r>
        <w:rPr>
          <w:rFonts w:hint="eastAsia" w:ascii="宋体" w:hAnsi="宋体" w:cs="宋体"/>
          <w:sz w:val="24"/>
        </w:rPr>
        <w:t>（6）资格证明文件不全的，或者不符合招标文件标明的资格要求的；</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ascii="宋体" w:hAnsi="宋体" w:cs="宋体"/>
          <w:sz w:val="24"/>
        </w:rPr>
      </w:pPr>
      <w:r>
        <w:rPr>
          <w:rFonts w:hint="eastAsia" w:ascii="宋体" w:hAnsi="宋体" w:cs="宋体"/>
          <w:sz w:val="24"/>
        </w:rPr>
        <w:t>（7）本招标文件明确规定投标文件需要投标人签字、盖章的地方，投标人没有按招标文件的规定进行签字、盖章的,或未提供法定代表人授权委托书、投标声明书或者填写项目不齐全的，或者授权委托书无效的；</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ascii="宋体" w:hAnsi="宋体" w:cs="宋体"/>
          <w:sz w:val="24"/>
        </w:rPr>
      </w:pPr>
      <w:r>
        <w:rPr>
          <w:rFonts w:hint="eastAsia" w:ascii="宋体" w:hAnsi="宋体" w:cs="宋体"/>
          <w:sz w:val="24"/>
        </w:rPr>
        <w:t>（8）投标文件无法定代表人签字,或未提供法定代表人授权委托书、投标声明书或者填写项目不齐全的；</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ascii="宋体" w:hAnsi="宋体" w:cs="宋体"/>
          <w:sz w:val="24"/>
        </w:rPr>
      </w:pPr>
      <w:r>
        <w:rPr>
          <w:rFonts w:hint="eastAsia" w:ascii="宋体" w:hAnsi="宋体" w:cs="宋体"/>
          <w:sz w:val="24"/>
        </w:rPr>
        <w:t>（9）投标文件的实质性内容未使用中文表述、意思表述不明确、前后矛盾或者使用计量单位不符合招标文件要求的（经评标委员会认定并允许其当场更正的笔误除外）；</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ascii="宋体" w:hAnsi="宋体" w:cs="宋体"/>
          <w:sz w:val="24"/>
        </w:rPr>
      </w:pPr>
      <w:r>
        <w:rPr>
          <w:rFonts w:hint="eastAsia" w:ascii="宋体" w:hAnsi="宋体" w:cs="宋体"/>
          <w:sz w:val="24"/>
        </w:rPr>
        <w:t>（10）投标有效期、服务期（交货期）、质保期、付款方式等商务条款不能满足招标文件要求的；</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ascii="宋体" w:hAnsi="宋体" w:cs="宋体"/>
          <w:sz w:val="24"/>
        </w:rPr>
      </w:pPr>
      <w:r>
        <w:rPr>
          <w:rFonts w:hint="eastAsia" w:ascii="宋体" w:hAnsi="宋体" w:cs="宋体"/>
          <w:sz w:val="24"/>
        </w:rPr>
        <w:t>（11）未实质性响应招标文件中标有“▲”条款要求的；</w:t>
      </w:r>
    </w:p>
    <w:p>
      <w:pPr>
        <w:pStyle w:val="3"/>
        <w:keepNext w:val="0"/>
        <w:keepLines w:val="0"/>
        <w:pageBreakBefore w:val="0"/>
        <w:kinsoku/>
        <w:wordWrap/>
        <w:overflowPunct/>
        <w:topLinePunct w:val="0"/>
        <w:autoSpaceDE/>
        <w:autoSpaceDN/>
        <w:bidi w:val="0"/>
        <w:adjustRightInd w:val="0"/>
        <w:snapToGrid w:val="0"/>
        <w:spacing w:line="400" w:lineRule="exact"/>
        <w:ind w:firstLine="454" w:firstLineChars="196"/>
        <w:textAlignment w:val="auto"/>
        <w:rPr>
          <w:rFonts w:hAnsi="宋体" w:cs="宋体"/>
          <w:sz w:val="24"/>
          <w:szCs w:val="24"/>
        </w:rPr>
      </w:pPr>
      <w:r>
        <w:rPr>
          <w:rFonts w:hint="eastAsia" w:hAnsi="宋体" w:cs="宋体"/>
          <w:sz w:val="24"/>
          <w:szCs w:val="24"/>
        </w:rPr>
        <w:t>（12）投标文件有招标方不能接受的附加条件的；</w:t>
      </w:r>
    </w:p>
    <w:p>
      <w:pPr>
        <w:pStyle w:val="3"/>
        <w:keepNext w:val="0"/>
        <w:keepLines w:val="0"/>
        <w:pageBreakBefore w:val="0"/>
        <w:kinsoku/>
        <w:wordWrap/>
        <w:overflowPunct/>
        <w:topLinePunct w:val="0"/>
        <w:autoSpaceDE/>
        <w:autoSpaceDN/>
        <w:bidi w:val="0"/>
        <w:adjustRightInd w:val="0"/>
        <w:snapToGrid w:val="0"/>
        <w:spacing w:line="400" w:lineRule="exact"/>
        <w:ind w:firstLine="454" w:firstLineChars="196"/>
        <w:textAlignment w:val="auto"/>
        <w:rPr>
          <w:rFonts w:hAnsi="宋体" w:cs="宋体"/>
          <w:sz w:val="24"/>
          <w:szCs w:val="24"/>
        </w:rPr>
      </w:pPr>
      <w:r>
        <w:rPr>
          <w:rFonts w:hint="eastAsia" w:hAnsi="宋体" w:cs="宋体"/>
          <w:sz w:val="24"/>
          <w:szCs w:val="24"/>
        </w:rPr>
        <w:t>（13）电子投标文件未按规定要求提供电子签章的。</w:t>
      </w:r>
    </w:p>
    <w:p>
      <w:pPr>
        <w:pStyle w:val="3"/>
        <w:keepNext w:val="0"/>
        <w:keepLines w:val="0"/>
        <w:pageBreakBefore w:val="0"/>
        <w:kinsoku/>
        <w:wordWrap/>
        <w:overflowPunct/>
        <w:topLinePunct w:val="0"/>
        <w:autoSpaceDE/>
        <w:autoSpaceDN/>
        <w:bidi w:val="0"/>
        <w:adjustRightInd w:val="0"/>
        <w:snapToGrid w:val="0"/>
        <w:spacing w:line="400" w:lineRule="exact"/>
        <w:ind w:firstLine="457" w:firstLineChars="196"/>
        <w:textAlignment w:val="auto"/>
        <w:rPr>
          <w:rFonts w:hAnsi="宋体" w:cs="宋体"/>
          <w:b/>
          <w:bCs/>
          <w:sz w:val="24"/>
          <w:szCs w:val="24"/>
        </w:rPr>
      </w:pPr>
      <w:r>
        <w:rPr>
          <w:rFonts w:hint="eastAsia" w:hAnsi="宋体" w:cs="宋体"/>
          <w:b/>
          <w:bCs/>
          <w:sz w:val="24"/>
          <w:szCs w:val="24"/>
        </w:rPr>
        <w:t>3.在技术评审时，如发现下列情形之一的，投标文件将被视为无效：</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rPr>
      </w:pPr>
      <w:r>
        <w:rPr>
          <w:rFonts w:hint="eastAsia" w:ascii="宋体" w:hAnsi="宋体" w:cs="宋体"/>
          <w:sz w:val="24"/>
        </w:rPr>
        <w:t>（1）投标人未在规定的时间内对电子询标函进行澄清回复、拒绝澄清回复或澄清回复的内容改变了投标文件的实质性内容的；</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ascii="宋体" w:hAnsi="宋体" w:cs="宋体"/>
          <w:sz w:val="24"/>
        </w:rPr>
      </w:pPr>
      <w:r>
        <w:rPr>
          <w:rFonts w:hint="eastAsia" w:ascii="宋体" w:hAnsi="宋体" w:cs="宋体"/>
          <w:sz w:val="24"/>
        </w:rPr>
        <w:t>（2）技术标内有商务报价出现的；</w:t>
      </w:r>
    </w:p>
    <w:p>
      <w:pPr>
        <w:pStyle w:val="3"/>
        <w:keepNext w:val="0"/>
        <w:keepLines w:val="0"/>
        <w:pageBreakBefore w:val="0"/>
        <w:kinsoku/>
        <w:wordWrap/>
        <w:overflowPunct/>
        <w:topLinePunct w:val="0"/>
        <w:autoSpaceDE/>
        <w:autoSpaceDN/>
        <w:bidi w:val="0"/>
        <w:adjustRightInd w:val="0"/>
        <w:snapToGrid w:val="0"/>
        <w:spacing w:line="400" w:lineRule="exact"/>
        <w:ind w:firstLine="454" w:firstLineChars="196"/>
        <w:textAlignment w:val="auto"/>
        <w:rPr>
          <w:rFonts w:hAnsi="宋体" w:cs="宋体"/>
          <w:sz w:val="24"/>
        </w:rPr>
      </w:pPr>
      <w:r>
        <w:rPr>
          <w:rFonts w:hint="eastAsia" w:hAnsi="宋体" w:cs="宋体"/>
          <w:sz w:val="24"/>
          <w:szCs w:val="24"/>
        </w:rPr>
        <w:t>（3）</w:t>
      </w:r>
      <w:r>
        <w:rPr>
          <w:rFonts w:hint="eastAsia" w:hAnsi="宋体" w:cs="宋体"/>
          <w:sz w:val="24"/>
        </w:rPr>
        <w:t>投标技术方案不明确，存在一个或一个以上备选（替代）投标方案的；</w:t>
      </w:r>
    </w:p>
    <w:p>
      <w:pPr>
        <w:pStyle w:val="8"/>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szCs w:val="24"/>
        </w:rPr>
      </w:pPr>
      <w:r>
        <w:rPr>
          <w:rFonts w:hint="eastAsia" w:ascii="宋体" w:hAnsi="宋体" w:cs="宋体"/>
          <w:sz w:val="24"/>
          <w:szCs w:val="24"/>
        </w:rPr>
        <w:t>（4）与其他参加本次投标供应商的投标文件（技术文件）的文字表述内容相同连续20行以上或者差错相同2处以上的；</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（5）招标文件规定的其它投标无效的情况；</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（6）法律、法规规定的其它投标无效情况。</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ascii="宋体" w:hAnsi="宋体" w:cs="宋体"/>
          <w:b/>
          <w:sz w:val="24"/>
        </w:rPr>
      </w:pPr>
      <w:r>
        <w:rPr>
          <w:rFonts w:hint="eastAsia" w:ascii="宋体" w:hAnsi="宋体" w:cs="宋体"/>
          <w:b/>
          <w:sz w:val="24"/>
        </w:rPr>
        <w:t>4.在报价评审时，如发现下列情形之一的，投标文件将被视为无效：</w:t>
      </w:r>
    </w:p>
    <w:p>
      <w:pPr>
        <w:pStyle w:val="3"/>
        <w:keepNext w:val="0"/>
        <w:keepLines w:val="0"/>
        <w:pageBreakBefore w:val="0"/>
        <w:kinsoku/>
        <w:wordWrap/>
        <w:overflowPunct/>
        <w:topLinePunct w:val="0"/>
        <w:autoSpaceDE/>
        <w:autoSpaceDN/>
        <w:bidi w:val="0"/>
        <w:adjustRightInd w:val="0"/>
        <w:snapToGrid w:val="0"/>
        <w:spacing w:line="400" w:lineRule="exact"/>
        <w:ind w:firstLine="464" w:firstLineChars="200"/>
        <w:textAlignment w:val="auto"/>
        <w:rPr>
          <w:rFonts w:hAnsi="宋体" w:cs="宋体"/>
          <w:sz w:val="24"/>
        </w:rPr>
      </w:pPr>
      <w:r>
        <w:rPr>
          <w:rFonts w:hint="eastAsia" w:hAnsi="宋体" w:cs="宋体"/>
          <w:sz w:val="24"/>
        </w:rPr>
        <w:t>（1）投标人未在规定的时间内对电子询标函进行澄清回复、拒绝澄清回复或者澄清回复的内容改变了投标文件的实质性内容的；</w:t>
      </w:r>
    </w:p>
    <w:p>
      <w:pPr>
        <w:pStyle w:val="3"/>
        <w:keepNext w:val="0"/>
        <w:keepLines w:val="0"/>
        <w:pageBreakBefore w:val="0"/>
        <w:kinsoku/>
        <w:wordWrap/>
        <w:overflowPunct/>
        <w:topLinePunct w:val="0"/>
        <w:autoSpaceDE/>
        <w:autoSpaceDN/>
        <w:bidi w:val="0"/>
        <w:adjustRightInd w:val="0"/>
        <w:snapToGrid w:val="0"/>
        <w:spacing w:line="400" w:lineRule="exact"/>
        <w:ind w:firstLine="454" w:firstLineChars="196"/>
        <w:textAlignment w:val="auto"/>
        <w:rPr>
          <w:rFonts w:hAnsi="宋体" w:cs="宋体"/>
          <w:sz w:val="24"/>
          <w:szCs w:val="24"/>
        </w:rPr>
      </w:pPr>
      <w:r>
        <w:rPr>
          <w:rFonts w:hint="eastAsia" w:hAnsi="宋体" w:cs="宋体"/>
          <w:sz w:val="24"/>
          <w:szCs w:val="24"/>
        </w:rPr>
        <w:t>（2）未按照招标文件标明的格式报价的；</w:t>
      </w:r>
    </w:p>
    <w:p>
      <w:pPr>
        <w:pStyle w:val="3"/>
        <w:keepNext w:val="0"/>
        <w:keepLines w:val="0"/>
        <w:pageBreakBefore w:val="0"/>
        <w:kinsoku/>
        <w:wordWrap/>
        <w:overflowPunct/>
        <w:topLinePunct w:val="0"/>
        <w:autoSpaceDE/>
        <w:autoSpaceDN/>
        <w:bidi w:val="0"/>
        <w:adjustRightInd w:val="0"/>
        <w:snapToGrid w:val="0"/>
        <w:spacing w:line="400" w:lineRule="exact"/>
        <w:ind w:firstLine="454" w:firstLineChars="196"/>
        <w:textAlignment w:val="auto"/>
        <w:rPr>
          <w:rFonts w:hAnsi="宋体" w:cs="宋体"/>
          <w:sz w:val="24"/>
          <w:szCs w:val="24"/>
        </w:rPr>
      </w:pPr>
      <w:r>
        <w:rPr>
          <w:rFonts w:hint="eastAsia" w:hAnsi="宋体" w:cs="宋体"/>
          <w:sz w:val="24"/>
          <w:szCs w:val="24"/>
        </w:rPr>
        <w:t>（3）报价</w:t>
      </w:r>
      <w:r>
        <w:rPr>
          <w:rFonts w:hint="eastAsia" w:hAnsi="宋体" w:cs="宋体"/>
          <w:sz w:val="24"/>
        </w:rPr>
        <w:t>超出限价的</w:t>
      </w:r>
      <w:r>
        <w:rPr>
          <w:rFonts w:hint="eastAsia" w:hAnsi="宋体" w:cs="宋体"/>
          <w:sz w:val="24"/>
          <w:szCs w:val="24"/>
        </w:rPr>
        <w:t>；</w:t>
      </w:r>
    </w:p>
    <w:p>
      <w:pPr>
        <w:pStyle w:val="3"/>
        <w:keepNext w:val="0"/>
        <w:keepLines w:val="0"/>
        <w:pageBreakBefore w:val="0"/>
        <w:kinsoku/>
        <w:wordWrap/>
        <w:overflowPunct/>
        <w:topLinePunct w:val="0"/>
        <w:autoSpaceDE/>
        <w:autoSpaceDN/>
        <w:bidi w:val="0"/>
        <w:adjustRightInd w:val="0"/>
        <w:snapToGrid w:val="0"/>
        <w:spacing w:line="400" w:lineRule="exact"/>
        <w:ind w:firstLine="454" w:firstLineChars="196"/>
        <w:textAlignment w:val="auto"/>
        <w:rPr>
          <w:rFonts w:hAnsi="宋体" w:cs="宋体"/>
          <w:sz w:val="24"/>
          <w:szCs w:val="24"/>
        </w:rPr>
      </w:pPr>
      <w:r>
        <w:rPr>
          <w:rFonts w:hint="eastAsia" w:hAnsi="宋体" w:cs="宋体"/>
          <w:sz w:val="24"/>
          <w:szCs w:val="24"/>
        </w:rPr>
        <w:t>（4）投标报价具有选择性的；</w:t>
      </w:r>
    </w:p>
    <w:p>
      <w:pPr>
        <w:pStyle w:val="3"/>
        <w:keepNext w:val="0"/>
        <w:keepLines w:val="0"/>
        <w:pageBreakBefore w:val="0"/>
        <w:kinsoku/>
        <w:wordWrap/>
        <w:overflowPunct/>
        <w:topLinePunct w:val="0"/>
        <w:autoSpaceDE/>
        <w:autoSpaceDN/>
        <w:bidi w:val="0"/>
        <w:adjustRightInd w:val="0"/>
        <w:snapToGrid w:val="0"/>
        <w:spacing w:line="400" w:lineRule="exact"/>
        <w:ind w:firstLine="457" w:firstLineChars="196"/>
        <w:textAlignment w:val="auto"/>
        <w:rPr>
          <w:rFonts w:hAnsi="宋体" w:cs="宋体"/>
          <w:b/>
          <w:bCs/>
          <w:sz w:val="24"/>
          <w:szCs w:val="24"/>
        </w:rPr>
      </w:pPr>
      <w:r>
        <w:rPr>
          <w:rFonts w:hint="eastAsia" w:hAnsi="宋体" w:cs="宋体"/>
          <w:b/>
          <w:bCs/>
          <w:sz w:val="24"/>
          <w:szCs w:val="24"/>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cs="宋体"/>
          <w:sz w:val="24"/>
        </w:rPr>
      </w:pPr>
      <w:r>
        <w:rPr>
          <w:rFonts w:hint="eastAsia" w:ascii="宋体" w:hAnsi="宋体" w:cs="宋体"/>
          <w:sz w:val="24"/>
        </w:rPr>
        <w:t>（6）</w:t>
      </w:r>
      <w:r>
        <w:rPr>
          <w:rFonts w:hint="eastAsia" w:ascii="宋体" w:hAnsi="宋体" w:cs="宋体"/>
          <w:b/>
          <w:bCs/>
          <w:sz w:val="24"/>
        </w:rPr>
        <w:t>电子投标文件解密失败的，且未在规定时间内提交电子备份投标文件的；</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cs="宋体"/>
          <w:sz w:val="24"/>
        </w:rPr>
      </w:pPr>
      <w:r>
        <w:rPr>
          <w:rFonts w:hint="eastAsia" w:ascii="宋体" w:hAnsi="宋体" w:cs="宋体"/>
          <w:sz w:val="24"/>
        </w:rPr>
        <w:t>（7）</w:t>
      </w:r>
      <w:r>
        <w:rPr>
          <w:rFonts w:hint="eastAsia" w:ascii="宋体" w:hAnsi="宋体" w:cs="宋体"/>
          <w:b/>
          <w:bCs/>
          <w:sz w:val="24"/>
        </w:rPr>
        <w:t>电子投标文件未按规定要求进行签字、电子签章的。</w:t>
      </w:r>
    </w:p>
    <w:p>
      <w:pPr>
        <w:keepNext w:val="0"/>
        <w:keepLines w:val="0"/>
        <w:pageBreakBefore w:val="0"/>
        <w:kinsoku/>
        <w:wordWrap/>
        <w:overflowPunct/>
        <w:topLinePunct w:val="0"/>
        <w:autoSpaceDE/>
        <w:autoSpaceDN/>
        <w:bidi w:val="0"/>
        <w:adjustRightInd w:val="0"/>
        <w:snapToGrid w:val="0"/>
        <w:spacing w:after="120" w:line="400" w:lineRule="exact"/>
        <w:ind w:firstLine="472" w:firstLineChars="196"/>
        <w:textAlignment w:val="auto"/>
        <w:rPr>
          <w:rFonts w:ascii="宋体" w:hAnsi="宋体" w:cs="宋体"/>
          <w:b/>
          <w:sz w:val="24"/>
        </w:rPr>
      </w:pPr>
      <w:r>
        <w:rPr>
          <w:rFonts w:hint="eastAsia" w:ascii="宋体" w:hAnsi="宋体" w:cs="宋体"/>
          <w:b/>
          <w:sz w:val="24"/>
        </w:rPr>
        <w:t>5.被拒绝的投标文件为无效。</w:t>
      </w:r>
    </w:p>
    <w:p>
      <w:pPr>
        <w:keepNext w:val="0"/>
        <w:keepLines w:val="0"/>
        <w:pageBreakBefore w:val="0"/>
        <w:kinsoku/>
        <w:wordWrap/>
        <w:overflowPunct/>
        <w:topLinePunct w:val="0"/>
        <w:autoSpaceDE/>
        <w:autoSpaceDN/>
        <w:bidi w:val="0"/>
        <w:adjustRightInd w:val="0"/>
        <w:snapToGrid w:val="0"/>
        <w:spacing w:before="120" w:beforeLines="50" w:line="400" w:lineRule="exact"/>
        <w:ind w:firstLine="472" w:firstLineChars="196"/>
        <w:jc w:val="left"/>
        <w:textAlignment w:val="auto"/>
        <w:outlineLvl w:val="0"/>
        <w:rPr>
          <w:rFonts w:ascii="宋体" w:hAnsi="宋体" w:cs="宋体"/>
          <w:b/>
          <w:sz w:val="24"/>
        </w:rPr>
      </w:pPr>
      <w:r>
        <w:rPr>
          <w:rFonts w:hint="eastAsia" w:ascii="宋体" w:hAnsi="宋体" w:cs="宋体"/>
          <w:b/>
          <w:sz w:val="24"/>
        </w:rPr>
        <w:t>6.根据有关法律、法规规定为无效、废标的，按法律、法规规定执行。</w:t>
      </w:r>
    </w:p>
    <w:p>
      <w:pPr>
        <w:keepNext w:val="0"/>
        <w:keepLines w:val="0"/>
        <w:pageBreakBefore w:val="0"/>
        <w:kinsoku/>
        <w:wordWrap/>
        <w:overflowPunct/>
        <w:topLinePunct w:val="0"/>
        <w:autoSpaceDE/>
        <w:autoSpaceDN/>
        <w:bidi w:val="0"/>
        <w:adjustRightInd w:val="0"/>
        <w:snapToGrid w:val="0"/>
        <w:spacing w:before="120" w:beforeLines="50" w:line="400" w:lineRule="exact"/>
        <w:ind w:firstLine="551" w:firstLineChars="196"/>
        <w:jc w:val="left"/>
        <w:textAlignment w:val="auto"/>
        <w:outlineLvl w:val="0"/>
        <w:rPr>
          <w:rFonts w:ascii="宋体" w:hAnsi="宋体" w:cs="宋体"/>
          <w:b/>
          <w:sz w:val="28"/>
          <w:szCs w:val="28"/>
        </w:rPr>
      </w:pPr>
      <w:r>
        <w:rPr>
          <w:rFonts w:hint="eastAsia" w:ascii="宋体" w:hAnsi="宋体" w:cs="宋体"/>
          <w:b/>
          <w:sz w:val="28"/>
          <w:szCs w:val="28"/>
        </w:rPr>
        <w:t>四、开标</w:t>
      </w:r>
    </w:p>
    <w:p>
      <w:pPr>
        <w:keepNext w:val="0"/>
        <w:keepLines w:val="0"/>
        <w:pageBreakBefore w:val="0"/>
        <w:kinsoku/>
        <w:wordWrap/>
        <w:overflowPunct/>
        <w:topLinePunct w:val="0"/>
        <w:autoSpaceDE/>
        <w:autoSpaceDN/>
        <w:bidi w:val="0"/>
        <w:adjustRightInd w:val="0"/>
        <w:snapToGrid w:val="0"/>
        <w:spacing w:line="400" w:lineRule="exact"/>
        <w:ind w:firstLine="241" w:firstLineChars="100"/>
        <w:textAlignment w:val="auto"/>
        <w:rPr>
          <w:rFonts w:ascii="宋体" w:hAnsi="宋体" w:cs="宋体"/>
          <w:b/>
          <w:sz w:val="24"/>
        </w:rPr>
      </w:pPr>
      <w:r>
        <w:rPr>
          <w:rFonts w:hint="eastAsia" w:ascii="宋体" w:hAnsi="宋体" w:cs="宋体"/>
          <w:b/>
          <w:sz w:val="24"/>
        </w:rPr>
        <w:t xml:space="preserve">（一）开标准备   </w:t>
      </w:r>
    </w:p>
    <w:p>
      <w:pPr>
        <w:keepNext w:val="0"/>
        <w:keepLines w:val="0"/>
        <w:pageBreakBefore w:val="0"/>
        <w:kinsoku/>
        <w:wordWrap/>
        <w:overflowPunct/>
        <w:topLinePunct w:val="0"/>
        <w:autoSpaceDE/>
        <w:autoSpaceDN/>
        <w:bidi w:val="0"/>
        <w:adjustRightInd w:val="0"/>
        <w:snapToGrid w:val="0"/>
        <w:spacing w:line="400" w:lineRule="exact"/>
        <w:ind w:left="239" w:leftChars="114" w:firstLine="482" w:firstLineChars="200"/>
        <w:textAlignment w:val="auto"/>
        <w:rPr>
          <w:rFonts w:hint="eastAsia" w:ascii="宋体" w:hAnsi="宋体" w:cs="宋体"/>
          <w:bCs/>
          <w:sz w:val="24"/>
        </w:rPr>
      </w:pPr>
      <w:r>
        <w:rPr>
          <w:rFonts w:hint="eastAsia" w:ascii="宋体" w:hAnsi="宋体" w:cs="宋体"/>
          <w:b/>
          <w:bCs/>
          <w:sz w:val="24"/>
        </w:rPr>
        <w:t>本项目不要求投标人到开标现场开标，但投标人应派法定代表人或委托代理人【委托代理人应当是投标人的在职正式职工（</w:t>
      </w:r>
      <w:r>
        <w:rPr>
          <w:rFonts w:hint="eastAsia" w:ascii="宋体" w:hAnsi="宋体" w:cs="Arial"/>
          <w:b/>
          <w:bCs/>
          <w:sz w:val="24"/>
        </w:rPr>
        <w:t>以社保网站拉具的含授权代表的投标单位社保清单为准，无社保网站拉具的投标单位社保清单的，可以提供投标人注册所在地社保部门出具的投标人本单位缴纳社保花名册</w:t>
      </w:r>
      <w:r>
        <w:rPr>
          <w:rFonts w:hint="eastAsia" w:ascii="宋体" w:hAnsi="宋体" w:cs="宋体"/>
          <w:b/>
          <w:bCs/>
          <w:sz w:val="24"/>
        </w:rPr>
        <w:t>）】准时在线出席电子开标会议，随时关注开标进度，如在开标过程中有电子询标，应在规定的时间内对电子询标函进行澄清</w:t>
      </w:r>
      <w:r>
        <w:rPr>
          <w:rFonts w:hint="eastAsia" w:ascii="宋体" w:hAnsi="宋体" w:cs="Arial"/>
          <w:b/>
          <w:bCs/>
          <w:sz w:val="24"/>
        </w:rPr>
        <w:t>、答复</w:t>
      </w:r>
      <w:r>
        <w:rPr>
          <w:rFonts w:hint="eastAsia" w:ascii="宋体" w:hAnsi="宋体" w:cs="宋体"/>
          <w:b/>
          <w:bCs/>
          <w:sz w:val="24"/>
        </w:rPr>
        <w:t>。超过规定时间的询标函将不予接受，评标为委员会可以作出不利于被询标人的决定。评标委员会只对投标文件内容进行询问，以投标文件的内容作为评审依据，不接受外部补充证据，评标委员会认为投标人不符合招标文件实质性要求明确时，可不经过询标而直接予以无效标认定，但代理机构应将无效标原因当场告知投标人。</w:t>
      </w:r>
    </w:p>
    <w:p>
      <w:pPr>
        <w:keepNext w:val="0"/>
        <w:keepLines w:val="0"/>
        <w:pageBreakBefore w:val="0"/>
        <w:kinsoku/>
        <w:wordWrap/>
        <w:overflowPunct/>
        <w:topLinePunct w:val="0"/>
        <w:autoSpaceDE/>
        <w:autoSpaceDN/>
        <w:bidi w:val="0"/>
        <w:adjustRightInd w:val="0"/>
        <w:snapToGrid w:val="0"/>
        <w:spacing w:line="400" w:lineRule="exact"/>
        <w:ind w:left="239" w:leftChars="114" w:firstLine="480" w:firstLineChars="200"/>
        <w:textAlignment w:val="auto"/>
        <w:rPr>
          <w:rFonts w:ascii="宋体" w:hAnsi="宋体" w:cs="宋体"/>
          <w:bCs/>
          <w:sz w:val="24"/>
        </w:rPr>
      </w:pPr>
      <w:r>
        <w:rPr>
          <w:rFonts w:hint="eastAsia" w:ascii="宋体" w:hAnsi="宋体" w:cs="宋体"/>
          <w:bCs/>
          <w:sz w:val="24"/>
        </w:rPr>
        <w:t>采购代理机构将在规定的时间和地点进行电子开标，投标人的法定代表人或其委托代理人【委托代理人应当是投标人的在职正式职工（以投标人本单位缴纳社保花名册为准）】应做好投标准备，准时在线参加电子开标会议，随时关注开标进度。</w:t>
      </w:r>
    </w:p>
    <w:p>
      <w:pPr>
        <w:keepNext w:val="0"/>
        <w:keepLines w:val="0"/>
        <w:pageBreakBefore w:val="0"/>
        <w:kinsoku/>
        <w:wordWrap/>
        <w:overflowPunct/>
        <w:topLinePunct w:val="0"/>
        <w:autoSpaceDE/>
        <w:autoSpaceDN/>
        <w:bidi w:val="0"/>
        <w:adjustRightInd w:val="0"/>
        <w:snapToGrid w:val="0"/>
        <w:spacing w:line="400" w:lineRule="exact"/>
        <w:ind w:left="239" w:leftChars="114" w:firstLine="480" w:firstLineChars="200"/>
        <w:textAlignment w:val="auto"/>
        <w:rPr>
          <w:rFonts w:ascii="宋体" w:hAnsi="宋体" w:cs="宋体"/>
          <w:bCs/>
          <w:sz w:val="24"/>
        </w:rPr>
      </w:pPr>
      <w:r>
        <w:rPr>
          <w:rFonts w:hint="eastAsia" w:ascii="宋体" w:hAnsi="宋体" w:cs="宋体"/>
          <w:bCs/>
          <w:sz w:val="24"/>
        </w:rPr>
        <w:t>投标人未按招标文件要求派代表参加电子开标会议的，视同认可开标结果，不得对开标过程及开标结果提出质疑。</w:t>
      </w:r>
    </w:p>
    <w:p>
      <w:pPr>
        <w:keepNext w:val="0"/>
        <w:keepLines w:val="0"/>
        <w:pageBreakBefore w:val="0"/>
        <w:kinsoku/>
        <w:wordWrap/>
        <w:overflowPunct/>
        <w:topLinePunct w:val="0"/>
        <w:autoSpaceDE/>
        <w:autoSpaceDN/>
        <w:bidi w:val="0"/>
        <w:adjustRightInd w:val="0"/>
        <w:snapToGrid w:val="0"/>
        <w:spacing w:line="400" w:lineRule="exact"/>
        <w:ind w:firstLine="241" w:firstLineChars="100"/>
        <w:textAlignment w:val="auto"/>
        <w:rPr>
          <w:rFonts w:ascii="宋体" w:hAnsi="宋体" w:cs="宋体"/>
          <w:b/>
          <w:sz w:val="24"/>
        </w:rPr>
      </w:pPr>
      <w:r>
        <w:rPr>
          <w:rFonts w:hint="eastAsia" w:ascii="宋体" w:hAnsi="宋体" w:cs="宋体"/>
          <w:b/>
          <w:sz w:val="24"/>
        </w:rPr>
        <w:t>（二）电子招投标开标程序</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Cs/>
          <w:sz w:val="24"/>
        </w:rPr>
      </w:pPr>
      <w:r>
        <w:rPr>
          <w:rFonts w:hint="eastAsia" w:ascii="宋体" w:hAnsi="宋体" w:cs="宋体"/>
          <w:bCs/>
          <w:sz w:val="24"/>
        </w:rPr>
        <w:t>1.开标会由招标代理机构主持，主持人宣布开标会议开始；</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Cs/>
          <w:sz w:val="24"/>
        </w:rPr>
      </w:pPr>
      <w:r>
        <w:rPr>
          <w:rFonts w:hint="eastAsia" w:ascii="宋体" w:hAnsi="宋体" w:cs="宋体"/>
          <w:bCs/>
          <w:sz w:val="24"/>
        </w:rPr>
        <w:t xml:space="preserve">2.主持人介绍参加开标会的人员名单； </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Cs/>
          <w:sz w:val="24"/>
        </w:rPr>
      </w:pPr>
      <w:r>
        <w:rPr>
          <w:rFonts w:hint="eastAsia" w:ascii="宋体" w:hAnsi="宋体" w:cs="宋体"/>
          <w:bCs/>
          <w:sz w:val="24"/>
        </w:rPr>
        <w:t>3.主持人宣布评标室会议纪律及评标期间的有关事项；告知应当回避的情形,提请有关人员回避；</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4.开标及评审程序</w:t>
      </w:r>
    </w:p>
    <w:p>
      <w:pPr>
        <w:keepNext w:val="0"/>
        <w:keepLines w:val="0"/>
        <w:pageBreakBefore w:val="0"/>
        <w:kinsoku/>
        <w:wordWrap/>
        <w:overflowPunct/>
        <w:topLinePunct w:val="0"/>
        <w:autoSpaceDE/>
        <w:autoSpaceDN/>
        <w:bidi w:val="0"/>
        <w:adjustRightInd w:val="0"/>
        <w:snapToGrid w:val="0"/>
        <w:spacing w:line="400" w:lineRule="exact"/>
        <w:ind w:firstLine="240" w:firstLineChars="100"/>
        <w:textAlignment w:val="auto"/>
        <w:rPr>
          <w:rFonts w:ascii="宋体" w:hAnsi="宋体" w:cs="宋体"/>
          <w:sz w:val="24"/>
        </w:rPr>
      </w:pPr>
      <w:r>
        <w:rPr>
          <w:rFonts w:hint="eastAsia" w:ascii="宋体" w:hAnsi="宋体" w:cs="宋体"/>
          <w:sz w:val="24"/>
        </w:rPr>
        <w:t>（1）在开标时间截止后30分钟内由各投标人自行对投标文件进行解密；</w:t>
      </w:r>
    </w:p>
    <w:p>
      <w:pPr>
        <w:keepNext w:val="0"/>
        <w:keepLines w:val="0"/>
        <w:pageBreakBefore w:val="0"/>
        <w:kinsoku/>
        <w:wordWrap/>
        <w:overflowPunct/>
        <w:topLinePunct w:val="0"/>
        <w:autoSpaceDE/>
        <w:autoSpaceDN/>
        <w:bidi w:val="0"/>
        <w:adjustRightInd w:val="0"/>
        <w:snapToGrid w:val="0"/>
        <w:spacing w:line="400" w:lineRule="exact"/>
        <w:ind w:left="479" w:leftChars="114" w:hanging="240" w:hangingChars="100"/>
        <w:textAlignment w:val="auto"/>
        <w:rPr>
          <w:rFonts w:ascii="宋体" w:hAnsi="宋体" w:cs="宋体"/>
          <w:sz w:val="24"/>
        </w:rPr>
      </w:pPr>
      <w:r>
        <w:rPr>
          <w:rFonts w:hint="eastAsia" w:ascii="宋体" w:hAnsi="宋体" w:cs="宋体"/>
          <w:sz w:val="24"/>
        </w:rPr>
        <w:t>（2）由采购人或代理机构进行资格审查，通过资格审查的投标人进入商务技术响应</w:t>
      </w:r>
    </w:p>
    <w:p>
      <w:pPr>
        <w:keepNext w:val="0"/>
        <w:keepLines w:val="0"/>
        <w:pageBreakBefore w:val="0"/>
        <w:kinsoku/>
        <w:wordWrap/>
        <w:overflowPunct/>
        <w:topLinePunct w:val="0"/>
        <w:autoSpaceDE/>
        <w:autoSpaceDN/>
        <w:bidi w:val="0"/>
        <w:adjustRightInd w:val="0"/>
        <w:snapToGrid w:val="0"/>
        <w:spacing w:line="400" w:lineRule="exact"/>
        <w:ind w:left="479" w:leftChars="114" w:hanging="240" w:hangingChars="100"/>
        <w:textAlignment w:val="auto"/>
        <w:rPr>
          <w:rFonts w:ascii="宋体" w:hAnsi="宋体" w:cs="宋体"/>
          <w:sz w:val="24"/>
        </w:rPr>
      </w:pPr>
      <w:r>
        <w:rPr>
          <w:rFonts w:hint="eastAsia" w:ascii="宋体" w:hAnsi="宋体" w:cs="宋体"/>
          <w:sz w:val="24"/>
        </w:rPr>
        <w:t>文件进行评审；</w:t>
      </w:r>
    </w:p>
    <w:p>
      <w:pPr>
        <w:keepNext w:val="0"/>
        <w:keepLines w:val="0"/>
        <w:pageBreakBefore w:val="0"/>
        <w:kinsoku/>
        <w:wordWrap/>
        <w:overflowPunct/>
        <w:topLinePunct w:val="0"/>
        <w:autoSpaceDE/>
        <w:autoSpaceDN/>
        <w:bidi w:val="0"/>
        <w:adjustRightInd w:val="0"/>
        <w:snapToGrid w:val="0"/>
        <w:spacing w:line="400" w:lineRule="exact"/>
        <w:ind w:firstLine="240" w:firstLineChars="100"/>
        <w:textAlignment w:val="auto"/>
        <w:rPr>
          <w:rFonts w:ascii="宋体" w:hAnsi="宋体" w:cs="宋体"/>
          <w:sz w:val="24"/>
        </w:rPr>
      </w:pPr>
      <w:r>
        <w:rPr>
          <w:rFonts w:hint="eastAsia" w:ascii="宋体" w:hAnsi="宋体" w:cs="宋体"/>
          <w:sz w:val="24"/>
        </w:rPr>
        <w:t>（3）系统对各投标人的商务资信技术进行汇总；</w:t>
      </w:r>
    </w:p>
    <w:p>
      <w:pPr>
        <w:keepNext w:val="0"/>
        <w:keepLines w:val="0"/>
        <w:pageBreakBefore w:val="0"/>
        <w:kinsoku/>
        <w:wordWrap/>
        <w:overflowPunct/>
        <w:topLinePunct w:val="0"/>
        <w:autoSpaceDE/>
        <w:autoSpaceDN/>
        <w:bidi w:val="0"/>
        <w:adjustRightInd w:val="0"/>
        <w:snapToGrid w:val="0"/>
        <w:spacing w:line="400" w:lineRule="exact"/>
        <w:ind w:firstLine="240" w:firstLineChars="100"/>
        <w:textAlignment w:val="auto"/>
        <w:rPr>
          <w:rFonts w:ascii="宋体" w:hAnsi="宋体" w:cs="宋体"/>
          <w:sz w:val="24"/>
        </w:rPr>
      </w:pPr>
      <w:r>
        <w:rPr>
          <w:rFonts w:hint="eastAsia" w:ascii="宋体" w:hAnsi="宋体" w:cs="宋体"/>
          <w:sz w:val="24"/>
        </w:rPr>
        <w:t>（4）在系统上公开报价开标情况；</w:t>
      </w:r>
    </w:p>
    <w:p>
      <w:pPr>
        <w:keepNext w:val="0"/>
        <w:keepLines w:val="0"/>
        <w:pageBreakBefore w:val="0"/>
        <w:kinsoku/>
        <w:wordWrap/>
        <w:overflowPunct/>
        <w:topLinePunct w:val="0"/>
        <w:autoSpaceDE/>
        <w:autoSpaceDN/>
        <w:bidi w:val="0"/>
        <w:adjustRightInd w:val="0"/>
        <w:snapToGrid w:val="0"/>
        <w:spacing w:line="400" w:lineRule="exact"/>
        <w:ind w:firstLine="240" w:firstLineChars="100"/>
        <w:textAlignment w:val="auto"/>
        <w:rPr>
          <w:rFonts w:ascii="宋体" w:hAnsi="宋体" w:cs="宋体"/>
          <w:sz w:val="24"/>
        </w:rPr>
      </w:pPr>
      <w:r>
        <w:rPr>
          <w:rFonts w:hint="eastAsia" w:ascii="宋体" w:hAnsi="宋体" w:cs="宋体"/>
          <w:sz w:val="24"/>
        </w:rPr>
        <w:t>（5）评标委员会对报价情况进行评审；</w:t>
      </w:r>
    </w:p>
    <w:p>
      <w:pPr>
        <w:keepNext w:val="0"/>
        <w:keepLines w:val="0"/>
        <w:pageBreakBefore w:val="0"/>
        <w:kinsoku/>
        <w:wordWrap/>
        <w:overflowPunct/>
        <w:topLinePunct w:val="0"/>
        <w:autoSpaceDE/>
        <w:autoSpaceDN/>
        <w:bidi w:val="0"/>
        <w:adjustRightInd w:val="0"/>
        <w:snapToGrid w:val="0"/>
        <w:spacing w:line="400" w:lineRule="exact"/>
        <w:ind w:firstLine="240" w:firstLineChars="100"/>
        <w:textAlignment w:val="auto"/>
        <w:rPr>
          <w:rFonts w:ascii="宋体" w:hAnsi="宋体" w:cs="宋体"/>
          <w:sz w:val="24"/>
        </w:rPr>
      </w:pPr>
      <w:r>
        <w:rPr>
          <w:rFonts w:hint="eastAsia" w:ascii="宋体" w:hAnsi="宋体" w:cs="宋体"/>
          <w:sz w:val="24"/>
        </w:rPr>
        <w:t>（6）在系统上公布评审结果。</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ascii="宋体" w:hAnsi="宋体" w:cs="宋体"/>
          <w:b/>
          <w:sz w:val="24"/>
        </w:rPr>
      </w:pPr>
      <w:r>
        <w:rPr>
          <w:rFonts w:hint="eastAsia" w:ascii="宋体" w:hAnsi="宋体" w:cs="宋体"/>
          <w:b/>
          <w:sz w:val="24"/>
        </w:rPr>
        <w:t>特别说明：政采云公司如对电子化开标及评审程序有调整的，按调整后的程序操作。</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5.本项目采用政采云电子招投标开标及评审程序，开评标时出现电子投标文件无法解密或解密失败等情况时，采购代理机构可上传投标人的电子备份投标文件继续评审。</w:t>
      </w:r>
    </w:p>
    <w:p>
      <w:pPr>
        <w:keepNext w:val="0"/>
        <w:keepLines w:val="0"/>
        <w:pageBreakBefore w:val="0"/>
        <w:kinsoku/>
        <w:wordWrap/>
        <w:overflowPunct/>
        <w:topLinePunct w:val="0"/>
        <w:autoSpaceDE/>
        <w:autoSpaceDN/>
        <w:bidi w:val="0"/>
        <w:adjustRightInd w:val="0"/>
        <w:snapToGrid w:val="0"/>
        <w:spacing w:line="400" w:lineRule="exact"/>
        <w:ind w:left="842" w:leftChars="267" w:hanging="281" w:hangingChars="100"/>
        <w:textAlignment w:val="auto"/>
        <w:outlineLvl w:val="1"/>
        <w:rPr>
          <w:rFonts w:ascii="宋体" w:hAnsi="宋体" w:cs="宋体"/>
          <w:b/>
          <w:sz w:val="28"/>
          <w:szCs w:val="28"/>
        </w:rPr>
      </w:pPr>
      <w:r>
        <w:rPr>
          <w:rFonts w:hint="eastAsia" w:ascii="宋体" w:hAnsi="宋体" w:cs="宋体"/>
          <w:b/>
          <w:sz w:val="28"/>
          <w:szCs w:val="28"/>
        </w:rPr>
        <w:t>五、评标</w:t>
      </w:r>
    </w:p>
    <w:p>
      <w:pPr>
        <w:keepNext w:val="0"/>
        <w:keepLines w:val="0"/>
        <w:pageBreakBefore w:val="0"/>
        <w:kinsoku/>
        <w:wordWrap/>
        <w:overflowPunct/>
        <w:topLinePunct w:val="0"/>
        <w:autoSpaceDE/>
        <w:autoSpaceDN/>
        <w:bidi w:val="0"/>
        <w:adjustRightInd w:val="0"/>
        <w:snapToGrid w:val="0"/>
        <w:spacing w:line="400" w:lineRule="exact"/>
        <w:ind w:left="720" w:leftChars="228" w:hanging="241" w:hangingChars="100"/>
        <w:textAlignment w:val="auto"/>
        <w:rPr>
          <w:rFonts w:ascii="宋体" w:hAnsi="宋体" w:cs="宋体"/>
          <w:b/>
          <w:sz w:val="24"/>
        </w:rPr>
      </w:pPr>
      <w:r>
        <w:rPr>
          <w:rFonts w:hint="eastAsia" w:ascii="宋体" w:hAnsi="宋体" w:cs="宋体"/>
          <w:b/>
          <w:sz w:val="24"/>
        </w:rPr>
        <w:t>（一）组建评标委员会</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本项目评标委员会由政府采购评审专家</w:t>
      </w:r>
      <w:r>
        <w:rPr>
          <w:rFonts w:hint="eastAsia" w:ascii="宋体" w:hAnsi="宋体" w:cs="宋体"/>
          <w:sz w:val="24"/>
          <w:u w:val="single"/>
        </w:rPr>
        <w:t xml:space="preserve"> 4 </w:t>
      </w:r>
      <w:r>
        <w:rPr>
          <w:rFonts w:hint="eastAsia" w:ascii="宋体" w:hAnsi="宋体" w:cs="宋体"/>
          <w:sz w:val="24"/>
        </w:rPr>
        <w:t>人和采购人代表</w:t>
      </w:r>
      <w:r>
        <w:rPr>
          <w:rFonts w:hint="eastAsia" w:ascii="宋体" w:hAnsi="宋体" w:cs="宋体"/>
          <w:sz w:val="24"/>
          <w:u w:val="single"/>
        </w:rPr>
        <w:t xml:space="preserve"> 1 </w:t>
      </w:r>
      <w:r>
        <w:rPr>
          <w:rFonts w:hint="eastAsia" w:ascii="宋体" w:hAnsi="宋体" w:cs="宋体"/>
          <w:sz w:val="24"/>
        </w:rPr>
        <w:t>人，共</w:t>
      </w:r>
      <w:r>
        <w:rPr>
          <w:rFonts w:hint="eastAsia" w:ascii="宋体" w:hAnsi="宋体" w:cs="宋体"/>
          <w:sz w:val="24"/>
          <w:u w:val="single"/>
        </w:rPr>
        <w:t xml:space="preserve"> 5 </w:t>
      </w:r>
      <w:r>
        <w:rPr>
          <w:rFonts w:hint="eastAsia" w:ascii="宋体" w:hAnsi="宋体" w:cs="宋体"/>
          <w:sz w:val="24"/>
        </w:rPr>
        <w:t>人组成。</w:t>
      </w:r>
    </w:p>
    <w:p>
      <w:pPr>
        <w:keepNext w:val="0"/>
        <w:keepLines w:val="0"/>
        <w:pageBreakBefore w:val="0"/>
        <w:kinsoku/>
        <w:wordWrap/>
        <w:overflowPunct/>
        <w:topLinePunct w:val="0"/>
        <w:autoSpaceDE/>
        <w:autoSpaceDN/>
        <w:bidi w:val="0"/>
        <w:adjustRightInd w:val="0"/>
        <w:snapToGrid w:val="0"/>
        <w:spacing w:line="400" w:lineRule="exact"/>
        <w:ind w:left="720" w:leftChars="228" w:hanging="241" w:hangingChars="100"/>
        <w:textAlignment w:val="auto"/>
        <w:rPr>
          <w:rFonts w:ascii="宋体" w:hAnsi="宋体" w:cs="宋体"/>
          <w:b/>
          <w:sz w:val="24"/>
        </w:rPr>
      </w:pPr>
      <w:r>
        <w:rPr>
          <w:rFonts w:hint="eastAsia" w:ascii="宋体" w:hAnsi="宋体" w:cs="宋体"/>
          <w:b/>
          <w:sz w:val="24"/>
        </w:rPr>
        <w:t>（二）评标的方式</w:t>
      </w:r>
    </w:p>
    <w:p>
      <w:pPr>
        <w:keepNext w:val="0"/>
        <w:keepLines w:val="0"/>
        <w:pageBreakBefore w:val="0"/>
        <w:kinsoku/>
        <w:wordWrap/>
        <w:overflowPunct/>
        <w:topLinePunct w:val="0"/>
        <w:autoSpaceDE/>
        <w:autoSpaceDN/>
        <w:bidi w:val="0"/>
        <w:adjustRightInd w:val="0"/>
        <w:snapToGrid w:val="0"/>
        <w:spacing w:line="400" w:lineRule="exact"/>
        <w:ind w:left="719" w:leftChars="228" w:hanging="240" w:hangingChars="100"/>
        <w:textAlignment w:val="auto"/>
        <w:rPr>
          <w:rFonts w:ascii="宋体" w:hAnsi="宋体" w:cs="宋体"/>
          <w:sz w:val="24"/>
        </w:rPr>
      </w:pPr>
      <w:r>
        <w:rPr>
          <w:rFonts w:hint="eastAsia" w:ascii="宋体" w:hAnsi="宋体" w:cs="宋体"/>
          <w:sz w:val="24"/>
        </w:rPr>
        <w:t>本项目采用不公开方式评标，评标的依据为招标文件和投标文件。</w:t>
      </w:r>
    </w:p>
    <w:p>
      <w:pPr>
        <w:keepNext w:val="0"/>
        <w:keepLines w:val="0"/>
        <w:pageBreakBefore w:val="0"/>
        <w:kinsoku/>
        <w:wordWrap/>
        <w:overflowPunct/>
        <w:topLinePunct w:val="0"/>
        <w:autoSpaceDE/>
        <w:autoSpaceDN/>
        <w:bidi w:val="0"/>
        <w:adjustRightInd w:val="0"/>
        <w:snapToGrid w:val="0"/>
        <w:spacing w:line="400" w:lineRule="exact"/>
        <w:ind w:left="720" w:leftChars="228" w:hanging="241" w:hangingChars="100"/>
        <w:textAlignment w:val="auto"/>
        <w:rPr>
          <w:rFonts w:ascii="宋体" w:hAnsi="宋体" w:cs="宋体"/>
          <w:b/>
          <w:sz w:val="24"/>
        </w:rPr>
      </w:pPr>
      <w:r>
        <w:rPr>
          <w:rFonts w:hint="eastAsia" w:ascii="宋体" w:hAnsi="宋体" w:cs="宋体"/>
          <w:b/>
          <w:sz w:val="24"/>
        </w:rPr>
        <w:t>（三）</w:t>
      </w:r>
      <w:r>
        <w:rPr>
          <w:rFonts w:hint="eastAsia" w:ascii="宋体" w:hAnsi="宋体" w:cs="宋体"/>
          <w:b/>
          <w:bCs/>
          <w:sz w:val="24"/>
        </w:rPr>
        <w:t>评标程序</w:t>
      </w:r>
    </w:p>
    <w:p>
      <w:pPr>
        <w:keepNext w:val="0"/>
        <w:keepLines w:val="0"/>
        <w:pageBreakBefore w:val="0"/>
        <w:kinsoku/>
        <w:wordWrap/>
        <w:overflowPunct/>
        <w:topLinePunct w:val="0"/>
        <w:autoSpaceDE/>
        <w:autoSpaceDN/>
        <w:bidi w:val="0"/>
        <w:adjustRightInd w:val="0"/>
        <w:snapToGrid w:val="0"/>
        <w:spacing w:line="400" w:lineRule="exact"/>
        <w:ind w:firstLine="472" w:firstLineChars="196"/>
        <w:textAlignment w:val="auto"/>
        <w:rPr>
          <w:rFonts w:ascii="宋体" w:hAnsi="宋体" w:cs="宋体"/>
          <w:b/>
          <w:bCs/>
          <w:sz w:val="24"/>
        </w:rPr>
      </w:pPr>
      <w:r>
        <w:rPr>
          <w:rFonts w:hint="eastAsia" w:ascii="宋体" w:hAnsi="宋体" w:cs="宋体"/>
          <w:b/>
          <w:bCs/>
          <w:sz w:val="24"/>
        </w:rPr>
        <w:t>1.形式审查</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
          <w:sz w:val="24"/>
          <w:szCs w:val="20"/>
        </w:rPr>
      </w:pPr>
      <w:r>
        <w:rPr>
          <w:rFonts w:hint="eastAsia" w:ascii="宋体" w:hAnsi="宋体" w:cs="宋体"/>
          <w:sz w:val="24"/>
        </w:rPr>
        <w:t>采购人代表和代理机构工作人员对投标人的资格文件的完整性、符合性等进行审查。</w:t>
      </w:r>
    </w:p>
    <w:p>
      <w:pPr>
        <w:keepNext w:val="0"/>
        <w:keepLines w:val="0"/>
        <w:pageBreakBefore w:val="0"/>
        <w:kinsoku/>
        <w:wordWrap/>
        <w:overflowPunct/>
        <w:topLinePunct w:val="0"/>
        <w:autoSpaceDE/>
        <w:autoSpaceDN/>
        <w:bidi w:val="0"/>
        <w:adjustRightInd w:val="0"/>
        <w:snapToGrid w:val="0"/>
        <w:spacing w:line="400" w:lineRule="exact"/>
        <w:ind w:firstLine="472" w:firstLineChars="196"/>
        <w:textAlignment w:val="auto"/>
        <w:rPr>
          <w:rFonts w:ascii="宋体" w:hAnsi="宋体" w:cs="宋体"/>
          <w:b/>
          <w:bCs/>
          <w:sz w:val="24"/>
          <w:szCs w:val="20"/>
        </w:rPr>
      </w:pPr>
      <w:r>
        <w:rPr>
          <w:rFonts w:hint="eastAsia" w:ascii="宋体" w:hAnsi="宋体" w:cs="宋体"/>
          <w:b/>
          <w:bCs/>
          <w:sz w:val="24"/>
        </w:rPr>
        <w:t>2.实质审查与比较</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szCs w:val="20"/>
        </w:rPr>
      </w:pPr>
      <w:r>
        <w:rPr>
          <w:rFonts w:hint="eastAsia" w:ascii="宋体" w:hAnsi="宋体" w:cs="宋体"/>
          <w:sz w:val="24"/>
        </w:rPr>
        <w:t>（1）评标委员会审查投标文件的实质性内容是否符合招标文件的实质性要求；</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ascii="宋体" w:hAnsi="宋体" w:cs="宋体"/>
          <w:b/>
          <w:bCs/>
          <w:sz w:val="24"/>
        </w:rPr>
      </w:pPr>
      <w:r>
        <w:rPr>
          <w:rFonts w:hint="eastAsia" w:ascii="宋体" w:hAnsi="宋体" w:cs="宋体"/>
          <w:b/>
          <w:bCs/>
          <w:sz w:val="24"/>
        </w:rPr>
        <w:t>（2）评标委员会将对投标人的投标文件进行审查、核对,如有疑问,将对投标人进行电子询标,投标人须在规定的时间内向评标委员会澄清有关问题,并在政采云上进行询标答复；</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ascii="宋体" w:hAnsi="宋体" w:cs="宋体"/>
        </w:rPr>
      </w:pPr>
      <w:r>
        <w:rPr>
          <w:rFonts w:hint="eastAsia" w:ascii="宋体" w:hAnsi="宋体" w:cs="宋体"/>
          <w:b/>
          <w:bCs/>
          <w:sz w:val="24"/>
        </w:rPr>
        <w:t>投标人代表未在规定的时间内进行澄清、拒绝澄清或者澄清的内容改变了投标文件的实质性内容的，评标委员会有权对该投标文件作出不利于投标人的评判。评标委员会认为投标人不符合招标文件实质性要求明确时，可不经过询标而直接予以无效标认定，但代理机构应将无效标原因当场告知投标人。</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szCs w:val="20"/>
        </w:rPr>
      </w:pPr>
      <w:r>
        <w:rPr>
          <w:rFonts w:hint="eastAsia" w:ascii="宋体" w:hAnsi="宋体" w:cs="宋体"/>
          <w:sz w:val="24"/>
        </w:rPr>
        <w:t>（3）技术、商务、资信及其他分按照评标委员会成员的独立评分结果的算术平均分计算，由指定专人进行计算复核；</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szCs w:val="20"/>
        </w:rPr>
      </w:pPr>
      <w:r>
        <w:rPr>
          <w:rFonts w:hint="eastAsia" w:ascii="宋体" w:hAnsi="宋体" w:cs="宋体"/>
          <w:sz w:val="24"/>
        </w:rPr>
        <w:t>（4）招标方工作人员协助评标委员会审核投标报价有无计算错误，政采云系统根据本项目的评分标准计算各投标人的报价得分；</w:t>
      </w:r>
    </w:p>
    <w:p>
      <w:pPr>
        <w:keepNext w:val="0"/>
        <w:keepLines w:val="0"/>
        <w:pageBreakBefore w:val="0"/>
        <w:kinsoku/>
        <w:wordWrap/>
        <w:overflowPunct/>
        <w:topLinePunct w:val="0"/>
        <w:autoSpaceDE/>
        <w:autoSpaceDN/>
        <w:bidi w:val="0"/>
        <w:adjustRightInd w:val="0"/>
        <w:snapToGrid w:val="0"/>
        <w:spacing w:line="400" w:lineRule="exact"/>
        <w:ind w:left="719" w:leftChars="228" w:hanging="240" w:hangingChars="100"/>
        <w:textAlignment w:val="auto"/>
        <w:rPr>
          <w:rFonts w:ascii="宋体" w:hAnsi="宋体" w:cs="宋体"/>
          <w:sz w:val="24"/>
        </w:rPr>
      </w:pPr>
      <w:r>
        <w:rPr>
          <w:rFonts w:hint="eastAsia" w:ascii="宋体" w:hAnsi="宋体" w:cs="宋体"/>
          <w:sz w:val="24"/>
        </w:rPr>
        <w:t>（5）评标委员会完成评标后,招标方工作人员通过政采云系统对各部分得分进行汇</w:t>
      </w:r>
    </w:p>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cs="宋体"/>
          <w:sz w:val="24"/>
        </w:rPr>
      </w:pPr>
      <w:r>
        <w:rPr>
          <w:rFonts w:hint="eastAsia" w:ascii="宋体" w:hAnsi="宋体" w:cs="宋体"/>
          <w:sz w:val="24"/>
        </w:rPr>
        <w:t>总,计算出本项目最终得分。评标委员会按评标原则推荐中标候选人并起草评标报告。</w:t>
      </w:r>
    </w:p>
    <w:p>
      <w:pPr>
        <w:keepNext w:val="0"/>
        <w:keepLines w:val="0"/>
        <w:pageBreakBefore w:val="0"/>
        <w:kinsoku/>
        <w:wordWrap/>
        <w:overflowPunct/>
        <w:topLinePunct w:val="0"/>
        <w:autoSpaceDE/>
        <w:autoSpaceDN/>
        <w:bidi w:val="0"/>
        <w:adjustRightInd w:val="0"/>
        <w:snapToGrid w:val="0"/>
        <w:spacing w:line="400" w:lineRule="exact"/>
        <w:ind w:left="720" w:leftChars="228" w:hanging="241" w:hangingChars="100"/>
        <w:textAlignment w:val="auto"/>
        <w:rPr>
          <w:rFonts w:ascii="宋体" w:hAnsi="宋体" w:cs="宋体"/>
          <w:b/>
          <w:sz w:val="24"/>
        </w:rPr>
      </w:pPr>
      <w:r>
        <w:rPr>
          <w:rFonts w:hint="eastAsia" w:ascii="宋体" w:hAnsi="宋体" w:cs="宋体"/>
          <w:b/>
          <w:sz w:val="24"/>
        </w:rPr>
        <w:t>（四）澄清问题的形式</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szCs w:val="20"/>
        </w:rPr>
      </w:pPr>
      <w:r>
        <w:rPr>
          <w:rFonts w:hint="eastAsia" w:ascii="宋体" w:hAnsi="宋体" w:cs="宋体"/>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keepNext w:val="0"/>
        <w:keepLines w:val="0"/>
        <w:pageBreakBefore w:val="0"/>
        <w:kinsoku/>
        <w:wordWrap/>
        <w:overflowPunct/>
        <w:topLinePunct w:val="0"/>
        <w:autoSpaceDE/>
        <w:autoSpaceDN/>
        <w:bidi w:val="0"/>
        <w:adjustRightInd w:val="0"/>
        <w:snapToGrid w:val="0"/>
        <w:spacing w:line="400" w:lineRule="exact"/>
        <w:ind w:left="720" w:leftChars="228" w:hanging="241" w:hangingChars="100"/>
        <w:textAlignment w:val="auto"/>
        <w:rPr>
          <w:rFonts w:ascii="宋体" w:hAnsi="宋体" w:cs="宋体"/>
          <w:b/>
          <w:sz w:val="24"/>
        </w:rPr>
      </w:pPr>
      <w:r>
        <w:rPr>
          <w:rFonts w:hint="eastAsia" w:ascii="宋体" w:hAnsi="宋体" w:cs="宋体"/>
          <w:b/>
          <w:sz w:val="24"/>
        </w:rPr>
        <w:t>（五）错误修正</w:t>
      </w:r>
    </w:p>
    <w:p>
      <w:pPr>
        <w:keepNext w:val="0"/>
        <w:keepLines w:val="0"/>
        <w:pageBreakBefore w:val="0"/>
        <w:kinsoku/>
        <w:wordWrap/>
        <w:overflowPunct/>
        <w:topLinePunct w:val="0"/>
        <w:autoSpaceDE/>
        <w:autoSpaceDN/>
        <w:bidi w:val="0"/>
        <w:adjustRightInd w:val="0"/>
        <w:snapToGrid w:val="0"/>
        <w:spacing w:line="400" w:lineRule="exact"/>
        <w:ind w:left="719" w:leftChars="228" w:hanging="240" w:hangingChars="100"/>
        <w:textAlignment w:val="auto"/>
        <w:rPr>
          <w:rFonts w:ascii="宋体" w:hAnsi="宋体" w:cs="宋体"/>
          <w:sz w:val="24"/>
        </w:rPr>
      </w:pPr>
      <w:r>
        <w:rPr>
          <w:rFonts w:hint="eastAsia" w:ascii="宋体" w:hAnsi="宋体" w:cs="宋体"/>
          <w:sz w:val="24"/>
        </w:rPr>
        <w:t>投标文件如果出现计算或表达上的错误，修正错误的原则如下：</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1.投标文件中开标一览表（报价表）内容与与投标文件中相应内容不一致的，以开标一览表（报价表）为准；</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2.大写金额和小写金额不一致的，以大写金额为准；</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3.</w:t>
      </w:r>
      <w:r>
        <w:rPr>
          <w:rFonts w:hint="eastAsia" w:ascii="宋体" w:hAnsi="宋体" w:cs="宋体"/>
          <w:bCs/>
          <w:spacing w:val="-6"/>
          <w:sz w:val="24"/>
        </w:rPr>
        <w:t>单价金额小数点或者百分比有明显错位的，以开标一览表的总价为准，并修改单价</w:t>
      </w:r>
      <w:r>
        <w:rPr>
          <w:rFonts w:hint="eastAsia" w:ascii="宋体" w:hAnsi="宋体" w:cs="宋体"/>
          <w:bCs/>
          <w:sz w:val="24"/>
        </w:rPr>
        <w:t>；</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4.总价金额与按单价汇总金额不一致的，以单价金额计算结果为准；</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5.对不同文字文本投标文件的解释发生异议的，以中文文本为准。</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
          <w:sz w:val="24"/>
        </w:rPr>
      </w:pPr>
      <w:r>
        <w:rPr>
          <w:rFonts w:hint="eastAsia" w:ascii="宋体" w:hAnsi="宋体" w:cs="宋体"/>
          <w:bCs/>
          <w:sz w:val="24"/>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r>
        <w:rPr>
          <w:rFonts w:hint="eastAsia" w:ascii="宋体" w:hAnsi="宋体" w:cs="宋体"/>
          <w:b/>
          <w:sz w:val="24"/>
        </w:rPr>
        <w:t>。</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2" w:firstLineChars="196"/>
        <w:textAlignment w:val="auto"/>
        <w:rPr>
          <w:rFonts w:ascii="宋体" w:hAnsi="宋体" w:cs="宋体"/>
          <w:b/>
          <w:sz w:val="24"/>
        </w:rPr>
      </w:pPr>
      <w:r>
        <w:rPr>
          <w:rFonts w:hint="eastAsia" w:ascii="宋体" w:hAnsi="宋体" w:cs="宋体"/>
          <w:b/>
          <w:sz w:val="24"/>
        </w:rPr>
        <w:t>（六）评标原则和评标办法</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1.评审专家必须公平、公正评审，遵纪守法，客观、廉洁地履行职责。</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2.评审专家在评审开始前，应关闭并上交随身携带的各种通信工具。</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3.评审专家在评审过程中，未经许可不得中途离开评审现场，不得迟到早退。</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4.评审专家和工作人员不得透露评审过程中的讨论情况和评审结果。</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6.采购人、采购代理机构不得向评审委员会的评审专家作倾向性、误导性的解释或者说明。</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8.评审专家在评审过程中不得将自己的观点强加给其他评审专家，评审专家应自主发表见解，对评审意见承担个人责任。</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10.评审专家应当独立、客观、公正地提出评审意见，不得带有倾向性，不得影响其他评审专家评审，并在评审报告上签字；如对评审报告有异议的，可在报告上签署不同意见，并说明理由，否则将视为同意。</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11.评审专家应当遵守评审工作纪律，不得泄露评审文件、评审情况和评审中获悉的商业秘密。</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评审委员会在评审过程中发现投标人有行贿、提供虚假材料或者串通等违法行为的，应当及时向财政部门报告。</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12.招标文件内容违反国家有关强制性规定的，评审委员会应当停止评审并向采购代理机构说明情况。</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13.评审专家应当配合采购代理机构答复投标人提出的质疑。</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14.评审专家应当配合财政部门的投诉处理工作。</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15.评审专家有如下行为之一的，责令改正，给予警告，可以并处一千元以下的罚款：</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①明知应当回避而未主动回避的；</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②在得知自己为评审专家身份后至评审结束前时段内私下接触投标人的；</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③在评审过程中擅离职守，影响评审程序正常进行的；</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④在评审过程有明显不合理或者不正当倾向性的；</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⑤未按招标文件规定的评审方法和标准进行评审的；</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⑥上述①至⑤行为影响中标结果的，中标结果无效。</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政府采购评审专家与投标人存在利害关系未回避的，处2万元以上5万元以下的罚款，禁止其参加政府采购评审活动。</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政府采购评审专家收受采购人、采购代理机构、投标人贿赂或者获取其他不正当利益，构成犯罪的，依法追究刑事责任；尚不构成犯罪的，处2万元以上5万元以下的罚款，禁止其参加政府采购评审活动。</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政府采购评审专家有上述违法行为的，其评审意见无效，不得获取评审费；有违法所得的，没收违法所得；给他人造成损失的，依法承担民事责任。</w:t>
      </w:r>
    </w:p>
    <w:p>
      <w:pPr>
        <w:keepNext w:val="0"/>
        <w:keepLines w:val="0"/>
        <w:pageBreakBefore w:val="0"/>
        <w:tabs>
          <w:tab w:val="left" w:pos="630"/>
        </w:tabs>
        <w:kinsoku/>
        <w:wordWrap/>
        <w:overflowPunct/>
        <w:topLinePunct w:val="0"/>
        <w:autoSpaceDE/>
        <w:autoSpaceDN/>
        <w:bidi w:val="0"/>
        <w:adjustRightInd w:val="0"/>
        <w:snapToGrid w:val="0"/>
        <w:spacing w:line="400" w:lineRule="exact"/>
        <w:ind w:firstLine="470" w:firstLineChars="196"/>
        <w:textAlignment w:val="auto"/>
        <w:rPr>
          <w:rFonts w:ascii="宋体" w:hAnsi="宋体" w:cs="宋体"/>
          <w:bCs/>
          <w:sz w:val="24"/>
        </w:rPr>
      </w:pPr>
      <w:r>
        <w:rPr>
          <w:rFonts w:hint="eastAsia" w:ascii="宋体" w:hAnsi="宋体" w:cs="宋体"/>
          <w:bCs/>
          <w:sz w:val="24"/>
        </w:rPr>
        <w:t>17.评标办法。本项目评标办法是：综合评分法 ，具体评标内容及评分标准等详见《第四章：评标办法及评分标准》。</w:t>
      </w:r>
    </w:p>
    <w:p>
      <w:pPr>
        <w:keepNext w:val="0"/>
        <w:keepLines w:val="0"/>
        <w:pageBreakBefore w:val="0"/>
        <w:kinsoku/>
        <w:wordWrap/>
        <w:overflowPunct/>
        <w:topLinePunct w:val="0"/>
        <w:autoSpaceDE/>
        <w:autoSpaceDN/>
        <w:bidi w:val="0"/>
        <w:adjustRightInd w:val="0"/>
        <w:snapToGrid w:val="0"/>
        <w:spacing w:line="400" w:lineRule="exact"/>
        <w:ind w:firstLine="472" w:firstLineChars="196"/>
        <w:textAlignment w:val="auto"/>
        <w:rPr>
          <w:rFonts w:ascii="宋体" w:hAnsi="宋体" w:cs="宋体"/>
          <w:b/>
          <w:sz w:val="24"/>
        </w:rPr>
      </w:pPr>
      <w:r>
        <w:rPr>
          <w:rFonts w:hint="eastAsia" w:ascii="宋体" w:hAnsi="宋体" w:cs="宋体"/>
          <w:b/>
          <w:sz w:val="24"/>
        </w:rPr>
        <w:t>（七）评标过程的监控</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本项目评标过程实行全程录音、录像监控，投标人在评标过程中所进行的试图影响评标结果的不公正活动，可能导致其投标被拒绝。</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ascii="宋体" w:hAnsi="宋体" w:cs="宋体"/>
          <w:b/>
          <w:sz w:val="24"/>
        </w:rPr>
      </w:pPr>
      <w:r>
        <w:rPr>
          <w:rFonts w:hint="eastAsia" w:ascii="宋体" w:hAnsi="宋体" w:cs="宋体"/>
          <w:b/>
          <w:sz w:val="24"/>
        </w:rPr>
        <w:t>（八）其他</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ascii="宋体" w:hAnsi="宋体" w:cs="宋体"/>
          <w:sz w:val="24"/>
        </w:rPr>
      </w:pPr>
      <w:r>
        <w:rPr>
          <w:rFonts w:hint="eastAsia" w:ascii="宋体" w:hAnsi="宋体" w:cs="宋体"/>
          <w:sz w:val="24"/>
        </w:rPr>
        <w:t>采购过程中出现以下情形，导致电子交易平台无法正常运行，或者无法保证电子交易的公平、公正和安全时，采购组织机构可中止电子交易活动：</w:t>
      </w:r>
    </w:p>
    <w:p>
      <w:pPr>
        <w:keepNext w:val="0"/>
        <w:keepLines w:val="0"/>
        <w:pageBreakBefore w:val="0"/>
        <w:kinsoku/>
        <w:wordWrap/>
        <w:overflowPunct/>
        <w:topLinePunct w:val="0"/>
        <w:autoSpaceDE/>
        <w:autoSpaceDN/>
        <w:bidi w:val="0"/>
        <w:adjustRightInd w:val="0"/>
        <w:snapToGrid w:val="0"/>
        <w:spacing w:line="400" w:lineRule="exact"/>
        <w:ind w:firstLine="352" w:firstLineChars="147"/>
        <w:textAlignment w:val="auto"/>
        <w:rPr>
          <w:rFonts w:ascii="宋体" w:hAnsi="宋体" w:cs="宋体"/>
          <w:sz w:val="24"/>
        </w:rPr>
      </w:pPr>
      <w:r>
        <w:rPr>
          <w:rFonts w:hint="eastAsia" w:ascii="宋体" w:hAnsi="宋体" w:cs="宋体"/>
          <w:sz w:val="24"/>
        </w:rPr>
        <w:t>1、电子交易平台发生故障而无法登录访问的；</w:t>
      </w:r>
    </w:p>
    <w:p>
      <w:pPr>
        <w:keepNext w:val="0"/>
        <w:keepLines w:val="0"/>
        <w:pageBreakBefore w:val="0"/>
        <w:kinsoku/>
        <w:wordWrap/>
        <w:overflowPunct/>
        <w:topLinePunct w:val="0"/>
        <w:autoSpaceDE/>
        <w:autoSpaceDN/>
        <w:bidi w:val="0"/>
        <w:adjustRightInd w:val="0"/>
        <w:snapToGrid w:val="0"/>
        <w:spacing w:line="400" w:lineRule="exact"/>
        <w:ind w:firstLine="352" w:firstLineChars="147"/>
        <w:textAlignment w:val="auto"/>
        <w:rPr>
          <w:rFonts w:ascii="宋体" w:hAnsi="宋体" w:cs="宋体"/>
          <w:sz w:val="24"/>
        </w:rPr>
      </w:pPr>
      <w:r>
        <w:rPr>
          <w:rFonts w:hint="eastAsia" w:ascii="宋体" w:hAnsi="宋体" w:cs="宋体"/>
          <w:sz w:val="24"/>
        </w:rPr>
        <w:t>2、电子交易平台应用或数据库出现错误，不能进行正常操作的；</w:t>
      </w:r>
    </w:p>
    <w:p>
      <w:pPr>
        <w:keepNext w:val="0"/>
        <w:keepLines w:val="0"/>
        <w:pageBreakBefore w:val="0"/>
        <w:kinsoku/>
        <w:wordWrap/>
        <w:overflowPunct/>
        <w:topLinePunct w:val="0"/>
        <w:autoSpaceDE/>
        <w:autoSpaceDN/>
        <w:bidi w:val="0"/>
        <w:adjustRightInd w:val="0"/>
        <w:snapToGrid w:val="0"/>
        <w:spacing w:line="400" w:lineRule="exact"/>
        <w:ind w:firstLine="352" w:firstLineChars="147"/>
        <w:textAlignment w:val="auto"/>
        <w:rPr>
          <w:rFonts w:ascii="宋体" w:hAnsi="宋体" w:cs="宋体"/>
          <w:sz w:val="24"/>
        </w:rPr>
      </w:pPr>
      <w:r>
        <w:rPr>
          <w:rFonts w:hint="eastAsia" w:ascii="宋体" w:hAnsi="宋体" w:cs="宋体"/>
          <w:sz w:val="24"/>
        </w:rPr>
        <w:t>3、电子交易平台发现严重安全漏洞，有潜在泄密危险的；</w:t>
      </w:r>
    </w:p>
    <w:p>
      <w:pPr>
        <w:keepNext w:val="0"/>
        <w:keepLines w:val="0"/>
        <w:pageBreakBefore w:val="0"/>
        <w:kinsoku/>
        <w:wordWrap/>
        <w:overflowPunct/>
        <w:topLinePunct w:val="0"/>
        <w:autoSpaceDE/>
        <w:autoSpaceDN/>
        <w:bidi w:val="0"/>
        <w:adjustRightInd w:val="0"/>
        <w:snapToGrid w:val="0"/>
        <w:spacing w:line="400" w:lineRule="exact"/>
        <w:ind w:firstLine="352" w:firstLineChars="147"/>
        <w:textAlignment w:val="auto"/>
        <w:rPr>
          <w:rFonts w:ascii="宋体" w:hAnsi="宋体" w:cs="宋体"/>
          <w:sz w:val="24"/>
        </w:rPr>
      </w:pPr>
      <w:r>
        <w:rPr>
          <w:rFonts w:hint="eastAsia" w:ascii="宋体" w:hAnsi="宋体" w:cs="宋体"/>
          <w:sz w:val="24"/>
        </w:rPr>
        <w:t>4、病毒发作导致不能进行正常操作的；</w:t>
      </w:r>
    </w:p>
    <w:p>
      <w:pPr>
        <w:keepNext w:val="0"/>
        <w:keepLines w:val="0"/>
        <w:pageBreakBefore w:val="0"/>
        <w:kinsoku/>
        <w:wordWrap/>
        <w:overflowPunct/>
        <w:topLinePunct w:val="0"/>
        <w:autoSpaceDE/>
        <w:autoSpaceDN/>
        <w:bidi w:val="0"/>
        <w:adjustRightInd w:val="0"/>
        <w:snapToGrid w:val="0"/>
        <w:spacing w:line="400" w:lineRule="exact"/>
        <w:ind w:firstLine="352" w:firstLineChars="147"/>
        <w:textAlignment w:val="auto"/>
        <w:rPr>
          <w:rFonts w:ascii="宋体" w:hAnsi="宋体" w:cs="宋体"/>
          <w:sz w:val="24"/>
        </w:rPr>
      </w:pPr>
      <w:r>
        <w:rPr>
          <w:rFonts w:hint="eastAsia" w:ascii="宋体" w:hAnsi="宋体" w:cs="宋体"/>
          <w:sz w:val="24"/>
        </w:rPr>
        <w:t>5、其他无法保证电子交易的公平、公正和安全的情况。</w:t>
      </w:r>
    </w:p>
    <w:p>
      <w:pPr>
        <w:keepNext w:val="0"/>
        <w:keepLines w:val="0"/>
        <w:pageBreakBefore w:val="0"/>
        <w:kinsoku/>
        <w:wordWrap/>
        <w:overflowPunct/>
        <w:topLinePunct w:val="0"/>
        <w:autoSpaceDE/>
        <w:autoSpaceDN/>
        <w:bidi w:val="0"/>
        <w:adjustRightInd w:val="0"/>
        <w:snapToGrid w:val="0"/>
        <w:spacing w:line="400" w:lineRule="exact"/>
        <w:ind w:firstLine="470" w:firstLineChars="196"/>
        <w:textAlignment w:val="auto"/>
        <w:rPr>
          <w:rFonts w:hint="eastAsia" w:ascii="宋体" w:hAnsi="宋体" w:cs="宋体"/>
          <w:color w:val="auto"/>
          <w:highlight w:val="none"/>
        </w:rPr>
      </w:pPr>
      <w:r>
        <w:rPr>
          <w:rFonts w:hint="eastAsia" w:ascii="宋体" w:hAnsi="宋体" w:cs="宋体"/>
          <w:sz w:val="24"/>
        </w:rPr>
        <w:t>出现前款规定情形，不影响采购公平、公正性的，采购组织机构可以待上述情形消除后继续组织电子交易活动；影响或可能影响采购公平、公正性的，应当重新采购。</w:t>
      </w:r>
    </w:p>
    <w:p>
      <w:pPr>
        <w:keepNext w:val="0"/>
        <w:keepLines w:val="0"/>
        <w:pageBreakBefore w:val="0"/>
        <w:kinsoku/>
        <w:wordWrap/>
        <w:overflowPunct/>
        <w:topLinePunct w:val="0"/>
        <w:autoSpaceDE/>
        <w:autoSpaceDN/>
        <w:bidi w:val="0"/>
        <w:adjustRightInd w:val="0"/>
        <w:snapToGrid w:val="0"/>
        <w:spacing w:line="400" w:lineRule="exact"/>
        <w:ind w:firstLine="551" w:firstLineChars="196"/>
        <w:textAlignment w:val="auto"/>
        <w:outlineLvl w:val="1"/>
        <w:rPr>
          <w:rFonts w:hint="eastAsia" w:ascii="宋体" w:hAnsi="宋体" w:cs="宋体"/>
          <w:b/>
          <w:color w:val="auto"/>
          <w:sz w:val="28"/>
          <w:szCs w:val="28"/>
          <w:highlight w:val="none"/>
        </w:rPr>
      </w:pPr>
      <w:r>
        <w:rPr>
          <w:rFonts w:hint="eastAsia" w:ascii="宋体" w:hAnsi="宋体" w:cs="宋体"/>
          <w:b/>
          <w:color w:val="auto"/>
          <w:sz w:val="28"/>
          <w:szCs w:val="28"/>
          <w:highlight w:val="none"/>
        </w:rPr>
        <w:t>六、定标</w:t>
      </w:r>
    </w:p>
    <w:p>
      <w:pPr>
        <w:keepNext w:val="0"/>
        <w:keepLines w:val="0"/>
        <w:pageBreakBefore w:val="0"/>
        <w:kinsoku/>
        <w:wordWrap/>
        <w:overflowPunct/>
        <w:topLinePunct w:val="0"/>
        <w:autoSpaceDE/>
        <w:autoSpaceDN/>
        <w:bidi w:val="0"/>
        <w:adjustRightInd w:val="0"/>
        <w:snapToGrid w:val="0"/>
        <w:spacing w:line="400" w:lineRule="exact"/>
        <w:ind w:firstLine="472" w:firstLineChars="196"/>
        <w:textAlignment w:val="auto"/>
        <w:rPr>
          <w:rFonts w:hint="eastAsia" w:ascii="宋体" w:hAnsi="宋体" w:cs="宋体"/>
          <w:b/>
          <w:bCs/>
          <w:color w:val="auto"/>
          <w:sz w:val="24"/>
          <w:highlight w:val="none"/>
        </w:rPr>
      </w:pPr>
      <w:r>
        <w:rPr>
          <w:rFonts w:hint="eastAsia" w:ascii="宋体" w:hAnsi="宋体" w:cs="宋体"/>
          <w:b/>
          <w:bCs/>
          <w:color w:val="auto"/>
          <w:sz w:val="24"/>
          <w:highlight w:val="none"/>
        </w:rPr>
        <w:t>（一）确定中标人。本项目由采购人授权评标委员会确定中标人。</w:t>
      </w:r>
    </w:p>
    <w:p>
      <w:pPr>
        <w:keepNext w:val="0"/>
        <w:keepLines w:val="0"/>
        <w:pageBreakBefore w:val="0"/>
        <w:kinsoku/>
        <w:wordWrap/>
        <w:overflowPunct/>
        <w:topLinePunct w:val="0"/>
        <w:autoSpaceDE/>
        <w:autoSpaceDN/>
        <w:bidi w:val="0"/>
        <w:adjustRightInd w:val="0"/>
        <w:snapToGrid w:val="0"/>
        <w:spacing w:line="400" w:lineRule="exact"/>
        <w:ind w:left="-178" w:leftChars="-85" w:firstLine="588" w:firstLineChars="245"/>
        <w:textAlignment w:val="auto"/>
        <w:rPr>
          <w:rFonts w:hint="eastAsia" w:ascii="宋体" w:hAnsi="宋体" w:cs="宋体"/>
          <w:bCs/>
          <w:color w:val="auto"/>
          <w:sz w:val="24"/>
          <w:highlight w:val="none"/>
        </w:rPr>
      </w:pPr>
      <w:r>
        <w:rPr>
          <w:rFonts w:hint="eastAsia" w:ascii="宋体" w:hAnsi="宋体" w:cs="宋体"/>
          <w:bCs/>
          <w:color w:val="auto"/>
          <w:sz w:val="24"/>
          <w:highlight w:val="none"/>
        </w:rPr>
        <w:t>1．出现下列情形之一的，采购人或者采购人授权的评标委员会可以按照评审报告推荐的中标或者成交候选人名单排序，确定下一候选人为中标或者成交供应商，也可以重新开展政府采购活动。</w:t>
      </w:r>
    </w:p>
    <w:p>
      <w:pPr>
        <w:keepNext w:val="0"/>
        <w:keepLines w:val="0"/>
        <w:pageBreakBefore w:val="0"/>
        <w:kinsoku/>
        <w:wordWrap/>
        <w:overflowPunct/>
        <w:topLinePunct w:val="0"/>
        <w:autoSpaceDE/>
        <w:autoSpaceDN/>
        <w:bidi w:val="0"/>
        <w:adjustRightInd w:val="0"/>
        <w:snapToGrid w:val="0"/>
        <w:spacing w:line="400" w:lineRule="exact"/>
        <w:ind w:firstLine="240" w:firstLineChars="100"/>
        <w:textAlignment w:val="auto"/>
        <w:rPr>
          <w:rFonts w:hint="eastAsia"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pacing w:val="-6"/>
          <w:sz w:val="24"/>
          <w:highlight w:val="none"/>
        </w:rPr>
        <w:t>排名</w:t>
      </w:r>
      <w:r>
        <w:rPr>
          <w:rFonts w:hint="eastAsia" w:ascii="宋体" w:hAnsi="宋体" w:cs="宋体"/>
          <w:bCs/>
          <w:color w:val="auto"/>
          <w:spacing w:val="-6"/>
          <w:sz w:val="24"/>
          <w:highlight w:val="none"/>
          <w:lang w:eastAsia="zh-CN"/>
        </w:rPr>
        <w:t>前五</w:t>
      </w:r>
      <w:r>
        <w:rPr>
          <w:rFonts w:hint="eastAsia" w:ascii="宋体" w:hAnsi="宋体" w:cs="宋体"/>
          <w:bCs/>
          <w:color w:val="auto"/>
          <w:spacing w:val="-6"/>
          <w:sz w:val="24"/>
          <w:highlight w:val="none"/>
        </w:rPr>
        <w:t>的候选供应商，因自身原因放弃中标成交或因不可抗力不能履行合同的</w:t>
      </w:r>
      <w:r>
        <w:rPr>
          <w:rFonts w:hint="eastAsia" w:ascii="宋体" w:hAnsi="宋体" w:cs="宋体"/>
          <w:bCs/>
          <w:color w:val="auto"/>
          <w:sz w:val="24"/>
          <w:highlight w:val="none"/>
        </w:rPr>
        <w:t>；</w:t>
      </w:r>
    </w:p>
    <w:p>
      <w:pPr>
        <w:keepNext w:val="0"/>
        <w:keepLines w:val="0"/>
        <w:pageBreakBefore w:val="0"/>
        <w:kinsoku/>
        <w:wordWrap/>
        <w:overflowPunct/>
        <w:topLinePunct w:val="0"/>
        <w:autoSpaceDE/>
        <w:autoSpaceDN/>
        <w:bidi w:val="0"/>
        <w:adjustRightInd w:val="0"/>
        <w:snapToGrid w:val="0"/>
        <w:spacing w:line="400" w:lineRule="exact"/>
        <w:ind w:firstLine="240" w:firstLineChars="100"/>
        <w:textAlignment w:val="auto"/>
        <w:rPr>
          <w:rFonts w:hint="eastAsia" w:ascii="宋体" w:hAnsi="宋体" w:cs="宋体"/>
          <w:bCs/>
          <w:color w:val="auto"/>
          <w:sz w:val="24"/>
          <w:highlight w:val="none"/>
        </w:rPr>
      </w:pPr>
      <w:r>
        <w:rPr>
          <w:rFonts w:hint="eastAsia" w:ascii="宋体" w:hAnsi="宋体" w:cs="宋体"/>
          <w:bCs/>
          <w:color w:val="auto"/>
          <w:sz w:val="24"/>
          <w:highlight w:val="none"/>
        </w:rPr>
        <w:t>（2）经质疑，采购组织机构审查确认因排名</w:t>
      </w:r>
      <w:r>
        <w:rPr>
          <w:rFonts w:hint="eastAsia" w:ascii="宋体" w:hAnsi="宋体" w:cs="宋体"/>
          <w:bCs/>
          <w:color w:val="auto"/>
          <w:spacing w:val="-6"/>
          <w:sz w:val="24"/>
          <w:highlight w:val="none"/>
          <w:lang w:eastAsia="zh-CN"/>
        </w:rPr>
        <w:t>前五</w:t>
      </w:r>
      <w:r>
        <w:rPr>
          <w:rFonts w:hint="eastAsia" w:ascii="宋体" w:hAnsi="宋体" w:cs="宋体"/>
          <w:bCs/>
          <w:color w:val="auto"/>
          <w:sz w:val="24"/>
          <w:highlight w:val="none"/>
        </w:rPr>
        <w:t>的候选供应商在本次采购活动中存在违法违规行为或其他原因使质疑成立的。</w:t>
      </w:r>
    </w:p>
    <w:p>
      <w:pPr>
        <w:keepNext w:val="0"/>
        <w:keepLines w:val="0"/>
        <w:pageBreakBefore w:val="0"/>
        <w:kinsoku/>
        <w:wordWrap/>
        <w:overflowPunct/>
        <w:topLinePunct w:val="0"/>
        <w:autoSpaceDE/>
        <w:autoSpaceDN/>
        <w:bidi w:val="0"/>
        <w:adjustRightInd w:val="0"/>
        <w:snapToGrid w:val="0"/>
        <w:spacing w:line="400" w:lineRule="exact"/>
        <w:ind w:firstLine="240" w:firstLineChars="100"/>
        <w:textAlignment w:val="auto"/>
        <w:rPr>
          <w:rFonts w:hint="eastAsia" w:ascii="宋体" w:hAnsi="宋体" w:eastAsia="宋体" w:cs="宋体"/>
          <w:bCs/>
          <w:color w:val="auto"/>
          <w:sz w:val="24"/>
          <w:highlight w:val="none"/>
        </w:rPr>
      </w:pPr>
      <w:r>
        <w:rPr>
          <w:rFonts w:hint="eastAsia" w:ascii="宋体" w:hAnsi="宋体" w:cs="宋体"/>
          <w:bCs/>
          <w:color w:val="auto"/>
          <w:sz w:val="24"/>
          <w:highlight w:val="none"/>
        </w:rPr>
        <w:t>2.采购人应当自收到评审报告之日起5个工作日内在评审报告推荐的中标或者成交</w:t>
      </w:r>
      <w:r>
        <w:rPr>
          <w:rFonts w:hint="eastAsia" w:ascii="宋体" w:hAnsi="宋体" w:eastAsia="宋体" w:cs="宋体"/>
          <w:bCs/>
          <w:color w:val="auto"/>
          <w:sz w:val="24"/>
          <w:highlight w:val="none"/>
        </w:rPr>
        <w:t>候选人中按顺序确定中标或者成交供应商。如有投标人对评标结果提出质疑的，采购人可在质疑处理完毕后确定中标人。</w:t>
      </w:r>
    </w:p>
    <w:p>
      <w:pPr>
        <w:keepNext w:val="0"/>
        <w:keepLines w:val="0"/>
        <w:pageBreakBefore w:val="0"/>
        <w:kinsoku/>
        <w:wordWrap/>
        <w:overflowPunct/>
        <w:topLinePunct w:val="0"/>
        <w:autoSpaceDE/>
        <w:autoSpaceDN/>
        <w:bidi w:val="0"/>
        <w:adjustRightInd w:val="0"/>
        <w:snapToGrid w:val="0"/>
        <w:spacing w:line="400" w:lineRule="exact"/>
        <w:ind w:firstLine="240" w:firstLineChars="1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3.采购人或者采购代理机构应当自中标、成交供应商确定之日起2个工作日内，发出中标、成交通知书，并在省级以上人民政府财政部门指定的媒体上公告中标、成交结果。</w:t>
      </w:r>
    </w:p>
    <w:p>
      <w:pPr>
        <w:keepNext w:val="0"/>
        <w:keepLines w:val="0"/>
        <w:pageBreakBefore w:val="0"/>
        <w:kinsoku/>
        <w:wordWrap/>
        <w:overflowPunct/>
        <w:topLinePunct w:val="0"/>
        <w:autoSpaceDE/>
        <w:autoSpaceDN/>
        <w:bidi w:val="0"/>
        <w:adjustRightInd w:val="0"/>
        <w:snapToGrid w:val="0"/>
        <w:spacing w:line="400" w:lineRule="exact"/>
        <w:ind w:firstLine="551" w:firstLineChars="196"/>
        <w:textAlignment w:val="auto"/>
        <w:outlineLvl w:val="1"/>
        <w:rPr>
          <w:rFonts w:hint="eastAsia" w:ascii="宋体" w:hAnsi="宋体" w:cs="宋体"/>
          <w:b/>
          <w:color w:val="auto"/>
          <w:sz w:val="28"/>
          <w:szCs w:val="28"/>
          <w:highlight w:val="none"/>
        </w:rPr>
      </w:pPr>
      <w:r>
        <w:rPr>
          <w:rFonts w:hint="eastAsia" w:ascii="宋体" w:hAnsi="宋体" w:cs="宋体"/>
          <w:b/>
          <w:color w:val="auto"/>
          <w:sz w:val="28"/>
          <w:szCs w:val="28"/>
          <w:highlight w:val="none"/>
        </w:rPr>
        <w:t>七、合同授予</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cs="宋体"/>
          <w:bCs/>
          <w:color w:val="auto"/>
          <w:spacing w:val="-6"/>
          <w:sz w:val="24"/>
          <w:highlight w:val="none"/>
        </w:rPr>
      </w:pPr>
      <w:r>
        <w:rPr>
          <w:rFonts w:hint="eastAsia" w:ascii="宋体" w:hAnsi="宋体" w:cs="宋体"/>
          <w:b/>
          <w:bCs/>
          <w:sz w:val="24"/>
        </w:rPr>
        <w:t>（一）签订合同</w:t>
      </w:r>
    </w:p>
    <w:p>
      <w:pPr>
        <w:keepNext w:val="0"/>
        <w:keepLines w:val="0"/>
        <w:pageBreakBefore w:val="0"/>
        <w:kinsoku/>
        <w:wordWrap/>
        <w:overflowPunct/>
        <w:topLinePunct w:val="0"/>
        <w:autoSpaceDE/>
        <w:autoSpaceDN/>
        <w:bidi w:val="0"/>
        <w:adjustRightInd w:val="0"/>
        <w:snapToGrid w:val="0"/>
        <w:spacing w:line="400" w:lineRule="exact"/>
        <w:ind w:firstLine="456" w:firstLineChars="200"/>
        <w:textAlignment w:val="auto"/>
        <w:rPr>
          <w:rFonts w:hint="eastAsia" w:ascii="宋体" w:hAnsi="宋体" w:cs="宋体"/>
          <w:bCs/>
          <w:color w:val="auto"/>
          <w:spacing w:val="-6"/>
          <w:sz w:val="24"/>
          <w:highlight w:val="none"/>
        </w:rPr>
      </w:pPr>
      <w:r>
        <w:rPr>
          <w:rFonts w:hint="eastAsia" w:ascii="宋体" w:hAnsi="宋体" w:cs="宋体"/>
          <w:bCs/>
          <w:color w:val="auto"/>
          <w:spacing w:val="-6"/>
          <w:sz w:val="24"/>
          <w:highlight w:val="none"/>
        </w:rPr>
        <w:t>1.采购人与中标人应当在《中标通知书》发出之日起20日内签订政府采购合同。同时，采购代理机构对合同内容进行审查，如发现与采购结果和投标承诺内容不一致的，应予以纠正。</w:t>
      </w:r>
    </w:p>
    <w:p>
      <w:pPr>
        <w:keepNext w:val="0"/>
        <w:keepLines w:val="0"/>
        <w:pageBreakBefore w:val="0"/>
        <w:kinsoku/>
        <w:wordWrap/>
        <w:overflowPunct/>
        <w:topLinePunct w:val="0"/>
        <w:autoSpaceDE/>
        <w:autoSpaceDN/>
        <w:bidi w:val="0"/>
        <w:adjustRightInd w:val="0"/>
        <w:snapToGrid w:val="0"/>
        <w:spacing w:line="400" w:lineRule="exact"/>
        <w:ind w:firstLine="456" w:firstLineChars="200"/>
        <w:textAlignment w:val="auto"/>
        <w:rPr>
          <w:rFonts w:hint="eastAsia" w:ascii="宋体" w:hAnsi="宋体" w:cs="宋体"/>
          <w:bCs/>
          <w:color w:val="auto"/>
          <w:spacing w:val="-6"/>
          <w:sz w:val="24"/>
          <w:highlight w:val="none"/>
        </w:rPr>
      </w:pPr>
      <w:r>
        <w:rPr>
          <w:rFonts w:hint="eastAsia" w:ascii="宋体" w:hAnsi="宋体" w:cs="宋体"/>
          <w:bCs/>
          <w:color w:val="auto"/>
          <w:spacing w:val="-6"/>
          <w:sz w:val="24"/>
          <w:highlight w:val="none"/>
        </w:rPr>
        <w:t>2.如签订合同并生效后，供应商无故拒绝或延期，除按照合同条款处理外，列入不良行为记录一次，并给予通报。</w:t>
      </w:r>
    </w:p>
    <w:p>
      <w:pPr>
        <w:keepNext w:val="0"/>
        <w:keepLines w:val="0"/>
        <w:pageBreakBefore w:val="0"/>
        <w:kinsoku/>
        <w:wordWrap/>
        <w:overflowPunct/>
        <w:topLinePunct w:val="0"/>
        <w:autoSpaceDE/>
        <w:autoSpaceDN/>
        <w:bidi w:val="0"/>
        <w:adjustRightInd w:val="0"/>
        <w:snapToGrid w:val="0"/>
        <w:spacing w:line="400" w:lineRule="exact"/>
        <w:ind w:firstLine="456" w:firstLineChars="200"/>
        <w:textAlignment w:val="auto"/>
        <w:rPr>
          <w:rFonts w:hint="eastAsia" w:ascii="宋体" w:hAnsi="宋体" w:cs="宋体"/>
          <w:bCs/>
          <w:color w:val="auto"/>
          <w:spacing w:val="-6"/>
          <w:sz w:val="24"/>
          <w:highlight w:val="none"/>
        </w:rPr>
      </w:pPr>
      <w:r>
        <w:rPr>
          <w:rFonts w:hint="eastAsia" w:ascii="宋体" w:hAnsi="宋体" w:cs="宋体"/>
          <w:bCs/>
          <w:color w:val="auto"/>
          <w:spacing w:val="-6"/>
          <w:sz w:val="24"/>
          <w:highlight w:val="none"/>
          <w:lang w:val="en-US" w:eastAsia="zh-CN"/>
        </w:rPr>
        <w:t>3.</w:t>
      </w:r>
      <w:r>
        <w:rPr>
          <w:rFonts w:hint="eastAsia" w:ascii="宋体" w:hAnsi="宋体" w:cs="宋体"/>
          <w:bCs/>
          <w:color w:val="auto"/>
          <w:spacing w:val="-6"/>
          <w:sz w:val="24"/>
          <w:highlight w:val="none"/>
        </w:rPr>
        <w:t>成交人拒绝与采购人签订合同的，采购人可以按照评审报告推荐的中标或者成交候选人名单排序，确定下一候选人为成交人，也可以重新开展政府采购活动。</w:t>
      </w:r>
    </w:p>
    <w:p>
      <w:pPr>
        <w:keepNext w:val="0"/>
        <w:keepLines w:val="0"/>
        <w:pageBreakBefore w:val="0"/>
        <w:kinsoku/>
        <w:wordWrap/>
        <w:overflowPunct/>
        <w:topLinePunct w:val="0"/>
        <w:autoSpaceDE/>
        <w:autoSpaceDN/>
        <w:bidi w:val="0"/>
        <w:adjustRightInd w:val="0"/>
        <w:snapToGrid w:val="0"/>
        <w:spacing w:before="120" w:after="120" w:line="400" w:lineRule="exact"/>
        <w:ind w:firstLine="446" w:firstLineChars="196"/>
        <w:textAlignment w:val="auto"/>
        <w:rPr>
          <w:rFonts w:hint="eastAsia" w:ascii="宋体" w:hAnsi="宋体" w:cs="宋体"/>
          <w:sz w:val="24"/>
        </w:rPr>
      </w:pPr>
      <w:r>
        <w:rPr>
          <w:rFonts w:hint="eastAsia" w:ascii="宋体" w:hAnsi="宋体" w:cs="宋体"/>
          <w:bCs/>
          <w:color w:val="auto"/>
          <w:spacing w:val="-6"/>
          <w:sz w:val="24"/>
          <w:highlight w:val="none"/>
          <w:lang w:val="en-US" w:eastAsia="zh-CN"/>
        </w:rPr>
        <w:t>4.</w:t>
      </w:r>
      <w:r>
        <w:rPr>
          <w:rFonts w:hint="eastAsia" w:ascii="宋体" w:hAnsi="宋体" w:cs="宋体"/>
          <w:bCs/>
          <w:color w:val="auto"/>
          <w:spacing w:val="-6"/>
          <w:sz w:val="24"/>
          <w:highlight w:val="none"/>
        </w:rPr>
        <w:t>政府采购货物和服务项目不得收取质量保证金。政府采购工程以及与工程建设有关的货物、服务，采用招标方式采购的，按国家和省有关规定执行</w:t>
      </w:r>
      <w:r>
        <w:rPr>
          <w:rFonts w:hint="eastAsia" w:ascii="宋体" w:hAnsi="宋体" w:cs="宋体"/>
          <w:sz w:val="24"/>
        </w:rPr>
        <w:t>。</w:t>
      </w:r>
    </w:p>
    <w:p>
      <w:pPr>
        <w:keepNext w:val="0"/>
        <w:keepLines w:val="0"/>
        <w:pageBreakBefore w:val="0"/>
        <w:kinsoku/>
        <w:wordWrap/>
        <w:overflowPunct/>
        <w:topLinePunct w:val="0"/>
        <w:autoSpaceDE/>
        <w:autoSpaceDN/>
        <w:bidi w:val="0"/>
        <w:adjustRightInd w:val="0"/>
        <w:snapToGrid w:val="0"/>
        <w:spacing w:before="120" w:after="120" w:line="400" w:lineRule="exact"/>
        <w:ind w:firstLine="472" w:firstLineChars="196"/>
        <w:textAlignment w:val="auto"/>
        <w:rPr>
          <w:rFonts w:hint="eastAsia" w:ascii="宋体" w:hAnsi="宋体" w:cs="宋体"/>
          <w:b/>
          <w:color w:val="auto"/>
          <w:sz w:val="24"/>
          <w:highlight w:val="none"/>
        </w:rPr>
      </w:pPr>
      <w:r>
        <w:rPr>
          <w:rFonts w:hint="eastAsia" w:ascii="宋体" w:hAnsi="宋体" w:cs="宋体"/>
          <w:b/>
          <w:color w:val="auto"/>
          <w:sz w:val="24"/>
          <w:highlight w:val="none"/>
        </w:rPr>
        <w:t>（二）履约保证金</w:t>
      </w:r>
    </w:p>
    <w:p>
      <w:pPr>
        <w:pStyle w:val="12"/>
        <w:keepNext w:val="0"/>
        <w:keepLines w:val="0"/>
        <w:pageBreakBefore w:val="0"/>
        <w:kinsoku/>
        <w:wordWrap/>
        <w:overflowPunct/>
        <w:topLinePunct w:val="0"/>
        <w:autoSpaceDE/>
        <w:autoSpaceDN/>
        <w:bidi w:val="0"/>
        <w:adjustRightInd w:val="0"/>
        <w:snapToGrid w:val="0"/>
        <w:spacing w:before="120" w:after="120" w:line="400" w:lineRule="exact"/>
        <w:ind w:firstLine="480" w:firstLineChars="200"/>
        <w:contextualSpacing/>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本项目不收取履约保证金</w:t>
      </w:r>
    </w:p>
    <w:p>
      <w:pPr>
        <w:pStyle w:val="12"/>
        <w:keepNext w:val="0"/>
        <w:keepLines w:val="0"/>
        <w:pageBreakBefore w:val="0"/>
        <w:kinsoku/>
        <w:wordWrap/>
        <w:overflowPunct/>
        <w:topLinePunct w:val="0"/>
        <w:autoSpaceDE/>
        <w:autoSpaceDN/>
        <w:bidi w:val="0"/>
        <w:adjustRightInd w:val="0"/>
        <w:snapToGrid w:val="0"/>
        <w:spacing w:before="120" w:after="120" w:line="400" w:lineRule="exact"/>
        <w:ind w:firstLine="482" w:firstLineChars="200"/>
        <w:contextualSpacing/>
        <w:textAlignment w:val="auto"/>
        <w:rPr>
          <w:rFonts w:hint="eastAsia" w:hAnsi="宋体" w:cs="宋体"/>
          <w:b/>
          <w:color w:val="auto"/>
          <w:highlight w:val="none"/>
        </w:rPr>
      </w:pPr>
      <w:r>
        <w:rPr>
          <w:rFonts w:hint="eastAsia" w:hAnsi="宋体" w:cs="宋体"/>
          <w:b/>
          <w:color w:val="auto"/>
          <w:highlight w:val="none"/>
        </w:rPr>
        <w:t>八、公共资源交易领域涉黑涉恶举报</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为确保招投标活动的公开、公平、公正，切实维护各方合法权益，凡在招标投标、开标评标过程中，受到敲诈、勒索或发现围标串标、虚假投标、恶意竞标等涉黑涉恶线索者，请及时保留相关证据并向有关部门举报。举报电话：</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市扫黑办 ：0579-86655381              市公安局 ：110、0579-86096000</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市检察院 : 0579-86642000              市 法 院 ：0579-86620148</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hAnsi="宋体" w:cs="宋体"/>
          <w:b/>
          <w:bCs/>
          <w:color w:val="auto"/>
          <w:sz w:val="32"/>
          <w:szCs w:val="32"/>
          <w:highlight w:val="none"/>
        </w:rPr>
      </w:pPr>
      <w:r>
        <w:rPr>
          <w:rFonts w:hint="eastAsia" w:ascii="宋体" w:hAnsi="宋体" w:cs="宋体"/>
          <w:color w:val="auto"/>
          <w:sz w:val="24"/>
          <w:highlight w:val="none"/>
        </w:rPr>
        <w:t xml:space="preserve">市公共资源办:0579-86691835            市公共资源交易中心:0579-86691729 </w:t>
      </w: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both"/>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both"/>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p>
    <w:p>
      <w:pPr>
        <w:pStyle w:val="12"/>
        <w:snapToGrid w:val="0"/>
        <w:spacing w:before="0" w:beforeLines="0" w:after="120" w:line="240" w:lineRule="auto"/>
        <w:jc w:val="both"/>
        <w:rPr>
          <w:rFonts w:hint="eastAsia" w:hAnsi="宋体" w:cs="宋体"/>
          <w:b/>
          <w:bCs/>
          <w:color w:val="auto"/>
          <w:sz w:val="32"/>
          <w:szCs w:val="32"/>
          <w:highlight w:val="none"/>
        </w:rPr>
      </w:pPr>
    </w:p>
    <w:p>
      <w:pPr>
        <w:pStyle w:val="12"/>
        <w:snapToGrid w:val="0"/>
        <w:spacing w:before="0" w:beforeLines="0" w:after="120" w:line="240" w:lineRule="auto"/>
        <w:jc w:val="center"/>
        <w:rPr>
          <w:rFonts w:hint="eastAsia" w:hAnsi="宋体" w:cs="宋体"/>
          <w:b/>
          <w:bCs/>
          <w:color w:val="auto"/>
          <w:sz w:val="32"/>
          <w:szCs w:val="32"/>
          <w:highlight w:val="none"/>
        </w:rPr>
      </w:pPr>
      <w:r>
        <w:rPr>
          <w:rFonts w:hint="eastAsia" w:hAnsi="宋体" w:cs="宋体"/>
          <w:b/>
          <w:bCs/>
          <w:color w:val="auto"/>
          <w:sz w:val="32"/>
          <w:szCs w:val="32"/>
          <w:highlight w:val="none"/>
        </w:rPr>
        <w:t>第四章  评标办法及评分标准</w:t>
      </w: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textAlignment w:val="auto"/>
        <w:rPr>
          <w:rFonts w:hint="eastAsia" w:ascii="宋体" w:hAnsi="宋体" w:cs="宋体"/>
          <w:color w:val="auto"/>
          <w:sz w:val="24"/>
          <w:highlight w:val="none"/>
        </w:rPr>
      </w:pPr>
      <w:r>
        <w:rPr>
          <w:rFonts w:hint="eastAsia" w:ascii="宋体" w:hAnsi="宋体" w:cs="宋体"/>
          <w:color w:val="auto"/>
          <w:sz w:val="24"/>
          <w:highlight w:val="none"/>
        </w:rPr>
        <w:t>为公正、公平、科学地选择中标人，根据《中华人民共和国政府采购法》等有关法律法规的规定，并结合本项目的实际，制定本办法。</w:t>
      </w: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textAlignment w:val="auto"/>
        <w:rPr>
          <w:rFonts w:hint="eastAsia" w:ascii="宋体" w:hAnsi="宋体" w:cs="宋体"/>
          <w:color w:val="auto"/>
          <w:sz w:val="24"/>
          <w:highlight w:val="none"/>
        </w:rPr>
      </w:pPr>
      <w:r>
        <w:rPr>
          <w:rFonts w:hint="eastAsia" w:ascii="宋体" w:hAnsi="宋体" w:cs="宋体"/>
          <w:color w:val="auto"/>
          <w:sz w:val="24"/>
          <w:highlight w:val="none"/>
        </w:rPr>
        <w:t>本办法适用于</w:t>
      </w:r>
      <w:r>
        <w:rPr>
          <w:rFonts w:hint="eastAsia" w:ascii="宋体" w:hAnsi="宋体" w:cs="宋体"/>
          <w:color w:val="auto"/>
          <w:sz w:val="24"/>
          <w:highlight w:val="none"/>
          <w:lang w:val="en-US" w:eastAsia="zh-CN"/>
        </w:rPr>
        <w:t>东阳市吴宁街道未来社区一体化方案项目</w:t>
      </w:r>
      <w:r>
        <w:rPr>
          <w:rFonts w:hint="eastAsia" w:ascii="宋体" w:hAnsi="宋体" w:cs="宋体"/>
          <w:color w:val="auto"/>
          <w:sz w:val="24"/>
          <w:highlight w:val="none"/>
        </w:rPr>
        <w:t>的评标。</w:t>
      </w: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551" w:firstLineChars="196"/>
        <w:textAlignment w:val="auto"/>
        <w:rPr>
          <w:rFonts w:hint="eastAsia" w:ascii="宋体" w:hAnsi="宋体" w:cs="宋体"/>
          <w:b/>
          <w:color w:val="auto"/>
          <w:sz w:val="28"/>
          <w:szCs w:val="28"/>
          <w:highlight w:val="none"/>
        </w:rPr>
      </w:pPr>
      <w:r>
        <w:rPr>
          <w:rFonts w:hint="eastAsia" w:ascii="宋体" w:hAnsi="宋体" w:cs="宋体"/>
          <w:b/>
          <w:color w:val="auto"/>
          <w:sz w:val="28"/>
          <w:szCs w:val="28"/>
          <w:highlight w:val="none"/>
        </w:rPr>
        <w:t>一、总则</w:t>
      </w:r>
    </w:p>
    <w:p>
      <w:pPr>
        <w:pStyle w:val="3"/>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80" w:firstLineChars="200"/>
        <w:textAlignment w:val="auto"/>
        <w:rPr>
          <w:rFonts w:hint="eastAsia" w:ascii="宋体" w:hAnsi="宋体" w:eastAsia="宋体" w:cs="宋体"/>
          <w:color w:val="000000"/>
          <w:spacing w:val="0"/>
          <w:sz w:val="24"/>
          <w:szCs w:val="24"/>
        </w:rPr>
      </w:pPr>
      <w:r>
        <w:rPr>
          <w:rFonts w:hint="eastAsia" w:hAnsi="宋体" w:cs="宋体"/>
          <w:color w:val="auto"/>
          <w:spacing w:val="0"/>
          <w:sz w:val="24"/>
          <w:szCs w:val="24"/>
          <w:highlight w:val="none"/>
        </w:rPr>
        <w:t>1、</w:t>
      </w:r>
      <w:r>
        <w:rPr>
          <w:rFonts w:hint="eastAsia" w:ascii="宋体" w:hAnsi="宋体" w:eastAsia="宋体" w:cs="宋体"/>
          <w:color w:val="000000"/>
          <w:spacing w:val="0"/>
          <w:sz w:val="24"/>
          <w:szCs w:val="24"/>
        </w:rPr>
        <w:t>本次评标采用综合评分法，总分为100分，价格分、技术、商务、资信及其他分的分值详见各个标的评标内容。合格投标人的评标得分为各项目汇总得分，中标候选资格按评标综合得分由高到低顺序排列，得分相同的，按投标报价由低到高顺序排列；得分且投标报价相同的，按资信、技术，技术方案得分由高到低顺序排列。排名第一的投标人为中标候选人,排名第二的投标人为候补中标候选人</w:t>
      </w:r>
      <w:r>
        <w:rPr>
          <w:rFonts w:hint="eastAsia" w:hAnsi="宋体" w:cs="宋体"/>
          <w:spacing w:val="0"/>
          <w:sz w:val="24"/>
          <w:szCs w:val="24"/>
          <w:lang w:val="en-US" w:eastAsia="zh-CN"/>
        </w:rPr>
        <w:t>(有效投标人为3家时推荐2名中标候选人，有效标大于3家时，推荐3名中标候选人)</w:t>
      </w:r>
      <w:r>
        <w:rPr>
          <w:rFonts w:hint="eastAsia" w:ascii="宋体" w:hAnsi="宋体" w:eastAsia="宋体" w:cs="宋体"/>
          <w:color w:val="000000"/>
          <w:spacing w:val="0"/>
          <w:sz w:val="24"/>
          <w:szCs w:val="24"/>
        </w:rPr>
        <w:t>……其他投标人中标候选资格依此类推。评分过程中采用四舍五入法，并保留小数2位。</w:t>
      </w:r>
    </w:p>
    <w:p>
      <w:pPr>
        <w:pStyle w:val="3"/>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80" w:firstLineChars="200"/>
        <w:textAlignment w:val="auto"/>
        <w:rPr>
          <w:rFonts w:hint="default" w:ascii="宋体" w:hAnsi="宋体" w:eastAsia="宋体" w:cs="宋体"/>
          <w:color w:val="FF0000"/>
          <w:spacing w:val="0"/>
          <w:sz w:val="24"/>
          <w:szCs w:val="24"/>
          <w:lang w:val="en-US" w:eastAsia="zh-CN"/>
        </w:rPr>
      </w:pPr>
      <w:r>
        <w:rPr>
          <w:rFonts w:hint="eastAsia" w:ascii="宋体" w:hAnsi="宋体" w:eastAsia="宋体" w:cs="宋体"/>
          <w:color w:val="000000"/>
          <w:spacing w:val="0"/>
          <w:sz w:val="24"/>
          <w:szCs w:val="24"/>
        </w:rPr>
        <w:t>投标人评标综合得分=价格分+(技术分+商务分+资信及其他分)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551" w:firstLineChars="196"/>
        <w:textAlignment w:val="auto"/>
        <w:rPr>
          <w:rFonts w:hint="eastAsia" w:ascii="宋体" w:hAnsi="宋体" w:cs="宋体"/>
          <w:b/>
          <w:color w:val="auto"/>
          <w:sz w:val="28"/>
          <w:szCs w:val="28"/>
          <w:highlight w:val="none"/>
        </w:rPr>
      </w:pPr>
      <w:r>
        <w:rPr>
          <w:rFonts w:hint="eastAsia" w:ascii="宋体" w:hAnsi="宋体" w:cs="宋体"/>
          <w:b/>
          <w:color w:val="auto"/>
          <w:sz w:val="28"/>
          <w:szCs w:val="28"/>
          <w:highlight w:val="none"/>
        </w:rPr>
        <w:t>二、评标内容及标准</w:t>
      </w:r>
    </w:p>
    <w:p>
      <w:pPr>
        <w:pStyle w:val="3"/>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66" w:firstLineChars="200"/>
        <w:textAlignment w:val="auto"/>
        <w:rPr>
          <w:rFonts w:hint="eastAsia" w:hAnsi="宋体" w:cs="宋体"/>
          <w:b/>
          <w:bCs/>
          <w:color w:val="auto"/>
          <w:sz w:val="24"/>
          <w:highlight w:val="none"/>
        </w:rPr>
      </w:pPr>
      <w:r>
        <w:rPr>
          <w:rFonts w:hint="eastAsia" w:hAnsi="宋体" w:cs="宋体"/>
          <w:b/>
          <w:color w:val="auto"/>
          <w:sz w:val="24"/>
          <w:highlight w:val="none"/>
        </w:rPr>
        <w:t>（一）</w:t>
      </w:r>
      <w:r>
        <w:rPr>
          <w:rFonts w:hint="eastAsia" w:hAnsi="宋体" w:cs="宋体"/>
          <w:b/>
          <w:bCs/>
          <w:color w:val="auto"/>
          <w:sz w:val="24"/>
          <w:highlight w:val="none"/>
        </w:rPr>
        <w:t>价格分（</w:t>
      </w:r>
      <w:r>
        <w:rPr>
          <w:rFonts w:hint="eastAsia" w:hAnsi="宋体" w:cs="宋体"/>
          <w:b/>
          <w:bCs/>
          <w:color w:val="auto"/>
          <w:sz w:val="24"/>
          <w:highlight w:val="none"/>
          <w:lang w:val="en-US" w:eastAsia="zh-CN"/>
        </w:rPr>
        <w:t>20</w:t>
      </w:r>
      <w:r>
        <w:rPr>
          <w:rFonts w:hint="eastAsia" w:hAnsi="宋体" w:cs="宋体"/>
          <w:b/>
          <w:bCs/>
          <w:color w:val="auto"/>
          <w:sz w:val="24"/>
          <w:highlight w:val="none"/>
        </w:rPr>
        <w:t>分）</w:t>
      </w:r>
    </w:p>
    <w:p>
      <w:pPr>
        <w:pStyle w:val="3"/>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Ansi="宋体" w:cs="宋体"/>
          <w:spacing w:val="0"/>
          <w:sz w:val="24"/>
          <w:szCs w:val="24"/>
        </w:rPr>
      </w:pPr>
      <w:r>
        <w:rPr>
          <w:rFonts w:hint="eastAsia" w:hAnsi="宋体" w:cs="宋体"/>
          <w:spacing w:val="0"/>
          <w:sz w:val="24"/>
          <w:szCs w:val="24"/>
        </w:rPr>
        <w:t>1、价格分采用低价优先法计算，取所有技术、资信商务得分入围投标人中，投标价格最低的投标报价为评标基准价，其他投标人的价格分按照下列公式计算：</w:t>
      </w:r>
    </w:p>
    <w:p>
      <w:pPr>
        <w:pStyle w:val="3"/>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Ansi="宋体" w:cs="宋体"/>
          <w:spacing w:val="0"/>
          <w:sz w:val="24"/>
          <w:szCs w:val="24"/>
        </w:rPr>
      </w:pPr>
      <w:r>
        <w:rPr>
          <w:rFonts w:hint="eastAsia" w:hAnsi="宋体" w:cs="宋体"/>
          <w:spacing w:val="0"/>
          <w:sz w:val="24"/>
          <w:szCs w:val="24"/>
        </w:rPr>
        <w:t>价格分=评标基准价/投标报价×</w:t>
      </w:r>
      <w:r>
        <w:rPr>
          <w:rFonts w:hint="eastAsia" w:hAnsi="宋体" w:cs="宋体"/>
          <w:spacing w:val="0"/>
          <w:sz w:val="24"/>
          <w:szCs w:val="24"/>
          <w:lang w:val="en-US" w:eastAsia="zh-CN"/>
        </w:rPr>
        <w:t>2</w:t>
      </w:r>
      <w:r>
        <w:rPr>
          <w:rFonts w:hint="eastAsia" w:hAnsi="宋体" w:cs="宋体"/>
          <w:spacing w:val="0"/>
          <w:sz w:val="24"/>
          <w:szCs w:val="24"/>
        </w:rPr>
        <w:t>0</w:t>
      </w:r>
    </w:p>
    <w:p>
      <w:pPr>
        <w:pStyle w:val="3"/>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Ansi="宋体" w:cs="宋体"/>
          <w:spacing w:val="0"/>
          <w:sz w:val="24"/>
          <w:szCs w:val="24"/>
        </w:rPr>
      </w:pPr>
      <w:r>
        <w:rPr>
          <w:rFonts w:hint="eastAsia" w:hAnsi="宋体" w:cs="宋体"/>
          <w:spacing w:val="0"/>
          <w:sz w:val="24"/>
          <w:szCs w:val="24"/>
        </w:rPr>
        <w:t>2、根据《关于印发&lt;政府采购促进中小企业发展管理办法&gt;的通知》(财库〔2020〕46号)文件、《财政部、司法部关于政府采购支持监狱企业发展有关问题的通知》（财库〔2014〕68号）文件及《财政部、民政部、中国残疾人联合会关于促进残疾人就业政府采购政策的通知》（财库〔2017〕141号）的规定，对小型和微型企业、监狱企业、残疾人福利性单位价格给予20%扣除，用扣除后的价格参与评审，但不重复享受价格扣除。</w:t>
      </w:r>
    </w:p>
    <w:p>
      <w:pPr>
        <w:pStyle w:val="3"/>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b/>
          <w:bCs/>
          <w:color w:val="auto"/>
          <w:sz w:val="24"/>
          <w:highlight w:val="none"/>
        </w:rPr>
      </w:pPr>
      <w:r>
        <w:rPr>
          <w:rFonts w:hint="eastAsia" w:hAnsi="宋体" w:cs="宋体"/>
          <w:spacing w:val="0"/>
          <w:sz w:val="24"/>
          <w:szCs w:val="24"/>
        </w:rPr>
        <w:t>大中型企业与小微企业组成联合体或者允许大中型企业向一家或者多家小微企业分包的政府采购货物或服务项目，对于联合体协议或者分包意向协议约定小微企业的合同份额占到合同总金额40%以上的，对联合体或者大中型企业的报价给予</w:t>
      </w:r>
      <w:r>
        <w:rPr>
          <w:rFonts w:hint="eastAsia" w:hAnsi="宋体" w:cs="宋体"/>
          <w:spacing w:val="0"/>
          <w:sz w:val="24"/>
          <w:szCs w:val="24"/>
          <w:lang w:val="en-US" w:eastAsia="zh-CN"/>
        </w:rPr>
        <w:t>6</w:t>
      </w:r>
      <w:r>
        <w:rPr>
          <w:rFonts w:hint="eastAsia" w:hAnsi="宋体" w:cs="宋体"/>
          <w:spacing w:val="0"/>
          <w:sz w:val="24"/>
          <w:szCs w:val="24"/>
        </w:rPr>
        <w:t>%的扣除，用扣除后的价格参加评审。组成联合体或者接受分包的小微企业与联合体内其他企业、分包企业之间存在直接控股、管理关系的，不享受价格扣除优惠政策。</w:t>
      </w:r>
      <w:bookmarkStart w:id="15" w:name="_GoBack"/>
      <w:bookmarkEnd w:id="15"/>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82" w:firstLineChars="200"/>
        <w:textAlignment w:val="auto"/>
        <w:rPr>
          <w:rFonts w:hint="eastAsia" w:ascii="宋体" w:hAnsi="宋体" w:cs="宋体"/>
          <w:b/>
          <w:bCs/>
          <w:color w:val="auto"/>
          <w:sz w:val="24"/>
          <w:highlight w:val="none"/>
        </w:rPr>
      </w:pPr>
      <w:r>
        <w:rPr>
          <w:rFonts w:hint="eastAsia" w:ascii="宋体" w:hAnsi="宋体" w:cs="宋体"/>
          <w:b/>
          <w:bCs/>
          <w:color w:val="auto"/>
          <w:sz w:val="24"/>
          <w:highlight w:val="none"/>
        </w:rPr>
        <w:t>（二）技术分、商务分、资信及其他分，共</w:t>
      </w:r>
      <w:r>
        <w:rPr>
          <w:rFonts w:hint="eastAsia" w:ascii="宋体" w:hAnsi="宋体" w:cs="宋体"/>
          <w:b/>
          <w:bCs/>
          <w:color w:val="auto"/>
          <w:sz w:val="24"/>
          <w:highlight w:val="none"/>
          <w:lang w:val="en-US" w:eastAsia="zh-CN"/>
        </w:rPr>
        <w:t>80</w:t>
      </w:r>
      <w:r>
        <w:rPr>
          <w:rFonts w:hint="eastAsia" w:ascii="宋体" w:hAnsi="宋体" w:cs="宋体"/>
          <w:b/>
          <w:bCs/>
          <w:color w:val="auto"/>
          <w:sz w:val="24"/>
          <w:highlight w:val="none"/>
        </w:rPr>
        <w:t>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技术、商务、资信及其他分按照评标委员会成员的独立评分结果的算术平均分计算，计算公式为：</w:t>
      </w: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95"/>
        <w:textAlignment w:val="auto"/>
        <w:rPr>
          <w:rFonts w:hint="eastAsia" w:ascii="宋体" w:hAnsi="宋体" w:cs="宋体"/>
          <w:b/>
          <w:color w:val="auto"/>
          <w:sz w:val="24"/>
          <w:highlight w:val="none"/>
        </w:rPr>
      </w:pPr>
      <w:r>
        <w:rPr>
          <w:rFonts w:hint="eastAsia" w:ascii="宋体" w:hAnsi="宋体" w:cs="宋体"/>
          <w:color w:val="auto"/>
          <w:sz w:val="24"/>
          <w:highlight w:val="none"/>
        </w:rPr>
        <w:t>技术商务资信及其他分=（评标委员会所有成员评分合计数）/（评标委员会组成人员数）</w:t>
      </w:r>
    </w:p>
    <w:p>
      <w:pPr>
        <w:tabs>
          <w:tab w:val="left" w:pos="1154"/>
        </w:tabs>
        <w:spacing w:line="360" w:lineRule="auto"/>
        <w:rPr>
          <w:rFonts w:hint="eastAsia"/>
        </w:rPr>
      </w:pPr>
      <w:r>
        <w:rPr>
          <w:rFonts w:hint="eastAsia" w:ascii="宋体" w:hAnsi="宋体" w:cs="宋体"/>
          <w:b/>
          <w:color w:val="auto"/>
          <w:sz w:val="24"/>
          <w:highlight w:val="none"/>
        </w:rPr>
        <w:t>附件：评分表格式（技术、商务、资信及其他分，共</w:t>
      </w:r>
      <w:r>
        <w:rPr>
          <w:rFonts w:hint="eastAsia" w:ascii="宋体" w:hAnsi="宋体" w:cs="宋体"/>
          <w:b/>
          <w:color w:val="auto"/>
          <w:sz w:val="24"/>
          <w:highlight w:val="none"/>
          <w:lang w:val="en-US" w:eastAsia="zh-CN"/>
        </w:rPr>
        <w:t>80</w:t>
      </w:r>
      <w:r>
        <w:rPr>
          <w:rFonts w:hint="eastAsia" w:ascii="宋体" w:hAnsi="宋体" w:cs="宋体"/>
          <w:b/>
          <w:color w:val="auto"/>
          <w:sz w:val="24"/>
          <w:highlight w:val="none"/>
        </w:rPr>
        <w:t>分）</w:t>
      </w:r>
    </w:p>
    <w:tbl>
      <w:tblPr>
        <w:tblStyle w:val="23"/>
        <w:tblW w:w="10022"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228"/>
        <w:gridCol w:w="684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3" w:type="dxa"/>
            <w:noWrap w:val="0"/>
            <w:vAlign w:val="center"/>
          </w:tcPr>
          <w:p>
            <w:pPr>
              <w:widowControl/>
              <w:spacing w:line="300" w:lineRule="exact"/>
              <w:jc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序号</w:t>
            </w:r>
          </w:p>
        </w:tc>
        <w:tc>
          <w:tcPr>
            <w:tcW w:w="1228" w:type="dxa"/>
            <w:noWrap w:val="0"/>
            <w:vAlign w:val="center"/>
          </w:tcPr>
          <w:p>
            <w:pPr>
              <w:widowControl/>
              <w:spacing w:line="300" w:lineRule="exact"/>
              <w:jc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类别</w:t>
            </w:r>
          </w:p>
        </w:tc>
        <w:tc>
          <w:tcPr>
            <w:tcW w:w="6845" w:type="dxa"/>
            <w:noWrap w:val="0"/>
            <w:vAlign w:val="center"/>
          </w:tcPr>
          <w:p>
            <w:pPr>
              <w:widowControl/>
              <w:spacing w:line="300" w:lineRule="exact"/>
              <w:jc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评分标准</w:t>
            </w:r>
          </w:p>
        </w:tc>
        <w:tc>
          <w:tcPr>
            <w:tcW w:w="1186" w:type="dxa"/>
            <w:noWrap w:val="0"/>
            <w:vAlign w:val="center"/>
          </w:tcPr>
          <w:p>
            <w:pPr>
              <w:widowControl/>
              <w:spacing w:line="300" w:lineRule="exact"/>
              <w:jc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3" w:type="dxa"/>
            <w:noWrap w:val="0"/>
            <w:vAlign w:val="center"/>
          </w:tcPr>
          <w:p>
            <w:pPr>
              <w:widowControl/>
              <w:spacing w:line="300" w:lineRule="exact"/>
              <w:jc w:val="center"/>
              <w:rPr>
                <w:rFonts w:hint="eastAsia" w:ascii="宋体" w:hAnsi="宋体" w:eastAsia="宋体" w:cs="宋体"/>
                <w:b/>
                <w:bCs/>
                <w:color w:val="auto"/>
                <w:kern w:val="0"/>
                <w:sz w:val="24"/>
                <w:szCs w:val="24"/>
                <w:lang w:eastAsia="zh-CN"/>
              </w:rPr>
            </w:pPr>
            <w:r>
              <w:rPr>
                <w:rFonts w:hint="eastAsia" w:ascii="宋体" w:hAnsi="宋体" w:cs="宋体"/>
                <w:b/>
                <w:bCs/>
                <w:color w:val="auto"/>
                <w:kern w:val="0"/>
                <w:sz w:val="24"/>
                <w:szCs w:val="24"/>
                <w:lang w:eastAsia="zh-CN"/>
              </w:rPr>
              <w:t>一</w:t>
            </w:r>
          </w:p>
        </w:tc>
        <w:tc>
          <w:tcPr>
            <w:tcW w:w="8073" w:type="dxa"/>
            <w:gridSpan w:val="2"/>
            <w:noWrap w:val="0"/>
            <w:vAlign w:val="center"/>
          </w:tcPr>
          <w:p>
            <w:pPr>
              <w:widowControl/>
              <w:spacing w:line="300" w:lineRule="exact"/>
              <w:jc w:val="both"/>
              <w:rPr>
                <w:rFonts w:hint="eastAsia" w:ascii="宋体" w:hAnsi="宋体" w:eastAsia="宋体" w:cs="宋体"/>
                <w:b/>
                <w:bCs/>
                <w:color w:val="auto"/>
                <w:kern w:val="0"/>
                <w:sz w:val="24"/>
                <w:szCs w:val="24"/>
                <w:lang w:eastAsia="zh-CN"/>
              </w:rPr>
            </w:pPr>
            <w:r>
              <w:rPr>
                <w:rFonts w:hint="eastAsia" w:ascii="宋体" w:hAnsi="宋体" w:cs="宋体"/>
                <w:b/>
                <w:bCs/>
                <w:color w:val="auto"/>
                <w:kern w:val="0"/>
                <w:sz w:val="24"/>
                <w:szCs w:val="24"/>
                <w:lang w:eastAsia="zh-CN"/>
              </w:rPr>
              <w:t>技术分</w:t>
            </w:r>
          </w:p>
        </w:tc>
        <w:tc>
          <w:tcPr>
            <w:tcW w:w="1186"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bidi="ar"/>
              </w:rPr>
            </w:pPr>
            <w:r>
              <w:rPr>
                <w:rFonts w:hint="eastAsia" w:ascii="宋体" w:hAnsi="宋体" w:cs="宋体"/>
                <w:b w:val="0"/>
                <w:bCs w:val="0"/>
                <w:color w:val="auto"/>
                <w:kern w:val="0"/>
                <w:sz w:val="24"/>
                <w:szCs w:val="24"/>
                <w:lang w:val="en-US" w:eastAsia="zh-CN"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3" w:type="dxa"/>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1</w:t>
            </w:r>
          </w:p>
        </w:tc>
        <w:tc>
          <w:tcPr>
            <w:tcW w:w="1228" w:type="dxa"/>
            <w:noWrap w:val="0"/>
            <w:vAlign w:val="center"/>
          </w:tcPr>
          <w:p>
            <w:pPr>
              <w:widowControl/>
              <w:spacing w:line="300" w:lineRule="exact"/>
              <w:jc w:val="center"/>
              <w:rPr>
                <w:rFonts w:hint="eastAsia" w:ascii="宋体" w:hAnsi="宋体" w:cs="宋体"/>
                <w:b w:val="0"/>
                <w:bCs w:val="0"/>
                <w:color w:val="auto"/>
                <w:kern w:val="0"/>
                <w:sz w:val="24"/>
                <w:szCs w:val="24"/>
                <w:lang w:eastAsia="zh-CN"/>
              </w:rPr>
            </w:pPr>
            <w:r>
              <w:rPr>
                <w:rFonts w:hint="eastAsia" w:ascii="宋体" w:hAnsi="宋体" w:cs="宋体"/>
                <w:b w:val="0"/>
                <w:bCs w:val="0"/>
                <w:color w:val="auto"/>
                <w:kern w:val="0"/>
                <w:sz w:val="24"/>
                <w:szCs w:val="24"/>
                <w:lang w:eastAsia="zh-CN"/>
              </w:rPr>
              <w:t>项目总体要求与理解</w:t>
            </w:r>
          </w:p>
        </w:tc>
        <w:tc>
          <w:tcPr>
            <w:tcW w:w="684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根据投标人对本项目现状梳理内容详实程度（0-2）、创建优势分析（0-2）、居民诉求及调研（0-2）</w:t>
            </w:r>
            <w:r>
              <w:rPr>
                <w:rFonts w:hint="eastAsia" w:ascii="宋体" w:hAnsi="宋体" w:cs="Times New Roman"/>
                <w:color w:val="auto"/>
                <w:kern w:val="2"/>
                <w:sz w:val="24"/>
                <w:szCs w:val="24"/>
                <w:lang w:val="en-US" w:eastAsia="zh-CN" w:bidi="ar-SA"/>
              </w:rPr>
              <w:t>等内容进行评审。</w:t>
            </w:r>
            <w:r>
              <w:rPr>
                <w:rFonts w:hint="eastAsia" w:ascii="宋体" w:hAnsi="宋体" w:cs="宋体"/>
                <w:color w:val="auto"/>
                <w:sz w:val="24"/>
                <w:lang w:val="en-US" w:eastAsia="zh-CN"/>
              </w:rPr>
              <w:t>内容</w:t>
            </w:r>
            <w:r>
              <w:rPr>
                <w:rFonts w:hint="eastAsia" w:ascii="宋体" w:hAnsi="宋体" w:cs="宋体"/>
                <w:color w:val="auto"/>
                <w:sz w:val="24"/>
                <w:lang w:eastAsia="zh-CN"/>
              </w:rPr>
              <w:t>科学合理，</w:t>
            </w:r>
            <w:r>
              <w:rPr>
                <w:rFonts w:hint="eastAsia" w:ascii="宋体" w:hAnsi="宋体" w:cs="宋体"/>
                <w:color w:val="auto"/>
                <w:sz w:val="24"/>
              </w:rPr>
              <w:t>可操作性强</w:t>
            </w:r>
            <w:r>
              <w:rPr>
                <w:rFonts w:hint="eastAsia" w:ascii="宋体" w:hAnsi="宋体" w:cs="宋体"/>
                <w:color w:val="auto"/>
                <w:sz w:val="24"/>
                <w:lang w:eastAsia="zh-CN"/>
              </w:rPr>
              <w:t>得</w:t>
            </w:r>
            <w:r>
              <w:rPr>
                <w:rFonts w:hint="eastAsia" w:ascii="宋体" w:hAnsi="宋体" w:cs="宋体"/>
                <w:color w:val="auto"/>
                <w:sz w:val="24"/>
                <w:lang w:val="en-US" w:eastAsia="zh-CN"/>
              </w:rPr>
              <w:t>6分</w:t>
            </w:r>
            <w:r>
              <w:rPr>
                <w:rFonts w:hint="eastAsia" w:ascii="宋体" w:hAnsi="宋体" w:cs="宋体"/>
                <w:color w:val="auto"/>
                <w:sz w:val="24"/>
              </w:rPr>
              <w:t>。</w:t>
            </w:r>
            <w:r>
              <w:rPr>
                <w:rFonts w:hint="eastAsia" w:ascii="宋体" w:hAnsi="宋体" w:cs="宋体"/>
                <w:color w:val="auto"/>
                <w:sz w:val="24"/>
                <w:lang w:eastAsia="zh-CN"/>
              </w:rPr>
              <w:t>上述</w:t>
            </w:r>
            <w:r>
              <w:rPr>
                <w:rFonts w:hint="eastAsia" w:ascii="宋体" w:hAnsi="宋体" w:cs="宋体"/>
                <w:color w:val="auto"/>
                <w:sz w:val="24"/>
              </w:rPr>
              <w:t>方案</w:t>
            </w:r>
            <w:r>
              <w:rPr>
                <w:rFonts w:hint="eastAsia" w:ascii="宋体" w:hAnsi="宋体" w:cs="宋体"/>
                <w:color w:val="auto"/>
                <w:sz w:val="24"/>
                <w:lang w:eastAsia="zh-CN"/>
              </w:rPr>
              <w:t>有缺项，每项扣</w:t>
            </w:r>
            <w:r>
              <w:rPr>
                <w:rFonts w:hint="eastAsia" w:ascii="宋体" w:hAnsi="宋体" w:cs="宋体"/>
                <w:color w:val="auto"/>
                <w:sz w:val="24"/>
                <w:lang w:val="en-US" w:eastAsia="zh-CN"/>
              </w:rPr>
              <w:t>2分，</w:t>
            </w:r>
            <w:r>
              <w:rPr>
                <w:rFonts w:hint="eastAsia" w:ascii="宋体" w:hAnsi="宋体" w:cs="宋体"/>
                <w:color w:val="auto"/>
                <w:sz w:val="24"/>
                <w:lang w:eastAsia="zh-CN"/>
              </w:rPr>
              <w:t>方案不够合理、操作性不强</w:t>
            </w:r>
            <w:r>
              <w:rPr>
                <w:rFonts w:hint="eastAsia" w:ascii="宋体" w:hAnsi="宋体" w:cs="宋体"/>
                <w:color w:val="auto"/>
                <w:sz w:val="24"/>
              </w:rPr>
              <w:t>的每项扣</w:t>
            </w:r>
            <w:r>
              <w:rPr>
                <w:rFonts w:hint="eastAsia" w:ascii="宋体" w:hAnsi="宋体" w:cs="宋体"/>
                <w:color w:val="auto"/>
                <w:sz w:val="24"/>
                <w:lang w:val="en-US" w:eastAsia="zh-CN"/>
              </w:rPr>
              <w:t>0-2</w:t>
            </w:r>
            <w:r>
              <w:rPr>
                <w:rFonts w:hint="eastAsia" w:ascii="宋体" w:hAnsi="宋体" w:cs="宋体"/>
                <w:color w:val="auto"/>
                <w:sz w:val="24"/>
              </w:rPr>
              <w:t>分，扣完为止。</w:t>
            </w:r>
          </w:p>
        </w:tc>
        <w:tc>
          <w:tcPr>
            <w:tcW w:w="1186"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6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w:t>
            </w:r>
          </w:p>
        </w:tc>
        <w:tc>
          <w:tcPr>
            <w:tcW w:w="1228" w:type="dxa"/>
            <w:vMerge w:val="restart"/>
            <w:noWrap w:val="0"/>
            <w:vAlign w:val="center"/>
          </w:tcPr>
          <w:p>
            <w:pPr>
              <w:widowControl/>
              <w:spacing w:line="300" w:lineRule="exact"/>
              <w:ind w:left="240" w:hanging="240" w:hangingChars="100"/>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实施方案</w:t>
            </w:r>
          </w:p>
        </w:tc>
        <w:tc>
          <w:tcPr>
            <w:tcW w:w="6845" w:type="dxa"/>
            <w:noWrap w:val="0"/>
            <w:vAlign w:val="center"/>
          </w:tcPr>
          <w:p>
            <w:pPr>
              <w:keepNext w:val="0"/>
              <w:keepLines w:val="0"/>
              <w:widowControl/>
              <w:suppressLineNumbers w:val="0"/>
              <w:jc w:val="both"/>
              <w:textAlignment w:val="center"/>
              <w:rPr>
                <w:rFonts w:hint="eastAsia" w:ascii="宋体" w:hAnsi="宋体" w:cs="宋体"/>
                <w:b w:val="0"/>
                <w:bCs w:val="0"/>
                <w:color w:val="auto"/>
                <w:sz w:val="24"/>
                <w:szCs w:val="24"/>
              </w:rPr>
            </w:pPr>
            <w:r>
              <w:rPr>
                <w:rFonts w:hint="eastAsia" w:ascii="宋体" w:hAnsi="宋体" w:eastAsia="宋体" w:cs="宋体"/>
                <w:i w:val="0"/>
                <w:color w:val="auto"/>
                <w:kern w:val="0"/>
                <w:sz w:val="24"/>
                <w:szCs w:val="24"/>
                <w:u w:val="none"/>
                <w:lang w:val="en-US" w:eastAsia="zh-CN" w:bidi="ar"/>
              </w:rPr>
              <w:t>对本项目开展文化专篇研究（0-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），文化主题凝练有特色（0-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w:t>
            </w:r>
            <w:r>
              <w:rPr>
                <w:rFonts w:hint="eastAsia" w:ascii="宋体" w:hAnsi="宋体" w:cs="Times New Roman"/>
                <w:color w:val="auto"/>
                <w:kern w:val="2"/>
                <w:sz w:val="24"/>
                <w:szCs w:val="24"/>
                <w:lang w:val="en-US" w:eastAsia="zh-CN" w:bidi="ar-SA"/>
              </w:rPr>
              <w:t>等内容进行评审。</w:t>
            </w:r>
            <w:r>
              <w:rPr>
                <w:rFonts w:hint="eastAsia" w:ascii="宋体" w:hAnsi="宋体" w:cs="宋体"/>
                <w:color w:val="auto"/>
                <w:sz w:val="24"/>
                <w:lang w:val="en-US" w:eastAsia="zh-CN"/>
              </w:rPr>
              <w:t>内容</w:t>
            </w:r>
            <w:r>
              <w:rPr>
                <w:rFonts w:hint="eastAsia" w:ascii="宋体" w:hAnsi="宋体" w:cs="宋体"/>
                <w:color w:val="auto"/>
                <w:sz w:val="24"/>
                <w:lang w:eastAsia="zh-CN"/>
              </w:rPr>
              <w:t>科学合理，</w:t>
            </w:r>
            <w:r>
              <w:rPr>
                <w:rFonts w:hint="eastAsia" w:ascii="宋体" w:hAnsi="宋体" w:cs="宋体"/>
                <w:color w:val="auto"/>
                <w:sz w:val="24"/>
              </w:rPr>
              <w:t>可操作性强</w:t>
            </w:r>
            <w:r>
              <w:rPr>
                <w:rFonts w:hint="eastAsia" w:ascii="宋体" w:hAnsi="宋体" w:cs="宋体"/>
                <w:color w:val="auto"/>
                <w:sz w:val="24"/>
                <w:lang w:eastAsia="zh-CN"/>
              </w:rPr>
              <w:t>得</w:t>
            </w:r>
            <w:r>
              <w:rPr>
                <w:rFonts w:hint="eastAsia" w:ascii="宋体" w:hAnsi="宋体" w:cs="宋体"/>
                <w:color w:val="auto"/>
                <w:sz w:val="24"/>
                <w:lang w:val="en-US" w:eastAsia="zh-CN"/>
              </w:rPr>
              <w:t>6分</w:t>
            </w:r>
            <w:r>
              <w:rPr>
                <w:rFonts w:hint="eastAsia" w:ascii="宋体" w:hAnsi="宋体" w:cs="宋体"/>
                <w:color w:val="auto"/>
                <w:sz w:val="24"/>
              </w:rPr>
              <w:t>。</w:t>
            </w:r>
            <w:r>
              <w:rPr>
                <w:rFonts w:hint="eastAsia" w:ascii="宋体" w:hAnsi="宋体" w:cs="宋体"/>
                <w:color w:val="auto"/>
                <w:sz w:val="24"/>
                <w:lang w:eastAsia="zh-CN"/>
              </w:rPr>
              <w:t>上述</w:t>
            </w:r>
            <w:r>
              <w:rPr>
                <w:rFonts w:hint="eastAsia" w:ascii="宋体" w:hAnsi="宋体" w:cs="宋体"/>
                <w:color w:val="auto"/>
                <w:sz w:val="24"/>
              </w:rPr>
              <w:t>方案</w:t>
            </w:r>
            <w:r>
              <w:rPr>
                <w:rFonts w:hint="eastAsia" w:ascii="宋体" w:hAnsi="宋体" w:cs="宋体"/>
                <w:color w:val="auto"/>
                <w:sz w:val="24"/>
                <w:lang w:eastAsia="zh-CN"/>
              </w:rPr>
              <w:t>有缺项，每项扣</w:t>
            </w:r>
            <w:r>
              <w:rPr>
                <w:rFonts w:hint="eastAsia" w:ascii="宋体" w:hAnsi="宋体" w:cs="宋体"/>
                <w:color w:val="auto"/>
                <w:sz w:val="24"/>
                <w:lang w:val="en-US" w:eastAsia="zh-CN"/>
              </w:rPr>
              <w:t>3分，</w:t>
            </w:r>
            <w:r>
              <w:rPr>
                <w:rFonts w:hint="eastAsia" w:ascii="宋体" w:hAnsi="宋体" w:cs="宋体"/>
                <w:color w:val="auto"/>
                <w:sz w:val="24"/>
                <w:lang w:eastAsia="zh-CN"/>
              </w:rPr>
              <w:t>方案不够合理、操作性不强</w:t>
            </w:r>
            <w:r>
              <w:rPr>
                <w:rFonts w:hint="eastAsia" w:ascii="宋体" w:hAnsi="宋体" w:cs="宋体"/>
                <w:color w:val="auto"/>
                <w:sz w:val="24"/>
              </w:rPr>
              <w:t>的每项扣</w:t>
            </w:r>
            <w:r>
              <w:rPr>
                <w:rFonts w:hint="eastAsia" w:ascii="宋体" w:hAnsi="宋体" w:cs="宋体"/>
                <w:color w:val="auto"/>
                <w:sz w:val="24"/>
                <w:lang w:val="en-US" w:eastAsia="zh-CN"/>
              </w:rPr>
              <w:t>0-3</w:t>
            </w:r>
            <w:r>
              <w:rPr>
                <w:rFonts w:hint="eastAsia" w:ascii="宋体" w:hAnsi="宋体" w:cs="宋体"/>
                <w:color w:val="auto"/>
                <w:sz w:val="24"/>
              </w:rPr>
              <w:t>分，扣完为止。</w:t>
            </w:r>
          </w:p>
        </w:tc>
        <w:tc>
          <w:tcPr>
            <w:tcW w:w="1186"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63" w:type="dxa"/>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3</w:t>
            </w:r>
          </w:p>
        </w:tc>
        <w:tc>
          <w:tcPr>
            <w:tcW w:w="1228" w:type="dxa"/>
            <w:vMerge w:val="continue"/>
            <w:noWrap w:val="0"/>
            <w:vAlign w:val="center"/>
          </w:tcPr>
          <w:p>
            <w:pPr>
              <w:widowControl/>
              <w:spacing w:line="300" w:lineRule="exact"/>
              <w:ind w:left="240" w:hanging="240" w:hangingChars="100"/>
              <w:rPr>
                <w:rFonts w:hint="eastAsia" w:ascii="宋体" w:hAnsi="宋体" w:cs="宋体"/>
                <w:b w:val="0"/>
                <w:bCs w:val="0"/>
                <w:color w:val="auto"/>
                <w:kern w:val="0"/>
                <w:sz w:val="24"/>
                <w:szCs w:val="24"/>
              </w:rPr>
            </w:pPr>
          </w:p>
        </w:tc>
        <w:tc>
          <w:tcPr>
            <w:tcW w:w="6845" w:type="dxa"/>
            <w:noWrap w:val="0"/>
            <w:vAlign w:val="center"/>
          </w:tcPr>
          <w:p>
            <w:pPr>
              <w:keepNext w:val="0"/>
              <w:keepLines w:val="0"/>
              <w:widowControl/>
              <w:suppressLineNumbers w:val="0"/>
              <w:jc w:val="both"/>
              <w:textAlignment w:val="center"/>
              <w:rPr>
                <w:rFonts w:hint="eastAsia" w:ascii="宋体" w:hAnsi="宋体" w:cs="宋体"/>
                <w:b w:val="0"/>
                <w:bCs w:val="0"/>
                <w:color w:val="auto"/>
                <w:sz w:val="24"/>
                <w:szCs w:val="24"/>
              </w:rPr>
            </w:pPr>
            <w:r>
              <w:rPr>
                <w:rFonts w:hint="eastAsia" w:ascii="宋体" w:hAnsi="宋体" w:eastAsia="宋体" w:cs="宋体"/>
                <w:i w:val="0"/>
                <w:color w:val="auto"/>
                <w:kern w:val="0"/>
                <w:sz w:val="24"/>
                <w:szCs w:val="24"/>
                <w:u w:val="none"/>
                <w:lang w:val="en-US" w:eastAsia="zh-CN" w:bidi="ar"/>
              </w:rPr>
              <w:t>根据投标人对本项目的整合提升改造空间及内容（0-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），在设计中体现未来社区的理念（0-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），提出合理化的改造建议及解决措施（0-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w:t>
            </w:r>
            <w:r>
              <w:rPr>
                <w:rFonts w:hint="eastAsia" w:ascii="宋体" w:hAnsi="宋体" w:cs="Times New Roman"/>
                <w:color w:val="auto"/>
                <w:kern w:val="2"/>
                <w:sz w:val="24"/>
                <w:szCs w:val="24"/>
                <w:lang w:val="en-US" w:eastAsia="zh-CN" w:bidi="ar-SA"/>
              </w:rPr>
              <w:t>等内容进行评审。</w:t>
            </w:r>
            <w:r>
              <w:rPr>
                <w:rFonts w:hint="eastAsia" w:ascii="宋体" w:hAnsi="宋体" w:cs="宋体"/>
                <w:color w:val="auto"/>
                <w:sz w:val="24"/>
                <w:lang w:val="en-US" w:eastAsia="zh-CN"/>
              </w:rPr>
              <w:t>内容</w:t>
            </w:r>
            <w:r>
              <w:rPr>
                <w:rFonts w:hint="eastAsia" w:ascii="宋体" w:hAnsi="宋体" w:cs="宋体"/>
                <w:color w:val="auto"/>
                <w:sz w:val="24"/>
                <w:lang w:eastAsia="zh-CN"/>
              </w:rPr>
              <w:t>科学合理，</w:t>
            </w:r>
            <w:r>
              <w:rPr>
                <w:rFonts w:hint="eastAsia" w:ascii="宋体" w:hAnsi="宋体" w:cs="宋体"/>
                <w:color w:val="auto"/>
                <w:sz w:val="24"/>
              </w:rPr>
              <w:t>可操作性强</w:t>
            </w:r>
            <w:r>
              <w:rPr>
                <w:rFonts w:hint="eastAsia" w:ascii="宋体" w:hAnsi="宋体" w:cs="宋体"/>
                <w:color w:val="auto"/>
                <w:sz w:val="24"/>
                <w:lang w:eastAsia="zh-CN"/>
              </w:rPr>
              <w:t>得</w:t>
            </w:r>
            <w:r>
              <w:rPr>
                <w:rFonts w:hint="eastAsia" w:ascii="宋体" w:hAnsi="宋体" w:cs="宋体"/>
                <w:color w:val="auto"/>
                <w:sz w:val="24"/>
                <w:lang w:val="en-US" w:eastAsia="zh-CN"/>
              </w:rPr>
              <w:t>9分</w:t>
            </w:r>
            <w:r>
              <w:rPr>
                <w:rFonts w:hint="eastAsia" w:ascii="宋体" w:hAnsi="宋体" w:cs="宋体"/>
                <w:color w:val="auto"/>
                <w:sz w:val="24"/>
              </w:rPr>
              <w:t>。</w:t>
            </w:r>
            <w:r>
              <w:rPr>
                <w:rFonts w:hint="eastAsia" w:ascii="宋体" w:hAnsi="宋体" w:cs="宋体"/>
                <w:color w:val="auto"/>
                <w:sz w:val="24"/>
                <w:lang w:eastAsia="zh-CN"/>
              </w:rPr>
              <w:t>上述</w:t>
            </w:r>
            <w:r>
              <w:rPr>
                <w:rFonts w:hint="eastAsia" w:ascii="宋体" w:hAnsi="宋体" w:cs="宋体"/>
                <w:color w:val="auto"/>
                <w:sz w:val="24"/>
              </w:rPr>
              <w:t>方案</w:t>
            </w:r>
            <w:r>
              <w:rPr>
                <w:rFonts w:hint="eastAsia" w:ascii="宋体" w:hAnsi="宋体" w:cs="宋体"/>
                <w:color w:val="auto"/>
                <w:sz w:val="24"/>
                <w:lang w:eastAsia="zh-CN"/>
              </w:rPr>
              <w:t>有缺项，每项扣</w:t>
            </w:r>
            <w:r>
              <w:rPr>
                <w:rFonts w:hint="eastAsia" w:ascii="宋体" w:hAnsi="宋体" w:cs="宋体"/>
                <w:color w:val="auto"/>
                <w:sz w:val="24"/>
                <w:lang w:val="en-US" w:eastAsia="zh-CN"/>
              </w:rPr>
              <w:t>3分，</w:t>
            </w:r>
            <w:r>
              <w:rPr>
                <w:rFonts w:hint="eastAsia" w:ascii="宋体" w:hAnsi="宋体" w:cs="宋体"/>
                <w:color w:val="auto"/>
                <w:sz w:val="24"/>
                <w:lang w:eastAsia="zh-CN"/>
              </w:rPr>
              <w:t>方案不够合理、操作性不强</w:t>
            </w:r>
            <w:r>
              <w:rPr>
                <w:rFonts w:hint="eastAsia" w:ascii="宋体" w:hAnsi="宋体" w:cs="宋体"/>
                <w:color w:val="auto"/>
                <w:sz w:val="24"/>
              </w:rPr>
              <w:t>的每项扣</w:t>
            </w:r>
            <w:r>
              <w:rPr>
                <w:rFonts w:hint="eastAsia" w:ascii="宋体" w:hAnsi="宋体" w:cs="宋体"/>
                <w:color w:val="auto"/>
                <w:sz w:val="24"/>
                <w:lang w:val="en-US" w:eastAsia="zh-CN"/>
              </w:rPr>
              <w:t>0-3</w:t>
            </w:r>
            <w:r>
              <w:rPr>
                <w:rFonts w:hint="eastAsia" w:ascii="宋体" w:hAnsi="宋体" w:cs="宋体"/>
                <w:color w:val="auto"/>
                <w:sz w:val="24"/>
              </w:rPr>
              <w:t>分，扣完为止。</w:t>
            </w:r>
          </w:p>
        </w:tc>
        <w:tc>
          <w:tcPr>
            <w:tcW w:w="1186" w:type="dxa"/>
            <w:noWrap w:val="0"/>
            <w:vAlign w:val="center"/>
          </w:tcPr>
          <w:p>
            <w:pPr>
              <w:widowControl/>
              <w:spacing w:line="300" w:lineRule="exact"/>
              <w:jc w:val="center"/>
              <w:rPr>
                <w:rFonts w:hint="default"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63" w:type="dxa"/>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4</w:t>
            </w:r>
          </w:p>
        </w:tc>
        <w:tc>
          <w:tcPr>
            <w:tcW w:w="1228" w:type="dxa"/>
            <w:vMerge w:val="continue"/>
            <w:noWrap w:val="0"/>
            <w:vAlign w:val="center"/>
          </w:tcPr>
          <w:p>
            <w:pPr>
              <w:widowControl/>
              <w:spacing w:line="300" w:lineRule="exact"/>
              <w:ind w:left="240" w:hanging="240" w:hangingChars="100"/>
              <w:rPr>
                <w:rFonts w:hint="eastAsia" w:ascii="宋体" w:hAnsi="宋体" w:cs="宋体"/>
                <w:b w:val="0"/>
                <w:bCs w:val="0"/>
                <w:color w:val="auto"/>
                <w:kern w:val="0"/>
                <w:sz w:val="24"/>
                <w:szCs w:val="24"/>
              </w:rPr>
            </w:pPr>
          </w:p>
        </w:tc>
        <w:tc>
          <w:tcPr>
            <w:tcW w:w="6845" w:type="dxa"/>
            <w:noWrap w:val="0"/>
            <w:vAlign w:val="center"/>
          </w:tcPr>
          <w:p>
            <w:pPr>
              <w:keepNext w:val="0"/>
              <w:keepLines w:val="0"/>
              <w:widowControl/>
              <w:suppressLineNumbers w:val="0"/>
              <w:jc w:val="both"/>
              <w:textAlignment w:val="center"/>
              <w:rPr>
                <w:rFonts w:hint="eastAsia" w:ascii="宋体" w:hAnsi="宋体" w:cs="宋体"/>
                <w:b w:val="0"/>
                <w:bCs w:val="0"/>
                <w:color w:val="auto"/>
                <w:sz w:val="24"/>
                <w:szCs w:val="24"/>
              </w:rPr>
            </w:pPr>
            <w:r>
              <w:rPr>
                <w:rFonts w:hint="eastAsia" w:ascii="宋体" w:hAnsi="宋体" w:eastAsia="宋体" w:cs="宋体"/>
                <w:i w:val="0"/>
                <w:color w:val="auto"/>
                <w:kern w:val="0"/>
                <w:sz w:val="24"/>
                <w:szCs w:val="24"/>
                <w:u w:val="none"/>
                <w:lang w:val="en-US" w:eastAsia="zh-CN" w:bidi="ar"/>
              </w:rPr>
              <w:t>突出以未来社区九大场景创新为重点的系统设计（0-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）,提出实施单元的场景配置方案（0-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），本项目的特色场景打造的重点内容及建议（0-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w:t>
            </w:r>
            <w:r>
              <w:rPr>
                <w:rFonts w:hint="eastAsia" w:ascii="宋体" w:hAnsi="宋体" w:cs="Times New Roman"/>
                <w:color w:val="auto"/>
                <w:kern w:val="2"/>
                <w:sz w:val="24"/>
                <w:szCs w:val="24"/>
                <w:lang w:val="en-US" w:eastAsia="zh-CN" w:bidi="ar-SA"/>
              </w:rPr>
              <w:t>等内容进行评审。</w:t>
            </w:r>
            <w:r>
              <w:rPr>
                <w:rFonts w:hint="eastAsia" w:ascii="宋体" w:hAnsi="宋体" w:cs="宋体"/>
                <w:color w:val="auto"/>
                <w:sz w:val="24"/>
                <w:lang w:val="en-US" w:eastAsia="zh-CN"/>
              </w:rPr>
              <w:t>内容</w:t>
            </w:r>
            <w:r>
              <w:rPr>
                <w:rFonts w:hint="eastAsia" w:ascii="宋体" w:hAnsi="宋体" w:cs="宋体"/>
                <w:color w:val="auto"/>
                <w:sz w:val="24"/>
                <w:lang w:eastAsia="zh-CN"/>
              </w:rPr>
              <w:t>科学合理，</w:t>
            </w:r>
            <w:r>
              <w:rPr>
                <w:rFonts w:hint="eastAsia" w:ascii="宋体" w:hAnsi="宋体" w:cs="宋体"/>
                <w:color w:val="auto"/>
                <w:sz w:val="24"/>
              </w:rPr>
              <w:t>可操作性强</w:t>
            </w:r>
            <w:r>
              <w:rPr>
                <w:rFonts w:hint="eastAsia" w:ascii="宋体" w:hAnsi="宋体" w:cs="宋体"/>
                <w:color w:val="auto"/>
                <w:sz w:val="24"/>
                <w:lang w:eastAsia="zh-CN"/>
              </w:rPr>
              <w:t>得</w:t>
            </w:r>
            <w:r>
              <w:rPr>
                <w:rFonts w:hint="eastAsia" w:ascii="宋体" w:hAnsi="宋体" w:cs="宋体"/>
                <w:color w:val="auto"/>
                <w:sz w:val="24"/>
                <w:lang w:val="en-US" w:eastAsia="zh-CN"/>
              </w:rPr>
              <w:t>9分</w:t>
            </w:r>
            <w:r>
              <w:rPr>
                <w:rFonts w:hint="eastAsia" w:ascii="宋体" w:hAnsi="宋体" w:cs="宋体"/>
                <w:color w:val="auto"/>
                <w:sz w:val="24"/>
              </w:rPr>
              <w:t>。</w:t>
            </w:r>
            <w:r>
              <w:rPr>
                <w:rFonts w:hint="eastAsia" w:ascii="宋体" w:hAnsi="宋体" w:cs="宋体"/>
                <w:color w:val="auto"/>
                <w:sz w:val="24"/>
                <w:lang w:eastAsia="zh-CN"/>
              </w:rPr>
              <w:t>上述</w:t>
            </w:r>
            <w:r>
              <w:rPr>
                <w:rFonts w:hint="eastAsia" w:ascii="宋体" w:hAnsi="宋体" w:cs="宋体"/>
                <w:color w:val="auto"/>
                <w:sz w:val="24"/>
              </w:rPr>
              <w:t>方案</w:t>
            </w:r>
            <w:r>
              <w:rPr>
                <w:rFonts w:hint="eastAsia" w:ascii="宋体" w:hAnsi="宋体" w:cs="宋体"/>
                <w:color w:val="auto"/>
                <w:sz w:val="24"/>
                <w:lang w:eastAsia="zh-CN"/>
              </w:rPr>
              <w:t>有缺项，每项扣</w:t>
            </w:r>
            <w:r>
              <w:rPr>
                <w:rFonts w:hint="eastAsia" w:ascii="宋体" w:hAnsi="宋体" w:cs="宋体"/>
                <w:color w:val="auto"/>
                <w:sz w:val="24"/>
                <w:lang w:val="en-US" w:eastAsia="zh-CN"/>
              </w:rPr>
              <w:t>3分，</w:t>
            </w:r>
            <w:r>
              <w:rPr>
                <w:rFonts w:hint="eastAsia" w:ascii="宋体" w:hAnsi="宋体" w:cs="宋体"/>
                <w:color w:val="auto"/>
                <w:sz w:val="24"/>
                <w:lang w:eastAsia="zh-CN"/>
              </w:rPr>
              <w:t>方案不够合理、操作性不强</w:t>
            </w:r>
            <w:r>
              <w:rPr>
                <w:rFonts w:hint="eastAsia" w:ascii="宋体" w:hAnsi="宋体" w:cs="宋体"/>
                <w:color w:val="auto"/>
                <w:sz w:val="24"/>
              </w:rPr>
              <w:t>的每项扣</w:t>
            </w:r>
            <w:r>
              <w:rPr>
                <w:rFonts w:hint="eastAsia" w:ascii="宋体" w:hAnsi="宋体" w:cs="宋体"/>
                <w:color w:val="auto"/>
                <w:sz w:val="24"/>
                <w:lang w:val="en-US" w:eastAsia="zh-CN"/>
              </w:rPr>
              <w:t>0-3</w:t>
            </w:r>
            <w:r>
              <w:rPr>
                <w:rFonts w:hint="eastAsia" w:ascii="宋体" w:hAnsi="宋体" w:cs="宋体"/>
                <w:color w:val="auto"/>
                <w:sz w:val="24"/>
              </w:rPr>
              <w:t>分，扣完为止。</w:t>
            </w:r>
          </w:p>
        </w:tc>
        <w:tc>
          <w:tcPr>
            <w:tcW w:w="1186" w:type="dxa"/>
            <w:noWrap w:val="0"/>
            <w:vAlign w:val="center"/>
          </w:tcPr>
          <w:p>
            <w:pPr>
              <w:widowControl/>
              <w:spacing w:line="300" w:lineRule="exact"/>
              <w:jc w:val="center"/>
              <w:rPr>
                <w:rFonts w:hint="default"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63" w:type="dxa"/>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5</w:t>
            </w:r>
          </w:p>
        </w:tc>
        <w:tc>
          <w:tcPr>
            <w:tcW w:w="1228" w:type="dxa"/>
            <w:vMerge w:val="continue"/>
            <w:noWrap w:val="0"/>
            <w:vAlign w:val="center"/>
          </w:tcPr>
          <w:p>
            <w:pPr>
              <w:widowControl/>
              <w:spacing w:line="300" w:lineRule="exact"/>
              <w:ind w:left="240" w:hanging="240" w:hangingChars="100"/>
              <w:rPr>
                <w:rFonts w:hint="eastAsia" w:ascii="宋体" w:hAnsi="宋体" w:cs="宋体"/>
                <w:b w:val="0"/>
                <w:bCs w:val="0"/>
                <w:color w:val="auto"/>
                <w:kern w:val="0"/>
                <w:sz w:val="24"/>
                <w:szCs w:val="24"/>
              </w:rPr>
            </w:pPr>
          </w:p>
        </w:tc>
        <w:tc>
          <w:tcPr>
            <w:tcW w:w="6845" w:type="dxa"/>
            <w:noWrap w:val="0"/>
            <w:vAlign w:val="center"/>
          </w:tcPr>
          <w:p>
            <w:pPr>
              <w:keepNext w:val="0"/>
              <w:keepLines w:val="0"/>
              <w:widowControl/>
              <w:suppressLineNumbers w:val="0"/>
              <w:jc w:val="both"/>
              <w:textAlignment w:val="center"/>
              <w:rPr>
                <w:rFonts w:hint="eastAsia" w:ascii="宋体" w:hAnsi="宋体" w:cs="宋体"/>
                <w:b w:val="0"/>
                <w:bCs w:val="0"/>
                <w:color w:val="auto"/>
                <w:sz w:val="24"/>
                <w:szCs w:val="24"/>
              </w:rPr>
            </w:pPr>
            <w:r>
              <w:rPr>
                <w:rFonts w:hint="eastAsia" w:ascii="宋体" w:hAnsi="宋体" w:eastAsia="宋体" w:cs="宋体"/>
                <w:i w:val="0"/>
                <w:color w:val="auto"/>
                <w:kern w:val="0"/>
                <w:sz w:val="24"/>
                <w:szCs w:val="24"/>
                <w:u w:val="none"/>
                <w:lang w:val="en-US" w:eastAsia="zh-CN" w:bidi="ar"/>
              </w:rPr>
              <w:t>落实未来社区数字社会建设要求（0-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），编制社区的数字化系统架构（0-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）及场景数字化方案（0-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w:t>
            </w:r>
            <w:r>
              <w:rPr>
                <w:rFonts w:hint="eastAsia" w:ascii="宋体" w:hAnsi="宋体" w:cs="Times New Roman"/>
                <w:color w:val="auto"/>
                <w:kern w:val="2"/>
                <w:sz w:val="24"/>
                <w:szCs w:val="24"/>
                <w:lang w:val="en-US" w:eastAsia="zh-CN" w:bidi="ar-SA"/>
              </w:rPr>
              <w:t>等内容进行评审。</w:t>
            </w:r>
            <w:r>
              <w:rPr>
                <w:rFonts w:hint="eastAsia" w:ascii="宋体" w:hAnsi="宋体" w:cs="宋体"/>
                <w:color w:val="auto"/>
                <w:sz w:val="24"/>
                <w:lang w:val="en-US" w:eastAsia="zh-CN"/>
              </w:rPr>
              <w:t>内容</w:t>
            </w:r>
            <w:r>
              <w:rPr>
                <w:rFonts w:hint="eastAsia" w:ascii="宋体" w:hAnsi="宋体" w:cs="宋体"/>
                <w:color w:val="auto"/>
                <w:sz w:val="24"/>
                <w:lang w:eastAsia="zh-CN"/>
              </w:rPr>
              <w:t>科学合理，</w:t>
            </w:r>
            <w:r>
              <w:rPr>
                <w:rFonts w:hint="eastAsia" w:ascii="宋体" w:hAnsi="宋体" w:cs="宋体"/>
                <w:color w:val="auto"/>
                <w:sz w:val="24"/>
              </w:rPr>
              <w:t>可操作性强</w:t>
            </w:r>
            <w:r>
              <w:rPr>
                <w:rFonts w:hint="eastAsia" w:ascii="宋体" w:hAnsi="宋体" w:cs="宋体"/>
                <w:color w:val="auto"/>
                <w:sz w:val="24"/>
                <w:lang w:eastAsia="zh-CN"/>
              </w:rPr>
              <w:t>得</w:t>
            </w:r>
            <w:r>
              <w:rPr>
                <w:rFonts w:hint="eastAsia" w:ascii="宋体" w:hAnsi="宋体" w:cs="宋体"/>
                <w:color w:val="auto"/>
                <w:sz w:val="24"/>
                <w:lang w:val="en-US" w:eastAsia="zh-CN"/>
              </w:rPr>
              <w:t>9分</w:t>
            </w:r>
            <w:r>
              <w:rPr>
                <w:rFonts w:hint="eastAsia" w:ascii="宋体" w:hAnsi="宋体" w:cs="宋体"/>
                <w:color w:val="auto"/>
                <w:sz w:val="24"/>
              </w:rPr>
              <w:t>。</w:t>
            </w:r>
            <w:r>
              <w:rPr>
                <w:rFonts w:hint="eastAsia" w:ascii="宋体" w:hAnsi="宋体" w:cs="宋体"/>
                <w:color w:val="auto"/>
                <w:sz w:val="24"/>
                <w:lang w:eastAsia="zh-CN"/>
              </w:rPr>
              <w:t>上述</w:t>
            </w:r>
            <w:r>
              <w:rPr>
                <w:rFonts w:hint="eastAsia" w:ascii="宋体" w:hAnsi="宋体" w:cs="宋体"/>
                <w:color w:val="auto"/>
                <w:sz w:val="24"/>
              </w:rPr>
              <w:t>方案</w:t>
            </w:r>
            <w:r>
              <w:rPr>
                <w:rFonts w:hint="eastAsia" w:ascii="宋体" w:hAnsi="宋体" w:cs="宋体"/>
                <w:color w:val="auto"/>
                <w:sz w:val="24"/>
                <w:lang w:eastAsia="zh-CN"/>
              </w:rPr>
              <w:t>有缺项，每项扣</w:t>
            </w:r>
            <w:r>
              <w:rPr>
                <w:rFonts w:hint="eastAsia" w:ascii="宋体" w:hAnsi="宋体" w:cs="宋体"/>
                <w:color w:val="auto"/>
                <w:sz w:val="24"/>
                <w:lang w:val="en-US" w:eastAsia="zh-CN"/>
              </w:rPr>
              <w:t>3分，</w:t>
            </w:r>
            <w:r>
              <w:rPr>
                <w:rFonts w:hint="eastAsia" w:ascii="宋体" w:hAnsi="宋体" w:cs="宋体"/>
                <w:color w:val="auto"/>
                <w:sz w:val="24"/>
                <w:lang w:eastAsia="zh-CN"/>
              </w:rPr>
              <w:t>方案不够合理、操作性不强</w:t>
            </w:r>
            <w:r>
              <w:rPr>
                <w:rFonts w:hint="eastAsia" w:ascii="宋体" w:hAnsi="宋体" w:cs="宋体"/>
                <w:color w:val="auto"/>
                <w:sz w:val="24"/>
              </w:rPr>
              <w:t>的每项扣</w:t>
            </w:r>
            <w:r>
              <w:rPr>
                <w:rFonts w:hint="eastAsia" w:ascii="宋体" w:hAnsi="宋体" w:cs="宋体"/>
                <w:color w:val="auto"/>
                <w:sz w:val="24"/>
                <w:lang w:val="en-US" w:eastAsia="zh-CN"/>
              </w:rPr>
              <w:t>0-3</w:t>
            </w:r>
            <w:r>
              <w:rPr>
                <w:rFonts w:hint="eastAsia" w:ascii="宋体" w:hAnsi="宋体" w:cs="宋体"/>
                <w:color w:val="auto"/>
                <w:sz w:val="24"/>
              </w:rPr>
              <w:t>分，扣完为止。</w:t>
            </w:r>
          </w:p>
        </w:tc>
        <w:tc>
          <w:tcPr>
            <w:tcW w:w="1186" w:type="dxa"/>
            <w:noWrap w:val="0"/>
            <w:vAlign w:val="center"/>
          </w:tcPr>
          <w:p>
            <w:pPr>
              <w:widowControl/>
              <w:spacing w:line="300" w:lineRule="exact"/>
              <w:jc w:val="center"/>
              <w:rPr>
                <w:rFonts w:hint="default"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6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6</w:t>
            </w:r>
          </w:p>
        </w:tc>
        <w:tc>
          <w:tcPr>
            <w:tcW w:w="1228" w:type="dxa"/>
            <w:vMerge w:val="continue"/>
            <w:noWrap w:val="0"/>
            <w:vAlign w:val="center"/>
          </w:tcPr>
          <w:p>
            <w:pPr>
              <w:widowControl/>
              <w:spacing w:line="300" w:lineRule="exact"/>
              <w:ind w:left="240" w:hanging="240" w:hangingChars="100"/>
              <w:rPr>
                <w:rFonts w:hint="eastAsia" w:ascii="宋体" w:hAnsi="宋体" w:cs="宋体"/>
                <w:b w:val="0"/>
                <w:bCs w:val="0"/>
                <w:color w:val="auto"/>
                <w:kern w:val="0"/>
                <w:sz w:val="24"/>
                <w:szCs w:val="24"/>
              </w:rPr>
            </w:pPr>
          </w:p>
        </w:tc>
        <w:tc>
          <w:tcPr>
            <w:tcW w:w="6845" w:type="dxa"/>
            <w:noWrap w:val="0"/>
            <w:vAlign w:val="center"/>
          </w:tcPr>
          <w:p>
            <w:pPr>
              <w:keepNext w:val="0"/>
              <w:keepLines w:val="0"/>
              <w:widowControl/>
              <w:suppressLineNumbers w:val="0"/>
              <w:jc w:val="both"/>
              <w:textAlignment w:val="center"/>
              <w:rPr>
                <w:rFonts w:hint="eastAsia" w:ascii="宋体" w:hAnsi="宋体" w:cs="宋体"/>
                <w:b w:val="0"/>
                <w:bCs w:val="0"/>
                <w:color w:val="auto"/>
                <w:sz w:val="24"/>
                <w:szCs w:val="24"/>
              </w:rPr>
            </w:pPr>
            <w:r>
              <w:rPr>
                <w:rFonts w:hint="eastAsia" w:ascii="宋体" w:hAnsi="宋体" w:eastAsia="宋体" w:cs="宋体"/>
                <w:i w:val="0"/>
                <w:color w:val="auto"/>
                <w:kern w:val="0"/>
                <w:sz w:val="24"/>
                <w:szCs w:val="24"/>
                <w:u w:val="none"/>
                <w:lang w:val="en-US" w:eastAsia="zh-CN" w:bidi="ar"/>
              </w:rPr>
              <w:t>提出与空间方案契合、可持续且可实施性强的运营方案，包括运营组织（0-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）、运营成本测算（0-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）及资金平衡测算（0-</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w:t>
            </w:r>
            <w:r>
              <w:rPr>
                <w:rFonts w:hint="eastAsia" w:ascii="宋体" w:hAnsi="宋体" w:cs="Times New Roman"/>
                <w:color w:val="auto"/>
                <w:kern w:val="2"/>
                <w:sz w:val="24"/>
                <w:szCs w:val="24"/>
                <w:lang w:val="en-US" w:eastAsia="zh-CN" w:bidi="ar-SA"/>
              </w:rPr>
              <w:t>等内容进行评审。</w:t>
            </w:r>
            <w:r>
              <w:rPr>
                <w:rFonts w:hint="eastAsia" w:ascii="宋体" w:hAnsi="宋体" w:cs="宋体"/>
                <w:color w:val="auto"/>
                <w:sz w:val="24"/>
                <w:lang w:val="en-US" w:eastAsia="zh-CN"/>
              </w:rPr>
              <w:t>内容</w:t>
            </w:r>
            <w:r>
              <w:rPr>
                <w:rFonts w:hint="eastAsia" w:ascii="宋体" w:hAnsi="宋体" w:cs="宋体"/>
                <w:color w:val="auto"/>
                <w:sz w:val="24"/>
                <w:lang w:eastAsia="zh-CN"/>
              </w:rPr>
              <w:t>科学合理，</w:t>
            </w:r>
            <w:r>
              <w:rPr>
                <w:rFonts w:hint="eastAsia" w:ascii="宋体" w:hAnsi="宋体" w:cs="宋体"/>
                <w:color w:val="auto"/>
                <w:sz w:val="24"/>
              </w:rPr>
              <w:t>可操作性强</w:t>
            </w:r>
            <w:r>
              <w:rPr>
                <w:rFonts w:hint="eastAsia" w:ascii="宋体" w:hAnsi="宋体" w:cs="宋体"/>
                <w:color w:val="auto"/>
                <w:sz w:val="24"/>
                <w:lang w:eastAsia="zh-CN"/>
              </w:rPr>
              <w:t>得</w:t>
            </w:r>
            <w:r>
              <w:rPr>
                <w:rFonts w:hint="eastAsia" w:ascii="宋体" w:hAnsi="宋体" w:cs="宋体"/>
                <w:color w:val="auto"/>
                <w:sz w:val="24"/>
                <w:lang w:val="en-US" w:eastAsia="zh-CN"/>
              </w:rPr>
              <w:t>9分</w:t>
            </w:r>
            <w:r>
              <w:rPr>
                <w:rFonts w:hint="eastAsia" w:ascii="宋体" w:hAnsi="宋体" w:cs="宋体"/>
                <w:color w:val="auto"/>
                <w:sz w:val="24"/>
              </w:rPr>
              <w:t>。</w:t>
            </w:r>
            <w:r>
              <w:rPr>
                <w:rFonts w:hint="eastAsia" w:ascii="宋体" w:hAnsi="宋体" w:cs="宋体"/>
                <w:color w:val="auto"/>
                <w:sz w:val="24"/>
                <w:lang w:eastAsia="zh-CN"/>
              </w:rPr>
              <w:t>上述</w:t>
            </w:r>
            <w:r>
              <w:rPr>
                <w:rFonts w:hint="eastAsia" w:ascii="宋体" w:hAnsi="宋体" w:cs="宋体"/>
                <w:color w:val="auto"/>
                <w:sz w:val="24"/>
              </w:rPr>
              <w:t>方案</w:t>
            </w:r>
            <w:r>
              <w:rPr>
                <w:rFonts w:hint="eastAsia" w:ascii="宋体" w:hAnsi="宋体" w:cs="宋体"/>
                <w:color w:val="auto"/>
                <w:sz w:val="24"/>
                <w:lang w:eastAsia="zh-CN"/>
              </w:rPr>
              <w:t>有缺项，每项扣</w:t>
            </w:r>
            <w:r>
              <w:rPr>
                <w:rFonts w:hint="eastAsia" w:ascii="宋体" w:hAnsi="宋体" w:cs="宋体"/>
                <w:color w:val="auto"/>
                <w:sz w:val="24"/>
                <w:lang w:val="en-US" w:eastAsia="zh-CN"/>
              </w:rPr>
              <w:t>3分，</w:t>
            </w:r>
            <w:r>
              <w:rPr>
                <w:rFonts w:hint="eastAsia" w:ascii="宋体" w:hAnsi="宋体" w:cs="宋体"/>
                <w:color w:val="auto"/>
                <w:sz w:val="24"/>
                <w:lang w:eastAsia="zh-CN"/>
              </w:rPr>
              <w:t>方案不够合理、操作性不强</w:t>
            </w:r>
            <w:r>
              <w:rPr>
                <w:rFonts w:hint="eastAsia" w:ascii="宋体" w:hAnsi="宋体" w:cs="宋体"/>
                <w:color w:val="auto"/>
                <w:sz w:val="24"/>
              </w:rPr>
              <w:t>的每项扣</w:t>
            </w:r>
            <w:r>
              <w:rPr>
                <w:rFonts w:hint="eastAsia" w:ascii="宋体" w:hAnsi="宋体" w:cs="宋体"/>
                <w:color w:val="auto"/>
                <w:sz w:val="24"/>
                <w:lang w:val="en-US" w:eastAsia="zh-CN"/>
              </w:rPr>
              <w:t>0-3</w:t>
            </w:r>
            <w:r>
              <w:rPr>
                <w:rFonts w:hint="eastAsia" w:ascii="宋体" w:hAnsi="宋体" w:cs="宋体"/>
                <w:color w:val="auto"/>
                <w:sz w:val="24"/>
              </w:rPr>
              <w:t>分，扣完为止。</w:t>
            </w:r>
          </w:p>
        </w:tc>
        <w:tc>
          <w:tcPr>
            <w:tcW w:w="1186"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63" w:type="dxa"/>
            <w:noWrap w:val="0"/>
            <w:vAlign w:val="center"/>
          </w:tcPr>
          <w:p>
            <w:pPr>
              <w:widowControl/>
              <w:spacing w:line="300" w:lineRule="exact"/>
              <w:jc w:val="center"/>
              <w:rPr>
                <w:rFonts w:hint="default"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7</w:t>
            </w:r>
          </w:p>
        </w:tc>
        <w:tc>
          <w:tcPr>
            <w:tcW w:w="1228" w:type="dxa"/>
            <w:vMerge w:val="continue"/>
            <w:noWrap w:val="0"/>
            <w:vAlign w:val="center"/>
          </w:tcPr>
          <w:p>
            <w:pPr>
              <w:widowControl/>
              <w:spacing w:line="300" w:lineRule="exact"/>
              <w:ind w:left="240" w:hanging="240" w:hangingChars="100"/>
              <w:rPr>
                <w:rFonts w:hint="eastAsia" w:ascii="宋体" w:hAnsi="宋体" w:cs="宋体"/>
                <w:b w:val="0"/>
                <w:bCs w:val="0"/>
                <w:color w:val="auto"/>
                <w:kern w:val="0"/>
                <w:sz w:val="24"/>
                <w:szCs w:val="24"/>
              </w:rPr>
            </w:pPr>
          </w:p>
        </w:tc>
        <w:tc>
          <w:tcPr>
            <w:tcW w:w="684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根据投标人针对本项目提出合理的验收咨询工作安排，包括验收全流程及节点管控方案（0-2）、验收报告服务（0-2）等内容进行评审，内容科学合理，可操作性强得4分。上述方案有缺项，每项扣2分，方案不够合理、操作性不强的每项扣0-2分，扣完为止。</w:t>
            </w:r>
          </w:p>
        </w:tc>
        <w:tc>
          <w:tcPr>
            <w:tcW w:w="1186" w:type="dxa"/>
            <w:noWrap w:val="0"/>
            <w:vAlign w:val="center"/>
          </w:tcPr>
          <w:p>
            <w:pPr>
              <w:widowControl/>
              <w:spacing w:line="300" w:lineRule="exact"/>
              <w:jc w:val="center"/>
              <w:rPr>
                <w:rFonts w:hint="default"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8</w:t>
            </w:r>
          </w:p>
        </w:tc>
        <w:tc>
          <w:tcPr>
            <w:tcW w:w="122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lang w:eastAsia="zh-CN"/>
              </w:rPr>
            </w:pPr>
            <w:r>
              <w:rPr>
                <w:rFonts w:hint="eastAsia" w:ascii="宋体" w:hAnsi="宋体" w:eastAsia="宋体" w:cs="宋体"/>
                <w:i w:val="0"/>
                <w:color w:val="auto"/>
                <w:kern w:val="0"/>
                <w:sz w:val="24"/>
                <w:szCs w:val="24"/>
                <w:u w:val="none"/>
                <w:lang w:val="en-US" w:eastAsia="zh-CN" w:bidi="ar"/>
              </w:rPr>
              <w:t>质量控制</w:t>
            </w:r>
          </w:p>
        </w:tc>
        <w:tc>
          <w:tcPr>
            <w:tcW w:w="6845" w:type="dxa"/>
            <w:noWrap w:val="0"/>
            <w:vAlign w:val="center"/>
          </w:tcPr>
          <w:p>
            <w:pPr>
              <w:keepNext w:val="0"/>
              <w:keepLines w:val="0"/>
              <w:widowControl/>
              <w:suppressLineNumbers w:val="0"/>
              <w:jc w:val="both"/>
              <w:textAlignment w:val="center"/>
              <w:rPr>
                <w:rFonts w:hint="eastAsia" w:ascii="宋体" w:hAnsi="宋体" w:cs="宋体"/>
                <w:b w:val="0"/>
                <w:bCs w:val="0"/>
                <w:color w:val="auto"/>
                <w:sz w:val="24"/>
                <w:szCs w:val="24"/>
              </w:rPr>
            </w:pPr>
            <w:r>
              <w:rPr>
                <w:rFonts w:hint="eastAsia" w:ascii="宋体" w:hAnsi="宋体" w:cs="宋体"/>
                <w:i w:val="0"/>
                <w:color w:val="auto"/>
                <w:kern w:val="0"/>
                <w:sz w:val="24"/>
                <w:szCs w:val="24"/>
                <w:u w:val="none"/>
                <w:lang w:val="en-US" w:eastAsia="zh-CN" w:bidi="ar"/>
              </w:rPr>
              <w:t>根据投标人提供的</w:t>
            </w:r>
            <w:r>
              <w:rPr>
                <w:rFonts w:hint="eastAsia" w:ascii="宋体" w:hAnsi="宋体" w:eastAsia="宋体" w:cs="宋体"/>
                <w:i w:val="0"/>
                <w:color w:val="auto"/>
                <w:kern w:val="0"/>
                <w:sz w:val="24"/>
                <w:szCs w:val="24"/>
                <w:u w:val="none"/>
                <w:lang w:val="en-US" w:eastAsia="zh-CN" w:bidi="ar"/>
              </w:rPr>
              <w:t>质量保证措施实施方案，</w:t>
            </w:r>
            <w:r>
              <w:rPr>
                <w:rFonts w:hint="eastAsia" w:ascii="宋体" w:hAnsi="宋体" w:cs="宋体"/>
                <w:i w:val="0"/>
                <w:color w:val="auto"/>
                <w:kern w:val="0"/>
                <w:sz w:val="24"/>
                <w:szCs w:val="24"/>
                <w:u w:val="none"/>
                <w:lang w:val="en-US" w:eastAsia="zh-CN" w:bidi="ar"/>
              </w:rPr>
              <w:t>是否</w:t>
            </w:r>
            <w:r>
              <w:rPr>
                <w:rFonts w:hint="eastAsia" w:ascii="宋体" w:hAnsi="宋体" w:eastAsia="宋体" w:cs="宋体"/>
                <w:i w:val="0"/>
                <w:color w:val="auto"/>
                <w:kern w:val="0"/>
                <w:sz w:val="24"/>
                <w:szCs w:val="24"/>
                <w:u w:val="none"/>
                <w:lang w:val="en-US" w:eastAsia="zh-CN" w:bidi="ar"/>
              </w:rPr>
              <w:t>具有针对性</w:t>
            </w:r>
            <w:r>
              <w:rPr>
                <w:rFonts w:hint="eastAsia" w:ascii="宋体" w:hAnsi="宋体" w:cs="Times New Roman"/>
                <w:color w:val="auto"/>
                <w:kern w:val="2"/>
                <w:sz w:val="24"/>
                <w:szCs w:val="24"/>
                <w:lang w:val="en-US" w:eastAsia="zh-CN" w:bidi="ar-SA"/>
              </w:rPr>
              <w:t>等内容进行评审。</w:t>
            </w:r>
          </w:p>
        </w:tc>
        <w:tc>
          <w:tcPr>
            <w:tcW w:w="1186" w:type="dxa"/>
            <w:noWrap w:val="0"/>
            <w:vAlign w:val="center"/>
          </w:tcPr>
          <w:p>
            <w:pPr>
              <w:widowControl/>
              <w:spacing w:line="300" w:lineRule="exact"/>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6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9</w:t>
            </w:r>
          </w:p>
        </w:tc>
        <w:tc>
          <w:tcPr>
            <w:tcW w:w="1228" w:type="dxa"/>
            <w:noWrap w:val="0"/>
            <w:vAlign w:val="center"/>
          </w:tcPr>
          <w:p>
            <w:pPr>
              <w:keepNext w:val="0"/>
              <w:keepLines w:val="0"/>
              <w:widowControl/>
              <w:suppressLineNumbers w:val="0"/>
              <w:jc w:val="center"/>
              <w:textAlignment w:val="center"/>
              <w:rPr>
                <w:rFonts w:hint="eastAsia" w:ascii="宋体" w:hAnsi="宋体" w:cs="宋体"/>
                <w:b w:val="0"/>
                <w:bCs w:val="0"/>
                <w:color w:val="auto"/>
                <w:sz w:val="24"/>
                <w:szCs w:val="24"/>
              </w:rPr>
            </w:pPr>
            <w:r>
              <w:rPr>
                <w:rFonts w:hint="eastAsia" w:ascii="宋体" w:hAnsi="宋体" w:eastAsia="宋体" w:cs="宋体"/>
                <w:i w:val="0"/>
                <w:color w:val="auto"/>
                <w:kern w:val="0"/>
                <w:sz w:val="24"/>
                <w:szCs w:val="24"/>
                <w:u w:val="none"/>
                <w:lang w:val="en-US" w:eastAsia="zh-CN" w:bidi="ar"/>
              </w:rPr>
              <w:t>进度控制</w:t>
            </w:r>
          </w:p>
        </w:tc>
        <w:tc>
          <w:tcPr>
            <w:tcW w:w="6845" w:type="dxa"/>
            <w:noWrap w:val="0"/>
            <w:vAlign w:val="center"/>
          </w:tcPr>
          <w:p>
            <w:pPr>
              <w:keepNext w:val="0"/>
              <w:keepLines w:val="0"/>
              <w:widowControl/>
              <w:suppressLineNumbers w:val="0"/>
              <w:jc w:val="both"/>
              <w:textAlignment w:val="center"/>
              <w:rPr>
                <w:rFonts w:hint="eastAsia" w:ascii="宋体" w:hAnsi="宋体" w:cs="宋体"/>
                <w:b w:val="0"/>
                <w:bCs w:val="0"/>
                <w:color w:val="auto"/>
                <w:sz w:val="24"/>
                <w:szCs w:val="24"/>
              </w:rPr>
            </w:pPr>
            <w:r>
              <w:rPr>
                <w:rFonts w:hint="eastAsia" w:ascii="宋体" w:hAnsi="宋体" w:cs="宋体"/>
                <w:color w:val="auto"/>
                <w:sz w:val="24"/>
              </w:rPr>
              <w:t>提出合理的工作安排，包括现状调研安进度控制</w:t>
            </w:r>
            <w:r>
              <w:rPr>
                <w:rFonts w:hint="eastAsia" w:ascii="宋体" w:hAnsi="宋体" w:cs="宋体"/>
                <w:color w:val="auto"/>
                <w:sz w:val="24"/>
                <w:lang w:val="en-US" w:eastAsia="zh-CN"/>
              </w:rPr>
              <w:t>(0-1)</w:t>
            </w:r>
            <w:r>
              <w:rPr>
                <w:rFonts w:hint="eastAsia" w:ascii="宋体" w:hAnsi="宋体" w:cs="宋体"/>
                <w:color w:val="auto"/>
                <w:sz w:val="24"/>
              </w:rPr>
              <w:t>、关键时间点建议</w:t>
            </w:r>
            <w:r>
              <w:rPr>
                <w:rFonts w:hint="eastAsia" w:ascii="宋体" w:hAnsi="宋体" w:cs="宋体"/>
                <w:color w:val="auto"/>
                <w:sz w:val="24"/>
                <w:lang w:val="en-US" w:eastAsia="zh-CN"/>
              </w:rPr>
              <w:t>(0-1)</w:t>
            </w:r>
            <w:r>
              <w:rPr>
                <w:rFonts w:hint="eastAsia" w:ascii="宋体" w:hAnsi="宋体" w:cs="Times New Roman"/>
                <w:color w:val="auto"/>
                <w:kern w:val="2"/>
                <w:sz w:val="24"/>
                <w:szCs w:val="24"/>
                <w:lang w:val="en-US" w:eastAsia="zh-CN" w:bidi="ar-SA"/>
              </w:rPr>
              <w:t>等内容进行评审。</w:t>
            </w:r>
            <w:r>
              <w:rPr>
                <w:rFonts w:hint="eastAsia" w:ascii="宋体" w:hAnsi="宋体" w:cs="宋体"/>
                <w:color w:val="auto"/>
                <w:sz w:val="24"/>
                <w:lang w:val="en-US" w:eastAsia="zh-CN"/>
              </w:rPr>
              <w:t>内容</w:t>
            </w:r>
            <w:r>
              <w:rPr>
                <w:rFonts w:hint="eastAsia" w:ascii="宋体" w:hAnsi="宋体" w:cs="宋体"/>
                <w:color w:val="auto"/>
                <w:sz w:val="24"/>
                <w:lang w:eastAsia="zh-CN"/>
              </w:rPr>
              <w:t>科学合理，</w:t>
            </w:r>
            <w:r>
              <w:rPr>
                <w:rFonts w:hint="eastAsia" w:ascii="宋体" w:hAnsi="宋体" w:cs="宋体"/>
                <w:color w:val="auto"/>
                <w:sz w:val="24"/>
              </w:rPr>
              <w:t>可操作性强</w:t>
            </w:r>
            <w:r>
              <w:rPr>
                <w:rFonts w:hint="eastAsia" w:ascii="宋体" w:hAnsi="宋体" w:cs="宋体"/>
                <w:color w:val="auto"/>
                <w:sz w:val="24"/>
                <w:lang w:eastAsia="zh-CN"/>
              </w:rPr>
              <w:t>得</w:t>
            </w:r>
            <w:r>
              <w:rPr>
                <w:rFonts w:hint="eastAsia" w:ascii="宋体" w:hAnsi="宋体" w:cs="宋体"/>
                <w:color w:val="auto"/>
                <w:sz w:val="24"/>
                <w:lang w:val="en-US" w:eastAsia="zh-CN"/>
              </w:rPr>
              <w:t>2分</w:t>
            </w:r>
            <w:r>
              <w:rPr>
                <w:rFonts w:hint="eastAsia" w:ascii="宋体" w:hAnsi="宋体" w:cs="宋体"/>
                <w:color w:val="auto"/>
                <w:sz w:val="24"/>
              </w:rPr>
              <w:t>。</w:t>
            </w:r>
            <w:r>
              <w:rPr>
                <w:rFonts w:hint="eastAsia" w:ascii="宋体" w:hAnsi="宋体" w:cs="宋体"/>
                <w:color w:val="auto"/>
                <w:sz w:val="24"/>
                <w:lang w:eastAsia="zh-CN"/>
              </w:rPr>
              <w:t>上述</w:t>
            </w:r>
            <w:r>
              <w:rPr>
                <w:rFonts w:hint="eastAsia" w:ascii="宋体" w:hAnsi="宋体" w:cs="宋体"/>
                <w:color w:val="auto"/>
                <w:sz w:val="24"/>
              </w:rPr>
              <w:t>方案</w:t>
            </w:r>
            <w:r>
              <w:rPr>
                <w:rFonts w:hint="eastAsia" w:ascii="宋体" w:hAnsi="宋体" w:cs="宋体"/>
                <w:color w:val="auto"/>
                <w:sz w:val="24"/>
                <w:lang w:eastAsia="zh-CN"/>
              </w:rPr>
              <w:t>有缺项，每项扣</w:t>
            </w:r>
            <w:r>
              <w:rPr>
                <w:rFonts w:hint="eastAsia" w:ascii="宋体" w:hAnsi="宋体" w:cs="宋体"/>
                <w:color w:val="auto"/>
                <w:sz w:val="24"/>
                <w:lang w:val="en-US" w:eastAsia="zh-CN"/>
              </w:rPr>
              <w:t>1分，</w:t>
            </w:r>
            <w:r>
              <w:rPr>
                <w:rFonts w:hint="eastAsia" w:ascii="宋体" w:hAnsi="宋体" w:cs="宋体"/>
                <w:color w:val="auto"/>
                <w:sz w:val="24"/>
                <w:lang w:eastAsia="zh-CN"/>
              </w:rPr>
              <w:t>方案不够合理、操作性不强</w:t>
            </w:r>
            <w:r>
              <w:rPr>
                <w:rFonts w:hint="eastAsia" w:ascii="宋体" w:hAnsi="宋体" w:cs="宋体"/>
                <w:color w:val="auto"/>
                <w:sz w:val="24"/>
              </w:rPr>
              <w:t>的每项扣</w:t>
            </w:r>
            <w:r>
              <w:rPr>
                <w:rFonts w:hint="eastAsia" w:ascii="宋体" w:hAnsi="宋体" w:cs="宋体"/>
                <w:color w:val="auto"/>
                <w:sz w:val="24"/>
                <w:lang w:val="en-US" w:eastAsia="zh-CN"/>
              </w:rPr>
              <w:t>0-1</w:t>
            </w:r>
            <w:r>
              <w:rPr>
                <w:rFonts w:hint="eastAsia" w:ascii="宋体" w:hAnsi="宋体" w:cs="宋体"/>
                <w:color w:val="auto"/>
                <w:sz w:val="24"/>
              </w:rPr>
              <w:t>分，扣完为止。</w:t>
            </w:r>
          </w:p>
        </w:tc>
        <w:tc>
          <w:tcPr>
            <w:tcW w:w="1186"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6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10</w:t>
            </w:r>
          </w:p>
        </w:tc>
        <w:tc>
          <w:tcPr>
            <w:tcW w:w="12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服务承诺</w:t>
            </w:r>
          </w:p>
        </w:tc>
        <w:tc>
          <w:tcPr>
            <w:tcW w:w="684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包括实施期的服务承诺（0-</w:t>
            </w: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）、后续配合期的服务承诺（0-</w:t>
            </w: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w:t>
            </w:r>
            <w:r>
              <w:rPr>
                <w:rFonts w:hint="eastAsia" w:ascii="宋体" w:hAnsi="宋体" w:cs="Times New Roman"/>
                <w:color w:val="auto"/>
                <w:kern w:val="2"/>
                <w:sz w:val="24"/>
                <w:szCs w:val="24"/>
                <w:lang w:val="en-US" w:eastAsia="zh-CN" w:bidi="ar-SA"/>
              </w:rPr>
              <w:t>等内容进行评审。</w:t>
            </w:r>
            <w:r>
              <w:rPr>
                <w:rFonts w:hint="eastAsia" w:ascii="宋体" w:hAnsi="宋体" w:cs="宋体"/>
                <w:color w:val="auto"/>
                <w:sz w:val="24"/>
                <w:lang w:val="en-US" w:eastAsia="zh-CN"/>
              </w:rPr>
              <w:t>内容</w:t>
            </w:r>
            <w:r>
              <w:rPr>
                <w:rFonts w:hint="eastAsia" w:ascii="宋体" w:hAnsi="宋体" w:cs="宋体"/>
                <w:color w:val="auto"/>
                <w:sz w:val="24"/>
                <w:lang w:eastAsia="zh-CN"/>
              </w:rPr>
              <w:t>科学合理，</w:t>
            </w:r>
            <w:r>
              <w:rPr>
                <w:rFonts w:hint="eastAsia" w:ascii="宋体" w:hAnsi="宋体" w:cs="宋体"/>
                <w:color w:val="auto"/>
                <w:sz w:val="24"/>
              </w:rPr>
              <w:t>可操作性强</w:t>
            </w:r>
            <w:r>
              <w:rPr>
                <w:rFonts w:hint="eastAsia" w:ascii="宋体" w:hAnsi="宋体" w:cs="宋体"/>
                <w:color w:val="auto"/>
                <w:sz w:val="24"/>
                <w:lang w:eastAsia="zh-CN"/>
              </w:rPr>
              <w:t>得</w:t>
            </w:r>
            <w:r>
              <w:rPr>
                <w:rFonts w:hint="eastAsia" w:ascii="宋体" w:hAnsi="宋体" w:cs="宋体"/>
                <w:color w:val="auto"/>
                <w:sz w:val="24"/>
                <w:lang w:val="en-US" w:eastAsia="zh-CN"/>
              </w:rPr>
              <w:t>4分</w:t>
            </w:r>
            <w:r>
              <w:rPr>
                <w:rFonts w:hint="eastAsia" w:ascii="宋体" w:hAnsi="宋体" w:cs="宋体"/>
                <w:color w:val="auto"/>
                <w:sz w:val="24"/>
              </w:rPr>
              <w:t>。</w:t>
            </w:r>
            <w:r>
              <w:rPr>
                <w:rFonts w:hint="eastAsia" w:ascii="宋体" w:hAnsi="宋体" w:cs="宋体"/>
                <w:color w:val="auto"/>
                <w:sz w:val="24"/>
                <w:lang w:eastAsia="zh-CN"/>
              </w:rPr>
              <w:t>上述</w:t>
            </w:r>
            <w:r>
              <w:rPr>
                <w:rFonts w:hint="eastAsia" w:ascii="宋体" w:hAnsi="宋体" w:cs="宋体"/>
                <w:color w:val="auto"/>
                <w:sz w:val="24"/>
              </w:rPr>
              <w:t>方案</w:t>
            </w:r>
            <w:r>
              <w:rPr>
                <w:rFonts w:hint="eastAsia" w:ascii="宋体" w:hAnsi="宋体" w:cs="宋体"/>
                <w:color w:val="auto"/>
                <w:sz w:val="24"/>
                <w:lang w:eastAsia="zh-CN"/>
              </w:rPr>
              <w:t>有缺项，每项扣</w:t>
            </w:r>
            <w:r>
              <w:rPr>
                <w:rFonts w:hint="eastAsia" w:ascii="宋体" w:hAnsi="宋体" w:cs="宋体"/>
                <w:color w:val="auto"/>
                <w:sz w:val="24"/>
                <w:lang w:val="en-US" w:eastAsia="zh-CN"/>
              </w:rPr>
              <w:t>2分，</w:t>
            </w:r>
            <w:r>
              <w:rPr>
                <w:rFonts w:hint="eastAsia" w:ascii="宋体" w:hAnsi="宋体" w:cs="宋体"/>
                <w:color w:val="auto"/>
                <w:sz w:val="24"/>
                <w:lang w:eastAsia="zh-CN"/>
              </w:rPr>
              <w:t>方案不够合理、操作性不强</w:t>
            </w:r>
            <w:r>
              <w:rPr>
                <w:rFonts w:hint="eastAsia" w:ascii="宋体" w:hAnsi="宋体" w:cs="宋体"/>
                <w:color w:val="auto"/>
                <w:sz w:val="24"/>
              </w:rPr>
              <w:t>的每项扣</w:t>
            </w:r>
            <w:r>
              <w:rPr>
                <w:rFonts w:hint="eastAsia" w:ascii="宋体" w:hAnsi="宋体" w:cs="宋体"/>
                <w:color w:val="auto"/>
                <w:sz w:val="24"/>
                <w:lang w:val="en-US" w:eastAsia="zh-CN"/>
              </w:rPr>
              <w:t>0-2</w:t>
            </w:r>
            <w:r>
              <w:rPr>
                <w:rFonts w:hint="eastAsia" w:ascii="宋体" w:hAnsi="宋体" w:cs="宋体"/>
                <w:color w:val="auto"/>
                <w:sz w:val="24"/>
              </w:rPr>
              <w:t>分，扣完为止。</w:t>
            </w:r>
          </w:p>
        </w:tc>
        <w:tc>
          <w:tcPr>
            <w:tcW w:w="1186"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63" w:type="dxa"/>
            <w:noWrap w:val="0"/>
            <w:vAlign w:val="center"/>
          </w:tcPr>
          <w:p>
            <w:pPr>
              <w:widowControl/>
              <w:spacing w:line="300" w:lineRule="exact"/>
              <w:jc w:val="center"/>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二</w:t>
            </w:r>
          </w:p>
        </w:tc>
        <w:tc>
          <w:tcPr>
            <w:tcW w:w="8073" w:type="dxa"/>
            <w:gridSpan w:val="2"/>
            <w:noWrap w:val="0"/>
            <w:vAlign w:val="center"/>
          </w:tcPr>
          <w:p>
            <w:pPr>
              <w:widowControl/>
              <w:spacing w:line="300" w:lineRule="exact"/>
              <w:jc w:val="center"/>
              <w:rPr>
                <w:rFonts w:hint="eastAsia" w:ascii="宋体" w:hAnsi="宋体" w:cs="宋体"/>
                <w:b/>
                <w:bCs/>
                <w:color w:val="auto"/>
                <w:sz w:val="24"/>
                <w:szCs w:val="24"/>
              </w:rPr>
            </w:pPr>
            <w:r>
              <w:rPr>
                <w:rFonts w:hint="eastAsia" w:ascii="宋体" w:hAnsi="宋体" w:cs="宋体"/>
                <w:b/>
                <w:bCs/>
                <w:color w:val="auto"/>
                <w:sz w:val="24"/>
                <w:szCs w:val="24"/>
                <w:highlight w:val="none"/>
              </w:rPr>
              <w:t>商务资信及其他分</w:t>
            </w:r>
          </w:p>
        </w:tc>
        <w:tc>
          <w:tcPr>
            <w:tcW w:w="1186"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763"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228"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资质要求</w:t>
            </w:r>
          </w:p>
        </w:tc>
        <w:tc>
          <w:tcPr>
            <w:tcW w:w="684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具有工程设计综合甲级或建筑行业甲级或建筑行业（建筑工程）甲级资质的得</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分；具有建筑行业（建筑工程）乙级资质的得2分；本项最高得</w:t>
            </w: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分。需提供有效的认证证书扫描件并加盖供应商公章</w:t>
            </w:r>
            <w:r>
              <w:rPr>
                <w:rFonts w:hint="eastAsia" w:ascii="宋体" w:hAnsi="宋体" w:cs="宋体"/>
                <w:i w:val="0"/>
                <w:color w:val="auto"/>
                <w:kern w:val="0"/>
                <w:sz w:val="24"/>
                <w:szCs w:val="24"/>
                <w:u w:val="none"/>
                <w:lang w:val="en-US" w:eastAsia="zh-CN" w:bidi="ar"/>
              </w:rPr>
              <w:t>。</w:t>
            </w:r>
          </w:p>
        </w:tc>
        <w:tc>
          <w:tcPr>
            <w:tcW w:w="1186"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63"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228"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体系认证</w:t>
            </w:r>
          </w:p>
        </w:tc>
        <w:tc>
          <w:tcPr>
            <w:tcW w:w="684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供应商具有质量体系认证；环境体系认证；职业健康体系认证；信息安全管理体系认证证书；每具备一项得1分，最高得</w:t>
            </w:r>
            <w:r>
              <w:rPr>
                <w:rFonts w:hint="eastAsia" w:ascii="宋体" w:hAnsi="宋体" w:cs="宋体"/>
                <w:i w:val="0"/>
                <w:color w:val="auto"/>
                <w:kern w:val="0"/>
                <w:sz w:val="24"/>
                <w:szCs w:val="24"/>
                <w:u w:val="none"/>
                <w:lang w:val="en-US" w:eastAsia="zh-CN" w:bidi="ar"/>
              </w:rPr>
              <w:t>4</w:t>
            </w:r>
            <w:r>
              <w:rPr>
                <w:rFonts w:hint="eastAsia" w:ascii="宋体" w:hAnsi="宋体" w:eastAsia="宋体" w:cs="宋体"/>
                <w:i w:val="0"/>
                <w:color w:val="auto"/>
                <w:kern w:val="0"/>
                <w:sz w:val="24"/>
                <w:szCs w:val="24"/>
                <w:u w:val="none"/>
                <w:lang w:val="en-US" w:eastAsia="zh-CN" w:bidi="ar"/>
              </w:rPr>
              <w:t>分。需提供有效的认证证书扫描件并加盖供应商公章</w:t>
            </w:r>
            <w:r>
              <w:rPr>
                <w:rFonts w:hint="eastAsia" w:ascii="宋体" w:hAnsi="宋体" w:cs="宋体"/>
                <w:i w:val="0"/>
                <w:color w:val="auto"/>
                <w:kern w:val="0"/>
                <w:sz w:val="24"/>
                <w:szCs w:val="24"/>
                <w:u w:val="none"/>
                <w:lang w:val="en-US" w:eastAsia="zh-CN" w:bidi="ar"/>
              </w:rPr>
              <w:t>。</w:t>
            </w:r>
          </w:p>
        </w:tc>
        <w:tc>
          <w:tcPr>
            <w:tcW w:w="1186"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63"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228"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类似业绩</w:t>
            </w:r>
          </w:p>
        </w:tc>
        <w:tc>
          <w:tcPr>
            <w:tcW w:w="684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根据投标人提供的20</w:t>
            </w:r>
            <w:r>
              <w:rPr>
                <w:rFonts w:hint="eastAsia" w:ascii="宋体" w:hAnsi="宋体" w:cs="宋体"/>
                <w:i w:val="0"/>
                <w:color w:val="auto"/>
                <w:kern w:val="0"/>
                <w:sz w:val="24"/>
                <w:szCs w:val="24"/>
                <w:u w:val="none"/>
                <w:lang w:val="en-US" w:eastAsia="zh-CN" w:bidi="ar"/>
              </w:rPr>
              <w:t>21</w:t>
            </w:r>
            <w:r>
              <w:rPr>
                <w:rFonts w:hint="eastAsia" w:ascii="宋体" w:hAnsi="宋体" w:eastAsia="宋体" w:cs="宋体"/>
                <w:i w:val="0"/>
                <w:color w:val="auto"/>
                <w:kern w:val="0"/>
                <w:sz w:val="24"/>
                <w:szCs w:val="24"/>
                <w:u w:val="none"/>
                <w:lang w:val="en-US" w:eastAsia="zh-CN" w:bidi="ar"/>
              </w:rPr>
              <w:t>年1月1日起（以合同签订时间为准）至本项目截标时间止完成的类似项目业绩，提供一个业绩得1分，最高得2分。提供合同扫描件或中标通知书。</w:t>
            </w:r>
          </w:p>
        </w:tc>
        <w:tc>
          <w:tcPr>
            <w:tcW w:w="1186" w:type="dxa"/>
            <w:noWrap w:val="0"/>
            <w:vAlign w:val="center"/>
          </w:tcPr>
          <w:p>
            <w:pPr>
              <w:widowControl/>
              <w:spacing w:line="300" w:lineRule="exact"/>
              <w:jc w:val="center"/>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63"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228" w:type="dxa"/>
            <w:vMerge w:val="restart"/>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团队实力</w:t>
            </w:r>
          </w:p>
        </w:tc>
        <w:tc>
          <w:tcPr>
            <w:tcW w:w="684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项目负责人为正高级工程师的得3分，高级工程师的得2分。（提供人员相关证书及扫描件加盖供应商公章。）</w:t>
            </w:r>
          </w:p>
        </w:tc>
        <w:tc>
          <w:tcPr>
            <w:tcW w:w="1186" w:type="dxa"/>
            <w:noWrap w:val="0"/>
            <w:vAlign w:val="center"/>
          </w:tcPr>
          <w:p>
            <w:pPr>
              <w:widowControl/>
              <w:spacing w:line="300" w:lineRule="exact"/>
              <w:jc w:val="center"/>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76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5</w:t>
            </w:r>
          </w:p>
        </w:tc>
        <w:tc>
          <w:tcPr>
            <w:tcW w:w="1228"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c>
          <w:tcPr>
            <w:tcW w:w="684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拟派项目团队配备（项目负责人除外）：</w:t>
            </w:r>
          </w:p>
          <w:p>
            <w:pPr>
              <w:keepNext w:val="0"/>
              <w:keepLines w:val="0"/>
              <w:widowControl/>
              <w:suppressLineNumbers w:val="0"/>
              <w:jc w:val="both"/>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拟派项目人员中具有国家一级注册建筑师、国家一级注册结构工程师、国家注册设备（给水排水）工程师、国家注册电气工程师、国家注册公用设备（暖通空调）工程师、国家注册造价工程师的，每个专业得0.5分（同一专业不累计得分）</w:t>
            </w:r>
            <w:r>
              <w:rPr>
                <w:rFonts w:hint="eastAsia" w:ascii="宋体" w:hAnsi="宋体" w:cs="宋体"/>
                <w:i w:val="0"/>
                <w:color w:val="auto"/>
                <w:kern w:val="0"/>
                <w:sz w:val="24"/>
                <w:szCs w:val="24"/>
                <w:u w:val="none"/>
                <w:lang w:val="en-US" w:eastAsia="zh-CN" w:bidi="ar"/>
              </w:rPr>
              <w:t>；以上人员</w:t>
            </w:r>
            <w:r>
              <w:rPr>
                <w:rFonts w:hint="eastAsia" w:ascii="宋体" w:hAnsi="宋体" w:eastAsia="宋体" w:cs="宋体"/>
                <w:i w:val="0"/>
                <w:color w:val="auto"/>
                <w:kern w:val="0"/>
                <w:sz w:val="24"/>
                <w:szCs w:val="24"/>
                <w:u w:val="none"/>
                <w:lang w:val="en-US" w:eastAsia="zh-CN" w:bidi="ar"/>
              </w:rPr>
              <w:t>同时具有高级工程师职称每个加0.5分，本项最高得6分。</w:t>
            </w:r>
          </w:p>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注：项目人员须为本单位正式职工，提供相关证明材料及职称证书描件并加盖单位公章，否则不得分。</w:t>
            </w:r>
          </w:p>
        </w:tc>
        <w:tc>
          <w:tcPr>
            <w:tcW w:w="1186" w:type="dxa"/>
            <w:noWrap w:val="0"/>
            <w:vAlign w:val="center"/>
          </w:tcPr>
          <w:p>
            <w:pPr>
              <w:widowControl/>
              <w:spacing w:line="300" w:lineRule="exact"/>
              <w:jc w:val="center"/>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6</w:t>
            </w:r>
          </w:p>
        </w:tc>
      </w:tr>
    </w:tbl>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both"/>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b/>
          <w:color w:val="auto"/>
          <w:sz w:val="32"/>
          <w:szCs w:val="32"/>
          <w:highlight w:val="none"/>
        </w:rPr>
      </w:pPr>
    </w:p>
    <w:p>
      <w:pPr>
        <w:adjustRightInd w:val="0"/>
        <w:snapToGrid w:val="0"/>
        <w:spacing w:line="440" w:lineRule="atLeast"/>
        <w:jc w:val="center"/>
        <w:rPr>
          <w:rFonts w:hint="eastAsia" w:ascii="宋体" w:hAnsi="宋体" w:cs="宋体"/>
          <w:color w:val="auto"/>
          <w:sz w:val="32"/>
          <w:szCs w:val="32"/>
          <w:highlight w:val="none"/>
        </w:rPr>
      </w:pPr>
      <w:r>
        <w:rPr>
          <w:rFonts w:hint="eastAsia" w:ascii="宋体" w:hAnsi="宋体" w:cs="宋体"/>
          <w:b/>
          <w:color w:val="auto"/>
          <w:sz w:val="32"/>
          <w:szCs w:val="32"/>
          <w:highlight w:val="none"/>
        </w:rPr>
        <w:t>第五章  政府采购合同</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textAlignment w:val="auto"/>
        <w:rPr>
          <w:rFonts w:hint="eastAsia" w:hAnsi="宋体" w:cs="宋体"/>
          <w:color w:val="auto"/>
          <w:highlight w:val="none"/>
        </w:rPr>
      </w:pPr>
      <w:r>
        <w:rPr>
          <w:rFonts w:hint="eastAsia" w:hAnsi="宋体" w:cs="宋体"/>
          <w:color w:val="auto"/>
          <w:highlight w:val="none"/>
        </w:rPr>
        <w:t>项目名称：                   项目编号：               合同号：</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textAlignment w:val="auto"/>
        <w:rPr>
          <w:rFonts w:hint="eastAsia" w:hAnsi="宋体" w:cs="宋体"/>
          <w:color w:val="auto"/>
          <w:highlight w:val="none"/>
        </w:rPr>
      </w:pPr>
      <w:r>
        <w:rPr>
          <w:rFonts w:hint="eastAsia" w:hAnsi="宋体" w:cs="宋体"/>
          <w:color w:val="auto"/>
          <w:highlight w:val="none"/>
        </w:rPr>
        <w:t>甲方（买方）：</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textAlignment w:val="auto"/>
        <w:rPr>
          <w:rFonts w:hint="eastAsia" w:hAnsi="宋体" w:cs="宋体"/>
          <w:color w:val="auto"/>
          <w:highlight w:val="none"/>
        </w:rPr>
      </w:pPr>
      <w:r>
        <w:rPr>
          <w:rFonts w:hint="eastAsia" w:hAnsi="宋体" w:cs="宋体"/>
          <w:color w:val="auto"/>
          <w:highlight w:val="none"/>
        </w:rPr>
        <w:t>乙方（卖方）：</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textAlignment w:val="auto"/>
        <w:rPr>
          <w:rFonts w:hint="eastAsia" w:hAnsi="宋体" w:cs="宋体"/>
          <w:color w:val="auto"/>
          <w:highlight w:val="none"/>
        </w:rPr>
      </w:pPr>
      <w:r>
        <w:rPr>
          <w:rFonts w:hint="eastAsia" w:hAnsi="宋体" w:cs="宋体"/>
          <w:color w:val="auto"/>
          <w:highlight w:val="none"/>
        </w:rPr>
        <w:t>鉴证方（招标方）：</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textAlignment w:val="auto"/>
        <w:rPr>
          <w:rFonts w:hint="eastAsia" w:hAnsi="宋体" w:cs="宋体"/>
          <w:b/>
          <w:color w:val="auto"/>
          <w:highlight w:val="none"/>
        </w:rPr>
      </w:pPr>
      <w:r>
        <w:rPr>
          <w:rFonts w:hint="eastAsia" w:hAnsi="宋体" w:cs="宋体"/>
          <w:b/>
          <w:color w:val="auto"/>
          <w:highlight w:val="none"/>
        </w:rPr>
        <w:t xml:space="preserve">    </w:t>
      </w:r>
      <w:r>
        <w:rPr>
          <w:rFonts w:hint="eastAsia" w:hAnsi="宋体" w:cs="宋体"/>
          <w:color w:val="auto"/>
          <w:highlight w:val="none"/>
        </w:rPr>
        <w:t>甲、乙双方根据</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日东阳耀辉工程咨询有限公司关于</w:t>
      </w:r>
      <w:r>
        <w:rPr>
          <w:rFonts w:hint="eastAsia" w:hAnsi="宋体" w:cs="宋体"/>
          <w:color w:val="auto"/>
          <w:highlight w:val="none"/>
          <w:u w:val="single"/>
        </w:rPr>
        <w:t xml:space="preserve">          </w:t>
      </w:r>
      <w:r>
        <w:rPr>
          <w:rFonts w:hint="eastAsia" w:hAnsi="宋体" w:cs="宋体"/>
          <w:color w:val="auto"/>
          <w:highlight w:val="none"/>
        </w:rPr>
        <w:t>项目公开招标的结果，签署本合同。</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textAlignment w:val="auto"/>
        <w:rPr>
          <w:rFonts w:hint="eastAsia" w:hAnsi="宋体" w:cs="宋体"/>
          <w:b/>
          <w:color w:val="auto"/>
          <w:highlight w:val="none"/>
        </w:rPr>
      </w:pPr>
      <w:r>
        <w:rPr>
          <w:rFonts w:hint="eastAsia" w:hAnsi="宋体" w:cs="宋体"/>
          <w:b/>
          <w:color w:val="auto"/>
          <w:highlight w:val="none"/>
        </w:rPr>
        <w:t>一、服务内容</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firstLine="480" w:firstLineChars="200"/>
        <w:textAlignment w:val="auto"/>
        <w:rPr>
          <w:rFonts w:hint="eastAsia" w:hAnsi="宋体" w:cs="宋体"/>
          <w:color w:val="auto"/>
          <w:highlight w:val="none"/>
        </w:rPr>
      </w:pPr>
      <w:r>
        <w:rPr>
          <w:rFonts w:hint="eastAsia" w:hAnsi="宋体" w:cs="宋体"/>
          <w:color w:val="auto"/>
          <w:highlight w:val="none"/>
        </w:rPr>
        <w:t>1. 服务名称：</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firstLine="480" w:firstLineChars="200"/>
        <w:textAlignment w:val="auto"/>
        <w:rPr>
          <w:rFonts w:hint="eastAsia" w:hAnsi="宋体" w:cs="宋体"/>
          <w:color w:val="auto"/>
          <w:highlight w:val="none"/>
        </w:rPr>
      </w:pPr>
      <w:r>
        <w:rPr>
          <w:rFonts w:hint="eastAsia" w:hAnsi="宋体" w:cs="宋体"/>
          <w:color w:val="auto"/>
          <w:highlight w:val="none"/>
        </w:rPr>
        <w:t>2. 服务期限：</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firstLine="480" w:firstLineChars="200"/>
        <w:textAlignment w:val="auto"/>
        <w:rPr>
          <w:rFonts w:hint="eastAsia" w:hAnsi="宋体" w:cs="宋体"/>
          <w:color w:val="auto"/>
          <w:highlight w:val="none"/>
        </w:rPr>
      </w:pPr>
      <w:r>
        <w:rPr>
          <w:rFonts w:hint="eastAsia" w:hAnsi="宋体" w:cs="宋体"/>
          <w:color w:val="auto"/>
          <w:highlight w:val="none"/>
        </w:rPr>
        <w:t>3. 服务地址：</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textAlignment w:val="auto"/>
        <w:rPr>
          <w:rFonts w:hint="eastAsia" w:hAnsi="宋体" w:cs="宋体"/>
          <w:b/>
          <w:color w:val="auto"/>
          <w:highlight w:val="none"/>
        </w:rPr>
      </w:pPr>
      <w:r>
        <w:rPr>
          <w:rFonts w:hint="eastAsia" w:hAnsi="宋体" w:cs="宋体"/>
          <w:b/>
          <w:color w:val="auto"/>
          <w:highlight w:val="none"/>
        </w:rPr>
        <w:t>二、合同金额</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410" w:hanging="410" w:hangingChars="171"/>
        <w:textAlignment w:val="auto"/>
        <w:rPr>
          <w:rFonts w:hint="eastAsia" w:hAnsi="宋体" w:cs="宋体"/>
          <w:color w:val="auto"/>
          <w:highlight w:val="none"/>
        </w:rPr>
      </w:pPr>
      <w:r>
        <w:rPr>
          <w:rFonts w:hint="eastAsia" w:hAnsi="宋体" w:cs="宋体"/>
          <w:color w:val="auto"/>
          <w:highlight w:val="none"/>
        </w:rPr>
        <w:t xml:space="preserve"> 本合同金额为（大写）：_______________________元（￥_________元）人民币。</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textAlignment w:val="auto"/>
        <w:rPr>
          <w:rFonts w:hint="eastAsia" w:hAnsi="宋体" w:cs="宋体"/>
          <w:b/>
          <w:color w:val="auto"/>
          <w:highlight w:val="none"/>
        </w:rPr>
      </w:pPr>
      <w:r>
        <w:rPr>
          <w:rFonts w:hint="eastAsia" w:hAnsi="宋体" w:cs="宋体"/>
          <w:b/>
          <w:color w:val="auto"/>
          <w:highlight w:val="none"/>
        </w:rPr>
        <w:t>三、知识产权及技术资料</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firstLine="480" w:firstLineChars="200"/>
        <w:textAlignment w:val="auto"/>
        <w:rPr>
          <w:rFonts w:hint="eastAsia" w:hAnsi="宋体" w:cs="宋体"/>
          <w:b/>
          <w:color w:val="auto"/>
          <w:highlight w:val="none"/>
        </w:rPr>
      </w:pPr>
      <w:r>
        <w:rPr>
          <w:rFonts w:hint="eastAsia" w:hAnsi="宋体" w:cs="宋体"/>
          <w:color w:val="auto"/>
          <w:highlight w:val="none"/>
        </w:rPr>
        <w:t>1.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firstLine="480" w:firstLineChars="200"/>
        <w:textAlignment w:val="auto"/>
        <w:rPr>
          <w:rFonts w:hint="eastAsia" w:hAnsi="宋体" w:cs="宋体"/>
          <w:color w:val="auto"/>
          <w:highlight w:val="none"/>
          <w:u w:val="single"/>
        </w:rPr>
      </w:pPr>
      <w:r>
        <w:rPr>
          <w:rFonts w:hint="eastAsia" w:hAnsi="宋体" w:cs="宋体"/>
          <w:color w:val="auto"/>
          <w:highlight w:val="none"/>
        </w:rPr>
        <w:t>2.乙方应保证所提供的技术服务或其任何一部分均不会侵犯任何第三方的知识产权</w:t>
      </w:r>
      <w:r>
        <w:rPr>
          <w:rFonts w:hint="eastAsia" w:hAnsi="宋体" w:cs="宋体"/>
          <w:bCs/>
          <w:color w:val="auto"/>
          <w:highlight w:val="none"/>
        </w:rPr>
        <w:t>。</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410" w:hanging="410" w:hangingChars="170"/>
        <w:textAlignment w:val="auto"/>
        <w:rPr>
          <w:rFonts w:hint="eastAsia" w:hAnsi="宋体" w:cs="宋体"/>
          <w:b/>
          <w:color w:val="auto"/>
          <w:highlight w:val="none"/>
        </w:rPr>
      </w:pPr>
      <w:r>
        <w:rPr>
          <w:rFonts w:hint="eastAsia" w:hAnsi="宋体" w:cs="宋体"/>
          <w:b/>
          <w:color w:val="auto"/>
          <w:highlight w:val="none"/>
        </w:rPr>
        <w:t>四、履约保证金</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481" w:leftChars="229" w:firstLine="72" w:firstLineChars="30"/>
        <w:textAlignment w:val="auto"/>
        <w:rPr>
          <w:rFonts w:hint="eastAsia" w:ascii="宋体" w:hAnsi="宋体" w:eastAsia="宋体" w:cs="宋体"/>
          <w:b/>
          <w:color w:val="auto"/>
          <w:kern w:val="0"/>
          <w:sz w:val="24"/>
          <w:highlight w:val="none"/>
          <w:lang w:eastAsia="zh-CN"/>
        </w:rPr>
      </w:pPr>
      <w:r>
        <w:rPr>
          <w:rFonts w:hint="eastAsia" w:ascii="宋体" w:hAnsi="宋体" w:cs="宋体"/>
          <w:b w:val="0"/>
          <w:bCs/>
          <w:color w:val="auto"/>
          <w:sz w:val="24"/>
          <w:highlight w:val="none"/>
        </w:rPr>
        <w:t>本项目</w:t>
      </w:r>
      <w:r>
        <w:rPr>
          <w:rFonts w:hint="eastAsia" w:ascii="宋体" w:hAnsi="宋体" w:cs="宋体"/>
          <w:b w:val="0"/>
          <w:bCs/>
          <w:color w:val="auto"/>
          <w:kern w:val="0"/>
          <w:sz w:val="24"/>
          <w:highlight w:val="none"/>
        </w:rPr>
        <w:t>不收取履约保证金</w:t>
      </w:r>
      <w:r>
        <w:rPr>
          <w:rFonts w:hint="eastAsia" w:hAnsi="宋体" w:cs="宋体"/>
          <w:b w:val="0"/>
          <w:bCs/>
          <w:color w:val="auto"/>
          <w:kern w:val="0"/>
          <w:sz w:val="24"/>
          <w:highlight w:val="none"/>
          <w:lang w:eastAsia="zh-CN"/>
        </w:rPr>
        <w:t>。</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410" w:hanging="410" w:hangingChars="170"/>
        <w:textAlignment w:val="auto"/>
        <w:rPr>
          <w:rFonts w:hint="eastAsia" w:hAnsi="宋体" w:cs="宋体"/>
          <w:b/>
          <w:color w:val="auto"/>
          <w:highlight w:val="none"/>
        </w:rPr>
      </w:pPr>
      <w:r>
        <w:rPr>
          <w:rFonts w:hint="eastAsia" w:hAnsi="宋体" w:cs="宋体"/>
          <w:b/>
          <w:color w:val="auto"/>
          <w:highlight w:val="none"/>
        </w:rPr>
        <w:t>五、转包或分包</w:t>
      </w:r>
    </w:p>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hint="eastAsia" w:ascii="宋体" w:hAnsi="宋体" w:cs="宋体"/>
          <w:color w:val="auto"/>
          <w:kern w:val="0"/>
          <w:sz w:val="24"/>
          <w:szCs w:val="20"/>
          <w:highlight w:val="none"/>
        </w:rPr>
      </w:pPr>
      <w:r>
        <w:rPr>
          <w:rFonts w:hint="eastAsia" w:ascii="宋体" w:hAnsi="宋体" w:cs="宋体"/>
          <w:color w:val="auto"/>
          <w:kern w:val="0"/>
          <w:sz w:val="24"/>
          <w:highlight w:val="none"/>
        </w:rPr>
        <w:t>1.本项目不允许转包。</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本项目</w:t>
      </w:r>
      <w:r>
        <w:rPr>
          <w:rFonts w:hint="eastAsia" w:ascii="宋体" w:hAnsi="宋体" w:eastAsia="宋体" w:cs="宋体"/>
          <w:color w:val="auto"/>
          <w:kern w:val="0"/>
          <w:sz w:val="24"/>
          <w:lang w:eastAsia="zh-CN"/>
        </w:rPr>
        <w:t>分包按照浙财采监</w:t>
      </w:r>
      <w:r>
        <w:rPr>
          <w:rFonts w:hint="eastAsia" w:ascii="宋体" w:hAnsi="宋体" w:eastAsia="宋体" w:cs="宋体"/>
          <w:color w:val="auto"/>
          <w:kern w:val="0"/>
          <w:sz w:val="24"/>
          <w:lang w:val="en-US" w:eastAsia="zh-CN"/>
        </w:rPr>
        <w:t>[2022]3号文件执行</w:t>
      </w:r>
      <w:r>
        <w:rPr>
          <w:rFonts w:hint="eastAsia" w:ascii="宋体" w:hAnsi="宋体" w:eastAsia="宋体" w:cs="宋体"/>
          <w:color w:val="auto"/>
          <w:kern w:val="0"/>
          <w:sz w:val="24"/>
        </w:rPr>
        <w:t>。</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textAlignment w:val="auto"/>
        <w:rPr>
          <w:rFonts w:hint="eastAsia" w:hAnsi="宋体" w:cs="宋体"/>
          <w:b/>
          <w:color w:val="auto"/>
          <w:highlight w:val="none"/>
        </w:rPr>
      </w:pPr>
      <w:r>
        <w:rPr>
          <w:rFonts w:hint="eastAsia" w:hAnsi="宋体" w:cs="宋体"/>
          <w:b/>
          <w:color w:val="auto"/>
          <w:highlight w:val="none"/>
        </w:rPr>
        <w:t>六、服务款支付</w:t>
      </w:r>
    </w:p>
    <w:p>
      <w:pPr>
        <w:spacing w:line="380" w:lineRule="exact"/>
        <w:ind w:firstLine="420"/>
        <w:rPr>
          <w:rFonts w:hint="eastAsia" w:ascii="宋体" w:hAnsi="宋体" w:eastAsia="宋体" w:cs="宋体"/>
          <w:color w:val="auto"/>
          <w:sz w:val="24"/>
          <w:lang w:eastAsia="zh-CN"/>
        </w:rPr>
      </w:pPr>
      <w:r>
        <w:rPr>
          <w:rFonts w:hint="eastAsia" w:ascii="宋体" w:hAnsi="宋体" w:cs="宋体"/>
          <w:bCs/>
          <w:color w:val="auto"/>
          <w:sz w:val="24"/>
          <w:highlight w:val="none"/>
          <w:lang w:val="en-US" w:eastAsia="zh-CN"/>
        </w:rPr>
        <w:t>1.</w:t>
      </w:r>
      <w:r>
        <w:rPr>
          <w:rFonts w:hint="eastAsia" w:ascii="宋体" w:hAnsi="宋体" w:eastAsia="宋体" w:cs="宋体"/>
          <w:color w:val="auto"/>
          <w:sz w:val="24"/>
        </w:rPr>
        <w:t>合同签订具备实施条件后7个工作日内付至合同价款的</w:t>
      </w:r>
      <w:r>
        <w:rPr>
          <w:rFonts w:hint="eastAsia" w:ascii="宋体" w:hAnsi="宋体" w:cs="宋体"/>
          <w:color w:val="auto"/>
          <w:sz w:val="24"/>
          <w:lang w:val="en-US" w:eastAsia="zh-CN"/>
        </w:rPr>
        <w:t>4</w:t>
      </w:r>
      <w:r>
        <w:rPr>
          <w:rFonts w:hint="eastAsia" w:ascii="宋体" w:hAnsi="宋体" w:eastAsia="宋体" w:cs="宋体"/>
          <w:color w:val="auto"/>
          <w:sz w:val="24"/>
        </w:rPr>
        <w:t>0%，单个社区通过专家评审完成备案后支付至该社区合同价款的60%；单个社区完成考核专项服务列入省未来社区建成名单后支付至该社区合同价款的100%。</w:t>
      </w:r>
    </w:p>
    <w:p>
      <w:pPr>
        <w:numPr>
          <w:ilvl w:val="0"/>
          <w:numId w:val="0"/>
        </w:numPr>
        <w:spacing w:line="380" w:lineRule="exact"/>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在履行合同期间如成本有上涨或降低，采购人对价格一律不作调整。</w:t>
      </w:r>
    </w:p>
    <w:p>
      <w:pPr>
        <w:keepNext w:val="0"/>
        <w:keepLines w:val="0"/>
        <w:pageBreakBefore w:val="0"/>
        <w:widowControl w:val="0"/>
        <w:tabs>
          <w:tab w:val="left" w:pos="420"/>
        </w:tabs>
        <w:kinsoku/>
        <w:wordWrap/>
        <w:overflowPunct/>
        <w:topLinePunct w:val="0"/>
        <w:autoSpaceDE/>
        <w:autoSpaceDN/>
        <w:bidi w:val="0"/>
        <w:adjustRightInd/>
        <w:snapToGrid w:val="0"/>
        <w:spacing w:line="320" w:lineRule="exact"/>
        <w:textAlignment w:val="auto"/>
        <w:rPr>
          <w:rFonts w:hint="eastAsia" w:ascii="宋体" w:hAnsi="宋体" w:cs="宋体"/>
          <w:b/>
          <w:color w:val="auto"/>
          <w:sz w:val="24"/>
          <w:szCs w:val="20"/>
          <w:highlight w:val="none"/>
        </w:rPr>
      </w:pPr>
      <w:r>
        <w:rPr>
          <w:rFonts w:hint="eastAsia" w:ascii="宋体" w:hAnsi="宋体" w:cs="宋体"/>
          <w:b/>
          <w:color w:val="auto"/>
          <w:sz w:val="24"/>
          <w:highlight w:val="none"/>
        </w:rPr>
        <w:t>七、税费</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32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本合同执行中相关的一切税费均由乙方负担。</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320" w:lineRule="exact"/>
        <w:textAlignment w:val="auto"/>
        <w:rPr>
          <w:rFonts w:hint="eastAsia" w:ascii="宋体" w:hAnsi="宋体" w:cs="宋体"/>
          <w:b/>
          <w:color w:val="auto"/>
          <w:sz w:val="24"/>
          <w:highlight w:val="none"/>
        </w:rPr>
      </w:pPr>
      <w:r>
        <w:rPr>
          <w:rFonts w:hint="eastAsia" w:ascii="宋体" w:hAnsi="宋体" w:cs="宋体"/>
          <w:b/>
          <w:color w:val="auto"/>
          <w:sz w:val="24"/>
          <w:highlight w:val="none"/>
        </w:rPr>
        <w:t>八、调试和验收</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479" w:leftChars="228" w:firstLine="69" w:firstLineChars="29"/>
        <w:textAlignment w:val="auto"/>
        <w:rPr>
          <w:rFonts w:hint="eastAsia" w:ascii="宋体" w:hAnsi="宋体" w:cs="宋体"/>
          <w:sz w:val="24"/>
          <w:lang w:eastAsia="zh-CN"/>
        </w:rPr>
      </w:pPr>
      <w:r>
        <w:rPr>
          <w:rFonts w:hint="eastAsia" w:ascii="宋体" w:hAnsi="宋体" w:cs="宋体"/>
          <w:sz w:val="24"/>
          <w:lang w:eastAsia="zh-CN"/>
        </w:rPr>
        <w:t>通过专家评审，并列入省级未来社区创建名单</w:t>
      </w:r>
      <w:r>
        <w:rPr>
          <w:rFonts w:hint="eastAsia" w:hAnsi="宋体" w:cs="宋体"/>
          <w:sz w:val="24"/>
          <w:lang w:eastAsia="zh-CN"/>
        </w:rPr>
        <w:t>。</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412" w:hanging="412" w:hangingChars="171"/>
        <w:textAlignment w:val="auto"/>
        <w:rPr>
          <w:rFonts w:hint="eastAsia" w:hAnsi="宋体" w:cs="宋体"/>
          <w:color w:val="auto"/>
          <w:highlight w:val="none"/>
        </w:rPr>
      </w:pPr>
      <w:r>
        <w:rPr>
          <w:rFonts w:hint="eastAsia" w:hAnsi="宋体" w:cs="宋体"/>
          <w:b/>
          <w:color w:val="auto"/>
          <w:highlight w:val="none"/>
        </w:rPr>
        <w:t>九、服务质量保证及售后服务</w:t>
      </w:r>
    </w:p>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rPr>
          <w:rFonts w:ascii="宋体" w:hAnsi="宋体"/>
          <w:sz w:val="24"/>
        </w:rPr>
      </w:pPr>
      <w:r>
        <w:rPr>
          <w:rFonts w:ascii="宋体" w:hAnsi="宋体"/>
          <w:sz w:val="24"/>
        </w:rPr>
        <w:t>1</w:t>
      </w:r>
      <w:r>
        <w:rPr>
          <w:rFonts w:hint="eastAsia" w:ascii="宋体" w:hAnsi="宋体"/>
          <w:sz w:val="24"/>
        </w:rPr>
        <w:t>.</w:t>
      </w:r>
      <w:r>
        <w:rPr>
          <w:rFonts w:ascii="宋体" w:hAnsi="宋体"/>
          <w:sz w:val="24"/>
        </w:rPr>
        <w:t>乙方应按招标文件规定向甲方提供服务。</w:t>
      </w:r>
    </w:p>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rPr>
          <w:rFonts w:ascii="宋体" w:hAnsi="宋体"/>
          <w:sz w:val="24"/>
        </w:rPr>
      </w:pPr>
      <w:r>
        <w:rPr>
          <w:rFonts w:ascii="宋体" w:hAnsi="宋体"/>
          <w:sz w:val="24"/>
        </w:rPr>
        <w:t>2</w:t>
      </w:r>
      <w:r>
        <w:rPr>
          <w:rFonts w:hint="eastAsia" w:ascii="宋体" w:hAnsi="宋体"/>
          <w:sz w:val="24"/>
        </w:rPr>
        <w:t>.</w:t>
      </w:r>
      <w:r>
        <w:rPr>
          <w:rFonts w:ascii="宋体" w:hAnsi="宋体"/>
          <w:sz w:val="24"/>
        </w:rPr>
        <w:t>乙方提供的服务成果在服务质量保证期内发生故障，乙方应负责免费提供后续服务。</w:t>
      </w:r>
    </w:p>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rPr>
          <w:rFonts w:ascii="宋体" w:hAnsi="宋体"/>
          <w:sz w:val="24"/>
        </w:rPr>
      </w:pPr>
      <w:r>
        <w:rPr>
          <w:rFonts w:ascii="宋体" w:hAnsi="宋体"/>
          <w:sz w:val="24"/>
        </w:rPr>
        <w:t>对达不到要求者，根据实际情况，经双方协商，可按以下办法处理：</w:t>
      </w:r>
    </w:p>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rPr>
          <w:rFonts w:ascii="宋体" w:hAnsi="宋体"/>
          <w:sz w:val="24"/>
        </w:rPr>
      </w:pPr>
      <w:r>
        <w:rPr>
          <w:rFonts w:ascii="宋体" w:hAnsi="宋体"/>
          <w:sz w:val="24"/>
        </w:rPr>
        <w:t>⑴重做：由乙方承担所发生的全部费用。</w:t>
      </w:r>
    </w:p>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rPr>
          <w:rFonts w:ascii="宋体" w:hAnsi="宋体"/>
          <w:sz w:val="24"/>
        </w:rPr>
      </w:pPr>
      <w:r>
        <w:rPr>
          <w:rFonts w:ascii="宋体" w:hAnsi="宋体"/>
          <w:sz w:val="24"/>
        </w:rPr>
        <w:t>⑵解除合同。</w:t>
      </w:r>
    </w:p>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rPr>
          <w:rFonts w:ascii="宋体" w:hAnsi="宋体"/>
          <w:sz w:val="24"/>
        </w:rPr>
      </w:pPr>
      <w:r>
        <w:rPr>
          <w:rFonts w:hint="eastAsia" w:ascii="宋体" w:hAnsi="宋体"/>
          <w:sz w:val="24"/>
        </w:rPr>
        <w:t>3.如在使用过程中发生问题，乙方在接到甲方通知后</w:t>
      </w:r>
      <w:r>
        <w:rPr>
          <w:rFonts w:hint="eastAsia" w:ascii="宋体" w:hAnsi="宋体"/>
          <w:sz w:val="24"/>
          <w:u w:val="single"/>
          <w:lang w:val="en-US" w:eastAsia="zh-CN"/>
        </w:rPr>
        <w:t>4</w:t>
      </w:r>
      <w:r>
        <w:rPr>
          <w:rFonts w:hint="eastAsia" w:ascii="宋体" w:hAnsi="宋体"/>
          <w:sz w:val="24"/>
        </w:rPr>
        <w:t>小时内到达甲方现场。</w:t>
      </w:r>
    </w:p>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rPr>
          <w:rFonts w:ascii="宋体" w:hAnsi="宋体"/>
          <w:sz w:val="24"/>
        </w:rPr>
      </w:pPr>
      <w:r>
        <w:rPr>
          <w:rFonts w:ascii="宋体" w:hAnsi="宋体"/>
          <w:sz w:val="24"/>
        </w:rPr>
        <w:t>4</w:t>
      </w:r>
      <w:r>
        <w:rPr>
          <w:rFonts w:hint="eastAsia" w:ascii="宋体" w:hAnsi="宋体"/>
          <w:sz w:val="24"/>
        </w:rPr>
        <w:t>.</w:t>
      </w:r>
      <w:r>
        <w:rPr>
          <w:rFonts w:ascii="宋体" w:hAnsi="宋体"/>
          <w:sz w:val="24"/>
        </w:rPr>
        <w:t>在服务质</w:t>
      </w:r>
      <w:r>
        <w:rPr>
          <w:rFonts w:ascii="宋体" w:hAnsi="宋体" w:eastAsia="宋体" w:cs="Times New Roman"/>
          <w:sz w:val="24"/>
        </w:rPr>
        <w:t>量保证期内，乙</w:t>
      </w:r>
      <w:r>
        <w:rPr>
          <w:rFonts w:ascii="宋体" w:hAnsi="宋体"/>
          <w:sz w:val="24"/>
        </w:rPr>
        <w:t>方应对出现的质量及安全问题负责处理解决并承担一切费</w:t>
      </w:r>
    </w:p>
    <w:p>
      <w:pPr>
        <w:keepNext w:val="0"/>
        <w:keepLines w:val="0"/>
        <w:pageBreakBefore w:val="0"/>
        <w:widowControl w:val="0"/>
        <w:kinsoku/>
        <w:wordWrap/>
        <w:overflowPunct/>
        <w:topLinePunct w:val="0"/>
        <w:autoSpaceDE/>
        <w:autoSpaceDN/>
        <w:bidi w:val="0"/>
        <w:adjustRightInd/>
        <w:snapToGrid w:val="0"/>
        <w:spacing w:line="380" w:lineRule="exact"/>
        <w:rPr>
          <w:rFonts w:hint="eastAsia" w:hAnsi="宋体" w:cs="宋体"/>
          <w:color w:val="auto"/>
          <w:highlight w:val="none"/>
        </w:rPr>
      </w:pPr>
      <w:r>
        <w:rPr>
          <w:rFonts w:ascii="宋体" w:hAnsi="宋体"/>
          <w:sz w:val="24"/>
        </w:rPr>
        <w:t>用。</w:t>
      </w:r>
    </w:p>
    <w:p>
      <w:pPr>
        <w:keepNext w:val="0"/>
        <w:keepLines w:val="0"/>
        <w:pageBreakBefore w:val="0"/>
        <w:widowControl w:val="0"/>
        <w:kinsoku/>
        <w:wordWrap/>
        <w:overflowPunct/>
        <w:topLinePunct w:val="0"/>
        <w:autoSpaceDE/>
        <w:autoSpaceDN/>
        <w:bidi w:val="0"/>
        <w:adjustRightInd/>
        <w:snapToGrid w:val="0"/>
        <w:spacing w:line="380" w:lineRule="exact"/>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十、违约责任</w:t>
      </w:r>
    </w:p>
    <w:p>
      <w:pPr>
        <w:pStyle w:val="12"/>
        <w:keepNext w:val="0"/>
        <w:keepLines w:val="0"/>
        <w:pageBreakBefore w:val="0"/>
        <w:widowControl w:val="0"/>
        <w:kinsoku/>
        <w:wordWrap/>
        <w:overflowPunct/>
        <w:topLinePunct w:val="0"/>
        <w:autoSpaceDE/>
        <w:autoSpaceDN/>
        <w:bidi w:val="0"/>
        <w:snapToGrid w:val="0"/>
        <w:spacing w:before="120" w:after="120" w:line="380" w:lineRule="exact"/>
        <w:ind w:firstLine="480" w:firstLineChars="200"/>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1. 甲方无故逾期验收和办理支付手续的,甲方应按逾期付款总额每日万分之五向乙方支付违约金。</w:t>
      </w:r>
    </w:p>
    <w:p>
      <w:pPr>
        <w:pStyle w:val="12"/>
        <w:keepNext w:val="0"/>
        <w:keepLines w:val="0"/>
        <w:pageBreakBefore w:val="0"/>
        <w:widowControl w:val="0"/>
        <w:kinsoku/>
        <w:wordWrap/>
        <w:overflowPunct/>
        <w:topLinePunct w:val="0"/>
        <w:autoSpaceDE/>
        <w:autoSpaceDN/>
        <w:bidi w:val="0"/>
        <w:snapToGrid w:val="0"/>
        <w:spacing w:before="120" w:after="120" w:line="380" w:lineRule="exact"/>
        <w:ind w:firstLine="480" w:firstLineChars="200"/>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 xml:space="preserve">2. 乙方逾期交付的，乙方应按逾期总额每日千分之六向甲方支付违约金，由甲方从待付中扣除。逾期超过约定日期10个工作日不能交付的，甲方可解除本合同。乙方因逾期交货或因其他违约行为导致甲方解除合同的，乙方应向甲方支付合同总值5%的违约金，如造成甲方损失超过违约金的，超出部分由乙方继续承担赔偿责任。 </w:t>
      </w:r>
    </w:p>
    <w:p>
      <w:pPr>
        <w:pStyle w:val="12"/>
        <w:keepNext w:val="0"/>
        <w:keepLines w:val="0"/>
        <w:pageBreakBefore w:val="0"/>
        <w:widowControl w:val="0"/>
        <w:kinsoku/>
        <w:wordWrap/>
        <w:overflowPunct/>
        <w:topLinePunct w:val="0"/>
        <w:autoSpaceDE/>
        <w:autoSpaceDN/>
        <w:bidi w:val="0"/>
        <w:snapToGrid w:val="0"/>
        <w:spacing w:before="120" w:after="120" w:line="380" w:lineRule="exact"/>
        <w:ind w:firstLine="480" w:firstLineChars="200"/>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3. 乙方所服务质量不符合合同规定及招标文件规定标准的，甲方有权拒绝。乙方拒绝改进服务的，影响甲方质量要求的，甲方可单方面解除合同，且乙方还需承担因此造成的一切赔偿责任。</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rPr>
          <w:rFonts w:hint="eastAsia" w:ascii="宋体" w:hAnsi="宋体" w:eastAsia="宋体" w:cs="宋体"/>
          <w:b/>
        </w:rPr>
      </w:pPr>
      <w:r>
        <w:rPr>
          <w:rFonts w:hint="eastAsia" w:hAnsi="宋体" w:eastAsia="宋体" w:cs="宋体"/>
          <w:b/>
          <w:lang w:eastAsia="zh-CN"/>
        </w:rPr>
        <w:t>十</w:t>
      </w:r>
      <w:r>
        <w:rPr>
          <w:rFonts w:hint="eastAsia" w:hAnsi="宋体" w:cs="宋体"/>
          <w:b/>
          <w:lang w:eastAsia="zh-CN"/>
        </w:rPr>
        <w:t>一</w:t>
      </w:r>
      <w:r>
        <w:rPr>
          <w:rFonts w:hint="eastAsia" w:ascii="宋体" w:hAnsi="宋体" w:eastAsia="宋体" w:cs="宋体"/>
          <w:b/>
        </w:rPr>
        <w:t>、不可抗力事件处理</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ind w:firstLine="480" w:firstLineChars="200"/>
        <w:rPr>
          <w:rFonts w:hint="eastAsia" w:ascii="宋体" w:hAnsi="宋体" w:eastAsia="宋体" w:cs="宋体"/>
        </w:rPr>
      </w:pPr>
      <w:r>
        <w:rPr>
          <w:rFonts w:hint="eastAsia" w:ascii="宋体" w:hAnsi="宋体" w:eastAsia="宋体" w:cs="宋体"/>
        </w:rPr>
        <w:t>1. 在合同有效期内，任何一方因不可抗力事件导致不能履行合同，则合同履行期可延长，其延长期与不可抗力影响期相同。</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ind w:firstLine="480" w:firstLineChars="200"/>
        <w:rPr>
          <w:rFonts w:hint="eastAsia" w:ascii="宋体" w:hAnsi="宋体" w:eastAsia="宋体" w:cs="宋体"/>
        </w:rPr>
      </w:pPr>
      <w:r>
        <w:rPr>
          <w:rFonts w:hint="eastAsia" w:ascii="宋体" w:hAnsi="宋体" w:eastAsia="宋体" w:cs="宋体"/>
        </w:rPr>
        <w:t>2.不可抗力事件发生后，应立即通知对方，并寄送有关权威机构出具的证明。</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ind w:firstLine="480" w:firstLineChars="200"/>
        <w:rPr>
          <w:rFonts w:hint="eastAsia" w:ascii="宋体" w:hAnsi="宋体" w:eastAsia="宋体" w:cs="宋体"/>
        </w:rPr>
      </w:pPr>
      <w:r>
        <w:rPr>
          <w:rFonts w:hint="eastAsia" w:ascii="宋体" w:hAnsi="宋体" w:eastAsia="宋体" w:cs="宋体"/>
        </w:rPr>
        <w:t>3.不可抗力事件延续120天以上，双方应通过友好协商，确定是否继续履行合同。</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rPr>
          <w:rFonts w:hint="eastAsia" w:ascii="宋体" w:hAnsi="宋体" w:eastAsia="宋体" w:cs="宋体"/>
          <w:b/>
        </w:rPr>
      </w:pPr>
      <w:r>
        <w:rPr>
          <w:rFonts w:hint="eastAsia" w:ascii="宋体" w:hAnsi="宋体" w:eastAsia="宋体" w:cs="宋体"/>
          <w:b/>
        </w:rPr>
        <w:t>十</w:t>
      </w:r>
      <w:r>
        <w:rPr>
          <w:rFonts w:hint="eastAsia" w:hAnsi="宋体" w:cs="宋体"/>
          <w:b/>
          <w:lang w:eastAsia="zh-CN"/>
        </w:rPr>
        <w:t>二</w:t>
      </w:r>
      <w:r>
        <w:rPr>
          <w:rFonts w:hint="eastAsia" w:ascii="宋体" w:hAnsi="宋体" w:eastAsia="宋体" w:cs="宋体"/>
          <w:b/>
        </w:rPr>
        <w:t>、诉讼</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ind w:firstLine="480" w:firstLineChars="200"/>
        <w:rPr>
          <w:rFonts w:hint="eastAsia" w:ascii="宋体" w:hAnsi="宋体" w:eastAsia="宋体" w:cs="宋体"/>
        </w:rPr>
      </w:pPr>
      <w:r>
        <w:rPr>
          <w:rFonts w:hint="eastAsia" w:ascii="宋体" w:hAnsi="宋体" w:eastAsia="宋体" w:cs="宋体"/>
        </w:rPr>
        <w:t>双方在执行合同中所发生的一切争议，应通过协商解决。如协商不成，可向甲方所在地法院起诉。</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rPr>
          <w:rFonts w:hint="eastAsia" w:ascii="宋体" w:hAnsi="宋体" w:eastAsia="宋体" w:cs="宋体"/>
          <w:b/>
        </w:rPr>
      </w:pPr>
      <w:r>
        <w:rPr>
          <w:rFonts w:hint="eastAsia" w:ascii="宋体" w:hAnsi="宋体" w:eastAsia="宋体" w:cs="宋体"/>
          <w:b/>
        </w:rPr>
        <w:t>十</w:t>
      </w:r>
      <w:r>
        <w:rPr>
          <w:rFonts w:hint="eastAsia" w:hAnsi="宋体" w:cs="宋体"/>
          <w:b/>
          <w:lang w:eastAsia="zh-CN"/>
        </w:rPr>
        <w:t>三</w:t>
      </w:r>
      <w:r>
        <w:rPr>
          <w:rFonts w:hint="eastAsia" w:ascii="宋体" w:hAnsi="宋体" w:eastAsia="宋体" w:cs="宋体"/>
          <w:b/>
        </w:rPr>
        <w:t>、合同生效及其它</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80" w:lineRule="exact"/>
        <w:ind w:firstLine="480" w:firstLineChars="200"/>
        <w:rPr>
          <w:rFonts w:hint="eastAsia" w:ascii="宋体" w:hAnsi="宋体" w:eastAsia="宋体" w:cs="宋体"/>
        </w:rPr>
      </w:pPr>
      <w:r>
        <w:rPr>
          <w:rFonts w:hint="eastAsia" w:ascii="宋体" w:hAnsi="宋体" w:eastAsia="宋体" w:cs="宋体"/>
        </w:rPr>
        <w:t>1.合同经双方法定代表人或委托代理人签字并加盖单位公章后生效。</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80" w:lineRule="exact"/>
        <w:ind w:firstLine="480" w:firstLineChars="200"/>
        <w:rPr>
          <w:rFonts w:hint="eastAsia" w:ascii="宋体" w:hAnsi="宋体" w:eastAsia="宋体" w:cs="宋体"/>
        </w:rPr>
      </w:pPr>
      <w:r>
        <w:rPr>
          <w:rFonts w:hint="eastAsia" w:ascii="宋体" w:hAnsi="宋体" w:eastAsia="宋体" w:cs="宋体"/>
        </w:rPr>
        <w:t>2.合同执行中涉及采购资金和采购内容修改或补充的，须经财政部门审批，并签书面补充协议报政府采购监督管理部门备案，方可作为主合同不可分割的一部分。</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80" w:lineRule="exact"/>
        <w:ind w:firstLine="480" w:firstLineChars="200"/>
        <w:rPr>
          <w:rFonts w:hint="eastAsia" w:ascii="宋体" w:hAnsi="宋体" w:eastAsia="宋体" w:cs="宋体"/>
        </w:rPr>
      </w:pPr>
      <w:r>
        <w:rPr>
          <w:rFonts w:hint="eastAsia" w:ascii="宋体" w:hAnsi="宋体" w:eastAsia="宋体" w:cs="宋体"/>
        </w:rPr>
        <w:t>3.本合同未尽事宜，遵照《</w:t>
      </w:r>
      <w:r>
        <w:rPr>
          <w:rFonts w:hint="eastAsia" w:hAnsi="宋体" w:eastAsia="宋体" w:cs="宋体"/>
          <w:lang w:eastAsia="zh-CN"/>
        </w:rPr>
        <w:t>民</w:t>
      </w:r>
      <w:r>
        <w:rPr>
          <w:rFonts w:hint="eastAsia" w:ascii="宋体" w:hAnsi="宋体" w:eastAsia="宋体" w:cs="宋体"/>
        </w:rPr>
        <w:t>法</w:t>
      </w:r>
      <w:r>
        <w:rPr>
          <w:rFonts w:hint="eastAsia" w:hAnsi="宋体" w:eastAsia="宋体" w:cs="宋体"/>
          <w:lang w:eastAsia="zh-CN"/>
        </w:rPr>
        <w:t>典</w:t>
      </w:r>
      <w:r>
        <w:rPr>
          <w:rFonts w:hint="eastAsia" w:ascii="宋体" w:hAnsi="宋体" w:eastAsia="宋体" w:cs="宋体"/>
        </w:rPr>
        <w:t>》有关条文执行。</w:t>
      </w:r>
    </w:p>
    <w:p>
      <w:pPr>
        <w:keepNext w:val="0"/>
        <w:keepLines w:val="0"/>
        <w:pageBreakBefore w:val="0"/>
        <w:widowControl w:val="0"/>
        <w:kinsoku/>
        <w:wordWrap/>
        <w:overflowPunct/>
        <w:topLinePunct w:val="0"/>
        <w:autoSpaceDE/>
        <w:autoSpaceDN/>
        <w:bidi w:val="0"/>
        <w:adjustRightInd/>
        <w:spacing w:line="380" w:lineRule="exact"/>
        <w:ind w:firstLine="480" w:firstLineChars="200"/>
        <w:rPr>
          <w:rFonts w:hint="eastAsia" w:ascii="宋体" w:hAnsi="宋体" w:eastAsia="宋体" w:cs="宋体"/>
          <w:sz w:val="24"/>
        </w:rPr>
      </w:pPr>
      <w:r>
        <w:rPr>
          <w:rFonts w:hint="eastAsia" w:ascii="宋体" w:hAnsi="宋体" w:eastAsia="宋体" w:cs="宋体"/>
          <w:sz w:val="24"/>
        </w:rPr>
        <w:t>4.本合同一式六份，甲乙双方各执二份、采购办、代理机构各执一份，具有同等法律效力。</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80" w:lineRule="exact"/>
        <w:ind w:firstLine="480" w:firstLineChars="200"/>
        <w:rPr>
          <w:rFonts w:hint="eastAsia" w:ascii="宋体" w:hAnsi="宋体" w:eastAsia="宋体" w:cs="宋体"/>
        </w:rPr>
      </w:pPr>
      <w:r>
        <w:rPr>
          <w:rFonts w:hint="eastAsia" w:ascii="宋体" w:hAnsi="宋体" w:eastAsia="宋体" w:cs="宋体"/>
        </w:rPr>
        <w:t>5.声明：本合同样本仅供参考，甲乙双方可就招标文件的非实质性条款进行修改，但不能修改实质性条款，甲乙双方对合同的真实性负责，鉴证方只负责见证项目招标的真实性。</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firstLine="480" w:firstLineChars="200"/>
        <w:textAlignment w:val="auto"/>
        <w:rPr>
          <w:rFonts w:hint="eastAsia" w:hAnsi="宋体" w:cs="宋体"/>
          <w:color w:val="auto"/>
          <w:highlight w:val="none"/>
        </w:rPr>
      </w:pPr>
    </w:p>
    <w:p>
      <w:pPr>
        <w:pStyle w:val="12"/>
        <w:keepNext w:val="0"/>
        <w:keepLines w:val="0"/>
        <w:pageBreakBefore w:val="0"/>
        <w:widowControl w:val="0"/>
        <w:kinsoku/>
        <w:wordWrap/>
        <w:overflowPunct/>
        <w:topLinePunct w:val="0"/>
        <w:autoSpaceDE/>
        <w:autoSpaceDN/>
        <w:bidi w:val="0"/>
        <w:adjustRightInd/>
        <w:spacing w:before="120" w:after="120" w:line="320" w:lineRule="exact"/>
        <w:textAlignment w:val="auto"/>
        <w:rPr>
          <w:rFonts w:hint="eastAsia" w:hAnsi="宋体" w:cs="宋体"/>
          <w:color w:val="auto"/>
          <w:highlight w:val="none"/>
        </w:rPr>
      </w:pPr>
      <w:r>
        <w:rPr>
          <w:rFonts w:hint="eastAsia" w:hAnsi="宋体" w:cs="宋体"/>
          <w:b/>
          <w:bCs/>
          <w:color w:val="auto"/>
          <w:highlight w:val="none"/>
        </w:rPr>
        <w:t>甲方（盖章）：                      乙方（盖章）：</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Chars="-1" w:hanging="2"/>
        <w:textAlignment w:val="auto"/>
        <w:rPr>
          <w:rFonts w:hint="eastAsia" w:hAnsi="宋体" w:cs="宋体"/>
          <w:color w:val="auto"/>
          <w:highlight w:val="none"/>
        </w:rPr>
      </w:pPr>
      <w:r>
        <w:rPr>
          <w:rFonts w:hint="eastAsia" w:hAnsi="宋体" w:cs="宋体"/>
          <w:color w:val="auto"/>
          <w:highlight w:val="none"/>
        </w:rPr>
        <w:t>法定代表人或受委托人                 法定代表人或受委托人</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2" w:leftChars="-85" w:hanging="180" w:hangingChars="75"/>
        <w:textAlignment w:val="auto"/>
        <w:rPr>
          <w:rFonts w:hint="eastAsia" w:hAnsi="宋体" w:cs="宋体"/>
          <w:color w:val="auto"/>
          <w:highlight w:val="none"/>
        </w:rPr>
      </w:pPr>
      <w:r>
        <w:rPr>
          <w:rFonts w:hint="eastAsia" w:hAnsi="宋体" w:cs="宋体"/>
          <w:color w:val="auto"/>
          <w:highlight w:val="none"/>
        </w:rPr>
        <w:t>（签字）                             （签字）</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Chars="-1" w:hanging="2"/>
        <w:textAlignment w:val="auto"/>
        <w:rPr>
          <w:rFonts w:hint="eastAsia" w:hAnsi="宋体" w:cs="宋体"/>
          <w:color w:val="auto"/>
          <w:highlight w:val="none"/>
        </w:rPr>
      </w:pPr>
      <w:r>
        <w:rPr>
          <w:rFonts w:hint="eastAsia" w:hAnsi="宋体" w:cs="宋体"/>
          <w:color w:val="auto"/>
          <w:highlight w:val="none"/>
        </w:rPr>
        <w:t xml:space="preserve">地址：                               地址： </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Chars="-1" w:hanging="2"/>
        <w:textAlignment w:val="auto"/>
        <w:rPr>
          <w:rFonts w:hint="eastAsia" w:hAnsi="宋体" w:cs="宋体"/>
          <w:color w:val="auto"/>
          <w:highlight w:val="none"/>
        </w:rPr>
      </w:pPr>
      <w:r>
        <w:rPr>
          <w:rFonts w:hint="eastAsia" w:hAnsi="宋体" w:cs="宋体"/>
          <w:color w:val="auto"/>
          <w:highlight w:val="none"/>
        </w:rPr>
        <w:t>电话：                               电话：</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Chars="-1" w:hanging="2"/>
        <w:textAlignment w:val="auto"/>
        <w:rPr>
          <w:rFonts w:hint="eastAsia" w:hAnsi="宋体" w:cs="宋体"/>
          <w:color w:val="auto"/>
          <w:highlight w:val="none"/>
        </w:rPr>
      </w:pPr>
      <w:r>
        <w:rPr>
          <w:rFonts w:hint="eastAsia" w:hAnsi="宋体" w:cs="宋体"/>
          <w:color w:val="auto"/>
          <w:highlight w:val="none"/>
        </w:rPr>
        <w:t>传真：                               传真：</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Chars="-1" w:hanging="2"/>
        <w:textAlignment w:val="auto"/>
        <w:rPr>
          <w:rFonts w:hint="eastAsia" w:hAnsi="宋体" w:cs="宋体"/>
          <w:color w:val="auto"/>
          <w:highlight w:val="none"/>
        </w:rPr>
      </w:pPr>
      <w:r>
        <w:rPr>
          <w:rFonts w:hint="eastAsia" w:hAnsi="宋体" w:cs="宋体"/>
          <w:color w:val="auto"/>
          <w:highlight w:val="none"/>
        </w:rPr>
        <w:t>开户银行：                           开户银行：</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ind w:leftChars="-1" w:hanging="2"/>
        <w:textAlignment w:val="auto"/>
        <w:rPr>
          <w:rFonts w:hint="eastAsia" w:hAnsi="宋体" w:cs="宋体"/>
          <w:b/>
          <w:bCs/>
          <w:color w:val="auto"/>
          <w:highlight w:val="none"/>
        </w:rPr>
      </w:pPr>
      <w:r>
        <w:rPr>
          <w:rFonts w:hint="eastAsia" w:hAnsi="宋体" w:cs="宋体"/>
          <w:color w:val="auto"/>
          <w:highlight w:val="none"/>
          <w:lang w:eastAsia="zh-CN"/>
        </w:rPr>
        <w:t>账</w:t>
      </w:r>
      <w:r>
        <w:rPr>
          <w:rFonts w:hint="eastAsia" w:hAnsi="宋体" w:cs="宋体"/>
          <w:color w:val="auto"/>
          <w:highlight w:val="none"/>
        </w:rPr>
        <w:t xml:space="preserve">号：                               </w:t>
      </w:r>
      <w:r>
        <w:rPr>
          <w:rFonts w:hint="eastAsia" w:hAnsi="宋体" w:cs="宋体"/>
          <w:color w:val="auto"/>
          <w:highlight w:val="none"/>
          <w:lang w:eastAsia="zh-CN"/>
        </w:rPr>
        <w:t>账</w:t>
      </w:r>
      <w:r>
        <w:rPr>
          <w:rFonts w:hint="eastAsia" w:hAnsi="宋体" w:cs="宋体"/>
          <w:color w:val="auto"/>
          <w:highlight w:val="none"/>
        </w:rPr>
        <w:t>号：</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textAlignment w:val="auto"/>
        <w:rPr>
          <w:rFonts w:hint="eastAsia" w:hAnsi="宋体" w:cs="宋体"/>
          <w:b/>
          <w:bCs/>
          <w:color w:val="auto"/>
          <w:highlight w:val="none"/>
        </w:rPr>
      </w:pPr>
      <w:r>
        <w:rPr>
          <w:rFonts w:hint="eastAsia" w:hAnsi="宋体" w:cs="宋体"/>
          <w:b/>
          <w:bCs/>
          <w:color w:val="auto"/>
          <w:highlight w:val="none"/>
        </w:rPr>
        <w:t>鉴证方（盖章）：</w:t>
      </w:r>
    </w:p>
    <w:p>
      <w:pPr>
        <w:pStyle w:val="12"/>
        <w:keepNext w:val="0"/>
        <w:keepLines w:val="0"/>
        <w:pageBreakBefore w:val="0"/>
        <w:widowControl w:val="0"/>
        <w:kinsoku/>
        <w:wordWrap/>
        <w:overflowPunct/>
        <w:topLinePunct w:val="0"/>
        <w:autoSpaceDE/>
        <w:autoSpaceDN/>
        <w:bidi w:val="0"/>
        <w:adjustRightInd/>
        <w:snapToGrid w:val="0"/>
        <w:spacing w:before="120" w:after="120" w:line="320" w:lineRule="exact"/>
        <w:textAlignment w:val="auto"/>
        <w:rPr>
          <w:rFonts w:hint="eastAsia" w:hAnsi="宋体" w:cs="宋体"/>
          <w:color w:val="auto"/>
          <w:highlight w:val="none"/>
        </w:rPr>
      </w:pPr>
      <w:r>
        <w:rPr>
          <w:rFonts w:hint="eastAsia" w:hAnsi="宋体" w:cs="宋体"/>
          <w:color w:val="auto"/>
          <w:highlight w:val="none"/>
        </w:rPr>
        <w:t>法定代表人或主要负责人:</w:t>
      </w:r>
    </w:p>
    <w:p>
      <w:pPr>
        <w:pStyle w:val="12"/>
        <w:keepNext w:val="0"/>
        <w:keepLines w:val="0"/>
        <w:pageBreakBefore w:val="0"/>
        <w:widowControl w:val="0"/>
        <w:tabs>
          <w:tab w:val="left" w:pos="2472"/>
        </w:tabs>
        <w:kinsoku/>
        <w:wordWrap/>
        <w:overflowPunct/>
        <w:topLinePunct w:val="0"/>
        <w:autoSpaceDE/>
        <w:autoSpaceDN/>
        <w:bidi w:val="0"/>
        <w:adjustRightInd/>
        <w:snapToGrid w:val="0"/>
        <w:spacing w:before="0" w:beforeLines="0" w:after="0" w:afterLines="0" w:line="320" w:lineRule="exact"/>
        <w:textAlignment w:val="auto"/>
        <w:rPr>
          <w:rFonts w:hint="eastAsia" w:hAnsi="宋体" w:cs="宋体"/>
          <w:color w:val="auto"/>
          <w:highlight w:val="none"/>
        </w:rPr>
      </w:pPr>
      <w:r>
        <w:rPr>
          <w:rFonts w:hint="eastAsia" w:hAnsi="宋体" w:cs="宋体"/>
          <w:color w:val="auto"/>
          <w:highlight w:val="none"/>
        </w:rPr>
        <w:t>联系电话：                                          签约时间：</w:t>
      </w:r>
    </w:p>
    <w:p>
      <w:pPr>
        <w:pageBreakBefore/>
        <w:spacing w:line="360" w:lineRule="auto"/>
        <w:ind w:firstLine="2891" w:firstLineChars="900"/>
        <w:outlineLvl w:val="1"/>
        <w:rPr>
          <w:rFonts w:hint="eastAsia" w:ascii="宋体" w:hAnsi="宋体" w:cs="宋体"/>
          <w:b/>
          <w:color w:val="auto"/>
          <w:sz w:val="32"/>
          <w:szCs w:val="32"/>
          <w:highlight w:val="none"/>
        </w:rPr>
      </w:pPr>
      <w:bookmarkStart w:id="0" w:name="_Toc17278025"/>
      <w:r>
        <w:rPr>
          <w:rFonts w:hint="eastAsia" w:ascii="宋体" w:hAnsi="宋体" w:cs="宋体"/>
          <w:b/>
          <w:color w:val="auto"/>
          <w:sz w:val="32"/>
          <w:szCs w:val="32"/>
          <w:highlight w:val="none"/>
        </w:rPr>
        <w:t>政府采购廉洁承诺书</w:t>
      </w:r>
      <w:bookmarkEnd w:id="0"/>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项目名称：                                     项目编号：</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中标人：</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第一条参与政府采购活动时，除具备采购文件规定的资格、资质要求外，我方还将严格遵守有关法律、法规、政策以及国家、地方关于廉政建设的各项规定。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第二条遵循公开、公平、公正、诚实信用原则，不发生损害上述原则及各方当事人合法权益得不正当竞争行为。</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第三条与政府采购各方当事人保持正常的业务交往，不向采购人、采购代理机构、监督机构、评审专家、工作人员及其他参与采购活动的人员提供不正当利益。主要有：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（一）向上述人员赠送礼金、有价证券、贵重物品及回扣、好处费、感谢费等。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（二）为上述人员或单位报销应由对方支付的费用。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（三）暗示为上述人员装修住房、婚丧嫁娶、配偶子女的工作安排以及出国（境）、旅游等提供方便。</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（四）为上述人员或单位提供可能影响采购活动开展的宴请、健身、娱乐等活动。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第四条严格执行采购合同，自觉按合同办事；在合同执行过程中，不发生本承诺书第三条中所列不良行为。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第五条 发现采购活动各方当事人有违规、违纪、违法行为的，及时提醒对方，情节严重的，主动向其主管部门或纪检监察、司法等机关举报。</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第六条 自觉接受政府采购管理部门的监管。在采购活动中出现违反本承诺书规定行为的，自觉接受政府采购管理部门的处罚，因违法违规行为给其他当事人造成经济损失的，按规定予以赔偿。</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第七条 本承诺书自签署之日起生效。</w:t>
      </w:r>
    </w:p>
    <w:p>
      <w:pPr>
        <w:spacing w:line="360" w:lineRule="auto"/>
        <w:ind w:left="840" w:hanging="840" w:hangingChars="350"/>
        <w:jc w:val="center"/>
        <w:rPr>
          <w:rFonts w:hint="eastAsia" w:ascii="宋体" w:hAnsi="宋体" w:cs="宋体"/>
          <w:color w:val="auto"/>
          <w:sz w:val="24"/>
          <w:highlight w:val="none"/>
        </w:rPr>
      </w:pPr>
    </w:p>
    <w:p>
      <w:pPr>
        <w:pStyle w:val="2"/>
        <w:ind w:firstLine="0" w:firstLineChars="0"/>
        <w:rPr>
          <w:rFonts w:hint="eastAsia" w:hAnsi="宋体" w:cs="宋体"/>
          <w:color w:val="auto"/>
          <w:highlight w:val="none"/>
        </w:rPr>
      </w:pPr>
    </w:p>
    <w:p>
      <w:pPr>
        <w:spacing w:line="360" w:lineRule="auto"/>
        <w:ind w:left="840" w:hanging="840" w:hangingChars="350"/>
        <w:jc w:val="center"/>
        <w:rPr>
          <w:rFonts w:hint="eastAsia" w:ascii="宋体" w:hAnsi="宋体" w:cs="宋体"/>
          <w:color w:val="auto"/>
          <w:sz w:val="24"/>
          <w:highlight w:val="none"/>
        </w:rPr>
      </w:pPr>
      <w:r>
        <w:rPr>
          <w:rFonts w:hint="eastAsia" w:ascii="宋体" w:hAnsi="宋体" w:cs="宋体"/>
          <w:color w:val="auto"/>
          <w:sz w:val="24"/>
          <w:highlight w:val="none"/>
        </w:rPr>
        <w:t>投标人（盖章）：</w:t>
      </w:r>
    </w:p>
    <w:p>
      <w:pPr>
        <w:spacing w:line="360" w:lineRule="auto"/>
        <w:ind w:left="840" w:hanging="840" w:hangingChars="350"/>
        <w:rPr>
          <w:rFonts w:hint="eastAsia" w:ascii="宋体" w:hAnsi="宋体" w:cs="宋体"/>
          <w:color w:val="auto"/>
          <w:sz w:val="24"/>
          <w:highlight w:val="none"/>
        </w:rPr>
      </w:pPr>
      <w:r>
        <w:rPr>
          <w:rFonts w:hint="eastAsia" w:ascii="宋体" w:hAnsi="宋体" w:cs="宋体"/>
          <w:color w:val="auto"/>
          <w:sz w:val="24"/>
          <w:highlight w:val="none"/>
        </w:rPr>
        <w:t xml:space="preserve">                                法定代表人：</w:t>
      </w:r>
    </w:p>
    <w:p>
      <w:pPr>
        <w:spacing w:line="360" w:lineRule="auto"/>
        <w:ind w:left="840" w:hanging="840" w:hangingChars="350"/>
        <w:rPr>
          <w:rFonts w:hint="eastAsia" w:ascii="宋体" w:hAnsi="宋体" w:cs="宋体"/>
          <w:color w:val="auto"/>
          <w:sz w:val="24"/>
          <w:highlight w:val="none"/>
        </w:rPr>
      </w:pPr>
      <w:r>
        <w:rPr>
          <w:rFonts w:hint="eastAsia" w:ascii="宋体" w:hAnsi="宋体" w:cs="宋体"/>
          <w:color w:val="auto"/>
          <w:sz w:val="24"/>
          <w:highlight w:val="none"/>
        </w:rPr>
        <w:t xml:space="preserve">                                                    年    月   日</w:t>
      </w:r>
    </w:p>
    <w:p>
      <w:pPr>
        <w:pStyle w:val="12"/>
        <w:tabs>
          <w:tab w:val="left" w:pos="2472"/>
        </w:tabs>
        <w:snapToGrid w:val="0"/>
        <w:spacing w:before="0" w:beforeLines="0" w:after="0" w:afterLines="0" w:line="240" w:lineRule="auto"/>
        <w:jc w:val="both"/>
        <w:rPr>
          <w:rFonts w:hint="eastAsia" w:hAnsi="宋体" w:cs="宋体"/>
          <w:color w:val="auto"/>
          <w:sz w:val="30"/>
          <w:szCs w:val="30"/>
          <w:highlight w:val="none"/>
        </w:rPr>
      </w:pPr>
    </w:p>
    <w:p>
      <w:pPr>
        <w:pStyle w:val="12"/>
        <w:tabs>
          <w:tab w:val="left" w:pos="2472"/>
        </w:tabs>
        <w:snapToGrid w:val="0"/>
        <w:spacing w:before="0" w:beforeLines="0" w:after="0" w:afterLines="0" w:line="240" w:lineRule="auto"/>
        <w:jc w:val="center"/>
        <w:rPr>
          <w:rFonts w:hint="eastAsia" w:hAnsi="宋体" w:cs="宋体"/>
          <w:b/>
          <w:bCs/>
          <w:color w:val="auto"/>
          <w:sz w:val="32"/>
          <w:szCs w:val="32"/>
          <w:highlight w:val="none"/>
        </w:rPr>
      </w:pPr>
      <w:r>
        <w:rPr>
          <w:rFonts w:hint="eastAsia" w:hAnsi="宋体" w:cs="宋体"/>
          <w:b/>
          <w:bCs/>
          <w:color w:val="auto"/>
          <w:sz w:val="32"/>
          <w:szCs w:val="32"/>
          <w:highlight w:val="none"/>
        </w:rPr>
        <w:t>第六章　投标文件格式</w:t>
      </w:r>
    </w:p>
    <w:p>
      <w:pPr>
        <w:snapToGrid w:val="0"/>
        <w:spacing w:before="120" w:beforeLines="50" w:after="50"/>
        <w:rPr>
          <w:rFonts w:hint="eastAsia" w:ascii="宋体" w:hAnsi="宋体" w:cs="宋体"/>
          <w:b/>
          <w:color w:val="auto"/>
          <w:sz w:val="24"/>
          <w:highlight w:val="none"/>
        </w:rPr>
      </w:pPr>
    </w:p>
    <w:p>
      <w:pPr>
        <w:snapToGrid w:val="0"/>
        <w:spacing w:before="120" w:beforeLines="50" w:after="50"/>
        <w:rPr>
          <w:rFonts w:hint="eastAsia" w:ascii="宋体" w:hAnsi="宋体" w:cs="宋体"/>
          <w:b/>
          <w:color w:val="auto"/>
          <w:sz w:val="24"/>
          <w:szCs w:val="20"/>
          <w:highlight w:val="none"/>
        </w:rPr>
      </w:pPr>
      <w:r>
        <w:rPr>
          <w:rFonts w:hint="eastAsia" w:ascii="宋体" w:hAnsi="宋体" w:cs="宋体"/>
          <w:b/>
          <w:color w:val="auto"/>
          <w:sz w:val="24"/>
          <w:highlight w:val="none"/>
        </w:rPr>
        <w:t xml:space="preserve">1.所有投标文件封面格式： </w:t>
      </w:r>
    </w:p>
    <w:p>
      <w:pPr>
        <w:snapToGrid w:val="0"/>
        <w:spacing w:before="120" w:beforeLines="50" w:after="50"/>
        <w:rPr>
          <w:rFonts w:hint="eastAsia" w:ascii="宋体" w:hAnsi="宋体" w:cs="宋体"/>
          <w:b/>
          <w:bCs/>
          <w:color w:val="auto"/>
          <w:sz w:val="32"/>
          <w:szCs w:val="20"/>
          <w:highlight w:val="none"/>
        </w:rPr>
      </w:pPr>
      <w:r>
        <w:rPr>
          <w:rFonts w:hint="eastAsia" w:ascii="宋体" w:hAnsi="宋体" w:cs="宋体"/>
          <w:color w:val="auto"/>
          <w:sz w:val="24"/>
          <w:highlight w:val="none"/>
        </w:rPr>
        <w:t xml:space="preserve">                                                    </w:t>
      </w:r>
      <w:r>
        <w:rPr>
          <w:rFonts w:hint="eastAsia" w:ascii="宋体" w:hAnsi="宋体" w:cs="宋体"/>
          <w:b/>
          <w:bCs/>
          <w:color w:val="auto"/>
          <w:highlight w:val="none"/>
        </w:rPr>
        <w:t>正本/或副本</w:t>
      </w:r>
    </w:p>
    <w:p>
      <w:pPr>
        <w:snapToGrid w:val="0"/>
        <w:spacing w:before="120" w:beforeLines="50" w:after="50"/>
        <w:jc w:val="center"/>
        <w:rPr>
          <w:rFonts w:hint="eastAsia" w:ascii="宋体" w:hAnsi="宋体" w:cs="宋体"/>
          <w:bCs/>
          <w:color w:val="auto"/>
          <w:sz w:val="24"/>
          <w:szCs w:val="20"/>
          <w:highlight w:val="none"/>
        </w:rPr>
      </w:pPr>
    </w:p>
    <w:p>
      <w:pPr>
        <w:snapToGrid w:val="0"/>
        <w:spacing w:before="120" w:beforeLines="50" w:after="50"/>
        <w:jc w:val="center"/>
        <w:rPr>
          <w:rFonts w:hint="eastAsia" w:ascii="宋体" w:hAnsi="宋体" w:cs="宋体"/>
          <w:bCs/>
          <w:color w:val="auto"/>
          <w:sz w:val="24"/>
          <w:szCs w:val="20"/>
          <w:highlight w:val="none"/>
        </w:rPr>
      </w:pPr>
      <w:r>
        <w:rPr>
          <w:rFonts w:hint="eastAsia" w:ascii="宋体" w:hAnsi="宋体" w:cs="宋体"/>
          <w:bCs/>
          <w:color w:val="auto"/>
          <w:sz w:val="24"/>
          <w:highlight w:val="none"/>
        </w:rPr>
        <w:t>资格审查文件、商务资信技术文件、报价文件</w:t>
      </w:r>
    </w:p>
    <w:p>
      <w:pPr>
        <w:snapToGrid w:val="0"/>
        <w:spacing w:before="120" w:beforeLines="50" w:after="50"/>
        <w:rPr>
          <w:rFonts w:hint="eastAsia" w:ascii="宋体" w:hAnsi="宋体" w:cs="宋体"/>
          <w:bCs/>
          <w:color w:val="auto"/>
          <w:sz w:val="24"/>
          <w:highlight w:val="none"/>
        </w:rPr>
      </w:pPr>
    </w:p>
    <w:p>
      <w:pPr>
        <w:snapToGrid w:val="0"/>
        <w:spacing w:before="120" w:beforeLines="50" w:after="50"/>
        <w:ind w:left="2267" w:leftChars="508" w:hanging="1200" w:hangingChars="500"/>
        <w:rPr>
          <w:rFonts w:hint="eastAsia" w:ascii="宋体" w:hAnsi="宋体" w:cs="宋体"/>
          <w:bCs/>
          <w:color w:val="auto"/>
          <w:sz w:val="24"/>
          <w:highlight w:val="none"/>
        </w:rPr>
      </w:pPr>
      <w:r>
        <w:rPr>
          <w:rFonts w:hint="eastAsia" w:ascii="宋体" w:hAnsi="宋体" w:cs="宋体"/>
          <w:bCs/>
          <w:color w:val="auto"/>
          <w:sz w:val="24"/>
          <w:highlight w:val="none"/>
        </w:rPr>
        <w:t>项目名称：</w:t>
      </w:r>
      <w:r>
        <w:rPr>
          <w:rFonts w:hint="eastAsia" w:ascii="宋体" w:hAnsi="宋体" w:cs="宋体"/>
          <w:color w:val="auto"/>
          <w:sz w:val="24"/>
          <w:highlight w:val="none"/>
          <w:lang w:eastAsia="zh-CN"/>
        </w:rPr>
        <w:t>东阳市吴宁街道未来社区一体化方案项目</w:t>
      </w:r>
      <w:r>
        <w:rPr>
          <w:rFonts w:hint="eastAsia" w:ascii="宋体" w:hAnsi="宋体" w:cs="宋体"/>
          <w:color w:val="auto"/>
          <w:sz w:val="24"/>
          <w:highlight w:val="none"/>
        </w:rPr>
        <w:t xml:space="preserve"> </w:t>
      </w:r>
    </w:p>
    <w:p>
      <w:pPr>
        <w:snapToGrid w:val="0"/>
        <w:spacing w:before="120" w:beforeLines="50" w:after="50"/>
        <w:ind w:firstLine="1068" w:firstLineChars="445"/>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rPr>
        <w:t>项目编号：DYYHCG</w:t>
      </w:r>
      <w:r>
        <w:rPr>
          <w:rFonts w:hint="eastAsia" w:ascii="宋体" w:hAnsi="宋体" w:cs="宋体"/>
          <w:bCs/>
          <w:color w:val="auto"/>
          <w:sz w:val="24"/>
          <w:highlight w:val="none"/>
          <w:lang w:eastAsia="zh-CN"/>
        </w:rPr>
        <w:t>202</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-GK-</w:t>
      </w:r>
      <w:r>
        <w:rPr>
          <w:rFonts w:hint="eastAsia" w:ascii="宋体" w:hAnsi="宋体" w:cs="宋体"/>
          <w:bCs/>
          <w:color w:val="auto"/>
          <w:sz w:val="24"/>
          <w:highlight w:val="none"/>
          <w:lang w:eastAsia="zh-CN"/>
        </w:rPr>
        <w:t>027</w:t>
      </w:r>
    </w:p>
    <w:p>
      <w:pPr>
        <w:snapToGrid w:val="0"/>
        <w:spacing w:before="120" w:beforeLines="50" w:after="50"/>
        <w:ind w:firstLine="1068" w:firstLineChars="445"/>
        <w:rPr>
          <w:rFonts w:hint="eastAsia" w:ascii="宋体" w:hAnsi="宋体" w:cs="宋体"/>
          <w:bCs/>
          <w:color w:val="auto"/>
          <w:sz w:val="24"/>
          <w:highlight w:val="none"/>
        </w:rPr>
      </w:pPr>
      <w:r>
        <w:rPr>
          <w:rFonts w:hint="eastAsia" w:ascii="宋体" w:hAnsi="宋体" w:cs="宋体"/>
          <w:bCs/>
          <w:color w:val="auto"/>
          <w:sz w:val="24"/>
          <w:highlight w:val="none"/>
        </w:rPr>
        <w:t>投标人名称：</w:t>
      </w:r>
    </w:p>
    <w:p>
      <w:pPr>
        <w:snapToGrid w:val="0"/>
        <w:spacing w:before="120" w:beforeLines="50" w:after="50"/>
        <w:ind w:firstLine="1068" w:firstLineChars="445"/>
        <w:rPr>
          <w:rFonts w:hint="eastAsia" w:ascii="宋体" w:hAnsi="宋体" w:cs="宋体"/>
          <w:bCs/>
          <w:color w:val="auto"/>
          <w:sz w:val="24"/>
          <w:highlight w:val="none"/>
        </w:rPr>
      </w:pPr>
      <w:r>
        <w:rPr>
          <w:rFonts w:hint="eastAsia" w:ascii="宋体" w:hAnsi="宋体" w:cs="宋体"/>
          <w:bCs/>
          <w:color w:val="auto"/>
          <w:sz w:val="24"/>
          <w:highlight w:val="none"/>
        </w:rPr>
        <w:t>投标人地址：</w:t>
      </w:r>
    </w:p>
    <w:p>
      <w:pPr>
        <w:snapToGrid w:val="0"/>
        <w:spacing w:before="120" w:beforeLines="50" w:after="50"/>
        <w:ind w:firstLine="4080" w:firstLineChars="1700"/>
        <w:rPr>
          <w:rFonts w:hint="eastAsia" w:ascii="宋体" w:hAnsi="宋体" w:cs="宋体"/>
          <w:color w:val="auto"/>
          <w:sz w:val="24"/>
          <w:szCs w:val="20"/>
          <w:highlight w:val="none"/>
        </w:rPr>
      </w:pPr>
    </w:p>
    <w:p>
      <w:pPr>
        <w:snapToGrid w:val="0"/>
        <w:spacing w:before="120" w:beforeLines="50" w:after="50"/>
        <w:ind w:firstLine="645"/>
        <w:jc w:val="center"/>
        <w:rPr>
          <w:rFonts w:hint="eastAsia" w:ascii="宋体" w:hAnsi="宋体" w:cs="宋体"/>
          <w:color w:val="auto"/>
          <w:sz w:val="24"/>
          <w:szCs w:val="20"/>
          <w:highlight w:val="none"/>
        </w:rPr>
      </w:pPr>
      <w:r>
        <w:rPr>
          <w:rFonts w:hint="eastAsia" w:ascii="宋体" w:hAnsi="宋体" w:cs="宋体"/>
          <w:color w:val="auto"/>
          <w:sz w:val="24"/>
          <w:highlight w:val="none"/>
        </w:rPr>
        <w:t xml:space="preserve">                        年  月  日</w:t>
      </w: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宋体" w:hAnsi="宋体" w:cs="宋体"/>
          <w:b/>
          <w:color w:val="auto"/>
          <w:sz w:val="24"/>
          <w:highlight w:val="none"/>
        </w:rPr>
      </w:pPr>
      <w:r>
        <w:rPr>
          <w:rFonts w:hint="eastAsia" w:ascii="宋体" w:hAnsi="宋体" w:cs="宋体"/>
          <w:color w:val="auto"/>
          <w:highlight w:val="none"/>
        </w:rPr>
        <w:br w:type="page"/>
      </w:r>
      <w:r>
        <w:rPr>
          <w:rFonts w:hint="eastAsia" w:ascii="宋体" w:hAnsi="宋体" w:cs="宋体"/>
          <w:color w:val="auto"/>
          <w:highlight w:val="none"/>
        </w:rPr>
        <w:t xml:space="preserve">   </w:t>
      </w:r>
      <w:r>
        <w:rPr>
          <w:rFonts w:hint="eastAsia" w:ascii="宋体" w:hAnsi="宋体" w:cs="宋体"/>
          <w:color w:val="auto"/>
          <w:highlight w:val="none"/>
          <w:lang w:val="en-US" w:eastAsia="zh-CN"/>
        </w:rPr>
        <w:t>2</w:t>
      </w:r>
      <w:r>
        <w:rPr>
          <w:rFonts w:hint="eastAsia" w:ascii="宋体" w:hAnsi="宋体" w:cs="宋体"/>
          <w:b/>
          <w:color w:val="auto"/>
          <w:sz w:val="24"/>
          <w:highlight w:val="none"/>
        </w:rPr>
        <w:t>.资格审查文件：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（1）有效的企业法人营业执照副本</w:t>
      </w:r>
      <w:r>
        <w:rPr>
          <w:rFonts w:ascii="宋体" w:hAnsi="宋体" w:cs="宋体"/>
          <w:sz w:val="24"/>
          <w:szCs w:val="21"/>
        </w:rPr>
        <w:t>(或事业法人登记证书或其它工商等登记证明材料；自然人参与提供身份证)</w:t>
      </w:r>
      <w:r>
        <w:rPr>
          <w:rFonts w:hint="eastAsia" w:ascii="宋体" w:hAnsi="宋体" w:cs="宋体"/>
          <w:bCs/>
          <w:color w:val="auto"/>
          <w:sz w:val="24"/>
          <w:highlight w:val="none"/>
        </w:rPr>
        <w:t>复印件；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（2）法定代表人授权委托书(格式见附件)；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）法定代表人身份证复印件或被授权人身份证复印件；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lang w:eastAsia="zh-CN"/>
        </w:rPr>
      </w:pP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lang w:eastAsia="zh-CN"/>
        </w:rPr>
        <w:t>）</w:t>
      </w:r>
      <w:r>
        <w:rPr>
          <w:rFonts w:hint="eastAsia" w:ascii="宋体" w:hAnsi="宋体" w:eastAsia="宋体" w:cs="宋体"/>
          <w:sz w:val="24"/>
          <w:szCs w:val="21"/>
        </w:rPr>
        <w:t>信用记录网络查询页面截图（信用中国与中国政府采购网）</w:t>
      </w:r>
      <w:r>
        <w:rPr>
          <w:rFonts w:hint="eastAsia" w:ascii="宋体" w:hAnsi="宋体" w:eastAsia="宋体" w:cs="宋体"/>
          <w:sz w:val="24"/>
          <w:szCs w:val="21"/>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w:t>
      </w:r>
      <w:r>
        <w:rPr>
          <w:rFonts w:hint="eastAsia" w:ascii="宋体" w:hAnsi="宋体" w:cs="宋体"/>
          <w:sz w:val="24"/>
          <w:szCs w:val="21"/>
          <w:lang w:val="en-US" w:eastAsia="zh-CN"/>
        </w:rPr>
        <w:t>5</w:t>
      </w:r>
      <w:r>
        <w:rPr>
          <w:rFonts w:hint="eastAsia" w:ascii="宋体" w:hAnsi="宋体" w:eastAsia="宋体" w:cs="宋体"/>
          <w:sz w:val="24"/>
          <w:szCs w:val="21"/>
        </w:rPr>
        <w:t>）浙江政府采购网注册正式供应商的网络截图或承诺书；</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rPr>
      </w:pPr>
      <w:r>
        <w:rPr>
          <w:rFonts w:hint="eastAsia" w:ascii="宋体" w:hAnsi="宋体" w:eastAsia="宋体" w:cs="宋体"/>
          <w:sz w:val="24"/>
          <w:szCs w:val="21"/>
        </w:rPr>
        <w:t>（</w:t>
      </w:r>
      <w:r>
        <w:rPr>
          <w:rFonts w:hint="eastAsia" w:ascii="宋体" w:hAnsi="宋体" w:cs="宋体"/>
          <w:sz w:val="24"/>
          <w:szCs w:val="21"/>
          <w:lang w:val="en-US" w:eastAsia="zh-CN"/>
        </w:rPr>
        <w:t>6</w:t>
      </w:r>
      <w:r>
        <w:rPr>
          <w:rFonts w:hint="eastAsia" w:ascii="宋体" w:hAnsi="宋体" w:eastAsia="宋体" w:cs="宋体"/>
          <w:sz w:val="24"/>
          <w:szCs w:val="21"/>
        </w:rPr>
        <w:t>）政府采购活动</w:t>
      </w:r>
      <w:r>
        <w:rPr>
          <w:rFonts w:hint="eastAsia" w:ascii="宋体" w:hAnsi="宋体" w:cs="宋体"/>
          <w:bCs/>
          <w:color w:val="auto"/>
          <w:sz w:val="24"/>
          <w:highlight w:val="none"/>
        </w:rPr>
        <w:t>现场确认声明书 (格式见附件) ；</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lang w:eastAsia="zh-CN"/>
        </w:rPr>
      </w:pP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7</w:t>
      </w:r>
      <w:r>
        <w:rPr>
          <w:rFonts w:hint="eastAsia" w:ascii="宋体" w:hAnsi="宋体" w:cs="宋体"/>
          <w:bCs/>
          <w:color w:val="auto"/>
          <w:sz w:val="24"/>
          <w:highlight w:val="none"/>
        </w:rPr>
        <w:t>）政府采购代理机构考评表(格式见附件)</w:t>
      </w:r>
      <w:r>
        <w:rPr>
          <w:rFonts w:hint="eastAsia" w:ascii="宋体" w:hAnsi="宋体" w:cs="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lang w:eastAsia="zh-CN"/>
        </w:rPr>
      </w:pP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联合体协议（联合体投标时提供，格式见附件）</w:t>
      </w:r>
      <w:r>
        <w:rPr>
          <w:rFonts w:hint="eastAsia" w:ascii="宋体" w:hAnsi="宋体" w:cs="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lang w:eastAsia="zh-CN"/>
        </w:rPr>
      </w:pP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9</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分包协议（分包时提供，格式见附件）</w:t>
      </w:r>
      <w:r>
        <w:rPr>
          <w:rFonts w:hint="eastAsia" w:ascii="宋体" w:hAnsi="宋体" w:cs="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10</w:t>
      </w:r>
      <w:r>
        <w:rPr>
          <w:rFonts w:hint="eastAsia" w:ascii="宋体" w:hAnsi="宋体" w:cs="宋体"/>
          <w:bCs/>
          <w:color w:val="auto"/>
          <w:sz w:val="24"/>
          <w:highlight w:val="none"/>
        </w:rPr>
        <w:t>）中小企业声明函（格式见附件）</w:t>
      </w:r>
      <w:r>
        <w:rPr>
          <w:rFonts w:hint="eastAsia" w:ascii="宋体" w:hAnsi="宋体" w:cs="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cs="宋体"/>
          <w:b/>
          <w:color w:val="auto"/>
          <w:sz w:val="24"/>
          <w:highlight w:val="none"/>
        </w:rPr>
      </w:pP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.商务资信技术文件：</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（1）评分响应表（格式见附件）；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（2）投标声明书 (格式见附件)；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（3）法定代表人授权委托书(格式见附件)；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（4）投标单位情况表(格式见附件)；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（5）符合参加政府采购活动应当具备的一般条件的承诺函（格式见附件）；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lang w:eastAsia="zh-CN"/>
        </w:rPr>
        <w:t>（</w:t>
      </w:r>
      <w:r>
        <w:rPr>
          <w:rFonts w:hint="eastAsia" w:ascii="宋体" w:hAnsi="宋体" w:eastAsia="宋体" w:cs="宋体"/>
          <w:sz w:val="24"/>
          <w:szCs w:val="21"/>
          <w:lang w:val="en-US" w:eastAsia="zh-CN"/>
        </w:rPr>
        <w:t>6</w:t>
      </w:r>
      <w:r>
        <w:rPr>
          <w:rFonts w:hint="eastAsia" w:ascii="宋体" w:hAnsi="宋体" w:eastAsia="宋体" w:cs="宋体"/>
          <w:sz w:val="24"/>
          <w:szCs w:val="21"/>
          <w:lang w:eastAsia="zh-CN"/>
        </w:rPr>
        <w:t>）</w:t>
      </w:r>
      <w:r>
        <w:rPr>
          <w:rFonts w:hint="eastAsia" w:ascii="宋体" w:hAnsi="宋体" w:eastAsia="宋体" w:cs="宋体"/>
          <w:sz w:val="24"/>
          <w:szCs w:val="21"/>
        </w:rPr>
        <w:t>投标人依法缴纳税收和社保费、无失信行为的声明函(格式见附件)；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lang w:val="zh-CN"/>
        </w:rPr>
        <w:t>（</w:t>
      </w:r>
      <w:r>
        <w:rPr>
          <w:rFonts w:hint="eastAsia" w:ascii="宋体" w:hAnsi="宋体" w:eastAsia="宋体" w:cs="宋体"/>
          <w:sz w:val="24"/>
          <w:szCs w:val="21"/>
          <w:lang w:val="en-US" w:eastAsia="zh-CN"/>
        </w:rPr>
        <w:t>7</w:t>
      </w:r>
      <w:r>
        <w:rPr>
          <w:rFonts w:hint="eastAsia" w:ascii="宋体" w:hAnsi="宋体" w:eastAsia="宋体" w:cs="宋体"/>
          <w:sz w:val="24"/>
          <w:szCs w:val="21"/>
          <w:lang w:val="zh-CN"/>
        </w:rPr>
        <w:t>）</w:t>
      </w:r>
      <w:r>
        <w:rPr>
          <w:rFonts w:hint="eastAsia" w:ascii="宋体" w:hAnsi="宋体" w:eastAsia="宋体" w:cs="宋体"/>
          <w:sz w:val="24"/>
          <w:szCs w:val="21"/>
        </w:rPr>
        <w:t>无重大违法记录声明书(格式见附件)；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lang w:val="zh-CN"/>
        </w:rPr>
        <w:t>（</w:t>
      </w:r>
      <w:r>
        <w:rPr>
          <w:rFonts w:hint="eastAsia" w:ascii="宋体" w:hAnsi="宋体" w:eastAsia="宋体" w:cs="宋体"/>
          <w:sz w:val="24"/>
          <w:szCs w:val="21"/>
          <w:lang w:val="en-US" w:eastAsia="zh-CN"/>
        </w:rPr>
        <w:t>8</w:t>
      </w:r>
      <w:r>
        <w:rPr>
          <w:rFonts w:hint="eastAsia" w:ascii="宋体" w:hAnsi="宋体" w:eastAsia="宋体" w:cs="宋体"/>
          <w:sz w:val="24"/>
          <w:szCs w:val="21"/>
          <w:lang w:val="zh-CN"/>
        </w:rPr>
        <w:t>）政府采购供应商诚信承诺书（格式见附件）；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w:t>
      </w:r>
      <w:r>
        <w:rPr>
          <w:rFonts w:hint="eastAsia" w:ascii="宋体" w:hAnsi="宋体" w:eastAsia="宋体" w:cs="宋体"/>
          <w:sz w:val="24"/>
          <w:szCs w:val="21"/>
          <w:lang w:val="en-US" w:eastAsia="zh-CN"/>
        </w:rPr>
        <w:t>9</w:t>
      </w:r>
      <w:r>
        <w:rPr>
          <w:rFonts w:hint="eastAsia" w:ascii="宋体" w:hAnsi="宋体" w:eastAsia="宋体" w:cs="宋体"/>
          <w:sz w:val="24"/>
          <w:szCs w:val="21"/>
        </w:rPr>
        <w:t>）中标服务费承诺书（格式见附件）；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w:t>
      </w:r>
      <w:r>
        <w:rPr>
          <w:rFonts w:hint="eastAsia" w:ascii="宋体" w:hAnsi="宋体" w:eastAsia="宋体" w:cs="宋体"/>
          <w:sz w:val="24"/>
          <w:szCs w:val="21"/>
          <w:lang w:val="en-US" w:eastAsia="zh-CN"/>
        </w:rPr>
        <w:t>10</w:t>
      </w:r>
      <w:r>
        <w:rPr>
          <w:rFonts w:hint="eastAsia" w:ascii="宋体" w:hAnsi="宋体" w:eastAsia="宋体" w:cs="宋体"/>
          <w:sz w:val="24"/>
          <w:szCs w:val="21"/>
        </w:rPr>
        <w:t>）</w:t>
      </w:r>
      <w:r>
        <w:rPr>
          <w:rFonts w:hint="eastAsia" w:ascii="宋体" w:hAnsi="宋体" w:eastAsia="宋体" w:cs="宋体"/>
          <w:sz w:val="24"/>
          <w:szCs w:val="21"/>
          <w:lang w:eastAsia="zh-CN"/>
        </w:rPr>
        <w:t>技术</w:t>
      </w:r>
      <w:r>
        <w:rPr>
          <w:rFonts w:hint="eastAsia" w:ascii="宋体" w:hAnsi="宋体" w:eastAsia="宋体" w:cs="宋体"/>
          <w:sz w:val="24"/>
          <w:szCs w:val="21"/>
        </w:rPr>
        <w:t>响应表（格式见附件）；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lang w:val="zh-CN"/>
        </w:rPr>
      </w:pPr>
      <w:r>
        <w:rPr>
          <w:rFonts w:hint="eastAsia" w:ascii="宋体" w:hAnsi="宋体" w:eastAsia="宋体" w:cs="宋体"/>
          <w:sz w:val="24"/>
          <w:szCs w:val="21"/>
        </w:rPr>
        <w:t>（1</w:t>
      </w:r>
      <w:r>
        <w:rPr>
          <w:rFonts w:hint="eastAsia" w:ascii="宋体" w:hAnsi="宋体" w:eastAsia="宋体" w:cs="宋体"/>
          <w:sz w:val="24"/>
          <w:szCs w:val="21"/>
          <w:lang w:val="en-US" w:eastAsia="zh-CN"/>
        </w:rPr>
        <w:t>1</w:t>
      </w:r>
      <w:r>
        <w:rPr>
          <w:rFonts w:hint="eastAsia" w:ascii="宋体" w:hAnsi="宋体" w:eastAsia="宋体" w:cs="宋体"/>
          <w:sz w:val="24"/>
          <w:szCs w:val="21"/>
        </w:rPr>
        <w:t>）商务响应表</w:t>
      </w:r>
      <w:r>
        <w:rPr>
          <w:rFonts w:hint="eastAsia" w:ascii="宋体" w:hAnsi="宋体" w:eastAsia="宋体" w:cs="宋体"/>
          <w:sz w:val="24"/>
          <w:szCs w:val="21"/>
          <w:lang w:val="zh-CN"/>
        </w:rPr>
        <w:t>（格式见附件）；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lang w:eastAsia="zh-CN"/>
        </w:rPr>
        <w:t>（</w:t>
      </w:r>
      <w:r>
        <w:rPr>
          <w:rFonts w:hint="eastAsia" w:ascii="宋体" w:hAnsi="宋体" w:eastAsia="宋体" w:cs="宋体"/>
          <w:sz w:val="24"/>
          <w:szCs w:val="21"/>
        </w:rPr>
        <w:t>1</w:t>
      </w:r>
      <w:r>
        <w:rPr>
          <w:rFonts w:hint="eastAsia" w:ascii="宋体" w:hAnsi="宋体" w:eastAsia="宋体" w:cs="宋体"/>
          <w:sz w:val="24"/>
          <w:szCs w:val="21"/>
          <w:lang w:val="en-US" w:eastAsia="zh-CN"/>
        </w:rPr>
        <w:t>2）</w:t>
      </w:r>
      <w:r>
        <w:rPr>
          <w:rFonts w:hint="eastAsia" w:ascii="宋体" w:hAnsi="宋体" w:eastAsia="宋体" w:cs="宋体"/>
          <w:sz w:val="24"/>
          <w:szCs w:val="21"/>
          <w:lang w:val="zh-CN"/>
        </w:rPr>
        <w:t>同类业绩一览表</w:t>
      </w:r>
      <w:r>
        <w:rPr>
          <w:rFonts w:hint="eastAsia" w:ascii="宋体" w:hAnsi="宋体" w:eastAsia="宋体" w:cs="宋体"/>
          <w:sz w:val="24"/>
          <w:szCs w:val="21"/>
        </w:rPr>
        <w:t>（格式见附件）；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default" w:ascii="宋体" w:hAnsi="宋体" w:eastAsia="宋体" w:cs="宋体"/>
          <w:sz w:val="24"/>
          <w:szCs w:val="21"/>
          <w:lang w:val="en-US" w:eastAsia="zh-CN"/>
        </w:rPr>
      </w:pPr>
      <w:r>
        <w:rPr>
          <w:rFonts w:hint="eastAsia" w:ascii="宋体" w:hAnsi="宋体" w:eastAsia="宋体" w:cs="宋体"/>
          <w:sz w:val="24"/>
          <w:szCs w:val="21"/>
          <w:lang w:eastAsia="zh-CN"/>
        </w:rPr>
        <w:t>（</w:t>
      </w:r>
      <w:r>
        <w:rPr>
          <w:rFonts w:hint="eastAsia" w:ascii="宋体" w:hAnsi="宋体" w:eastAsia="宋体" w:cs="宋体"/>
          <w:sz w:val="24"/>
          <w:szCs w:val="21"/>
          <w:lang w:val="en-US" w:eastAsia="zh-CN"/>
        </w:rPr>
        <w:t>13</w:t>
      </w:r>
      <w:r>
        <w:rPr>
          <w:rFonts w:hint="eastAsia" w:ascii="宋体" w:hAnsi="宋体" w:eastAsia="宋体" w:cs="宋体"/>
          <w:sz w:val="24"/>
          <w:szCs w:val="21"/>
          <w:lang w:eastAsia="zh-CN"/>
        </w:rPr>
        <w:t>）</w:t>
      </w:r>
      <w:r>
        <w:rPr>
          <w:rFonts w:hint="eastAsia" w:ascii="宋体" w:hAnsi="宋体" w:eastAsia="宋体" w:cs="宋体"/>
          <w:sz w:val="24"/>
          <w:szCs w:val="21"/>
          <w:lang w:val="en-US" w:eastAsia="zh-CN"/>
        </w:rPr>
        <w:t>项目实施人员一览表</w:t>
      </w:r>
      <w:r>
        <w:rPr>
          <w:rFonts w:hint="eastAsia" w:ascii="宋体" w:hAnsi="宋体" w:eastAsia="宋体" w:cs="宋体"/>
          <w:sz w:val="24"/>
          <w:szCs w:val="21"/>
        </w:rPr>
        <w:t>（格式见附件）；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（1</w:t>
      </w:r>
      <w:r>
        <w:rPr>
          <w:rFonts w:hint="eastAsia" w:ascii="宋体" w:hAnsi="宋体" w:eastAsia="宋体" w:cs="宋体"/>
          <w:sz w:val="24"/>
          <w:szCs w:val="21"/>
          <w:lang w:val="en-US" w:eastAsia="zh-CN"/>
        </w:rPr>
        <w:t>4</w:t>
      </w:r>
      <w:r>
        <w:rPr>
          <w:rFonts w:hint="eastAsia" w:ascii="宋体" w:hAnsi="宋体" w:eastAsia="宋体" w:cs="宋体"/>
          <w:sz w:val="24"/>
          <w:szCs w:val="21"/>
        </w:rPr>
        <w:t>）</w:t>
      </w:r>
      <w:r>
        <w:rPr>
          <w:rFonts w:hint="eastAsia" w:ascii="宋体" w:hAnsi="宋体" w:eastAsia="宋体" w:cs="宋体"/>
          <w:sz w:val="24"/>
          <w:szCs w:val="21"/>
          <w:lang w:val="zh-CN"/>
        </w:rPr>
        <w:t>技术部分（至少包括技术方案、售后服务</w:t>
      </w:r>
      <w:r>
        <w:rPr>
          <w:rFonts w:hint="eastAsia" w:ascii="宋体" w:hAnsi="宋体" w:eastAsia="宋体" w:cs="宋体"/>
          <w:sz w:val="24"/>
          <w:szCs w:val="21"/>
        </w:rPr>
        <w:t>等内容）；</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（1</w:t>
      </w:r>
      <w:r>
        <w:rPr>
          <w:rFonts w:hint="eastAsia" w:ascii="宋体" w:hAnsi="宋体" w:eastAsia="宋体" w:cs="宋体"/>
          <w:sz w:val="24"/>
          <w:szCs w:val="21"/>
          <w:lang w:val="en-US" w:eastAsia="zh-CN"/>
        </w:rPr>
        <w:t>5</w:t>
      </w:r>
      <w:r>
        <w:rPr>
          <w:rFonts w:hint="eastAsia" w:ascii="宋体" w:hAnsi="宋体" w:eastAsia="宋体" w:cs="宋体"/>
          <w:sz w:val="24"/>
          <w:szCs w:val="21"/>
        </w:rPr>
        <w:t>）其它按照评标办法可加分的内容说明、证明文件；</w:t>
      </w:r>
    </w:p>
    <w:p>
      <w:pPr>
        <w:keepNext w:val="0"/>
        <w:keepLines w:val="0"/>
        <w:pageBreakBefore w:val="0"/>
        <w:widowControl w:val="0"/>
        <w:kinsoku/>
        <w:wordWrap/>
        <w:overflowPunct/>
        <w:topLinePunct w:val="0"/>
        <w:autoSpaceDE/>
        <w:autoSpaceDN/>
        <w:bidi w:val="0"/>
        <w:adjustRightInd/>
        <w:snapToGrid w:val="0"/>
        <w:spacing w:before="120" w:beforeLines="50" w:line="340" w:lineRule="exact"/>
        <w:ind w:left="412" w:leftChars="196"/>
        <w:jc w:val="left"/>
        <w:textAlignment w:val="auto"/>
        <w:rPr>
          <w:rFonts w:hint="eastAsia" w:ascii="宋体" w:hAnsi="宋体" w:eastAsia="宋体" w:cs="宋体"/>
          <w:sz w:val="24"/>
          <w:szCs w:val="21"/>
        </w:rPr>
      </w:pPr>
      <w:r>
        <w:rPr>
          <w:rFonts w:hint="eastAsia" w:ascii="宋体" w:hAnsi="宋体" w:eastAsia="宋体" w:cs="宋体"/>
          <w:sz w:val="24"/>
          <w:szCs w:val="21"/>
        </w:rPr>
        <w:t>（1</w:t>
      </w:r>
      <w:r>
        <w:rPr>
          <w:rFonts w:hint="eastAsia" w:ascii="宋体" w:hAnsi="宋体" w:eastAsia="宋体" w:cs="宋体"/>
          <w:sz w:val="24"/>
          <w:szCs w:val="21"/>
          <w:lang w:val="en-US" w:eastAsia="zh-CN"/>
        </w:rPr>
        <w:t>6</w:t>
      </w:r>
      <w:r>
        <w:rPr>
          <w:rFonts w:hint="eastAsia" w:ascii="宋体" w:hAnsi="宋体" w:eastAsia="宋体" w:cs="宋体"/>
          <w:sz w:val="24"/>
          <w:szCs w:val="21"/>
        </w:rPr>
        <w:t>）投标人需要说明的其他文件和说明。</w:t>
      </w: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r>
        <w:rPr>
          <w:rFonts w:hint="eastAsia" w:ascii="宋体" w:hAnsi="宋体" w:cs="宋体"/>
          <w:b/>
          <w:color w:val="auto"/>
          <w:sz w:val="24"/>
          <w:highlight w:val="none"/>
        </w:rPr>
        <w:t>评分响应表格式</w:t>
      </w:r>
      <w:r>
        <w:rPr>
          <w:rFonts w:hint="eastAsia" w:ascii="宋体" w:hAnsi="宋体" w:cs="宋体"/>
          <w:b/>
          <w:color w:val="auto"/>
          <w:sz w:val="24"/>
          <w:highlight w:val="none"/>
          <w:lang w:eastAsia="zh-CN"/>
        </w:rPr>
        <w:t>：</w:t>
      </w:r>
      <w:r>
        <w:rPr>
          <w:rFonts w:hint="eastAsia" w:ascii="宋体" w:hAnsi="宋体" w:cs="宋体"/>
          <w:b/>
          <w:color w:val="auto"/>
          <w:sz w:val="24"/>
          <w:highlight w:val="none"/>
        </w:rPr>
        <w:t xml:space="preserve"> </w:t>
      </w:r>
    </w:p>
    <w:p>
      <w:pPr>
        <w:snapToGrid w:val="0"/>
        <w:spacing w:before="120" w:beforeLines="50" w:after="50"/>
        <w:rPr>
          <w:rFonts w:hint="eastAsia" w:ascii="宋体" w:hAnsi="宋体" w:cs="宋体"/>
          <w:b/>
          <w:color w:val="auto"/>
          <w:sz w:val="24"/>
          <w:highlight w:val="none"/>
        </w:rPr>
      </w:pPr>
    </w:p>
    <w:p>
      <w:pPr>
        <w:snapToGrid w:val="0"/>
        <w:spacing w:before="50" w:after="50"/>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投标人资信商务、技术自评得分表</w:t>
      </w:r>
    </w:p>
    <w:p>
      <w:pPr>
        <w:snapToGrid w:val="0"/>
        <w:spacing w:before="50" w:after="50"/>
        <w:rPr>
          <w:rFonts w:hint="eastAsia" w:ascii="宋体" w:hAnsi="宋体" w:cs="宋体"/>
          <w:b/>
          <w:color w:val="auto"/>
          <w:sz w:val="24"/>
          <w:highlight w:val="none"/>
        </w:rPr>
      </w:pPr>
    </w:p>
    <w:p>
      <w:pPr>
        <w:snapToGrid w:val="0"/>
        <w:spacing w:before="50" w:after="50" w:line="360" w:lineRule="auto"/>
        <w:rPr>
          <w:rFonts w:hint="eastAsia" w:ascii="宋体" w:hAnsi="宋体" w:cs="宋体"/>
          <w:b/>
          <w:color w:val="auto"/>
          <w:sz w:val="24"/>
          <w:highlight w:val="none"/>
          <w:u w:val="single"/>
        </w:rPr>
      </w:pPr>
      <w:r>
        <w:rPr>
          <w:rFonts w:hint="eastAsia" w:ascii="宋体" w:hAnsi="宋体" w:cs="宋体"/>
          <w:b/>
          <w:color w:val="auto"/>
          <w:sz w:val="24"/>
          <w:highlight w:val="none"/>
        </w:rPr>
        <w:t>投标单位名称：</w:t>
      </w:r>
      <w:r>
        <w:rPr>
          <w:rFonts w:hint="eastAsia" w:ascii="宋体" w:hAnsi="宋体" w:cs="宋体"/>
          <w:b/>
          <w:color w:val="auto"/>
          <w:sz w:val="24"/>
          <w:highlight w:val="none"/>
          <w:u w:val="single"/>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444"/>
        <w:gridCol w:w="2998"/>
        <w:gridCol w:w="1452"/>
        <w:gridCol w:w="24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b/>
                <w:bCs/>
                <w:color w:val="auto"/>
                <w:highlight w:val="none"/>
              </w:rPr>
            </w:pPr>
            <w:r>
              <w:rPr>
                <w:rFonts w:hint="eastAsia" w:ascii="宋体" w:eastAsia="宋体" w:cs="宋体"/>
                <w:b/>
                <w:bCs/>
                <w:color w:val="auto"/>
                <w:highlight w:val="none"/>
              </w:rPr>
              <w:t>序号</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b/>
                <w:bCs/>
                <w:color w:val="auto"/>
                <w:highlight w:val="none"/>
              </w:rPr>
            </w:pPr>
            <w:r>
              <w:rPr>
                <w:rFonts w:hint="eastAsia" w:ascii="宋体" w:eastAsia="宋体" w:cs="宋体"/>
                <w:b/>
                <w:bCs/>
                <w:color w:val="auto"/>
                <w:highlight w:val="none"/>
              </w:rPr>
              <w:t>评审内容</w:t>
            </w:r>
          </w:p>
        </w:tc>
        <w:tc>
          <w:tcPr>
            <w:tcW w:w="2998" w:type="dxa"/>
            <w:tcBorders>
              <w:top w:val="single" w:color="auto" w:sz="4" w:space="0"/>
              <w:left w:val="single" w:color="auto" w:sz="4" w:space="0"/>
              <w:bottom w:val="single" w:color="auto" w:sz="4" w:space="0"/>
              <w:right w:val="single" w:color="auto" w:sz="4" w:space="0"/>
            </w:tcBorders>
            <w:noWrap w:val="0"/>
            <w:vAlign w:val="center"/>
          </w:tcPr>
          <w:p>
            <w:pPr>
              <w:pStyle w:val="18"/>
              <w:ind w:firstLine="482"/>
              <w:jc w:val="center"/>
              <w:rPr>
                <w:rFonts w:hint="eastAsia" w:ascii="宋体" w:eastAsia="宋体" w:cs="宋体"/>
                <w:b/>
                <w:bCs/>
                <w:color w:val="auto"/>
                <w:highlight w:val="none"/>
              </w:rPr>
            </w:pPr>
            <w:r>
              <w:rPr>
                <w:rFonts w:hint="eastAsia" w:ascii="宋体" w:eastAsia="宋体" w:cs="宋体"/>
                <w:b/>
                <w:bCs/>
                <w:color w:val="auto"/>
                <w:highlight w:val="none"/>
              </w:rPr>
              <w:t>评分标准</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b/>
                <w:bCs/>
                <w:color w:val="auto"/>
                <w:highlight w:val="none"/>
              </w:rPr>
            </w:pPr>
            <w:r>
              <w:rPr>
                <w:rFonts w:hint="eastAsia" w:ascii="宋体" w:eastAsia="宋体" w:cs="宋体"/>
                <w:b/>
                <w:bCs/>
                <w:color w:val="auto"/>
                <w:highlight w:val="none"/>
              </w:rPr>
              <w:t>自评得分</w:t>
            </w:r>
          </w:p>
        </w:tc>
        <w:tc>
          <w:tcPr>
            <w:tcW w:w="2404"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b/>
                <w:bCs/>
                <w:color w:val="auto"/>
                <w:highlight w:val="none"/>
              </w:rPr>
            </w:pPr>
            <w:r>
              <w:rPr>
                <w:rFonts w:hint="eastAsia" w:ascii="宋体" w:eastAsia="宋体" w:cs="宋体"/>
                <w:b/>
                <w:bCs/>
                <w:color w:val="auto"/>
                <w:highlight w:val="none"/>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b/>
                <w:bCs/>
                <w:color w:val="auto"/>
                <w:highlight w:val="none"/>
              </w:rPr>
            </w:pPr>
            <w:r>
              <w:rPr>
                <w:rFonts w:hint="eastAsia" w:ascii="宋体" w:eastAsia="宋体" w:cs="宋体"/>
                <w:b/>
                <w:bCs/>
                <w:color w:val="auto"/>
                <w:highlight w:val="none"/>
              </w:rPr>
              <w:t>一</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b/>
                <w:bCs/>
                <w:color w:val="auto"/>
                <w:highlight w:val="none"/>
              </w:rPr>
            </w:pPr>
            <w:r>
              <w:rPr>
                <w:rFonts w:hint="eastAsia" w:ascii="宋体" w:eastAsia="宋体" w:cs="宋体"/>
                <w:b/>
                <w:bCs/>
                <w:color w:val="auto"/>
                <w:highlight w:val="none"/>
              </w:rPr>
              <w:t>技术分</w:t>
            </w:r>
          </w:p>
        </w:tc>
        <w:tc>
          <w:tcPr>
            <w:tcW w:w="2998" w:type="dxa"/>
            <w:tcBorders>
              <w:top w:val="single" w:color="auto" w:sz="4" w:space="0"/>
              <w:left w:val="single" w:color="auto" w:sz="4" w:space="0"/>
              <w:bottom w:val="single" w:color="auto" w:sz="4" w:space="0"/>
              <w:right w:val="single" w:color="auto" w:sz="4" w:space="0"/>
            </w:tcBorders>
            <w:noWrap w:val="0"/>
            <w:vAlign w:val="center"/>
          </w:tcPr>
          <w:p>
            <w:pPr>
              <w:pStyle w:val="18"/>
              <w:ind w:firstLine="482"/>
              <w:jc w:val="center"/>
              <w:rPr>
                <w:rFonts w:hint="eastAsia" w:ascii="宋体" w:eastAsia="宋体" w:cs="宋体"/>
                <w:b/>
                <w:bCs/>
                <w:color w:val="auto"/>
                <w:highlight w:val="none"/>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b/>
                <w:bCs/>
                <w:color w:val="auto"/>
                <w:highlight w:val="none"/>
              </w:rPr>
            </w:pPr>
          </w:p>
        </w:tc>
        <w:tc>
          <w:tcPr>
            <w:tcW w:w="2404"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4"/>
                <w:highlight w:val="none"/>
              </w:rPr>
            </w:pPr>
            <w:r>
              <w:rPr>
                <w:rFonts w:hint="eastAsia" w:ascii="宋体" w:hAnsi="宋体" w:cs="宋体"/>
                <w:color w:val="auto"/>
                <w:sz w:val="24"/>
                <w:highlight w:val="none"/>
              </w:rPr>
              <w:t>1</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highlight w:val="none"/>
              </w:rPr>
            </w:pPr>
          </w:p>
        </w:tc>
        <w:tc>
          <w:tcPr>
            <w:tcW w:w="2998" w:type="dxa"/>
            <w:tcBorders>
              <w:top w:val="single" w:color="auto" w:sz="4" w:space="0"/>
              <w:left w:val="single" w:color="auto" w:sz="4" w:space="0"/>
              <w:right w:val="single" w:color="auto" w:sz="4" w:space="0"/>
            </w:tcBorders>
            <w:noWrap w:val="0"/>
            <w:vAlign w:val="center"/>
          </w:tcPr>
          <w:p>
            <w:pPr>
              <w:rPr>
                <w:rFonts w:hint="eastAsia" w:ascii="宋体" w:hAnsi="宋体" w:cs="宋体"/>
                <w:color w:val="auto"/>
                <w:sz w:val="24"/>
                <w:highlight w:val="none"/>
              </w:rPr>
            </w:pPr>
          </w:p>
        </w:tc>
        <w:tc>
          <w:tcPr>
            <w:tcW w:w="145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auto"/>
                <w:sz w:val="24"/>
                <w:highlight w:val="none"/>
              </w:rPr>
            </w:pPr>
          </w:p>
        </w:tc>
        <w:tc>
          <w:tcPr>
            <w:tcW w:w="2404"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详见第几页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6"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4"/>
                <w:highlight w:val="none"/>
              </w:rPr>
            </w:pPr>
            <w:r>
              <w:rPr>
                <w:rFonts w:hint="eastAsia" w:ascii="宋体" w:hAnsi="宋体" w:cs="宋体"/>
                <w:color w:val="auto"/>
                <w:sz w:val="24"/>
                <w:highlight w:val="none"/>
              </w:rPr>
              <w:t>2</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color w:val="auto"/>
                <w:sz w:val="24"/>
                <w:highlight w:val="none"/>
              </w:rPr>
            </w:pPr>
          </w:p>
        </w:tc>
        <w:tc>
          <w:tcPr>
            <w:tcW w:w="2998" w:type="dxa"/>
            <w:tcBorders>
              <w:top w:val="single" w:color="auto" w:sz="4" w:space="0"/>
              <w:left w:val="single" w:color="auto" w:sz="4" w:space="0"/>
              <w:right w:val="single" w:color="auto" w:sz="4" w:space="0"/>
            </w:tcBorders>
            <w:noWrap w:val="0"/>
            <w:vAlign w:val="center"/>
          </w:tcPr>
          <w:p>
            <w:pPr>
              <w:widowControl/>
              <w:rPr>
                <w:rFonts w:hint="eastAsia" w:ascii="宋体" w:hAnsi="宋体" w:cs="宋体"/>
                <w:color w:val="auto"/>
                <w:kern w:val="0"/>
                <w:sz w:val="24"/>
                <w:highlight w:val="none"/>
              </w:rPr>
            </w:pPr>
          </w:p>
        </w:tc>
        <w:tc>
          <w:tcPr>
            <w:tcW w:w="1452"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cs="宋体"/>
                <w:bCs/>
                <w:color w:val="auto"/>
                <w:sz w:val="24"/>
                <w:highlight w:val="none"/>
              </w:rPr>
            </w:pPr>
          </w:p>
        </w:tc>
        <w:tc>
          <w:tcPr>
            <w:tcW w:w="2404"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786" w:type="dxa"/>
            <w:tcBorders>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4"/>
                <w:highlight w:val="none"/>
              </w:rPr>
            </w:pPr>
            <w:r>
              <w:rPr>
                <w:rFonts w:hint="eastAsia" w:ascii="宋体" w:hAnsi="宋体" w:cs="宋体"/>
                <w:color w:val="auto"/>
                <w:sz w:val="24"/>
                <w:highlight w:val="none"/>
              </w:rPr>
              <w:t>……</w:t>
            </w:r>
          </w:p>
        </w:tc>
        <w:tc>
          <w:tcPr>
            <w:tcW w:w="1444" w:type="dxa"/>
            <w:tcBorders>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4"/>
                <w:highlight w:val="none"/>
              </w:rPr>
            </w:pPr>
          </w:p>
        </w:tc>
        <w:tc>
          <w:tcPr>
            <w:tcW w:w="2998" w:type="dxa"/>
            <w:tcBorders>
              <w:top w:val="single" w:color="auto" w:sz="4" w:space="0"/>
              <w:left w:val="single" w:color="auto" w:sz="4" w:space="0"/>
              <w:bottom w:val="single" w:color="auto" w:sz="4" w:space="0"/>
              <w:right w:val="single" w:color="auto" w:sz="4" w:space="0"/>
            </w:tcBorders>
            <w:noWrap w:val="0"/>
            <w:vAlign w:val="center"/>
          </w:tcPr>
          <w:p>
            <w:pPr>
              <w:ind w:left="55" w:leftChars="26"/>
              <w:rPr>
                <w:rFonts w:hint="eastAsia" w:ascii="宋体" w:hAnsi="宋体" w:cs="宋体"/>
                <w:color w:val="auto"/>
                <w:kern w:val="0"/>
                <w:sz w:val="24"/>
                <w:highlight w:val="none"/>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auto"/>
                <w:sz w:val="24"/>
                <w:highlight w:val="none"/>
              </w:rPr>
            </w:pPr>
          </w:p>
        </w:tc>
        <w:tc>
          <w:tcPr>
            <w:tcW w:w="24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b/>
                <w:color w:val="auto"/>
                <w:sz w:val="24"/>
                <w:highlight w:val="none"/>
              </w:rPr>
            </w:pPr>
          </w:p>
        </w:tc>
        <w:tc>
          <w:tcPr>
            <w:tcW w:w="144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b/>
                <w:color w:val="auto"/>
                <w:sz w:val="24"/>
                <w:highlight w:val="none"/>
              </w:rPr>
            </w:pPr>
            <w:r>
              <w:rPr>
                <w:rFonts w:hint="eastAsia" w:ascii="宋体" w:hAnsi="宋体" w:cs="宋体"/>
                <w:b/>
                <w:color w:val="auto"/>
                <w:sz w:val="24"/>
                <w:highlight w:val="none"/>
              </w:rPr>
              <w:t>资信商务分</w:t>
            </w:r>
          </w:p>
        </w:tc>
        <w:tc>
          <w:tcPr>
            <w:tcW w:w="2998"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both"/>
              <w:rPr>
                <w:rFonts w:hint="eastAsia" w:ascii="宋体" w:eastAsia="宋体" w:cs="宋体"/>
                <w:b/>
                <w:color w:val="auto"/>
                <w:highlight w:val="none"/>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b/>
                <w:color w:val="auto"/>
                <w:highlight w:val="none"/>
              </w:rPr>
            </w:pPr>
          </w:p>
        </w:tc>
        <w:tc>
          <w:tcPr>
            <w:tcW w:w="2404"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4"/>
                <w:highlight w:val="none"/>
              </w:rPr>
            </w:pPr>
            <w:r>
              <w:rPr>
                <w:rFonts w:hint="eastAsia" w:ascii="宋体" w:hAnsi="宋体" w:cs="宋体"/>
                <w:color w:val="auto"/>
                <w:sz w:val="24"/>
                <w:highlight w:val="none"/>
              </w:rPr>
              <w:t>1</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color w:val="auto"/>
                <w:kern w:val="0"/>
                <w:sz w:val="24"/>
                <w:highlight w:val="none"/>
              </w:rPr>
            </w:pPr>
          </w:p>
        </w:tc>
        <w:tc>
          <w:tcPr>
            <w:tcW w:w="29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color w:val="auto"/>
                <w:kern w:val="0"/>
                <w:sz w:val="24"/>
                <w:highlight w:val="none"/>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color w:val="auto"/>
                <w:highlight w:val="none"/>
              </w:rPr>
            </w:pPr>
          </w:p>
        </w:tc>
        <w:tc>
          <w:tcPr>
            <w:tcW w:w="24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详见第几页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4"/>
                <w:highlight w:val="none"/>
              </w:rPr>
            </w:pPr>
            <w:r>
              <w:rPr>
                <w:rFonts w:hint="eastAsia" w:ascii="宋体" w:hAnsi="宋体" w:cs="宋体"/>
                <w:color w:val="auto"/>
                <w:sz w:val="24"/>
                <w:highlight w:val="none"/>
              </w:rPr>
              <w:t>2</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highlight w:val="none"/>
              </w:rPr>
            </w:pPr>
          </w:p>
        </w:tc>
        <w:tc>
          <w:tcPr>
            <w:tcW w:w="29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highlight w:val="none"/>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color w:val="auto"/>
                <w:highlight w:val="none"/>
              </w:rPr>
            </w:pPr>
          </w:p>
        </w:tc>
        <w:tc>
          <w:tcPr>
            <w:tcW w:w="2404"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color w:val="auto"/>
                <w:highlight w:val="none"/>
              </w:rPr>
            </w:pPr>
            <w:r>
              <w:rPr>
                <w:rFonts w:hint="eastAsia" w:asci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4"/>
                <w:highlight w:val="none"/>
              </w:rPr>
            </w:pPr>
            <w:r>
              <w:rPr>
                <w:rFonts w:hint="eastAsia" w:ascii="宋体" w:hAnsi="宋体" w:cs="宋体"/>
                <w:color w:val="auto"/>
                <w:sz w:val="24"/>
                <w:highlight w:val="none"/>
              </w:rPr>
              <w:t>……</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highlight w:val="none"/>
              </w:rPr>
            </w:pPr>
          </w:p>
        </w:tc>
        <w:tc>
          <w:tcPr>
            <w:tcW w:w="29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4"/>
                <w:highlight w:val="none"/>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color w:val="auto"/>
                <w:highlight w:val="none"/>
              </w:rPr>
            </w:pPr>
          </w:p>
        </w:tc>
        <w:tc>
          <w:tcPr>
            <w:tcW w:w="2404"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786" w:type="dxa"/>
            <w:tcBorders>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4"/>
                <w:highlight w:val="none"/>
              </w:rPr>
            </w:pPr>
            <w:r>
              <w:rPr>
                <w:rFonts w:hint="eastAsia" w:ascii="宋体" w:hAnsi="宋体" w:cs="宋体"/>
                <w:color w:val="auto"/>
                <w:sz w:val="24"/>
                <w:highlight w:val="none"/>
              </w:rPr>
              <w:t xml:space="preserve"> </w:t>
            </w:r>
          </w:p>
        </w:tc>
        <w:tc>
          <w:tcPr>
            <w:tcW w:w="1444" w:type="dxa"/>
            <w:tcBorders>
              <w:left w:val="single" w:color="auto" w:sz="4" w:space="0"/>
              <w:bottom w:val="single" w:color="auto" w:sz="4" w:space="0"/>
              <w:right w:val="single" w:color="auto" w:sz="4" w:space="0"/>
            </w:tcBorders>
            <w:noWrap w:val="0"/>
            <w:vAlign w:val="center"/>
          </w:tcPr>
          <w:p>
            <w:pPr>
              <w:widowControl/>
              <w:rPr>
                <w:rFonts w:hint="eastAsia" w:ascii="宋体" w:hAnsi="宋体" w:cs="宋体"/>
                <w:b/>
                <w:color w:val="auto"/>
                <w:sz w:val="24"/>
                <w:highlight w:val="none"/>
              </w:rPr>
            </w:pPr>
          </w:p>
        </w:tc>
        <w:tc>
          <w:tcPr>
            <w:tcW w:w="2998"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both"/>
              <w:rPr>
                <w:rFonts w:hint="eastAsia" w:ascii="宋体" w:eastAsia="宋体" w:cs="宋体"/>
                <w:color w:val="auto"/>
                <w:highlight w:val="none"/>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auto"/>
                <w:sz w:val="24"/>
                <w:highlight w:val="none"/>
              </w:rPr>
            </w:pPr>
          </w:p>
        </w:tc>
        <w:tc>
          <w:tcPr>
            <w:tcW w:w="2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auto"/>
                <w:sz w:val="24"/>
                <w:highlight w:val="none"/>
              </w:rPr>
            </w:pPr>
          </w:p>
        </w:tc>
      </w:tr>
    </w:tbl>
    <w:p>
      <w:pPr>
        <w:snapToGrid w:val="0"/>
        <w:spacing w:before="50" w:after="50"/>
        <w:rPr>
          <w:rFonts w:hint="eastAsia" w:ascii="宋体" w:hAnsi="宋体" w:cs="宋体"/>
          <w:color w:val="auto"/>
          <w:sz w:val="24"/>
          <w:highlight w:val="none"/>
        </w:rPr>
      </w:pPr>
      <w:r>
        <w:rPr>
          <w:rFonts w:hint="eastAsia" w:ascii="宋体" w:hAnsi="宋体" w:cs="宋体"/>
          <w:color w:val="auto"/>
          <w:sz w:val="24"/>
          <w:highlight w:val="none"/>
        </w:rPr>
        <w:t>注：投标单位根据所投标项的评分表内容，按此格式提供评分响应表置于技术文件第1页。</w:t>
      </w:r>
    </w:p>
    <w:p>
      <w:pPr>
        <w:snapToGrid w:val="0"/>
        <w:spacing w:before="120" w:beforeLines="50" w:after="50"/>
        <w:rPr>
          <w:rFonts w:hint="eastAsia" w:ascii="宋体" w:hAnsi="宋体" w:cs="宋体"/>
          <w:color w:val="auto"/>
          <w:sz w:val="24"/>
          <w:highlight w:val="none"/>
        </w:rPr>
      </w:pPr>
    </w:p>
    <w:p>
      <w:pPr>
        <w:snapToGrid w:val="0"/>
        <w:spacing w:before="120" w:beforeLines="50" w:after="50"/>
        <w:rPr>
          <w:rFonts w:hint="eastAsia" w:ascii="宋体" w:hAnsi="宋体" w:cs="宋体"/>
          <w:color w:val="auto"/>
          <w:sz w:val="24"/>
          <w:highlight w:val="none"/>
        </w:rPr>
      </w:pPr>
    </w:p>
    <w:p>
      <w:pPr>
        <w:snapToGrid w:val="0"/>
        <w:spacing w:before="120" w:beforeLines="50" w:after="50"/>
        <w:rPr>
          <w:rFonts w:hint="eastAsia" w:ascii="宋体" w:hAnsi="宋体" w:cs="宋体"/>
          <w:color w:val="auto"/>
          <w:sz w:val="24"/>
          <w:highlight w:val="none"/>
        </w:rPr>
      </w:pPr>
    </w:p>
    <w:p>
      <w:pPr>
        <w:snapToGrid w:val="0"/>
        <w:spacing w:before="120" w:beforeLines="50" w:after="50"/>
        <w:rPr>
          <w:rFonts w:hint="eastAsia" w:ascii="宋体" w:hAnsi="宋体" w:cs="宋体"/>
          <w:color w:val="auto"/>
          <w:sz w:val="24"/>
          <w:highlight w:val="none"/>
        </w:rPr>
      </w:pPr>
    </w:p>
    <w:p>
      <w:pPr>
        <w:snapToGrid w:val="0"/>
        <w:spacing w:before="120" w:beforeLines="50" w:after="50"/>
        <w:rPr>
          <w:rFonts w:hint="eastAsia" w:ascii="宋体" w:hAnsi="宋体" w:cs="宋体"/>
          <w:color w:val="auto"/>
          <w:sz w:val="24"/>
          <w:highlight w:val="none"/>
        </w:rPr>
      </w:pPr>
    </w:p>
    <w:p>
      <w:pPr>
        <w:pStyle w:val="2"/>
        <w:ind w:firstLine="464"/>
        <w:rPr>
          <w:rFonts w:hint="eastAsia" w:hAnsi="宋体" w:cs="宋体"/>
          <w:color w:val="auto"/>
          <w:sz w:val="24"/>
          <w:highlight w:val="none"/>
        </w:rPr>
      </w:pPr>
    </w:p>
    <w:p>
      <w:pPr>
        <w:pStyle w:val="2"/>
        <w:ind w:firstLine="464"/>
        <w:rPr>
          <w:rFonts w:hint="eastAsia" w:hAnsi="宋体" w:cs="宋体"/>
          <w:color w:val="auto"/>
          <w:sz w:val="24"/>
          <w:highlight w:val="none"/>
        </w:rPr>
      </w:pPr>
    </w:p>
    <w:p>
      <w:pPr>
        <w:pStyle w:val="2"/>
        <w:ind w:firstLine="464"/>
        <w:rPr>
          <w:rFonts w:hint="eastAsia" w:hAnsi="宋体" w:cs="宋体"/>
          <w:color w:val="auto"/>
          <w:sz w:val="24"/>
          <w:highlight w:val="none"/>
        </w:rPr>
      </w:pPr>
    </w:p>
    <w:p>
      <w:pPr>
        <w:pStyle w:val="2"/>
        <w:ind w:firstLine="464"/>
        <w:rPr>
          <w:rFonts w:hint="eastAsia" w:hAnsi="宋体" w:cs="宋体"/>
          <w:color w:val="auto"/>
          <w:sz w:val="24"/>
          <w:highlight w:val="none"/>
        </w:rPr>
      </w:pPr>
    </w:p>
    <w:p>
      <w:pPr>
        <w:pStyle w:val="2"/>
        <w:ind w:firstLine="464"/>
        <w:rPr>
          <w:rFonts w:hint="eastAsia" w:hAnsi="宋体" w:cs="宋体"/>
          <w:color w:val="auto"/>
          <w:sz w:val="24"/>
          <w:highlight w:val="none"/>
        </w:rPr>
      </w:pPr>
    </w:p>
    <w:p>
      <w:pPr>
        <w:pStyle w:val="2"/>
        <w:ind w:firstLine="464"/>
        <w:rPr>
          <w:rFonts w:hint="eastAsia" w:hAnsi="宋体" w:cs="宋体"/>
          <w:color w:val="auto"/>
          <w:sz w:val="24"/>
          <w:highlight w:val="none"/>
        </w:rPr>
      </w:pPr>
    </w:p>
    <w:p>
      <w:pPr>
        <w:pStyle w:val="2"/>
        <w:ind w:firstLine="464"/>
        <w:rPr>
          <w:rFonts w:hint="eastAsia" w:hAnsi="宋体" w:cs="宋体"/>
          <w:color w:val="auto"/>
          <w:sz w:val="24"/>
          <w:highlight w:val="none"/>
        </w:rPr>
      </w:pPr>
    </w:p>
    <w:p>
      <w:pPr>
        <w:pStyle w:val="2"/>
        <w:ind w:firstLine="464"/>
        <w:rPr>
          <w:rFonts w:hint="eastAsia" w:hAnsi="宋体" w:cs="宋体"/>
          <w:color w:val="auto"/>
          <w:sz w:val="24"/>
          <w:highlight w:val="none"/>
        </w:rPr>
      </w:pPr>
    </w:p>
    <w:p>
      <w:pPr>
        <w:pStyle w:val="2"/>
        <w:ind w:firstLine="464"/>
        <w:rPr>
          <w:rFonts w:hint="eastAsia" w:hAnsi="宋体" w:cs="宋体"/>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pStyle w:val="2"/>
        <w:ind w:firstLine="344"/>
        <w:rPr>
          <w:rFonts w:hint="eastAsia" w:hAnsi="宋体" w:cs="宋体"/>
          <w:color w:val="auto"/>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szCs w:val="20"/>
          <w:highlight w:val="none"/>
        </w:rPr>
      </w:pPr>
      <w:r>
        <w:rPr>
          <w:rFonts w:hint="eastAsia" w:ascii="宋体" w:hAnsi="宋体" w:cs="宋体"/>
          <w:b/>
          <w:color w:val="auto"/>
          <w:sz w:val="24"/>
          <w:highlight w:val="none"/>
        </w:rPr>
        <w:t>投标声明书格式：</w:t>
      </w:r>
    </w:p>
    <w:p>
      <w:pPr>
        <w:snapToGrid w:val="0"/>
        <w:spacing w:before="120" w:beforeLines="50" w:after="50"/>
        <w:jc w:val="center"/>
        <w:rPr>
          <w:rFonts w:hint="eastAsia" w:ascii="宋体" w:hAnsi="宋体" w:cs="宋体"/>
          <w:b/>
          <w:bCs/>
          <w:color w:val="auto"/>
          <w:sz w:val="24"/>
          <w:szCs w:val="20"/>
          <w:highlight w:val="none"/>
        </w:rPr>
      </w:pPr>
      <w:r>
        <w:rPr>
          <w:rFonts w:hint="eastAsia" w:ascii="宋体" w:hAnsi="宋体" w:cs="宋体"/>
          <w:b/>
          <w:bCs/>
          <w:color w:val="auto"/>
          <w:sz w:val="30"/>
          <w:highlight w:val="none"/>
        </w:rPr>
        <w:t>投标声明书</w:t>
      </w:r>
    </w:p>
    <w:p>
      <w:pPr>
        <w:snapToGrid w:val="0"/>
        <w:spacing w:before="120" w:beforeLines="50" w:after="50"/>
        <w:rPr>
          <w:rFonts w:hint="eastAsia" w:ascii="宋体" w:hAnsi="宋体" w:cs="宋体"/>
          <w:color w:val="auto"/>
          <w:sz w:val="24"/>
          <w:szCs w:val="20"/>
          <w:highlight w:val="none"/>
        </w:rPr>
      </w:pPr>
      <w:r>
        <w:rPr>
          <w:rFonts w:hint="eastAsia" w:ascii="宋体" w:hAnsi="宋体" w:cs="宋体"/>
          <w:color w:val="auto"/>
          <w:sz w:val="24"/>
          <w:highlight w:val="none"/>
        </w:rPr>
        <w:t>致：</w:t>
      </w:r>
      <w:r>
        <w:rPr>
          <w:rFonts w:hint="eastAsia" w:ascii="宋体" w:hAnsi="宋体" w:cs="宋体"/>
          <w:color w:val="auto"/>
          <w:kern w:val="0"/>
          <w:sz w:val="24"/>
          <w:highlight w:val="none"/>
          <w:u w:val="single"/>
        </w:rPr>
        <w:t>东阳耀辉工程咨询有限公司</w:t>
      </w:r>
    </w:p>
    <w:p>
      <w:pPr>
        <w:snapToGrid w:val="0"/>
        <w:spacing w:before="120" w:beforeLines="50" w:after="50"/>
        <w:ind w:firstLine="720" w:firstLineChars="300"/>
        <w:rPr>
          <w:rFonts w:hint="eastAsia" w:ascii="宋体" w:hAnsi="宋体" w:cs="宋体"/>
          <w:color w:val="auto"/>
          <w:sz w:val="24"/>
          <w:szCs w:val="20"/>
          <w:highlight w:val="none"/>
        </w:rPr>
      </w:pPr>
      <w:r>
        <w:rPr>
          <w:rFonts w:hint="eastAsia" w:ascii="宋体" w:hAnsi="宋体" w:cs="宋体"/>
          <w:color w:val="auto"/>
          <w:sz w:val="24"/>
          <w:highlight w:val="none"/>
        </w:rPr>
        <w:t>______（投标人名称）系中华人民共和国合法企业，经营地址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after="50"/>
        <w:ind w:firstLine="645"/>
        <w:rPr>
          <w:rFonts w:hint="eastAsia"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（姓名）系______</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（投标人名称）的法定代表人，我方愿意参加贵方组织的</w:t>
      </w:r>
      <w:r>
        <w:rPr>
          <w:rFonts w:hint="eastAsia" w:ascii="宋体" w:hAnsi="宋体" w:cs="宋体"/>
          <w:color w:val="auto"/>
          <w:sz w:val="24"/>
          <w:highlight w:val="none"/>
          <w:u w:val="single"/>
          <w:lang w:eastAsia="zh-CN"/>
        </w:rPr>
        <w:t>东阳市吴宁街道未来社区一体化方案项目</w:t>
      </w:r>
      <w:r>
        <w:rPr>
          <w:rFonts w:hint="eastAsia" w:ascii="宋体" w:hAnsi="宋体" w:cs="宋体"/>
          <w:color w:val="auto"/>
          <w:sz w:val="24"/>
          <w:highlight w:val="none"/>
        </w:rPr>
        <w:t>的投标，为便于贵方公正、择优确定中标人及其投标产品和服务，我方就本次投标有关事项郑重声明如下：</w:t>
      </w:r>
    </w:p>
    <w:p>
      <w:pPr>
        <w:snapToGrid w:val="0"/>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1.我方向贵方提交的所有投标文件、资料都是准确的和真实的。</w:t>
      </w:r>
    </w:p>
    <w:p>
      <w:pPr>
        <w:snapToGrid w:val="0"/>
        <w:spacing w:before="120" w:beforeLines="50"/>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before="120" w:beforeLines="50"/>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3.我方及由本人担任法定代表人的其他机构最近三年内被通报、被处罚的违法行为或者可认定为不良行为的有：</w:t>
      </w:r>
    </w:p>
    <w:p>
      <w:pPr>
        <w:snapToGrid w:val="0"/>
        <w:spacing w:before="120" w:beforeLines="50"/>
        <w:ind w:firstLine="480" w:firstLineChars="200"/>
        <w:rPr>
          <w:rFonts w:hint="eastAsia" w:ascii="宋体" w:hAnsi="宋体" w:cs="宋体"/>
          <w:color w:val="auto"/>
          <w:sz w:val="24"/>
          <w:szCs w:val="20"/>
          <w:highlight w:val="none"/>
          <w:u w:val="single"/>
        </w:rPr>
      </w:pPr>
      <w:r>
        <w:rPr>
          <w:rFonts w:hint="eastAsia" w:ascii="宋体" w:hAnsi="宋体" w:cs="宋体"/>
          <w:color w:val="auto"/>
          <w:sz w:val="24"/>
          <w:highlight w:val="none"/>
          <w:u w:val="single"/>
        </w:rPr>
        <w:t>　　　　　　　　　　　　　　　　　　　　　　　　　　　</w:t>
      </w:r>
    </w:p>
    <w:p>
      <w:pPr>
        <w:snapToGrid w:val="0"/>
        <w:spacing w:before="120" w:beforeLines="50"/>
        <w:ind w:firstLine="480" w:firstLineChars="200"/>
        <w:rPr>
          <w:rFonts w:hint="eastAsia" w:ascii="宋体" w:hAnsi="宋体" w:cs="宋体"/>
          <w:color w:val="auto"/>
          <w:sz w:val="24"/>
          <w:szCs w:val="20"/>
          <w:highlight w:val="none"/>
          <w:u w:val="single"/>
        </w:rPr>
      </w:pPr>
      <w:r>
        <w:rPr>
          <w:rFonts w:hint="eastAsia" w:ascii="宋体" w:hAnsi="宋体" w:cs="宋体"/>
          <w:color w:val="auto"/>
          <w:sz w:val="24"/>
          <w:highlight w:val="none"/>
          <w:u w:val="single"/>
        </w:rPr>
        <w:t>　　　　　　　　　　　　　　　　　　　　　　　　　　　</w:t>
      </w:r>
    </w:p>
    <w:p>
      <w:pPr>
        <w:snapToGrid w:val="0"/>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4.以上事项如有虚假或隐瞒，我方愿意承担一切后果，并不再寻求任何旨在减轻或免除法律责任的辩解。</w:t>
      </w:r>
    </w:p>
    <w:p>
      <w:pPr>
        <w:pStyle w:val="11"/>
        <w:tabs>
          <w:tab w:val="left" w:pos="939"/>
        </w:tabs>
        <w:snapToGrid w:val="0"/>
        <w:ind w:left="773" w:leftChars="150" w:hanging="458" w:hangingChars="191"/>
        <w:rPr>
          <w:rFonts w:hint="eastAsia" w:ascii="宋体" w:hAnsi="宋体" w:cs="宋体"/>
          <w:color w:val="auto"/>
          <w:sz w:val="24"/>
          <w:highlight w:val="none"/>
        </w:rPr>
      </w:pPr>
    </w:p>
    <w:p>
      <w:pPr>
        <w:pStyle w:val="34"/>
        <w:snapToGrid w:val="0"/>
        <w:spacing w:before="120" w:beforeLines="50"/>
        <w:ind w:firstLine="200"/>
        <w:rPr>
          <w:rFonts w:hint="eastAsia" w:ascii="宋体" w:hAnsi="宋体" w:cs="宋体"/>
          <w:color w:val="auto"/>
          <w:highlight w:val="none"/>
        </w:rPr>
      </w:pP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before="120" w:beforeLines="50" w:after="50"/>
        <w:ind w:firstLine="4800" w:firstLineChars="2000"/>
        <w:rPr>
          <w:rFonts w:hint="eastAsia" w:ascii="宋体" w:hAnsi="宋体" w:cs="宋体"/>
          <w:color w:val="auto"/>
          <w:sz w:val="24"/>
          <w:szCs w:val="20"/>
          <w:highlight w:val="none"/>
        </w:rPr>
      </w:pPr>
    </w:p>
    <w:p>
      <w:pPr>
        <w:pStyle w:val="12"/>
        <w:snapToGrid w:val="0"/>
        <w:spacing w:before="120" w:beforeLines="0" w:after="120" w:afterLines="0" w:line="240" w:lineRule="auto"/>
        <w:rPr>
          <w:rFonts w:hint="eastAsia" w:hAnsi="宋体" w:cs="宋体"/>
          <w:color w:val="auto"/>
          <w:highlight w:val="none"/>
        </w:rPr>
      </w:pPr>
    </w:p>
    <w:p>
      <w:pPr>
        <w:snapToGrid w:val="0"/>
        <w:spacing w:before="50" w:after="120" w:afterLines="50"/>
        <w:jc w:val="left"/>
        <w:rPr>
          <w:rFonts w:hint="eastAsia" w:ascii="宋体" w:hAnsi="宋体" w:cs="宋体"/>
          <w:b/>
          <w:color w:val="auto"/>
          <w:sz w:val="24"/>
          <w:highlight w:val="none"/>
        </w:rPr>
      </w:pPr>
      <w:r>
        <w:rPr>
          <w:rFonts w:hint="eastAsia" w:ascii="宋体" w:hAnsi="宋体" w:cs="宋体"/>
          <w:color w:val="auto"/>
          <w:highlight w:val="none"/>
        </w:rPr>
        <w:br w:type="page"/>
      </w:r>
      <w:r>
        <w:rPr>
          <w:rFonts w:hint="eastAsia" w:ascii="宋体" w:hAnsi="宋体" w:cs="宋体"/>
          <w:b/>
          <w:color w:val="auto"/>
          <w:sz w:val="24"/>
          <w:highlight w:val="none"/>
        </w:rPr>
        <w:t>法定代表人授权委托书格式：</w:t>
      </w:r>
    </w:p>
    <w:p>
      <w:pPr>
        <w:snapToGrid w:val="0"/>
        <w:spacing w:before="120" w:beforeLines="50" w:after="50"/>
        <w:jc w:val="center"/>
        <w:rPr>
          <w:rFonts w:hint="eastAsia" w:ascii="宋体" w:hAnsi="宋体" w:cs="宋体"/>
          <w:color w:val="auto"/>
          <w:sz w:val="30"/>
          <w:szCs w:val="20"/>
          <w:highlight w:val="none"/>
        </w:rPr>
      </w:pPr>
    </w:p>
    <w:p>
      <w:pPr>
        <w:snapToGrid w:val="0"/>
        <w:spacing w:before="120" w:beforeLines="50" w:after="50"/>
        <w:jc w:val="center"/>
        <w:rPr>
          <w:rFonts w:hint="eastAsia" w:ascii="宋体" w:hAnsi="宋体" w:cs="宋体"/>
          <w:b/>
          <w:color w:val="auto"/>
          <w:sz w:val="24"/>
          <w:szCs w:val="20"/>
          <w:highlight w:val="none"/>
        </w:rPr>
      </w:pPr>
      <w:r>
        <w:rPr>
          <w:rFonts w:hint="eastAsia" w:ascii="宋体" w:hAnsi="宋体" w:cs="宋体"/>
          <w:b/>
          <w:color w:val="auto"/>
          <w:sz w:val="24"/>
          <w:highlight w:val="none"/>
        </w:rPr>
        <w:t>法定代表人授权委托书</w:t>
      </w:r>
    </w:p>
    <w:p>
      <w:pPr>
        <w:snapToGrid w:val="0"/>
        <w:spacing w:before="120" w:beforeLines="50" w:after="50"/>
        <w:rPr>
          <w:rFonts w:hint="eastAsia" w:ascii="宋体" w:hAnsi="宋体" w:cs="宋体"/>
          <w:bCs/>
          <w:color w:val="auto"/>
          <w:sz w:val="24"/>
          <w:highlight w:val="none"/>
        </w:rPr>
      </w:pPr>
    </w:p>
    <w:p>
      <w:pPr>
        <w:snapToGrid w:val="0"/>
        <w:spacing w:before="120" w:beforeLines="50" w:after="50"/>
        <w:rPr>
          <w:rFonts w:hint="eastAsia" w:ascii="宋体" w:hAnsi="宋体" w:cs="宋体"/>
          <w:b/>
          <w:bCs/>
          <w:color w:val="auto"/>
          <w:sz w:val="24"/>
          <w:szCs w:val="20"/>
          <w:highlight w:val="none"/>
        </w:rPr>
      </w:pPr>
      <w:r>
        <w:rPr>
          <w:rFonts w:hint="eastAsia" w:ascii="宋体" w:hAnsi="宋体" w:cs="宋体"/>
          <w:bCs/>
          <w:color w:val="auto"/>
          <w:sz w:val="24"/>
          <w:highlight w:val="none"/>
        </w:rPr>
        <w:t>致：</w:t>
      </w:r>
      <w:r>
        <w:rPr>
          <w:rFonts w:hint="eastAsia" w:ascii="宋体" w:hAnsi="宋体" w:cs="宋体"/>
          <w:color w:val="auto"/>
          <w:kern w:val="0"/>
          <w:sz w:val="24"/>
          <w:highlight w:val="none"/>
          <w:u w:val="single"/>
        </w:rPr>
        <w:t>东阳耀辉工程咨询有限公司</w:t>
      </w:r>
    </w:p>
    <w:p>
      <w:pPr>
        <w:snapToGrid w:val="0"/>
        <w:spacing w:before="120" w:beforeLines="50" w:after="50"/>
        <w:ind w:firstLine="720" w:firstLineChars="300"/>
        <w:rPr>
          <w:rFonts w:hint="eastAsia"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（投标人名称）的法定代表人，现授权委托本单位在职职工</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（姓名）以我方的名义参加</w:t>
      </w:r>
      <w:r>
        <w:rPr>
          <w:rFonts w:hint="eastAsia" w:ascii="宋体" w:hAnsi="宋体" w:cs="宋体"/>
          <w:color w:val="auto"/>
          <w:sz w:val="24"/>
          <w:highlight w:val="none"/>
          <w:u w:val="single"/>
          <w:lang w:eastAsia="zh-CN"/>
        </w:rPr>
        <w:t>东阳市吴宁街道未来社区一体化方案项目</w:t>
      </w:r>
      <w:r>
        <w:rPr>
          <w:rFonts w:hint="eastAsia" w:ascii="宋体" w:hAnsi="宋体" w:cs="宋体"/>
          <w:color w:val="auto"/>
          <w:sz w:val="24"/>
          <w:highlight w:val="none"/>
        </w:rPr>
        <w:t>的投标活动，并代表我方全权办理针对上述项目的投标、开标、评标、签约等具体事务和签署相关文件。</w:t>
      </w:r>
    </w:p>
    <w:p>
      <w:pPr>
        <w:snapToGrid w:val="0"/>
        <w:spacing w:before="120" w:beforeLines="50" w:after="50"/>
        <w:rPr>
          <w:rFonts w:hint="eastAsia" w:ascii="宋体" w:hAnsi="宋体" w:cs="宋体"/>
          <w:color w:val="auto"/>
          <w:sz w:val="24"/>
          <w:szCs w:val="20"/>
          <w:highlight w:val="none"/>
        </w:rPr>
      </w:pPr>
      <w:r>
        <w:rPr>
          <w:rFonts w:hint="eastAsia" w:ascii="宋体" w:hAnsi="宋体" w:cs="宋体"/>
          <w:color w:val="auto"/>
          <w:sz w:val="24"/>
          <w:highlight w:val="none"/>
        </w:rPr>
        <w:t xml:space="preserve">    我方对被授权人的签名事项负全部责任。</w:t>
      </w:r>
    </w:p>
    <w:p>
      <w:pPr>
        <w:snapToGrid w:val="0"/>
        <w:spacing w:before="120" w:beforeLines="50" w:after="50"/>
        <w:ind w:firstLine="480"/>
        <w:rPr>
          <w:rFonts w:hint="eastAsia" w:ascii="宋体" w:hAnsi="宋体" w:cs="宋体"/>
          <w:color w:val="auto"/>
          <w:sz w:val="24"/>
          <w:szCs w:val="20"/>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被授权人在授权书有效期内签署的所有文件不因授权的撤销而失效。</w:t>
      </w:r>
    </w:p>
    <w:p>
      <w:pPr>
        <w:snapToGrid w:val="0"/>
        <w:spacing w:before="120" w:beforeLines="50" w:after="50"/>
        <w:ind w:firstLine="480"/>
        <w:rPr>
          <w:rFonts w:hint="eastAsia" w:ascii="宋体" w:hAnsi="宋体" w:cs="宋体"/>
          <w:color w:val="auto"/>
          <w:sz w:val="24"/>
          <w:szCs w:val="20"/>
          <w:highlight w:val="none"/>
        </w:rPr>
      </w:pPr>
      <w:r>
        <w:rPr>
          <w:rFonts w:hint="eastAsia" w:ascii="宋体" w:hAnsi="宋体" w:cs="宋体"/>
          <w:color w:val="auto"/>
          <w:sz w:val="24"/>
          <w:highlight w:val="none"/>
        </w:rPr>
        <w:t>被授权人无转委托权，特此委托。</w:t>
      </w:r>
    </w:p>
    <w:p>
      <w:pPr>
        <w:snapToGrid w:val="0"/>
        <w:spacing w:before="120" w:beforeLines="50" w:after="50"/>
        <w:rPr>
          <w:rFonts w:hint="eastAsia" w:ascii="宋体" w:hAnsi="宋体" w:cs="宋体"/>
          <w:color w:val="auto"/>
          <w:sz w:val="24"/>
          <w:szCs w:val="20"/>
          <w:highlight w:val="none"/>
        </w:rPr>
      </w:pPr>
    </w:p>
    <w:p>
      <w:pPr>
        <w:snapToGrid w:val="0"/>
        <w:spacing w:before="120" w:beforeLines="50" w:after="50"/>
        <w:rPr>
          <w:rFonts w:hint="eastAsia" w:ascii="宋体" w:hAnsi="宋体" w:cs="宋体"/>
          <w:color w:val="auto"/>
          <w:sz w:val="24"/>
          <w:szCs w:val="20"/>
          <w:highlight w:val="none"/>
          <w:u w:val="single"/>
        </w:rPr>
      </w:pPr>
      <w:r>
        <w:rPr>
          <w:rFonts w:hint="eastAsia" w:ascii="宋体" w:hAnsi="宋体" w:cs="宋体"/>
          <w:color w:val="auto"/>
          <w:sz w:val="24"/>
          <w:highlight w:val="none"/>
        </w:rPr>
        <w:t>被授权人签名：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法定代表人（签字或</w:t>
      </w:r>
      <w:r>
        <w:rPr>
          <w:rFonts w:ascii="宋体" w:hAnsi="宋体" w:cs="宋体"/>
          <w:color w:val="auto"/>
          <w:sz w:val="24"/>
          <w:highlight w:val="none"/>
        </w:rPr>
        <w:t>盖章</w:t>
      </w: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p>
    <w:p>
      <w:pPr>
        <w:snapToGrid w:val="0"/>
        <w:spacing w:before="120" w:beforeLines="50" w:after="50"/>
        <w:ind w:firstLine="960" w:firstLineChars="400"/>
        <w:rPr>
          <w:rFonts w:hint="eastAsia" w:ascii="宋体" w:hAnsi="宋体" w:cs="宋体"/>
          <w:color w:val="auto"/>
          <w:sz w:val="24"/>
          <w:szCs w:val="20"/>
          <w:highlight w:val="non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rPr>
          <w:rFonts w:hint="eastAsia" w:ascii="宋体" w:hAnsi="宋体" w:cs="宋体"/>
          <w:color w:val="auto"/>
          <w:sz w:val="24"/>
          <w:highlight w:val="none"/>
        </w:rPr>
      </w:pPr>
      <w:r>
        <w:rPr>
          <w:rFonts w:hint="eastAsia" w:ascii="宋体" w:hAnsi="宋体" w:cs="宋体"/>
          <w:color w:val="auto"/>
          <w:sz w:val="24"/>
          <w:highlight w:val="none"/>
        </w:rPr>
        <w:t>被授权人身份证复印件：</w:t>
      </w:r>
    </w:p>
    <w:p>
      <w:pPr>
        <w:snapToGrid w:val="0"/>
        <w:spacing w:before="120" w:beforeLines="50" w:after="50"/>
        <w:rPr>
          <w:rFonts w:hint="eastAsia" w:ascii="宋体" w:hAnsi="宋体" w:cs="宋体"/>
          <w:color w:val="auto"/>
          <w:sz w:val="24"/>
          <w:highlight w:val="none"/>
        </w:rPr>
      </w:pPr>
    </w:p>
    <w:p>
      <w:pPr>
        <w:snapToGrid w:val="0"/>
        <w:spacing w:before="120" w:beforeLines="50" w:after="50"/>
        <w:rPr>
          <w:rFonts w:hint="eastAsia" w:ascii="宋体" w:hAnsi="宋体" w:cs="宋体"/>
          <w:color w:val="auto"/>
          <w:sz w:val="24"/>
          <w:highlight w:val="none"/>
        </w:rPr>
      </w:pPr>
    </w:p>
    <w:p>
      <w:pPr>
        <w:snapToGrid w:val="0"/>
        <w:spacing w:before="120" w:beforeLines="50" w:after="50"/>
        <w:rPr>
          <w:rFonts w:hint="eastAsia" w:ascii="宋体" w:hAnsi="宋体" w:cs="宋体"/>
          <w:color w:val="auto"/>
          <w:sz w:val="24"/>
          <w:highlight w:val="none"/>
        </w:rPr>
      </w:pPr>
      <w:r>
        <w:rPr>
          <w:rFonts w:hint="eastAsia" w:ascii="宋体" w:hAnsi="宋体" w:cs="宋体"/>
          <w:color w:val="auto"/>
          <w:sz w:val="24"/>
          <w:highlight w:val="none"/>
        </w:rPr>
        <w:t xml:space="preserve"> </w:t>
      </w:r>
    </w:p>
    <w:p>
      <w:pPr>
        <w:snapToGrid w:val="0"/>
        <w:spacing w:before="120" w:beforeLines="50" w:after="50"/>
        <w:rPr>
          <w:rFonts w:hint="eastAsia" w:ascii="宋体" w:hAnsi="宋体" w:cs="宋体"/>
          <w:color w:val="auto"/>
          <w:sz w:val="24"/>
          <w:szCs w:val="20"/>
          <w:highlight w:val="none"/>
        </w:rPr>
      </w:pPr>
    </w:p>
    <w:p>
      <w:pPr>
        <w:snapToGrid w:val="0"/>
        <w:spacing w:before="120" w:beforeLines="50" w:after="50"/>
        <w:rPr>
          <w:rFonts w:hint="eastAsia" w:ascii="宋体" w:hAnsi="宋体" w:cs="宋体"/>
          <w:color w:val="auto"/>
          <w:sz w:val="24"/>
          <w:highlight w:val="none"/>
        </w:rPr>
      </w:pPr>
      <w:r>
        <w:rPr>
          <w:rFonts w:hint="eastAsia" w:ascii="宋体" w:hAnsi="宋体" w:cs="宋体"/>
          <w:color w:val="auto"/>
          <w:sz w:val="24"/>
          <w:highlight w:val="none"/>
        </w:rPr>
        <w:t xml:space="preserve">                                         </w:t>
      </w:r>
    </w:p>
    <w:p>
      <w:pPr>
        <w:snapToGrid w:val="0"/>
        <w:spacing w:before="120" w:beforeLines="50" w:after="50"/>
        <w:rPr>
          <w:rFonts w:hint="eastAsia" w:ascii="宋体" w:hAnsi="宋体" w:cs="宋体"/>
          <w:color w:val="auto"/>
          <w:sz w:val="24"/>
          <w:highlight w:val="none"/>
        </w:rPr>
      </w:pPr>
    </w:p>
    <w:p>
      <w:pPr>
        <w:snapToGrid w:val="0"/>
        <w:spacing w:before="120" w:beforeLines="50" w:after="50"/>
        <w:rPr>
          <w:rFonts w:hint="eastAsia" w:ascii="宋体" w:hAnsi="宋体" w:cs="宋体"/>
          <w:color w:val="auto"/>
          <w:sz w:val="24"/>
          <w:highlight w:val="none"/>
        </w:rPr>
      </w:pPr>
    </w:p>
    <w:p>
      <w:pPr>
        <w:snapToGrid w:val="0"/>
        <w:spacing w:before="120" w:beforeLines="50" w:after="50"/>
        <w:rPr>
          <w:rFonts w:hint="eastAsia" w:ascii="宋体" w:hAnsi="宋体" w:cs="宋体"/>
          <w:color w:val="auto"/>
          <w:sz w:val="24"/>
          <w:highlight w:val="none"/>
        </w:rPr>
      </w:pP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before="120" w:beforeLines="50" w:after="50"/>
        <w:rPr>
          <w:rFonts w:hint="eastAsia" w:ascii="宋体" w:hAnsi="宋体" w:cs="宋体"/>
          <w:color w:val="auto"/>
          <w:sz w:val="24"/>
          <w:highlight w:val="none"/>
        </w:rPr>
      </w:pPr>
    </w:p>
    <w:p>
      <w:pPr>
        <w:snapToGrid w:val="0"/>
        <w:spacing w:before="120" w:beforeLines="50" w:after="50"/>
        <w:rPr>
          <w:rFonts w:hint="eastAsia" w:ascii="宋体" w:hAnsi="宋体" w:cs="宋体"/>
          <w:color w:val="auto"/>
          <w:sz w:val="24"/>
          <w:highlight w:val="none"/>
        </w:rPr>
      </w:pPr>
    </w:p>
    <w:p>
      <w:pPr>
        <w:snapToGrid w:val="0"/>
        <w:spacing w:before="120" w:beforeLines="50" w:after="50"/>
        <w:jc w:val="center"/>
        <w:rPr>
          <w:rFonts w:hint="eastAsia" w:ascii="宋体" w:hAnsi="宋体" w:cs="宋体"/>
          <w:color w:val="auto"/>
          <w:highlight w:val="none"/>
        </w:rPr>
        <w:sectPr>
          <w:footerReference r:id="rId5" w:type="first"/>
          <w:footerReference r:id="rId4" w:type="default"/>
          <w:pgSz w:w="11906" w:h="16838"/>
          <w:pgMar w:top="1474" w:right="1247" w:bottom="1247" w:left="1588" w:header="851" w:footer="851" w:gutter="0"/>
          <w:pgNumType w:start="1"/>
          <w:cols w:space="720" w:num="1"/>
          <w:titlePg/>
          <w:docGrid w:linePitch="312" w:charSpace="0"/>
        </w:sectPr>
      </w:pPr>
    </w:p>
    <w:p>
      <w:pPr>
        <w:snapToGrid w:val="0"/>
        <w:spacing w:before="50" w:after="120" w:afterLines="50"/>
        <w:jc w:val="left"/>
        <w:rPr>
          <w:rFonts w:hint="eastAsia" w:ascii="宋体" w:hAnsi="宋体" w:cs="宋体"/>
          <w:b/>
          <w:color w:val="auto"/>
          <w:sz w:val="24"/>
          <w:highlight w:val="none"/>
        </w:rPr>
      </w:pPr>
      <w:r>
        <w:rPr>
          <w:rFonts w:hint="eastAsia" w:ascii="宋体" w:hAnsi="宋体" w:cs="宋体"/>
          <w:b/>
          <w:color w:val="auto"/>
          <w:sz w:val="24"/>
          <w:highlight w:val="none"/>
        </w:rPr>
        <w:t>投标单位情况表：</w:t>
      </w:r>
    </w:p>
    <w:p>
      <w:pPr>
        <w:snapToGrid w:val="0"/>
        <w:spacing w:before="120" w:beforeLines="50" w:after="50"/>
        <w:jc w:val="center"/>
        <w:rPr>
          <w:rFonts w:hint="eastAsia" w:ascii="宋体" w:hAnsi="宋体" w:cs="宋体"/>
          <w:b/>
          <w:color w:val="auto"/>
          <w:sz w:val="24"/>
          <w:highlight w:val="none"/>
        </w:rPr>
      </w:pPr>
      <w:r>
        <w:rPr>
          <w:rFonts w:hint="eastAsia" w:ascii="宋体" w:hAnsi="宋体" w:cs="宋体"/>
          <w:b/>
          <w:color w:val="auto"/>
          <w:sz w:val="24"/>
          <w:highlight w:val="none"/>
        </w:rPr>
        <w:t>投标单位情况表</w:t>
      </w:r>
    </w:p>
    <w:p>
      <w:pPr>
        <w:spacing w:before="120" w:after="120"/>
        <w:ind w:firstLine="630" w:firstLineChars="300"/>
        <w:rPr>
          <w:rFonts w:hint="eastAsia" w:ascii="宋体" w:hAnsi="宋体" w:cs="宋体"/>
          <w:color w:val="auto"/>
          <w:highlight w:val="none"/>
        </w:rPr>
      </w:pPr>
      <w:r>
        <w:rPr>
          <w:rFonts w:hint="eastAsia" w:ascii="宋体" w:hAnsi="宋体" w:cs="宋体"/>
          <w:color w:val="auto"/>
          <w:highlight w:val="none"/>
        </w:rPr>
        <w:t>投标单位：                                        填表日期：</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60"/>
        <w:gridCol w:w="3263"/>
        <w:gridCol w:w="1222"/>
        <w:gridCol w:w="16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728" w:type="dxa"/>
            <w:gridSpan w:val="2"/>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单位名称</w:t>
            </w:r>
          </w:p>
        </w:tc>
        <w:tc>
          <w:tcPr>
            <w:tcW w:w="3263" w:type="dxa"/>
            <w:noWrap w:val="0"/>
            <w:vAlign w:val="center"/>
          </w:tcPr>
          <w:p>
            <w:pPr>
              <w:widowControl/>
              <w:jc w:val="center"/>
              <w:rPr>
                <w:rFonts w:hint="eastAsia" w:ascii="宋体" w:hAnsi="宋体" w:cs="宋体"/>
                <w:color w:val="auto"/>
                <w:sz w:val="24"/>
                <w:highlight w:val="none"/>
              </w:rPr>
            </w:pPr>
          </w:p>
        </w:tc>
        <w:tc>
          <w:tcPr>
            <w:tcW w:w="1388" w:type="dxa"/>
            <w:gridSpan w:val="2"/>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电话</w:t>
            </w:r>
          </w:p>
        </w:tc>
        <w:tc>
          <w:tcPr>
            <w:tcW w:w="2534" w:type="dxa"/>
            <w:noWrap w:val="0"/>
            <w:vAlign w:val="center"/>
          </w:tcPr>
          <w:p>
            <w:pPr>
              <w:spacing w:before="120" w:after="12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728" w:type="dxa"/>
            <w:gridSpan w:val="2"/>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地址</w:t>
            </w:r>
          </w:p>
        </w:tc>
        <w:tc>
          <w:tcPr>
            <w:tcW w:w="3263" w:type="dxa"/>
            <w:noWrap w:val="0"/>
            <w:vAlign w:val="center"/>
          </w:tcPr>
          <w:p>
            <w:pPr>
              <w:spacing w:before="120" w:after="120"/>
              <w:jc w:val="center"/>
              <w:rPr>
                <w:rFonts w:hint="eastAsia" w:ascii="宋体" w:hAnsi="宋体" w:cs="宋体"/>
                <w:color w:val="auto"/>
                <w:highlight w:val="none"/>
              </w:rPr>
            </w:pPr>
          </w:p>
        </w:tc>
        <w:tc>
          <w:tcPr>
            <w:tcW w:w="1388" w:type="dxa"/>
            <w:gridSpan w:val="2"/>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传真</w:t>
            </w:r>
          </w:p>
        </w:tc>
        <w:tc>
          <w:tcPr>
            <w:tcW w:w="2534" w:type="dxa"/>
            <w:noWrap w:val="0"/>
            <w:vAlign w:val="center"/>
          </w:tcPr>
          <w:p>
            <w:pPr>
              <w:spacing w:before="120" w:after="12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728" w:type="dxa"/>
            <w:gridSpan w:val="2"/>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主管部门</w:t>
            </w:r>
          </w:p>
        </w:tc>
        <w:tc>
          <w:tcPr>
            <w:tcW w:w="3263" w:type="dxa"/>
            <w:noWrap w:val="0"/>
            <w:vAlign w:val="center"/>
          </w:tcPr>
          <w:p>
            <w:pPr>
              <w:spacing w:before="120" w:after="120"/>
              <w:jc w:val="center"/>
              <w:rPr>
                <w:rFonts w:hint="eastAsia" w:ascii="宋体" w:hAnsi="宋体" w:cs="宋体"/>
                <w:color w:val="auto"/>
                <w:highlight w:val="none"/>
              </w:rPr>
            </w:pPr>
          </w:p>
        </w:tc>
        <w:tc>
          <w:tcPr>
            <w:tcW w:w="1388" w:type="dxa"/>
            <w:gridSpan w:val="2"/>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企业性质</w:t>
            </w:r>
          </w:p>
        </w:tc>
        <w:tc>
          <w:tcPr>
            <w:tcW w:w="2534" w:type="dxa"/>
            <w:noWrap w:val="0"/>
            <w:vAlign w:val="center"/>
          </w:tcPr>
          <w:p>
            <w:pPr>
              <w:spacing w:before="120" w:after="12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28" w:type="dxa"/>
            <w:gridSpan w:val="2"/>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企业法人</w:t>
            </w:r>
          </w:p>
        </w:tc>
        <w:tc>
          <w:tcPr>
            <w:tcW w:w="3263" w:type="dxa"/>
            <w:noWrap w:val="0"/>
            <w:vAlign w:val="center"/>
          </w:tcPr>
          <w:p>
            <w:pPr>
              <w:spacing w:before="120" w:after="120"/>
              <w:jc w:val="center"/>
              <w:rPr>
                <w:rFonts w:hint="eastAsia" w:ascii="宋体" w:hAnsi="宋体" w:cs="宋体"/>
                <w:color w:val="auto"/>
                <w:highlight w:val="none"/>
              </w:rPr>
            </w:pPr>
          </w:p>
        </w:tc>
        <w:tc>
          <w:tcPr>
            <w:tcW w:w="1388" w:type="dxa"/>
            <w:gridSpan w:val="2"/>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资质等级</w:t>
            </w:r>
          </w:p>
        </w:tc>
        <w:tc>
          <w:tcPr>
            <w:tcW w:w="2534" w:type="dxa"/>
            <w:noWrap w:val="0"/>
            <w:vAlign w:val="center"/>
          </w:tcPr>
          <w:p>
            <w:pPr>
              <w:spacing w:before="120" w:after="12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728" w:type="dxa"/>
            <w:gridSpan w:val="2"/>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授权代表</w:t>
            </w:r>
          </w:p>
        </w:tc>
        <w:tc>
          <w:tcPr>
            <w:tcW w:w="3263" w:type="dxa"/>
            <w:noWrap w:val="0"/>
            <w:vAlign w:val="center"/>
          </w:tcPr>
          <w:p>
            <w:pPr>
              <w:spacing w:before="120" w:after="120"/>
              <w:jc w:val="center"/>
              <w:rPr>
                <w:rFonts w:hint="eastAsia" w:ascii="宋体" w:hAnsi="宋体" w:cs="宋体"/>
                <w:color w:val="auto"/>
                <w:highlight w:val="none"/>
              </w:rPr>
            </w:pPr>
          </w:p>
        </w:tc>
        <w:tc>
          <w:tcPr>
            <w:tcW w:w="1388" w:type="dxa"/>
            <w:gridSpan w:val="2"/>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职务</w:t>
            </w:r>
          </w:p>
        </w:tc>
        <w:tc>
          <w:tcPr>
            <w:tcW w:w="2534" w:type="dxa"/>
            <w:noWrap w:val="0"/>
            <w:vAlign w:val="center"/>
          </w:tcPr>
          <w:p>
            <w:pPr>
              <w:spacing w:before="120" w:after="12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468" w:type="dxa"/>
            <w:vMerge w:val="restart"/>
            <w:noWrap w:val="0"/>
            <w:vAlign w:val="center"/>
          </w:tcPr>
          <w:p>
            <w:pPr>
              <w:spacing w:before="120" w:after="120"/>
              <w:ind w:firstLine="630" w:firstLineChars="300"/>
              <w:jc w:val="center"/>
              <w:rPr>
                <w:rFonts w:hint="eastAsia" w:ascii="宋体" w:hAnsi="宋体" w:cs="宋体"/>
                <w:color w:val="auto"/>
                <w:highlight w:val="none"/>
              </w:rPr>
            </w:pPr>
          </w:p>
          <w:p>
            <w:pPr>
              <w:spacing w:before="120" w:after="120"/>
              <w:jc w:val="center"/>
              <w:rPr>
                <w:rFonts w:hint="eastAsia" w:ascii="宋体" w:hAnsi="宋体" w:cs="宋体"/>
                <w:color w:val="auto"/>
                <w:highlight w:val="none"/>
              </w:rPr>
            </w:pPr>
            <w:r>
              <w:rPr>
                <w:rFonts w:hint="eastAsia" w:ascii="宋体" w:hAnsi="宋体" w:cs="宋体"/>
                <w:color w:val="auto"/>
                <w:highlight w:val="none"/>
              </w:rPr>
              <w:t>单位概况</w:t>
            </w:r>
          </w:p>
          <w:p>
            <w:pPr>
              <w:spacing w:before="120" w:after="120"/>
              <w:ind w:firstLine="630" w:firstLineChars="300"/>
              <w:jc w:val="center"/>
              <w:rPr>
                <w:rFonts w:hint="eastAsia" w:ascii="宋体" w:hAnsi="宋体" w:cs="宋体"/>
                <w:color w:val="auto"/>
                <w:highlight w:val="none"/>
              </w:rPr>
            </w:pPr>
          </w:p>
          <w:p>
            <w:pPr>
              <w:spacing w:before="120" w:after="120"/>
              <w:ind w:firstLine="630" w:firstLineChars="300"/>
              <w:jc w:val="center"/>
              <w:rPr>
                <w:rFonts w:hint="eastAsia" w:ascii="宋体" w:hAnsi="宋体" w:cs="宋体"/>
                <w:color w:val="auto"/>
                <w:highlight w:val="none"/>
              </w:rPr>
            </w:pPr>
          </w:p>
          <w:p>
            <w:pPr>
              <w:spacing w:before="120" w:after="120"/>
              <w:ind w:firstLine="630" w:firstLineChars="300"/>
              <w:jc w:val="center"/>
              <w:rPr>
                <w:rFonts w:hint="eastAsia" w:ascii="宋体" w:hAnsi="宋体" w:cs="宋体"/>
                <w:color w:val="auto"/>
                <w:highlight w:val="none"/>
              </w:rPr>
            </w:pPr>
          </w:p>
          <w:p>
            <w:pPr>
              <w:spacing w:before="120" w:after="120"/>
              <w:ind w:firstLine="630" w:firstLineChars="300"/>
              <w:jc w:val="center"/>
              <w:rPr>
                <w:rFonts w:hint="eastAsia" w:ascii="宋体" w:hAnsi="宋体" w:cs="宋体"/>
                <w:color w:val="auto"/>
                <w:highlight w:val="none"/>
              </w:rPr>
            </w:pPr>
          </w:p>
        </w:tc>
        <w:tc>
          <w:tcPr>
            <w:tcW w:w="1260" w:type="dxa"/>
            <w:vMerge w:val="restart"/>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职工总数</w:t>
            </w:r>
          </w:p>
        </w:tc>
        <w:tc>
          <w:tcPr>
            <w:tcW w:w="3263" w:type="dxa"/>
            <w:noWrap w:val="0"/>
            <w:vAlign w:val="center"/>
          </w:tcPr>
          <w:p>
            <w:pPr>
              <w:spacing w:before="120" w:after="120"/>
              <w:rPr>
                <w:rFonts w:hint="eastAsia" w:ascii="宋体" w:hAnsi="宋体" w:cs="宋体"/>
                <w:color w:val="auto"/>
                <w:highlight w:val="none"/>
              </w:rPr>
            </w:pPr>
            <w:r>
              <w:rPr>
                <w:rFonts w:hint="eastAsia" w:ascii="Times New Roman" w:hAnsi="Times New Roman"/>
              </w:rPr>
              <w:t>员工（包括技术工人、</w:t>
            </w:r>
            <w:r>
              <w:rPr>
                <w:rFonts w:hint="eastAsia"/>
              </w:rPr>
              <w:t>高级技师、工程师</w:t>
            </w:r>
            <w:r>
              <w:rPr>
                <w:rFonts w:hint="eastAsia" w:ascii="Times New Roman" w:hAnsi="Times New Roman"/>
              </w:rPr>
              <w:t>）：   人</w:t>
            </w:r>
          </w:p>
        </w:tc>
        <w:tc>
          <w:tcPr>
            <w:tcW w:w="3922" w:type="dxa"/>
            <w:gridSpan w:val="3"/>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技术工人：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468" w:type="dxa"/>
            <w:vMerge w:val="continue"/>
            <w:noWrap w:val="0"/>
            <w:vAlign w:val="center"/>
          </w:tcPr>
          <w:p>
            <w:pPr>
              <w:spacing w:before="120" w:after="120"/>
              <w:ind w:firstLine="630" w:firstLineChars="300"/>
              <w:jc w:val="center"/>
              <w:rPr>
                <w:rFonts w:hint="eastAsia" w:ascii="宋体" w:hAnsi="宋体" w:cs="宋体"/>
                <w:color w:val="auto"/>
                <w:highlight w:val="none"/>
              </w:rPr>
            </w:pPr>
          </w:p>
        </w:tc>
        <w:tc>
          <w:tcPr>
            <w:tcW w:w="1260" w:type="dxa"/>
            <w:vMerge w:val="continue"/>
            <w:noWrap w:val="0"/>
            <w:vAlign w:val="center"/>
          </w:tcPr>
          <w:p>
            <w:pPr>
              <w:widowControl/>
              <w:jc w:val="center"/>
              <w:rPr>
                <w:rFonts w:hint="eastAsia" w:ascii="宋体" w:hAnsi="宋体" w:cs="宋体"/>
                <w:color w:val="auto"/>
                <w:sz w:val="24"/>
                <w:highlight w:val="none"/>
              </w:rPr>
            </w:pPr>
          </w:p>
        </w:tc>
        <w:tc>
          <w:tcPr>
            <w:tcW w:w="3263" w:type="dxa"/>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高级技师：       人</w:t>
            </w:r>
          </w:p>
        </w:tc>
        <w:tc>
          <w:tcPr>
            <w:tcW w:w="3922" w:type="dxa"/>
            <w:gridSpan w:val="3"/>
            <w:noWrap w:val="0"/>
            <w:vAlign w:val="center"/>
          </w:tcPr>
          <w:p>
            <w:pPr>
              <w:spacing w:before="120" w:after="120"/>
              <w:rPr>
                <w:rFonts w:hint="eastAsia" w:ascii="宋体" w:hAnsi="宋体" w:cs="宋体"/>
                <w:color w:val="auto"/>
                <w:highlight w:val="none"/>
              </w:rPr>
            </w:pPr>
            <w:r>
              <w:rPr>
                <w:rFonts w:hint="eastAsia" w:ascii="宋体" w:hAnsi="宋体" w:cs="宋体"/>
                <w:color w:val="auto"/>
                <w:highlight w:val="none"/>
              </w:rPr>
              <w:t>工程师：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468" w:type="dxa"/>
            <w:vMerge w:val="continue"/>
            <w:noWrap w:val="0"/>
            <w:vAlign w:val="center"/>
          </w:tcPr>
          <w:p>
            <w:pPr>
              <w:spacing w:before="120" w:after="120"/>
              <w:ind w:firstLine="630" w:firstLineChars="300"/>
              <w:jc w:val="center"/>
              <w:rPr>
                <w:rFonts w:hint="eastAsia" w:ascii="宋体" w:hAnsi="宋体" w:cs="宋体"/>
                <w:color w:val="auto"/>
                <w:highlight w:val="none"/>
              </w:rPr>
            </w:pPr>
          </w:p>
        </w:tc>
        <w:tc>
          <w:tcPr>
            <w:tcW w:w="1260" w:type="dxa"/>
            <w:noWrap w:val="0"/>
            <w:vAlign w:val="center"/>
          </w:tcPr>
          <w:p>
            <w:pPr>
              <w:spacing w:before="120" w:after="120"/>
              <w:jc w:val="center"/>
              <w:rPr>
                <w:rFonts w:hint="eastAsia" w:ascii="宋体" w:hAnsi="宋体" w:cs="宋体"/>
                <w:color w:val="auto"/>
                <w:highlight w:val="none"/>
              </w:rPr>
            </w:pPr>
            <w:r>
              <w:rPr>
                <w:rFonts w:hint="eastAsia" w:ascii="宋体" w:hAnsi="宋体" w:cs="宋体"/>
                <w:color w:val="auto"/>
                <w:highlight w:val="none"/>
              </w:rPr>
              <w:t>流动资金</w:t>
            </w:r>
          </w:p>
        </w:tc>
        <w:tc>
          <w:tcPr>
            <w:tcW w:w="3263" w:type="dxa"/>
            <w:noWrap w:val="0"/>
            <w:vAlign w:val="center"/>
          </w:tcPr>
          <w:p>
            <w:pPr>
              <w:spacing w:before="120" w:after="120"/>
              <w:jc w:val="center"/>
              <w:rPr>
                <w:rFonts w:hint="eastAsia" w:ascii="宋体" w:hAnsi="宋体" w:cs="宋体"/>
                <w:color w:val="auto"/>
                <w:highlight w:val="none"/>
              </w:rPr>
            </w:pPr>
          </w:p>
        </w:tc>
        <w:tc>
          <w:tcPr>
            <w:tcW w:w="1222" w:type="dxa"/>
            <w:noWrap w:val="0"/>
            <w:vAlign w:val="center"/>
          </w:tcPr>
          <w:p>
            <w:pPr>
              <w:spacing w:before="120" w:after="120"/>
              <w:jc w:val="center"/>
              <w:rPr>
                <w:rFonts w:hint="eastAsia" w:ascii="宋体" w:hAnsi="宋体" w:cs="宋体"/>
                <w:color w:val="auto"/>
                <w:highlight w:val="none"/>
              </w:rPr>
            </w:pPr>
            <w:r>
              <w:rPr>
                <w:rFonts w:hint="eastAsia" w:ascii="宋体" w:hAnsi="宋体" w:cs="宋体"/>
                <w:color w:val="auto"/>
                <w:highlight w:val="none"/>
              </w:rPr>
              <w:t>营业面积</w:t>
            </w:r>
          </w:p>
        </w:tc>
        <w:tc>
          <w:tcPr>
            <w:tcW w:w="2700" w:type="dxa"/>
            <w:gridSpan w:val="2"/>
            <w:noWrap w:val="0"/>
            <w:vAlign w:val="center"/>
          </w:tcPr>
          <w:p>
            <w:pPr>
              <w:spacing w:before="120" w:after="12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exact"/>
          <w:jc w:val="center"/>
        </w:trPr>
        <w:tc>
          <w:tcPr>
            <w:tcW w:w="468" w:type="dxa"/>
            <w:vMerge w:val="continue"/>
            <w:noWrap w:val="0"/>
            <w:vAlign w:val="center"/>
          </w:tcPr>
          <w:p>
            <w:pPr>
              <w:spacing w:before="120" w:after="120"/>
              <w:ind w:firstLine="630" w:firstLineChars="300"/>
              <w:jc w:val="center"/>
              <w:rPr>
                <w:rFonts w:hint="eastAsia" w:ascii="宋体" w:hAnsi="宋体" w:cs="宋体"/>
                <w:color w:val="auto"/>
                <w:highlight w:val="none"/>
              </w:rPr>
            </w:pPr>
          </w:p>
        </w:tc>
        <w:tc>
          <w:tcPr>
            <w:tcW w:w="1260" w:type="dxa"/>
            <w:noWrap w:val="0"/>
            <w:vAlign w:val="center"/>
          </w:tcPr>
          <w:p>
            <w:pPr>
              <w:spacing w:before="120" w:after="120"/>
              <w:jc w:val="center"/>
              <w:rPr>
                <w:rFonts w:hint="eastAsia" w:ascii="宋体" w:hAnsi="宋体" w:cs="宋体"/>
                <w:color w:val="auto"/>
                <w:highlight w:val="none"/>
              </w:rPr>
            </w:pPr>
            <w:r>
              <w:rPr>
                <w:rFonts w:hint="eastAsia" w:ascii="宋体" w:hAnsi="宋体" w:cs="宋体"/>
                <w:color w:val="auto"/>
                <w:highlight w:val="none"/>
              </w:rPr>
              <w:t>固定资金</w:t>
            </w:r>
          </w:p>
        </w:tc>
        <w:tc>
          <w:tcPr>
            <w:tcW w:w="3263" w:type="dxa"/>
            <w:noWrap w:val="0"/>
            <w:vAlign w:val="center"/>
          </w:tcPr>
          <w:p>
            <w:pPr>
              <w:widowControl/>
              <w:jc w:val="center"/>
              <w:rPr>
                <w:rFonts w:hint="eastAsia" w:ascii="宋体" w:hAnsi="宋体" w:cs="宋体"/>
                <w:color w:val="auto"/>
                <w:sz w:val="24"/>
                <w:highlight w:val="none"/>
              </w:rPr>
            </w:pPr>
          </w:p>
        </w:tc>
        <w:tc>
          <w:tcPr>
            <w:tcW w:w="1222" w:type="dxa"/>
            <w:noWrap w:val="0"/>
            <w:vAlign w:val="center"/>
          </w:tcPr>
          <w:p>
            <w:pPr>
              <w:spacing w:before="120" w:after="120"/>
              <w:jc w:val="center"/>
              <w:rPr>
                <w:rFonts w:hint="eastAsia" w:ascii="宋体" w:hAnsi="宋体" w:cs="宋体"/>
                <w:color w:val="auto"/>
                <w:highlight w:val="none"/>
              </w:rPr>
            </w:pPr>
            <w:r>
              <w:rPr>
                <w:rFonts w:hint="eastAsia" w:ascii="宋体" w:hAnsi="宋体" w:cs="宋体"/>
                <w:color w:val="auto"/>
                <w:highlight w:val="none"/>
              </w:rPr>
              <w:t>售后网点</w:t>
            </w:r>
          </w:p>
        </w:tc>
        <w:tc>
          <w:tcPr>
            <w:tcW w:w="2700" w:type="dxa"/>
            <w:gridSpan w:val="2"/>
            <w:noWrap w:val="0"/>
            <w:vAlign w:val="center"/>
          </w:tcPr>
          <w:p>
            <w:pPr>
              <w:widowControl/>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468" w:type="dxa"/>
            <w:noWrap w:val="0"/>
            <w:vAlign w:val="center"/>
          </w:tcPr>
          <w:p>
            <w:pPr>
              <w:spacing w:before="120" w:after="120"/>
              <w:jc w:val="center"/>
              <w:rPr>
                <w:rFonts w:hint="eastAsia" w:ascii="宋体" w:hAnsi="宋体" w:cs="宋体"/>
                <w:color w:val="auto"/>
                <w:highlight w:val="none"/>
              </w:rPr>
            </w:pPr>
            <w:r>
              <w:rPr>
                <w:rFonts w:hint="eastAsia" w:ascii="宋体" w:hAnsi="宋体" w:cs="宋体"/>
                <w:color w:val="auto"/>
                <w:highlight w:val="none"/>
              </w:rPr>
              <w:t>单位简历</w:t>
            </w:r>
          </w:p>
        </w:tc>
        <w:tc>
          <w:tcPr>
            <w:tcW w:w="8445" w:type="dxa"/>
            <w:gridSpan w:val="5"/>
            <w:noWrap w:val="0"/>
            <w:vAlign w:val="top"/>
          </w:tcPr>
          <w:p>
            <w:pPr>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468" w:type="dxa"/>
            <w:noWrap w:val="0"/>
            <w:vAlign w:val="center"/>
          </w:tcPr>
          <w:p>
            <w:pPr>
              <w:spacing w:before="120" w:after="120"/>
              <w:jc w:val="center"/>
              <w:rPr>
                <w:rFonts w:hint="eastAsia" w:ascii="宋体" w:hAnsi="宋体" w:cs="宋体"/>
                <w:color w:val="auto"/>
                <w:highlight w:val="none"/>
              </w:rPr>
            </w:pPr>
            <w:r>
              <w:rPr>
                <w:rFonts w:hint="eastAsia" w:ascii="宋体" w:hAnsi="宋体" w:cs="宋体"/>
                <w:color w:val="auto"/>
                <w:highlight w:val="none"/>
              </w:rPr>
              <w:t>优势及特长</w:t>
            </w:r>
          </w:p>
        </w:tc>
        <w:tc>
          <w:tcPr>
            <w:tcW w:w="8445" w:type="dxa"/>
            <w:gridSpan w:val="5"/>
            <w:noWrap w:val="0"/>
            <w:vAlign w:val="top"/>
          </w:tcPr>
          <w:p>
            <w:pPr>
              <w:jc w:val="left"/>
              <w:rPr>
                <w:rFonts w:hint="eastAsia" w:ascii="宋体" w:hAnsi="宋体" w:cs="宋体"/>
                <w:color w:val="auto"/>
                <w:sz w:val="24"/>
                <w:highlight w:val="none"/>
              </w:rPr>
            </w:pPr>
          </w:p>
        </w:tc>
      </w:tr>
    </w:tbl>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注：附营业执照、资质证书复印件等相关资料。</w:t>
      </w:r>
    </w:p>
    <w:p>
      <w:pPr>
        <w:rPr>
          <w:rFonts w:hint="eastAsia" w:ascii="宋体" w:hAnsi="宋体" w:cs="宋体"/>
          <w:color w:val="auto"/>
          <w:sz w:val="24"/>
          <w:highlight w:val="none"/>
        </w:rPr>
      </w:pP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before="120" w:beforeLines="50" w:after="50"/>
        <w:rPr>
          <w:rFonts w:hint="eastAsia" w:ascii="宋体" w:hAnsi="宋体" w:cs="宋体"/>
          <w:snapToGrid w:val="0"/>
          <w:color w:val="auto"/>
          <w:sz w:val="24"/>
          <w:highlight w:val="none"/>
        </w:rPr>
      </w:pPr>
      <w:r>
        <w:rPr>
          <w:rFonts w:hint="eastAsia" w:ascii="宋体" w:hAnsi="宋体" w:cs="宋体"/>
          <w:snapToGrid w:val="0"/>
          <w:color w:val="auto"/>
          <w:sz w:val="24"/>
          <w:highlight w:val="none"/>
        </w:rPr>
        <w:br w:type="page"/>
      </w:r>
    </w:p>
    <w:p>
      <w:pPr>
        <w:pStyle w:val="6"/>
        <w:keepNext w:val="0"/>
        <w:keepLines w:val="0"/>
        <w:pageBreakBefore/>
        <w:spacing w:line="360" w:lineRule="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符合参加政府采购活动应当具备的一般条件的承诺函：</w:t>
      </w:r>
    </w:p>
    <w:p>
      <w:pPr>
        <w:pStyle w:val="20"/>
        <w:keepNext w:val="0"/>
        <w:keepLines w:val="0"/>
        <w:widowControl/>
        <w:suppressLineNumbers w:val="0"/>
        <w:spacing w:before="100" w:beforeAutospacing="0" w:after="100" w:afterAutospacing="0" w:line="360" w:lineRule="auto"/>
        <w:ind w:left="0" w:right="0"/>
        <w:jc w:val="center"/>
        <w:rPr>
          <w:color w:val="auto"/>
          <w:highlight w:val="none"/>
        </w:rPr>
      </w:pPr>
      <w:r>
        <w:rPr>
          <w:rFonts w:ascii="黑体" w:hAnsi="宋体" w:eastAsia="黑体" w:cs="黑体"/>
          <w:b/>
          <w:bCs/>
          <w:i w:val="0"/>
          <w:iCs w:val="0"/>
          <w:color w:val="auto"/>
          <w:spacing w:val="0"/>
          <w:w w:val="100"/>
          <w:sz w:val="27"/>
          <w:szCs w:val="27"/>
          <w:highlight w:val="none"/>
          <w:vertAlign w:val="baseline"/>
        </w:rPr>
        <w:t>符合参加政府采购活动应当具备的一般条件的承诺函</w:t>
      </w:r>
    </w:p>
    <w:p>
      <w:pPr>
        <w:pStyle w:val="20"/>
        <w:keepNext w:val="0"/>
        <w:keepLines w:val="0"/>
        <w:widowControl/>
        <w:suppressLineNumbers w:val="0"/>
        <w:spacing w:before="0" w:beforeAutospacing="0" w:after="0" w:afterAutospacing="0" w:line="360" w:lineRule="auto"/>
        <w:ind w:left="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（采购人）、（采购代理机构）：</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我方参与</w:t>
      </w:r>
      <w:r>
        <w:rPr>
          <w:rFonts w:hint="eastAsia" w:cs="宋体"/>
          <w:b w:val="0"/>
          <w:bCs w:val="0"/>
          <w:color w:val="auto"/>
          <w:kern w:val="2"/>
          <w:sz w:val="24"/>
          <w:szCs w:val="24"/>
          <w:highlight w:val="none"/>
          <w:u w:val="singl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项目【项目编号：</w:t>
      </w:r>
      <w:r>
        <w:rPr>
          <w:rFonts w:hint="eastAsia" w:cs="宋体"/>
          <w:b w:val="0"/>
          <w:bCs w:val="0"/>
          <w:color w:val="auto"/>
          <w:kern w:val="2"/>
          <w:sz w:val="24"/>
          <w:szCs w:val="24"/>
          <w:highlight w:val="none"/>
          <w:u w:val="singl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】政府采购活动，郑重承诺：</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（一）具备《中华人民共和国政府采购法》第二十二条第一款规定的条件：</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1、具有独立承担民事责任的能力；</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2、具有良好的商业信誉和健全的财务会计制度； </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3、具有履行合同所必需的设备和专业技术能力；</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4、有依法缴纳税收和社会保障资金的良好记录；</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5、参加政府采购活动前三年内，在经营活动中没有重大违法记录；</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6、具有法律、行政法规规定的其他条件。</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（二）未被信用中国（www.creditchina.gov.cn)、中国政府采购网（www.ccgp.gov.cn）列入失信被执行人、重大税收违法案件当事人名单、政府采购严重违法失信行为记录名单。</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（三）不存在以下情况：</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1、单位负责人为同一人或者存在直接控股、管理关系的不同供应商参加同一合同项下的政府采购活动的；</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2、为采购项目提供整体设计、规范编制或者项目管理、监理、检测等服务后再参加该采购项目的其他采购活动的。</w:t>
      </w: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p>
    <w:p>
      <w:pPr>
        <w:pStyle w:val="20"/>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rPr>
          <w:rFonts w:ascii="宋体" w:hAnsi="宋体" w:cs="宋体"/>
          <w:color w:val="auto"/>
          <w:sz w:val="24"/>
          <w:highlight w:val="none"/>
        </w:rPr>
      </w:pPr>
    </w:p>
    <w:p>
      <w:pPr>
        <w:pStyle w:val="20"/>
        <w:keepNext w:val="0"/>
        <w:keepLines w:val="0"/>
        <w:widowControl/>
        <w:suppressLineNumbers w:val="0"/>
        <w:spacing w:before="100" w:beforeAutospacing="0" w:after="100" w:afterAutospacing="0" w:line="360" w:lineRule="auto"/>
        <w:ind w:left="0" w:right="0"/>
        <w:jc w:val="left"/>
        <w:rPr>
          <w:rFonts w:hint="eastAsia" w:ascii="宋体" w:hAnsi="宋体" w:eastAsia="宋体" w:cs="宋体"/>
          <w:b w:val="0"/>
          <w:bCs w:val="0"/>
          <w:color w:val="auto"/>
          <w:kern w:val="2"/>
          <w:sz w:val="24"/>
          <w:szCs w:val="24"/>
          <w:highlight w:val="none"/>
          <w:lang w:val="en-US" w:eastAsia="zh-CN" w:bidi="ar-SA"/>
        </w:rPr>
      </w:pPr>
    </w:p>
    <w:p>
      <w:pPr>
        <w:pStyle w:val="6"/>
        <w:rPr>
          <w:rFonts w:ascii="宋体" w:hAnsi="宋体" w:eastAsia="宋体" w:cs="宋体"/>
          <w:bCs w:val="0"/>
          <w:sz w:val="24"/>
          <w:szCs w:val="24"/>
        </w:rPr>
      </w:pPr>
      <w:r>
        <w:rPr>
          <w:rFonts w:hint="eastAsia" w:ascii="宋体" w:hAnsi="宋体" w:eastAsia="宋体" w:cs="宋体"/>
          <w:bCs w:val="0"/>
          <w:sz w:val="24"/>
          <w:szCs w:val="24"/>
        </w:rPr>
        <w:t>投标人依法缴纳税收和社保费、无失信行为的声明函</w:t>
      </w:r>
    </w:p>
    <w:p>
      <w:pPr>
        <w:pStyle w:val="6"/>
        <w:jc w:val="center"/>
        <w:rPr>
          <w:rFonts w:ascii="宋体" w:hAnsi="宋体" w:cs="宋体"/>
          <w:bCs w:val="0"/>
          <w:sz w:val="30"/>
          <w:szCs w:val="30"/>
        </w:rPr>
      </w:pPr>
      <w:r>
        <w:rPr>
          <w:rFonts w:hint="eastAsia" w:ascii="宋体" w:hAnsi="宋体" w:eastAsia="宋体" w:cs="宋体"/>
          <w:bCs w:val="0"/>
          <w:sz w:val="30"/>
          <w:szCs w:val="30"/>
        </w:rPr>
        <w:t>投标人依法缴纳税收和社保费、无失信行为的声明函</w:t>
      </w:r>
    </w:p>
    <w:p>
      <w:pPr>
        <w:pStyle w:val="6"/>
        <w:jc w:val="center"/>
        <w:rPr>
          <w:rFonts w:ascii="宋体" w:hAnsi="宋体" w:cs="宋体"/>
          <w:bCs w:val="0"/>
          <w:sz w:val="30"/>
          <w:szCs w:val="30"/>
        </w:rPr>
      </w:pPr>
    </w:p>
    <w:p>
      <w:pPr>
        <w:snapToGrid w:val="0"/>
        <w:spacing w:line="360" w:lineRule="auto"/>
        <w:rPr>
          <w:rFonts w:ascii="宋体" w:hAnsi="宋体" w:cs="宋体"/>
          <w:sz w:val="24"/>
        </w:rPr>
      </w:pPr>
      <w:r>
        <w:rPr>
          <w:rFonts w:hint="eastAsia" w:ascii="宋体" w:hAnsi="宋体" w:cs="宋体"/>
          <w:sz w:val="24"/>
        </w:rPr>
        <w:t>致：采购人</w:t>
      </w:r>
    </w:p>
    <w:p>
      <w:pPr>
        <w:pStyle w:val="44"/>
        <w:spacing w:line="360" w:lineRule="auto"/>
        <w:ind w:firstLine="420"/>
        <w:rPr>
          <w:rFonts w:ascii="宋体" w:hAnsi="宋体" w:cs="宋体"/>
          <w:sz w:val="24"/>
          <w:szCs w:val="24"/>
        </w:rPr>
      </w:pPr>
      <w:r>
        <w:rPr>
          <w:rFonts w:hint="eastAsia" w:ascii="宋体" w:hAnsi="宋体" w:cs="宋体"/>
          <w:sz w:val="24"/>
          <w:szCs w:val="24"/>
        </w:rPr>
        <w:t>本公司</w:t>
      </w:r>
      <w:r>
        <w:rPr>
          <w:rFonts w:hint="eastAsia" w:ascii="宋体" w:hAnsi="宋体" w:cs="宋体"/>
          <w:sz w:val="24"/>
          <w:szCs w:val="24"/>
          <w:u w:val="single"/>
        </w:rPr>
        <w:t xml:space="preserve">   （单位）   </w:t>
      </w:r>
      <w:r>
        <w:rPr>
          <w:rFonts w:hint="eastAsia" w:ascii="宋体" w:hAnsi="宋体" w:cs="宋体"/>
          <w:sz w:val="24"/>
          <w:szCs w:val="24"/>
        </w:rPr>
        <w:t>在参加采购编号为</w:t>
      </w:r>
      <w:r>
        <w:rPr>
          <w:rFonts w:hint="eastAsia" w:ascii="宋体" w:hAnsi="宋体" w:cs="宋体"/>
          <w:sz w:val="24"/>
          <w:szCs w:val="24"/>
          <w:u w:val="single"/>
        </w:rPr>
        <w:t xml:space="preserve">           </w:t>
      </w:r>
      <w:r>
        <w:rPr>
          <w:rFonts w:hint="eastAsia" w:ascii="宋体" w:hAnsi="宋体" w:cs="宋体"/>
          <w:sz w:val="24"/>
          <w:szCs w:val="24"/>
        </w:rPr>
        <w:t xml:space="preserve"> ，项目名称为</w:t>
      </w:r>
      <w:r>
        <w:rPr>
          <w:rFonts w:hint="eastAsia" w:ascii="宋体" w:hAnsi="宋体" w:cs="宋体"/>
          <w:sz w:val="24"/>
          <w:szCs w:val="24"/>
          <w:u w:val="single"/>
        </w:rPr>
        <w:t xml:space="preserve">         </w:t>
      </w:r>
      <w:r>
        <w:rPr>
          <w:rFonts w:hint="eastAsia" w:ascii="宋体" w:hAnsi="宋体" w:cs="宋体"/>
          <w:sz w:val="24"/>
          <w:szCs w:val="24"/>
        </w:rPr>
        <w:t>的政府采购活动前，我方具有良好的财务会计制度、依法缴纳税收和社会保障资金，不偷逃税款和逃避缴纳社会保障资金,截至公告发布日止，相关主体在“信用中国”网站(www.creditchina.gov.cn)及中国政府采购网(www.ccgp.gov.cn)无有失信行为。</w:t>
      </w:r>
      <w:r>
        <w:rPr>
          <w:rFonts w:hint="eastAsia" w:ascii="宋体" w:hAnsi="宋体" w:eastAsia="宋体"/>
          <w:sz w:val="24"/>
        </w:rPr>
        <w:t>如有虚假，招标人可取消我方任何资格（投标/中标/签订合同），我方对此无任何异议。</w:t>
      </w:r>
    </w:p>
    <w:p>
      <w:pPr>
        <w:pStyle w:val="6"/>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特此声明。</w:t>
      </w: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before="50" w:after="120" w:afterLines="50"/>
        <w:jc w:val="left"/>
        <w:rPr>
          <w:rFonts w:ascii="宋体" w:hAnsi="宋体" w:cs="宋体"/>
          <w:b/>
          <w:sz w:val="24"/>
        </w:rPr>
      </w:pPr>
    </w:p>
    <w:p>
      <w:pPr>
        <w:pStyle w:val="10"/>
        <w:rPr>
          <w:rFonts w:ascii="宋体" w:hAnsi="宋体" w:cs="宋体"/>
          <w:b/>
          <w:sz w:val="24"/>
        </w:rPr>
      </w:pPr>
    </w:p>
    <w:p>
      <w:pPr>
        <w:pStyle w:val="19"/>
        <w:rPr>
          <w:rFonts w:ascii="宋体" w:hAnsi="宋体" w:cs="宋体"/>
          <w:b/>
          <w:sz w:val="24"/>
        </w:rPr>
      </w:pPr>
    </w:p>
    <w:p>
      <w:pPr>
        <w:rPr>
          <w:rFonts w:ascii="宋体" w:hAnsi="宋体" w:cs="宋体"/>
          <w:b/>
          <w:sz w:val="24"/>
        </w:rPr>
      </w:pPr>
    </w:p>
    <w:p>
      <w:pPr>
        <w:pStyle w:val="10"/>
        <w:rPr>
          <w:rFonts w:ascii="宋体" w:hAnsi="宋体" w:cs="宋体"/>
          <w:b/>
          <w:sz w:val="24"/>
        </w:rPr>
      </w:pPr>
    </w:p>
    <w:p>
      <w:pPr>
        <w:pStyle w:val="19"/>
        <w:rPr>
          <w:rFonts w:ascii="宋体" w:hAnsi="宋体" w:cs="宋体"/>
          <w:b/>
          <w:sz w:val="24"/>
        </w:rPr>
      </w:pPr>
    </w:p>
    <w:p>
      <w:pPr>
        <w:rPr>
          <w:rFonts w:ascii="宋体" w:hAnsi="宋体" w:cs="宋体"/>
          <w:b/>
          <w:sz w:val="24"/>
        </w:rPr>
      </w:pPr>
    </w:p>
    <w:p>
      <w:pPr>
        <w:pStyle w:val="10"/>
        <w:rPr>
          <w:rFonts w:ascii="宋体" w:hAnsi="宋体" w:cs="宋体"/>
          <w:b/>
          <w:sz w:val="24"/>
        </w:rPr>
      </w:pPr>
    </w:p>
    <w:p>
      <w:pPr>
        <w:pStyle w:val="19"/>
        <w:rPr>
          <w:rFonts w:ascii="宋体" w:hAnsi="宋体" w:cs="宋体"/>
          <w:b/>
          <w:sz w:val="24"/>
        </w:rPr>
      </w:pPr>
    </w:p>
    <w:p>
      <w:pPr>
        <w:rPr>
          <w:rFonts w:ascii="宋体" w:hAnsi="宋体" w:cs="宋体"/>
          <w:b/>
          <w:sz w:val="24"/>
        </w:rPr>
      </w:pPr>
    </w:p>
    <w:p>
      <w:pPr>
        <w:pStyle w:val="10"/>
        <w:rPr>
          <w:rFonts w:ascii="宋体" w:hAnsi="宋体" w:cs="宋体"/>
          <w:b/>
          <w:sz w:val="24"/>
        </w:rPr>
      </w:pPr>
    </w:p>
    <w:p>
      <w:pPr>
        <w:pStyle w:val="19"/>
        <w:rPr>
          <w:rFonts w:ascii="宋体" w:hAnsi="宋体" w:cs="宋体"/>
          <w:b/>
          <w:sz w:val="24"/>
        </w:rPr>
      </w:pPr>
    </w:p>
    <w:p>
      <w:pPr>
        <w:rPr>
          <w:rFonts w:ascii="宋体" w:hAnsi="宋体" w:cs="宋体"/>
          <w:b/>
          <w:sz w:val="24"/>
        </w:rPr>
      </w:pPr>
    </w:p>
    <w:p>
      <w:pPr>
        <w:pStyle w:val="10"/>
        <w:rPr>
          <w:rFonts w:ascii="宋体" w:hAnsi="宋体" w:cs="宋体"/>
          <w:b/>
          <w:sz w:val="24"/>
        </w:rPr>
      </w:pPr>
    </w:p>
    <w:p>
      <w:pPr>
        <w:pStyle w:val="19"/>
        <w:rPr>
          <w:rFonts w:ascii="宋体" w:hAnsi="宋体" w:cs="宋体"/>
          <w:b/>
          <w:sz w:val="24"/>
        </w:rPr>
      </w:pPr>
    </w:p>
    <w:p>
      <w:pPr>
        <w:snapToGrid w:val="0"/>
        <w:spacing w:before="120" w:beforeLines="50" w:after="50"/>
        <w:rPr>
          <w:rFonts w:ascii="宋体" w:hAnsi="宋体" w:cs="宋体"/>
          <w:b/>
          <w:sz w:val="24"/>
        </w:rPr>
      </w:pPr>
    </w:p>
    <w:p>
      <w:pPr>
        <w:pStyle w:val="6"/>
        <w:rPr>
          <w:rFonts w:ascii="宋体" w:hAnsi="宋体" w:eastAsia="宋体"/>
          <w:sz w:val="24"/>
          <w:szCs w:val="24"/>
        </w:rPr>
      </w:pPr>
      <w:r>
        <w:rPr>
          <w:rFonts w:hint="eastAsia" w:ascii="宋体" w:hAnsi="宋体" w:eastAsia="宋体"/>
          <w:sz w:val="24"/>
          <w:szCs w:val="24"/>
        </w:rPr>
        <w:t>无重大违法记录声明书:</w:t>
      </w:r>
    </w:p>
    <w:p>
      <w:pPr>
        <w:pStyle w:val="8"/>
        <w:spacing w:line="360" w:lineRule="auto"/>
        <w:ind w:firstLine="0"/>
        <w:jc w:val="center"/>
        <w:rPr>
          <w:rFonts w:ascii="宋体" w:hAnsi="宋体" w:eastAsia="宋体"/>
          <w:b/>
          <w:sz w:val="32"/>
          <w:szCs w:val="32"/>
        </w:rPr>
      </w:pPr>
      <w:r>
        <w:rPr>
          <w:rFonts w:hint="eastAsia" w:ascii="宋体" w:hAnsi="宋体" w:eastAsia="宋体"/>
          <w:b/>
          <w:sz w:val="32"/>
          <w:szCs w:val="32"/>
        </w:rPr>
        <w:t>无重大违法记录声明书</w:t>
      </w:r>
    </w:p>
    <w:p>
      <w:pPr>
        <w:pStyle w:val="45"/>
        <w:spacing w:line="360" w:lineRule="auto"/>
        <w:rPr>
          <w:rFonts w:ascii="宋体" w:hAnsi="宋体" w:eastAsia="宋体"/>
          <w:spacing w:val="6"/>
          <w:sz w:val="24"/>
        </w:rPr>
      </w:pPr>
      <w:r>
        <w:rPr>
          <w:rFonts w:hint="eastAsia" w:ascii="宋体" w:hAnsi="宋体" w:eastAsia="宋体"/>
          <w:sz w:val="24"/>
          <w:u w:val="single"/>
        </w:rPr>
        <w:t>（采购人名称）</w:t>
      </w:r>
      <w:r>
        <w:rPr>
          <w:rFonts w:hint="eastAsia" w:ascii="宋体" w:hAnsi="宋体" w:eastAsia="宋体"/>
          <w:spacing w:val="6"/>
          <w:sz w:val="24"/>
        </w:rPr>
        <w:t>：</w:t>
      </w:r>
    </w:p>
    <w:p>
      <w:pPr>
        <w:pStyle w:val="45"/>
        <w:spacing w:line="360" w:lineRule="auto"/>
        <w:ind w:firstLine="504" w:firstLineChars="200"/>
        <w:rPr>
          <w:rFonts w:ascii="宋体" w:hAnsi="宋体" w:eastAsia="宋体"/>
          <w:spacing w:val="6"/>
          <w:sz w:val="24"/>
        </w:rPr>
      </w:pPr>
      <w:r>
        <w:rPr>
          <w:rFonts w:hint="eastAsia" w:ascii="宋体" w:hAnsi="宋体" w:eastAsia="宋体"/>
          <w:spacing w:val="6"/>
          <w:sz w:val="24"/>
        </w:rPr>
        <w:t xml:space="preserve"> 我方参与的</w:t>
      </w:r>
      <w:r>
        <w:rPr>
          <w:rFonts w:hint="eastAsia" w:ascii="宋体" w:hAnsi="宋体" w:eastAsia="宋体"/>
          <w:spacing w:val="6"/>
          <w:sz w:val="24"/>
          <w:u w:val="single"/>
        </w:rPr>
        <w:t xml:space="preserve">     （项目名称）（项目编号）（标项）    </w:t>
      </w:r>
      <w:r>
        <w:rPr>
          <w:rFonts w:hint="eastAsia" w:ascii="宋体" w:hAnsi="宋体" w:eastAsia="宋体"/>
          <w:spacing w:val="6"/>
          <w:sz w:val="24"/>
        </w:rPr>
        <w:t>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45"/>
        <w:spacing w:line="360" w:lineRule="auto"/>
        <w:ind w:firstLine="504" w:firstLineChars="200"/>
        <w:rPr>
          <w:rFonts w:ascii="宋体" w:hAnsi="宋体" w:eastAsia="宋体"/>
          <w:spacing w:val="6"/>
          <w:sz w:val="24"/>
        </w:rPr>
      </w:pPr>
      <w:r>
        <w:rPr>
          <w:rFonts w:hint="eastAsia" w:ascii="宋体" w:hAnsi="宋体" w:eastAsia="宋体"/>
          <w:spacing w:val="6"/>
          <w:sz w:val="24"/>
        </w:rPr>
        <w:tab/>
      </w:r>
      <w:r>
        <w:rPr>
          <w:rFonts w:hint="eastAsia" w:ascii="宋体" w:hAnsi="宋体" w:eastAsia="宋体"/>
          <w:spacing w:val="6"/>
          <w:sz w:val="24"/>
        </w:rPr>
        <w:t>特此声明。</w:t>
      </w:r>
    </w:p>
    <w:p>
      <w:pPr>
        <w:pStyle w:val="45"/>
        <w:spacing w:line="360" w:lineRule="auto"/>
        <w:ind w:firstLine="504" w:firstLineChars="200"/>
        <w:rPr>
          <w:rFonts w:ascii="宋体" w:hAnsi="宋体" w:eastAsia="宋体"/>
          <w:spacing w:val="6"/>
          <w:sz w:val="24"/>
        </w:rPr>
      </w:pPr>
    </w:p>
    <w:p>
      <w:pPr>
        <w:pStyle w:val="45"/>
        <w:spacing w:line="360" w:lineRule="auto"/>
        <w:ind w:firstLine="504" w:firstLineChars="200"/>
        <w:rPr>
          <w:rFonts w:ascii="宋体" w:hAnsi="宋体" w:eastAsia="宋体"/>
          <w:spacing w:val="6"/>
          <w:sz w:val="24"/>
        </w:rPr>
      </w:pPr>
    </w:p>
    <w:p>
      <w:pPr>
        <w:snapToGrid w:val="0"/>
        <w:spacing w:line="360" w:lineRule="auto"/>
        <w:jc w:val="left"/>
        <w:rPr>
          <w:rFonts w:ascii="宋体" w:hAnsi="宋体"/>
          <w:spacing w:val="20"/>
          <w:sz w:val="24"/>
        </w:rPr>
      </w:pPr>
      <w:r>
        <w:rPr>
          <w:rFonts w:hint="eastAsia" w:ascii="宋体" w:hAnsi="宋体"/>
          <w:spacing w:val="20"/>
          <w:sz w:val="24"/>
        </w:rPr>
        <w:t>投标人全称</w:t>
      </w:r>
      <w:r>
        <w:rPr>
          <w:rFonts w:hint="eastAsia" w:ascii="宋体" w:hAnsi="宋体" w:cs="宋体"/>
          <w:sz w:val="24"/>
        </w:rPr>
        <w:t>（盖公章或电子签章）</w:t>
      </w:r>
      <w:r>
        <w:rPr>
          <w:rFonts w:hint="eastAsia" w:ascii="宋体" w:hAnsi="宋体"/>
          <w:spacing w:val="20"/>
          <w:sz w:val="24"/>
        </w:rPr>
        <w:t>：</w:t>
      </w:r>
      <w:r>
        <w:rPr>
          <w:rFonts w:ascii="宋体" w:hAnsi="宋体"/>
          <w:spacing w:val="20"/>
          <w:sz w:val="24"/>
          <w:u w:val="single"/>
        </w:rPr>
        <w:t xml:space="preserve">       </w:t>
      </w:r>
      <w:r>
        <w:rPr>
          <w:rFonts w:hint="eastAsia" w:ascii="宋体" w:hAnsi="宋体"/>
          <w:spacing w:val="20"/>
          <w:sz w:val="24"/>
          <w:u w:val="single"/>
        </w:rPr>
        <w:t xml:space="preserve">     </w:t>
      </w:r>
      <w:r>
        <w:rPr>
          <w:rFonts w:ascii="宋体" w:hAnsi="宋体"/>
          <w:spacing w:val="20"/>
          <w:sz w:val="24"/>
          <w:u w:val="single"/>
        </w:rPr>
        <w:t xml:space="preserve"> </w:t>
      </w:r>
      <w:r>
        <w:rPr>
          <w:rFonts w:hint="eastAsia" w:ascii="宋体" w:hAnsi="宋体"/>
          <w:spacing w:val="20"/>
          <w:sz w:val="24"/>
          <w:u w:val="single"/>
        </w:rPr>
        <w:t xml:space="preserve">   </w:t>
      </w:r>
      <w:r>
        <w:rPr>
          <w:rFonts w:ascii="宋体" w:hAnsi="宋体"/>
          <w:spacing w:val="20"/>
          <w:sz w:val="24"/>
          <w:u w:val="single"/>
        </w:rPr>
        <w:t xml:space="preserve">    </w:t>
      </w:r>
    </w:p>
    <w:p>
      <w:pPr>
        <w:snapToGrid w:val="0"/>
        <w:spacing w:line="360" w:lineRule="auto"/>
        <w:jc w:val="left"/>
        <w:rPr>
          <w:rFonts w:ascii="宋体" w:hAnsi="宋体"/>
          <w:b/>
          <w:bCs/>
          <w:sz w:val="24"/>
        </w:rPr>
      </w:pP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r>
        <w:rPr>
          <w:rFonts w:hint="eastAsia" w:ascii="宋体" w:hAnsi="宋体"/>
          <w:spacing w:val="20"/>
          <w:sz w:val="24"/>
          <w:u w:val="single"/>
        </w:rPr>
        <w:t xml:space="preserve">                     </w:t>
      </w:r>
      <w:r>
        <w:rPr>
          <w:rFonts w:ascii="宋体" w:hAnsi="宋体"/>
          <w:spacing w:val="20"/>
          <w:sz w:val="24"/>
          <w:u w:val="single"/>
        </w:rPr>
        <w:t xml:space="preserve">   </w:t>
      </w: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ascii="宋体" w:hAnsi="宋体" w:cs="宋体"/>
          <w:b/>
          <w:sz w:val="24"/>
        </w:rPr>
      </w:pPr>
    </w:p>
    <w:p>
      <w:pPr>
        <w:snapToGrid w:val="0"/>
        <w:spacing w:before="120" w:beforeLines="50" w:after="50"/>
        <w:rPr>
          <w:rFonts w:hint="eastAsia" w:ascii="宋体" w:hAnsi="宋体" w:cs="宋体"/>
          <w:b/>
          <w:sz w:val="24"/>
        </w:rPr>
      </w:pPr>
    </w:p>
    <w:p>
      <w:pPr>
        <w:snapToGrid w:val="0"/>
        <w:spacing w:before="120" w:beforeLines="50" w:after="50"/>
        <w:rPr>
          <w:rFonts w:ascii="宋体" w:hAnsi="宋体" w:cs="宋体"/>
          <w:b/>
          <w:sz w:val="24"/>
        </w:rPr>
      </w:pPr>
      <w:r>
        <w:rPr>
          <w:rFonts w:hint="eastAsia" w:ascii="宋体" w:hAnsi="宋体" w:cs="宋体"/>
          <w:b/>
          <w:sz w:val="24"/>
        </w:rPr>
        <w:t>政府采购供应商诚信承诺书：</w:t>
      </w:r>
    </w:p>
    <w:p>
      <w:pPr>
        <w:widowControl/>
        <w:spacing w:before="100" w:beforeAutospacing="1" w:after="190"/>
        <w:ind w:firstLine="2789" w:firstLineChars="926"/>
        <w:rPr>
          <w:rFonts w:ascii="宋体" w:hAnsi="宋体" w:cs="宋体"/>
          <w:kern w:val="0"/>
          <w:sz w:val="30"/>
          <w:szCs w:val="30"/>
        </w:rPr>
      </w:pPr>
      <w:r>
        <w:rPr>
          <w:rFonts w:hint="eastAsia" w:ascii="宋体" w:hAnsi="宋体" w:cs="宋体"/>
          <w:b/>
          <w:bCs/>
          <w:kern w:val="0"/>
          <w:sz w:val="30"/>
          <w:szCs w:val="30"/>
        </w:rPr>
        <w:t>政府采购供应商诚信承诺书</w:t>
      </w:r>
    </w:p>
    <w:p>
      <w:pPr>
        <w:widowControl/>
        <w:spacing w:before="100" w:beforeAutospacing="1" w:after="190"/>
        <w:jc w:val="left"/>
        <w:rPr>
          <w:rFonts w:ascii="宋体" w:hAnsi="宋体" w:cs="宋体"/>
          <w:b/>
          <w:kern w:val="0"/>
          <w:sz w:val="24"/>
          <w:u w:val="single"/>
        </w:rPr>
      </w:pPr>
      <w:r>
        <w:rPr>
          <w:rFonts w:hint="eastAsia" w:ascii="宋体" w:hAnsi="宋体" w:cs="宋体"/>
          <w:b/>
          <w:kern w:val="0"/>
          <w:sz w:val="24"/>
          <w:u w:val="single"/>
        </w:rPr>
        <w:t>东阳耀辉工程咨询有限公司：</w:t>
      </w:r>
    </w:p>
    <w:p>
      <w:pPr>
        <w:spacing w:line="340" w:lineRule="exact"/>
        <w:ind w:firstLine="480" w:firstLineChars="200"/>
        <w:rPr>
          <w:rFonts w:ascii="宋体" w:hAnsi="宋体" w:cs="宋体"/>
          <w:sz w:val="24"/>
        </w:rPr>
      </w:pPr>
      <w:r>
        <w:rPr>
          <w:rFonts w:hint="eastAsia" w:ascii="宋体" w:hAnsi="宋体" w:cs="宋体"/>
          <w:kern w:val="0"/>
          <w:sz w:val="24"/>
        </w:rPr>
        <w:t>我公司自愿参与贵单位组织的</w:t>
      </w:r>
      <w:r>
        <w:rPr>
          <w:rFonts w:hint="eastAsia" w:ascii="宋体" w:hAnsi="宋体" w:cs="宋体"/>
          <w:b/>
          <w:kern w:val="0"/>
          <w:sz w:val="24"/>
          <w:u w:val="single"/>
        </w:rPr>
        <w:t xml:space="preserve">                   项目（招标编号：     ）</w:t>
      </w:r>
      <w:r>
        <w:rPr>
          <w:rFonts w:hint="eastAsia" w:ascii="宋体" w:hAnsi="宋体" w:cs="宋体"/>
          <w:kern w:val="0"/>
          <w:sz w:val="24"/>
        </w:rPr>
        <w:t>采购活动，严格遵守《中华人民共和国</w:t>
      </w:r>
      <w:r>
        <w:rPr>
          <w:rFonts w:hint="eastAsia" w:ascii="宋体" w:hAnsi="宋体" w:cs="宋体"/>
          <w:sz w:val="24"/>
        </w:rPr>
        <w:t>政府采购法》等相关法律法规的规定，坚守公平竞争，并无条件地遵守本次采购活动各项规定。我们郑重承诺：如果在本次招标活动中有以下情形的，愿接受政府采购监管等部门给予相关处罚并承担法律责任。</w:t>
      </w:r>
    </w:p>
    <w:p>
      <w:pPr>
        <w:spacing w:line="340" w:lineRule="exact"/>
        <w:ind w:firstLine="480" w:firstLineChars="200"/>
        <w:rPr>
          <w:rFonts w:ascii="宋体" w:hAnsi="宋体" w:cs="宋体"/>
          <w:sz w:val="24"/>
        </w:rPr>
      </w:pPr>
      <w:r>
        <w:rPr>
          <w:rFonts w:hint="eastAsia" w:ascii="宋体" w:hAnsi="宋体" w:cs="宋体"/>
          <w:sz w:val="24"/>
        </w:rPr>
        <w:t>（一）提供虚假材料谋取中标的；</w:t>
      </w:r>
    </w:p>
    <w:p>
      <w:pPr>
        <w:spacing w:line="340" w:lineRule="exact"/>
        <w:ind w:firstLine="480" w:firstLineChars="200"/>
        <w:rPr>
          <w:rFonts w:ascii="宋体" w:hAnsi="宋体" w:cs="宋体"/>
          <w:sz w:val="24"/>
        </w:rPr>
      </w:pPr>
      <w:r>
        <w:rPr>
          <w:rFonts w:hint="eastAsia" w:ascii="宋体" w:hAnsi="宋体" w:cs="宋体"/>
          <w:sz w:val="24"/>
        </w:rPr>
        <w:t>（二）采取不正当手段诋毁、排挤</w:t>
      </w:r>
      <w:r>
        <w:fldChar w:fldCharType="begin"/>
      </w:r>
      <w:r>
        <w:instrText xml:space="preserve"> HYPERLINK "http://www.oh100.com/qita/" \t "_blank" </w:instrText>
      </w:r>
      <w:r>
        <w:fldChar w:fldCharType="separate"/>
      </w:r>
      <w:r>
        <w:rPr>
          <w:rStyle w:val="26"/>
          <w:rFonts w:hint="eastAsia" w:ascii="宋体" w:hAnsi="宋体" w:cs="宋体"/>
          <w:color w:val="auto"/>
          <w:sz w:val="24"/>
        </w:rPr>
        <w:t>其他</w:t>
      </w:r>
      <w:r>
        <w:rPr>
          <w:rStyle w:val="26"/>
          <w:rFonts w:hint="eastAsia" w:ascii="宋体" w:hAnsi="宋体" w:cs="宋体"/>
          <w:color w:val="auto"/>
          <w:sz w:val="24"/>
        </w:rPr>
        <w:fldChar w:fldCharType="end"/>
      </w:r>
      <w:r>
        <w:rPr>
          <w:rFonts w:hint="eastAsia" w:ascii="宋体" w:hAnsi="宋体" w:cs="宋体"/>
          <w:sz w:val="24"/>
        </w:rPr>
        <w:t>供应商的；</w:t>
      </w:r>
    </w:p>
    <w:p>
      <w:pPr>
        <w:spacing w:line="340" w:lineRule="exact"/>
        <w:ind w:firstLine="480" w:firstLineChars="200"/>
        <w:rPr>
          <w:rFonts w:ascii="宋体" w:hAnsi="宋体" w:cs="宋体"/>
          <w:sz w:val="24"/>
        </w:rPr>
      </w:pPr>
      <w:r>
        <w:rPr>
          <w:rFonts w:hint="eastAsia" w:ascii="宋体" w:hAnsi="宋体" w:cs="宋体"/>
          <w:sz w:val="24"/>
        </w:rPr>
        <w:t>（三）与招标采购单位、其他投标人恶意串通的；</w:t>
      </w:r>
    </w:p>
    <w:p>
      <w:pPr>
        <w:spacing w:line="340" w:lineRule="exact"/>
        <w:ind w:firstLine="480" w:firstLineChars="200"/>
        <w:rPr>
          <w:rFonts w:ascii="宋体" w:hAnsi="宋体" w:cs="宋体"/>
          <w:sz w:val="24"/>
        </w:rPr>
      </w:pPr>
      <w:r>
        <w:rPr>
          <w:rFonts w:hint="eastAsia" w:ascii="宋体" w:hAnsi="宋体" w:cs="宋体"/>
          <w:sz w:val="24"/>
        </w:rPr>
        <w:t>（四）向招标采购单位行贿或提供其他不正当利益的；</w:t>
      </w:r>
    </w:p>
    <w:p>
      <w:pPr>
        <w:spacing w:line="340" w:lineRule="exact"/>
        <w:ind w:firstLine="480" w:firstLineChars="200"/>
        <w:rPr>
          <w:rFonts w:ascii="宋体" w:hAnsi="宋体" w:cs="宋体"/>
          <w:sz w:val="24"/>
        </w:rPr>
      </w:pPr>
      <w:r>
        <w:rPr>
          <w:rFonts w:hint="eastAsia" w:ascii="宋体" w:hAnsi="宋体" w:cs="宋体"/>
          <w:sz w:val="24"/>
        </w:rPr>
        <w:t>（五）在招标过程中与招标采购单位进行协商谈判、不按照招标文件和投标文件订立合同，或者与采购人另立背离合同实质性内容协议的；</w:t>
      </w:r>
    </w:p>
    <w:p>
      <w:pPr>
        <w:spacing w:line="340" w:lineRule="exact"/>
        <w:ind w:firstLine="480" w:firstLineChars="200"/>
        <w:rPr>
          <w:rFonts w:ascii="宋体" w:hAnsi="宋体" w:cs="宋体"/>
          <w:sz w:val="24"/>
        </w:rPr>
      </w:pPr>
      <w:r>
        <w:rPr>
          <w:rFonts w:hint="eastAsia" w:ascii="宋体" w:hAnsi="宋体" w:cs="宋体"/>
          <w:sz w:val="24"/>
        </w:rPr>
        <w:t>（六）开标后擅自撤销投标，影响招标继续进行的或领取招标文件后不投标导致废标的；</w:t>
      </w:r>
    </w:p>
    <w:p>
      <w:pPr>
        <w:spacing w:line="340" w:lineRule="exact"/>
        <w:ind w:firstLine="600" w:firstLineChars="250"/>
        <w:rPr>
          <w:rFonts w:ascii="宋体" w:hAnsi="宋体" w:cs="宋体"/>
          <w:sz w:val="24"/>
        </w:rPr>
      </w:pPr>
      <w:r>
        <w:rPr>
          <w:rFonts w:hint="eastAsia" w:ascii="宋体" w:hAnsi="宋体" w:cs="宋体"/>
          <w:sz w:val="24"/>
        </w:rPr>
        <w:t>（七）中标后无正当理由，在规定时间内不与采购单位签订合同的；</w:t>
      </w:r>
    </w:p>
    <w:p>
      <w:pPr>
        <w:spacing w:line="340" w:lineRule="exact"/>
        <w:ind w:firstLine="600" w:firstLineChars="250"/>
        <w:rPr>
          <w:rFonts w:ascii="宋体" w:hAnsi="宋体" w:cs="宋体"/>
          <w:sz w:val="24"/>
        </w:rPr>
      </w:pPr>
      <w:r>
        <w:rPr>
          <w:rFonts w:hint="eastAsia" w:ascii="宋体" w:hAnsi="宋体" w:cs="宋体"/>
          <w:sz w:val="24"/>
        </w:rPr>
        <w:t>（八）将中标项目转让给他人或非法分包他人的；</w:t>
      </w:r>
    </w:p>
    <w:p>
      <w:pPr>
        <w:spacing w:line="340" w:lineRule="exact"/>
        <w:ind w:firstLine="600" w:firstLineChars="250"/>
        <w:rPr>
          <w:rFonts w:ascii="宋体" w:hAnsi="宋体" w:cs="宋体"/>
          <w:sz w:val="24"/>
        </w:rPr>
      </w:pPr>
      <w:r>
        <w:rPr>
          <w:rFonts w:hint="eastAsia" w:ascii="宋体" w:hAnsi="宋体" w:cs="宋体"/>
          <w:sz w:val="24"/>
        </w:rPr>
        <w:t>（九）无正当理由，拒绝履行合同义务的；</w:t>
      </w:r>
    </w:p>
    <w:p>
      <w:pPr>
        <w:spacing w:line="340" w:lineRule="exact"/>
        <w:ind w:firstLine="600" w:firstLineChars="250"/>
        <w:rPr>
          <w:rFonts w:ascii="宋体" w:hAnsi="宋体" w:cs="宋体"/>
          <w:sz w:val="24"/>
        </w:rPr>
      </w:pPr>
      <w:r>
        <w:rPr>
          <w:rFonts w:hint="eastAsia" w:ascii="宋体" w:hAnsi="宋体" w:cs="宋体"/>
          <w:sz w:val="24"/>
        </w:rPr>
        <w:t>（十）无正当理由放弃中标（成交）项目的；</w:t>
      </w:r>
    </w:p>
    <w:p>
      <w:pPr>
        <w:spacing w:line="340" w:lineRule="exact"/>
        <w:ind w:firstLine="600" w:firstLineChars="250"/>
        <w:rPr>
          <w:rFonts w:ascii="宋体" w:hAnsi="宋体" w:cs="宋体"/>
          <w:sz w:val="24"/>
        </w:rPr>
      </w:pPr>
      <w:r>
        <w:rPr>
          <w:rFonts w:hint="eastAsia" w:ascii="宋体" w:hAnsi="宋体" w:cs="宋体"/>
          <w:sz w:val="24"/>
        </w:rPr>
        <w:t>（十一）擅自或与采购人串通或接受采购人要求，在履约合同中通过减少货物数量，更换品牌、降低配置、技术要求、质量和服务标准等，却仍按原合同进行虚假验收或终止政府采购合同的；</w:t>
      </w:r>
    </w:p>
    <w:p>
      <w:pPr>
        <w:spacing w:line="340" w:lineRule="exact"/>
        <w:ind w:firstLine="480" w:firstLineChars="200"/>
        <w:rPr>
          <w:rFonts w:ascii="宋体" w:hAnsi="宋体" w:cs="宋体"/>
          <w:sz w:val="24"/>
        </w:rPr>
      </w:pPr>
      <w:r>
        <w:rPr>
          <w:rFonts w:hint="eastAsia" w:ascii="宋体" w:hAnsi="宋体" w:cs="宋体"/>
          <w:sz w:val="24"/>
        </w:rPr>
        <w:t>（十二）与采购人串通，对尚未履约完毕的采购项目出具虚假验收报告的；</w:t>
      </w:r>
    </w:p>
    <w:p>
      <w:pPr>
        <w:spacing w:line="340" w:lineRule="exact"/>
        <w:ind w:firstLine="480" w:firstLineChars="200"/>
        <w:rPr>
          <w:rFonts w:ascii="宋体" w:hAnsi="宋体" w:cs="宋体"/>
          <w:sz w:val="24"/>
        </w:rPr>
      </w:pPr>
      <w:r>
        <w:rPr>
          <w:rFonts w:hint="eastAsia" w:ascii="宋体" w:hAnsi="宋体" w:cs="宋体"/>
          <w:sz w:val="24"/>
        </w:rPr>
        <w:t>（十三）无不可抗力因素，拒绝提供售后服务、售后服务态度恶劣、故意提高维修配件价格（高于市场平均价）的；</w:t>
      </w:r>
    </w:p>
    <w:p>
      <w:pPr>
        <w:spacing w:line="340" w:lineRule="exact"/>
        <w:ind w:firstLine="480" w:firstLineChars="200"/>
        <w:rPr>
          <w:rFonts w:ascii="宋体" w:hAnsi="宋体" w:cs="宋体"/>
          <w:sz w:val="24"/>
        </w:rPr>
      </w:pPr>
      <w:r>
        <w:rPr>
          <w:rFonts w:hint="eastAsia" w:ascii="宋体" w:hAnsi="宋体" w:cs="宋体"/>
          <w:sz w:val="24"/>
        </w:rPr>
        <w:t>（十四）开标后对招标文件的相关内容再进行质疑的；</w:t>
      </w:r>
    </w:p>
    <w:p>
      <w:pPr>
        <w:spacing w:line="340" w:lineRule="exact"/>
        <w:ind w:firstLine="480" w:firstLineChars="200"/>
        <w:rPr>
          <w:rFonts w:ascii="宋体" w:hAnsi="宋体" w:cs="宋体"/>
          <w:sz w:val="24"/>
        </w:rPr>
      </w:pPr>
      <w:r>
        <w:rPr>
          <w:rFonts w:hint="eastAsia" w:ascii="宋体" w:hAnsi="宋体" w:cs="宋体"/>
          <w:sz w:val="24"/>
        </w:rPr>
        <w:t>（十五）恶意投诉的行为：投诉经查无实据的、捏造事实或者提供虚假投诉材料的；</w:t>
      </w:r>
    </w:p>
    <w:p>
      <w:pPr>
        <w:spacing w:line="340" w:lineRule="exact"/>
        <w:ind w:firstLine="480" w:firstLineChars="200"/>
        <w:rPr>
          <w:rFonts w:ascii="宋体" w:hAnsi="宋体" w:cs="宋体"/>
          <w:sz w:val="24"/>
        </w:rPr>
      </w:pPr>
      <w:r>
        <w:rPr>
          <w:rFonts w:hint="eastAsia" w:ascii="宋体" w:hAnsi="宋体" w:cs="宋体"/>
          <w:sz w:val="24"/>
        </w:rPr>
        <w:t>（十六）拒绝有关部门监督检查或者提供虚假情况的；</w:t>
      </w:r>
    </w:p>
    <w:p>
      <w:pPr>
        <w:spacing w:line="340" w:lineRule="exact"/>
        <w:ind w:firstLine="480" w:firstLineChars="200"/>
        <w:rPr>
          <w:rFonts w:hint="eastAsia" w:ascii="宋体" w:hAnsi="宋体" w:eastAsia="宋体" w:cs="宋体"/>
          <w:sz w:val="24"/>
          <w:lang w:eastAsia="zh-CN"/>
        </w:rPr>
      </w:pPr>
      <w:r>
        <w:rPr>
          <w:rFonts w:hint="eastAsia" w:ascii="宋体" w:hAnsi="宋体" w:cs="宋体"/>
          <w:sz w:val="24"/>
        </w:rPr>
        <w:t>（十七）财政、监察部门认定的其他不诚信行为</w:t>
      </w:r>
      <w:r>
        <w:rPr>
          <w:rFonts w:hint="eastAsia" w:ascii="宋体" w:hAnsi="宋体" w:cs="宋体"/>
          <w:sz w:val="24"/>
          <w:lang w:eastAsia="zh-CN"/>
        </w:rPr>
        <w:t>；</w:t>
      </w:r>
    </w:p>
    <w:p>
      <w:pPr>
        <w:spacing w:line="340" w:lineRule="exact"/>
        <w:ind w:firstLine="480" w:firstLineChars="200"/>
        <w:rPr>
          <w:rFonts w:ascii="宋体" w:hAnsi="宋体" w:cs="宋体"/>
          <w:sz w:val="24"/>
        </w:rPr>
      </w:pPr>
      <w:r>
        <w:rPr>
          <w:rFonts w:hint="eastAsia" w:ascii="宋体" w:hAnsi="宋体" w:cs="宋体"/>
          <w:sz w:val="24"/>
        </w:rPr>
        <w:t>（十八）招标文件规定的其他不诚信行为。</w:t>
      </w:r>
    </w:p>
    <w:p>
      <w:pPr>
        <w:spacing w:line="340" w:lineRule="exact"/>
        <w:ind w:firstLine="5760" w:firstLineChars="2400"/>
        <w:rPr>
          <w:rFonts w:ascii="宋体" w:hAnsi="宋体" w:cs="宋体"/>
          <w:sz w:val="24"/>
        </w:rPr>
      </w:pP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2"/>
        <w:spacing w:line="240" w:lineRule="auto"/>
        <w:ind w:firstLine="0" w:firstLineChars="0"/>
        <w:rPr>
          <w:rFonts w:hAnsi="宋体" w:cs="宋体"/>
          <w:b/>
          <w:sz w:val="24"/>
          <w:szCs w:val="24"/>
        </w:rPr>
      </w:pPr>
    </w:p>
    <w:p>
      <w:pPr>
        <w:pStyle w:val="2"/>
        <w:spacing w:line="240" w:lineRule="auto"/>
        <w:ind w:firstLine="0" w:firstLineChars="0"/>
        <w:rPr>
          <w:rFonts w:hAnsi="宋体" w:cs="宋体"/>
          <w:b/>
          <w:sz w:val="24"/>
          <w:szCs w:val="24"/>
        </w:rPr>
      </w:pPr>
    </w:p>
    <w:p>
      <w:pPr>
        <w:pStyle w:val="2"/>
        <w:spacing w:line="240" w:lineRule="auto"/>
        <w:ind w:firstLine="0" w:firstLineChars="0"/>
        <w:rPr>
          <w:rFonts w:hAnsi="宋体" w:cs="宋体"/>
          <w:b/>
          <w:sz w:val="24"/>
          <w:szCs w:val="24"/>
        </w:rPr>
      </w:pPr>
    </w:p>
    <w:p>
      <w:pPr>
        <w:pStyle w:val="2"/>
        <w:spacing w:line="240" w:lineRule="auto"/>
        <w:ind w:firstLine="0" w:firstLineChars="0"/>
        <w:rPr>
          <w:rFonts w:hAnsi="宋体" w:cs="宋体"/>
          <w:b/>
          <w:sz w:val="24"/>
          <w:szCs w:val="24"/>
        </w:rPr>
      </w:pPr>
    </w:p>
    <w:p>
      <w:pPr>
        <w:snapToGrid w:val="0"/>
        <w:spacing w:line="300" w:lineRule="exact"/>
        <w:jc w:val="left"/>
        <w:rPr>
          <w:rFonts w:ascii="宋体" w:hAnsi="宋体" w:cs="宋体"/>
          <w:sz w:val="24"/>
        </w:rPr>
      </w:pPr>
    </w:p>
    <w:p>
      <w:pPr>
        <w:rPr>
          <w:rFonts w:ascii="宋体" w:hAnsi="宋体" w:cs="宋体"/>
          <w:b/>
          <w:sz w:val="24"/>
        </w:rPr>
      </w:pPr>
    </w:p>
    <w:p>
      <w:pPr>
        <w:rPr>
          <w:rFonts w:ascii="宋体" w:hAnsi="宋体" w:cs="宋体"/>
          <w:b/>
          <w:sz w:val="24"/>
        </w:rPr>
      </w:pPr>
    </w:p>
    <w:p>
      <w:pPr>
        <w:rPr>
          <w:rFonts w:ascii="宋体" w:hAnsi="宋体" w:cs="宋体"/>
          <w:b/>
          <w:sz w:val="30"/>
          <w:szCs w:val="30"/>
        </w:rPr>
      </w:pPr>
      <w:r>
        <w:rPr>
          <w:rFonts w:hint="eastAsia" w:ascii="宋体" w:hAnsi="宋体" w:cs="宋体"/>
          <w:b/>
          <w:sz w:val="24"/>
        </w:rPr>
        <w:t>中标服务费承诺书：</w:t>
      </w:r>
    </w:p>
    <w:p>
      <w:pPr>
        <w:jc w:val="center"/>
        <w:rPr>
          <w:rFonts w:ascii="宋体" w:hAnsi="宋体" w:cs="宋体"/>
          <w:b/>
          <w:sz w:val="30"/>
          <w:szCs w:val="30"/>
        </w:rPr>
      </w:pPr>
      <w:r>
        <w:rPr>
          <w:rFonts w:hint="eastAsia" w:ascii="宋体" w:hAnsi="宋体" w:cs="宋体"/>
          <w:b/>
          <w:sz w:val="30"/>
          <w:szCs w:val="30"/>
        </w:rPr>
        <w:t>承  诺  书</w:t>
      </w:r>
    </w:p>
    <w:p>
      <w:pPr>
        <w:widowControl/>
        <w:spacing w:line="360" w:lineRule="auto"/>
        <w:jc w:val="left"/>
        <w:rPr>
          <w:rFonts w:ascii="宋体" w:hAnsi="宋体" w:cs="宋体"/>
          <w:b/>
          <w:sz w:val="28"/>
          <w:szCs w:val="28"/>
        </w:rPr>
      </w:pPr>
    </w:p>
    <w:p>
      <w:pPr>
        <w:widowControl/>
        <w:spacing w:line="360" w:lineRule="auto"/>
        <w:jc w:val="left"/>
        <w:rPr>
          <w:rFonts w:ascii="宋体" w:hAnsi="宋体" w:cs="宋体"/>
          <w:kern w:val="0"/>
          <w:sz w:val="24"/>
        </w:rPr>
      </w:pPr>
      <w:r>
        <w:rPr>
          <w:rFonts w:hint="eastAsia" w:ascii="宋体" w:hAnsi="宋体" w:cs="宋体"/>
          <w:kern w:val="0"/>
          <w:sz w:val="24"/>
          <w:u w:val="single"/>
        </w:rPr>
        <w:t>致：东阳耀辉工程咨询有限公司</w:t>
      </w:r>
    </w:p>
    <w:p>
      <w:pPr>
        <w:widowControl/>
        <w:spacing w:line="360" w:lineRule="auto"/>
        <w:ind w:firstLine="600" w:firstLineChars="250"/>
        <w:jc w:val="left"/>
        <w:rPr>
          <w:rFonts w:ascii="宋体" w:hAnsi="宋体" w:cs="宋体"/>
          <w:kern w:val="0"/>
          <w:sz w:val="24"/>
        </w:rPr>
      </w:pPr>
    </w:p>
    <w:p>
      <w:pPr>
        <w:widowControl/>
        <w:spacing w:line="360" w:lineRule="auto"/>
        <w:ind w:firstLine="600" w:firstLineChars="250"/>
        <w:jc w:val="left"/>
        <w:rPr>
          <w:rFonts w:ascii="宋体" w:hAnsi="宋体" w:cs="宋体"/>
          <w:kern w:val="0"/>
          <w:sz w:val="24"/>
        </w:rPr>
      </w:pPr>
      <w:r>
        <w:rPr>
          <w:rFonts w:hint="eastAsia" w:ascii="宋体" w:hAnsi="宋体" w:cs="宋体"/>
          <w:kern w:val="0"/>
          <w:sz w:val="24"/>
        </w:rPr>
        <w:t>若我公司中标时，愿按招标文件规定的收费标准向东阳耀辉工程咨询有限公司支付中标服务费。</w:t>
      </w:r>
    </w:p>
    <w:p>
      <w:pPr>
        <w:spacing w:line="360" w:lineRule="auto"/>
        <w:ind w:firstLine="480" w:firstLineChars="200"/>
        <w:rPr>
          <w:rFonts w:ascii="宋体" w:hAnsi="宋体" w:cs="宋体"/>
          <w:sz w:val="24"/>
        </w:rPr>
      </w:pPr>
      <w:r>
        <w:rPr>
          <w:rFonts w:hint="eastAsia" w:ascii="宋体" w:hAnsi="宋体" w:cs="宋体"/>
          <w:sz w:val="24"/>
        </w:rPr>
        <w:t>我方如未在规定时间交纳时，愿意凭贵方开出的违约通知，由采购人在本次招标项目的服务款中200%直接扣缴。</w:t>
      </w:r>
    </w:p>
    <w:p>
      <w:pPr>
        <w:spacing w:line="360" w:lineRule="auto"/>
        <w:ind w:firstLine="480" w:firstLineChars="200"/>
        <w:rPr>
          <w:rFonts w:ascii="宋体" w:hAnsi="宋体" w:cs="宋体"/>
          <w:sz w:val="24"/>
        </w:rPr>
      </w:pPr>
      <w:r>
        <w:rPr>
          <w:rFonts w:hint="eastAsia" w:ascii="宋体" w:hAnsi="宋体" w:cs="宋体"/>
          <w:sz w:val="24"/>
        </w:rPr>
        <w:t>特此承诺！</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line="360" w:lineRule="auto"/>
        <w:jc w:val="left"/>
        <w:rPr>
          <w:rFonts w:ascii="宋体" w:hAnsi="宋体"/>
          <w:spacing w:val="20"/>
          <w:sz w:val="24"/>
          <w:u w:val="single"/>
        </w:rPr>
      </w:pPr>
    </w:p>
    <w:p>
      <w:pPr>
        <w:snapToGrid w:val="0"/>
        <w:spacing w:before="50" w:after="120" w:afterLines="50"/>
        <w:rPr>
          <w:rFonts w:hint="eastAsia" w:ascii="宋体" w:hAnsi="宋体" w:eastAsia="宋体" w:cs="宋体"/>
          <w:b/>
          <w:sz w:val="24"/>
        </w:rPr>
      </w:pPr>
    </w:p>
    <w:p>
      <w:pPr>
        <w:snapToGrid w:val="0"/>
        <w:spacing w:before="50" w:after="120" w:afterLines="50"/>
        <w:jc w:val="left"/>
        <w:rPr>
          <w:rFonts w:hint="eastAsia" w:ascii="宋体" w:hAnsi="宋体" w:eastAsia="宋体" w:cs="宋体"/>
          <w:b/>
          <w:sz w:val="24"/>
        </w:rPr>
      </w:pPr>
      <w:r>
        <w:rPr>
          <w:rFonts w:hint="eastAsia" w:ascii="宋体" w:hAnsi="宋体" w:eastAsia="宋体" w:cs="宋体"/>
          <w:b/>
          <w:sz w:val="24"/>
        </w:rPr>
        <w:t>技术响应表格式:</w:t>
      </w:r>
    </w:p>
    <w:p>
      <w:pPr>
        <w:snapToGrid w:val="0"/>
        <w:spacing w:before="50" w:after="120" w:afterLines="50"/>
        <w:jc w:val="left"/>
        <w:rPr>
          <w:rFonts w:hint="eastAsia" w:ascii="宋体" w:hAnsi="宋体" w:eastAsia="宋体" w:cs="宋体"/>
          <w:b/>
          <w:sz w:val="24"/>
        </w:rPr>
      </w:pPr>
    </w:p>
    <w:p>
      <w:pPr>
        <w:snapToGrid w:val="0"/>
        <w:spacing w:before="50" w:after="120" w:afterLines="50"/>
        <w:jc w:val="center"/>
        <w:rPr>
          <w:rFonts w:hint="eastAsia" w:ascii="宋体" w:hAnsi="宋体" w:eastAsia="宋体" w:cs="宋体"/>
          <w:b/>
          <w:sz w:val="24"/>
        </w:rPr>
      </w:pPr>
    </w:p>
    <w:p>
      <w:pPr>
        <w:snapToGrid w:val="0"/>
        <w:spacing w:before="50" w:after="120" w:afterLines="50"/>
        <w:jc w:val="center"/>
        <w:rPr>
          <w:rFonts w:hint="eastAsia" w:ascii="宋体" w:hAnsi="宋体" w:eastAsia="宋体" w:cs="宋体"/>
          <w:b/>
          <w:sz w:val="24"/>
          <w:szCs w:val="20"/>
        </w:rPr>
      </w:pPr>
      <w:r>
        <w:rPr>
          <w:rFonts w:hint="eastAsia" w:ascii="宋体" w:hAnsi="宋体" w:eastAsia="宋体" w:cs="宋体"/>
          <w:b/>
          <w:sz w:val="24"/>
        </w:rPr>
        <w:t>技术响应表格式</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1855" w:type="dxa"/>
            <w:tcBorders>
              <w:bottom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内  容</w:t>
            </w:r>
          </w:p>
        </w:tc>
        <w:tc>
          <w:tcPr>
            <w:tcW w:w="1957" w:type="dxa"/>
            <w:tcBorders>
              <w:bottom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招标文件</w:t>
            </w:r>
          </w:p>
          <w:p>
            <w:pPr>
              <w:jc w:val="center"/>
              <w:rPr>
                <w:rFonts w:hint="eastAsia" w:ascii="宋体" w:hAnsi="宋体" w:eastAsia="宋体" w:cs="宋体"/>
                <w:sz w:val="24"/>
              </w:rPr>
            </w:pPr>
            <w:r>
              <w:rPr>
                <w:rFonts w:hint="eastAsia" w:ascii="宋体" w:hAnsi="宋体" w:eastAsia="宋体" w:cs="宋体"/>
                <w:sz w:val="24"/>
              </w:rPr>
              <w:t>规范要求</w:t>
            </w:r>
          </w:p>
        </w:tc>
        <w:tc>
          <w:tcPr>
            <w:tcW w:w="1620" w:type="dxa"/>
            <w:tcBorders>
              <w:bottom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投标文件</w:t>
            </w:r>
          </w:p>
          <w:p>
            <w:pPr>
              <w:jc w:val="center"/>
              <w:rPr>
                <w:rFonts w:hint="eastAsia" w:ascii="宋体" w:hAnsi="宋体" w:eastAsia="宋体" w:cs="宋体"/>
                <w:sz w:val="24"/>
              </w:rPr>
            </w:pPr>
            <w:r>
              <w:rPr>
                <w:rFonts w:hint="eastAsia" w:ascii="宋体" w:hAnsi="宋体" w:eastAsia="宋体" w:cs="宋体"/>
                <w:sz w:val="24"/>
              </w:rPr>
              <w:t>对应规范</w:t>
            </w:r>
          </w:p>
        </w:tc>
        <w:tc>
          <w:tcPr>
            <w:tcW w:w="2328" w:type="dxa"/>
            <w:tcBorders>
              <w:bottom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偏离情况</w:t>
            </w:r>
          </w:p>
          <w:p>
            <w:pPr>
              <w:jc w:val="center"/>
              <w:rPr>
                <w:rFonts w:hint="eastAsia" w:ascii="宋体" w:hAnsi="宋体" w:eastAsia="宋体" w:cs="宋体"/>
                <w:sz w:val="24"/>
              </w:rPr>
            </w:pPr>
            <w:r>
              <w:rPr>
                <w:rFonts w:hint="eastAsia" w:ascii="宋体" w:hAnsi="宋体" w:eastAsia="宋体" w:cs="宋体"/>
                <w:sz w:val="24"/>
              </w:rPr>
              <w:t>（注明正偏离、负偏离或无偏离）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jc w:val="center"/>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328" w:type="dxa"/>
            <w:noWrap w:val="0"/>
            <w:vAlign w:val="top"/>
          </w:tcPr>
          <w:p>
            <w:pPr>
              <w:spacing w:line="360" w:lineRule="auto"/>
              <w:rPr>
                <w:rFonts w:hint="eastAsia" w:ascii="宋体" w:hAnsi="宋体" w:eastAsia="宋体" w:cs="宋体"/>
                <w:sz w:val="24"/>
              </w:rPr>
            </w:pPr>
          </w:p>
        </w:tc>
      </w:tr>
    </w:tbl>
    <w:p>
      <w:pPr>
        <w:pStyle w:val="14"/>
        <w:rPr>
          <w:rFonts w:hint="eastAsia" w:ascii="宋体" w:hAnsi="宋体" w:eastAsia="宋体" w:cs="宋体"/>
          <w:color w:val="auto"/>
        </w:rPr>
      </w:pPr>
    </w:p>
    <w:p>
      <w:pPr>
        <w:pStyle w:val="14"/>
        <w:rPr>
          <w:rFonts w:hint="eastAsia" w:ascii="宋体" w:hAnsi="宋体" w:eastAsia="宋体" w:cs="宋体"/>
          <w:color w:val="auto"/>
          <w:spacing w:val="20"/>
        </w:rPr>
      </w:pPr>
      <w:r>
        <w:rPr>
          <w:rFonts w:hint="eastAsia" w:ascii="宋体" w:hAnsi="宋体" w:eastAsia="宋体" w:cs="宋体"/>
          <w:color w:val="auto"/>
        </w:rPr>
        <w:t>注：投标人应根据投标货物的性能指标、对照招标文件要求在“偏离情况”栏注明“正偏离”、“负偏离”或“无偏离”。</w:t>
      </w:r>
    </w:p>
    <w:p>
      <w:pPr>
        <w:snapToGrid w:val="0"/>
        <w:spacing w:before="50" w:after="50"/>
        <w:rPr>
          <w:rFonts w:hint="eastAsia" w:ascii="宋体" w:hAnsi="宋体" w:eastAsia="宋体" w:cs="宋体"/>
          <w:spacing w:val="20"/>
          <w:sz w:val="24"/>
        </w:rPr>
      </w:pP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before="50" w:after="120" w:afterLines="50"/>
        <w:jc w:val="left"/>
        <w:rPr>
          <w:rFonts w:hint="eastAsia" w:ascii="宋体" w:hAnsi="宋体" w:eastAsia="宋体" w:cs="宋体"/>
          <w:sz w:val="24"/>
          <w:szCs w:val="20"/>
        </w:rPr>
      </w:pPr>
    </w:p>
    <w:p>
      <w:pPr>
        <w:snapToGrid w:val="0"/>
        <w:spacing w:before="50" w:after="120" w:afterLines="50"/>
        <w:jc w:val="left"/>
        <w:rPr>
          <w:rFonts w:hint="eastAsia" w:ascii="宋体" w:hAnsi="宋体" w:eastAsia="宋体" w:cs="宋体"/>
          <w:sz w:val="24"/>
          <w:szCs w:val="20"/>
        </w:rPr>
      </w:pPr>
    </w:p>
    <w:p>
      <w:pPr>
        <w:snapToGrid w:val="0"/>
        <w:spacing w:before="50" w:after="120" w:afterLines="50"/>
        <w:jc w:val="left"/>
        <w:rPr>
          <w:rFonts w:hint="eastAsia" w:ascii="宋体" w:hAnsi="宋体" w:eastAsia="宋体" w:cs="宋体"/>
          <w:sz w:val="24"/>
          <w:szCs w:val="20"/>
        </w:rPr>
      </w:pPr>
    </w:p>
    <w:p>
      <w:pPr>
        <w:snapToGrid w:val="0"/>
        <w:spacing w:after="120" w:afterLines="50" w:line="420" w:lineRule="exact"/>
        <w:jc w:val="left"/>
        <w:rPr>
          <w:rFonts w:hint="eastAsia" w:ascii="宋体" w:hAnsi="宋体" w:eastAsia="宋体" w:cs="宋体"/>
          <w:b/>
          <w:color w:val="000000"/>
          <w:sz w:val="24"/>
        </w:rPr>
      </w:pPr>
    </w:p>
    <w:p>
      <w:pPr>
        <w:pStyle w:val="2"/>
        <w:ind w:firstLine="466"/>
        <w:rPr>
          <w:rFonts w:hint="eastAsia" w:ascii="宋体" w:hAnsi="宋体" w:eastAsia="宋体" w:cs="宋体"/>
          <w:b/>
          <w:color w:val="000000"/>
          <w:sz w:val="24"/>
        </w:rPr>
      </w:pPr>
    </w:p>
    <w:p>
      <w:pPr>
        <w:pStyle w:val="2"/>
        <w:ind w:firstLine="466"/>
        <w:rPr>
          <w:rFonts w:hint="eastAsia" w:ascii="宋体" w:hAnsi="宋体" w:eastAsia="宋体" w:cs="宋体"/>
          <w:b/>
          <w:color w:val="000000"/>
          <w:sz w:val="24"/>
        </w:rPr>
      </w:pPr>
    </w:p>
    <w:p>
      <w:pPr>
        <w:pStyle w:val="2"/>
        <w:ind w:firstLine="466"/>
        <w:rPr>
          <w:rFonts w:hint="eastAsia" w:ascii="宋体" w:hAnsi="宋体" w:eastAsia="宋体" w:cs="宋体"/>
          <w:b/>
          <w:color w:val="000000"/>
          <w:sz w:val="24"/>
        </w:rPr>
      </w:pPr>
    </w:p>
    <w:p>
      <w:pPr>
        <w:pStyle w:val="2"/>
        <w:ind w:left="0" w:leftChars="0" w:firstLine="0" w:firstLineChars="0"/>
        <w:rPr>
          <w:rFonts w:hint="eastAsia" w:ascii="宋体" w:hAnsi="宋体" w:eastAsia="宋体" w:cs="宋体"/>
          <w:b/>
          <w:color w:val="000000"/>
          <w:sz w:val="24"/>
        </w:rPr>
      </w:pPr>
    </w:p>
    <w:p>
      <w:pPr>
        <w:pStyle w:val="2"/>
        <w:ind w:firstLine="466"/>
        <w:rPr>
          <w:rFonts w:hint="eastAsia" w:ascii="宋体" w:hAnsi="宋体" w:eastAsia="宋体" w:cs="宋体"/>
          <w:b/>
          <w:color w:val="000000"/>
          <w:sz w:val="24"/>
        </w:rPr>
      </w:pPr>
    </w:p>
    <w:p>
      <w:pPr>
        <w:snapToGrid w:val="0"/>
        <w:spacing w:before="50" w:after="120" w:afterLines="50"/>
        <w:jc w:val="left"/>
        <w:rPr>
          <w:rFonts w:hint="eastAsia" w:ascii="宋体" w:hAnsi="宋体" w:cs="宋体"/>
          <w:b/>
          <w:sz w:val="24"/>
        </w:rPr>
      </w:pPr>
    </w:p>
    <w:p>
      <w:pPr>
        <w:snapToGrid w:val="0"/>
        <w:spacing w:before="50" w:after="120" w:afterLines="50"/>
        <w:jc w:val="left"/>
        <w:rPr>
          <w:rFonts w:ascii="宋体"/>
          <w:bCs/>
          <w:sz w:val="28"/>
          <w:szCs w:val="28"/>
        </w:rPr>
      </w:pPr>
      <w:r>
        <w:rPr>
          <w:rFonts w:hint="eastAsia" w:ascii="宋体" w:hAnsi="宋体" w:cs="宋体"/>
          <w:b/>
          <w:sz w:val="24"/>
        </w:rPr>
        <w:t>商务响应表：</w:t>
      </w:r>
    </w:p>
    <w:p>
      <w:pPr>
        <w:snapToGrid w:val="0"/>
        <w:spacing w:before="50" w:after="120" w:afterLines="50"/>
        <w:jc w:val="center"/>
        <w:rPr>
          <w:rFonts w:ascii="宋体"/>
          <w:b/>
          <w:sz w:val="28"/>
          <w:szCs w:val="28"/>
        </w:rPr>
      </w:pPr>
    </w:p>
    <w:p>
      <w:pPr>
        <w:snapToGrid w:val="0"/>
        <w:spacing w:before="50" w:after="120" w:afterLines="50"/>
        <w:jc w:val="center"/>
        <w:rPr>
          <w:rFonts w:hint="eastAsia" w:ascii="宋体"/>
          <w:b/>
          <w:sz w:val="28"/>
          <w:szCs w:val="28"/>
        </w:rPr>
      </w:pPr>
      <w:r>
        <w:rPr>
          <w:rFonts w:hint="eastAsia" w:ascii="宋体"/>
          <w:b/>
          <w:sz w:val="28"/>
          <w:szCs w:val="28"/>
        </w:rPr>
        <w:t>商务响应表</w:t>
      </w:r>
    </w:p>
    <w:p>
      <w:pPr>
        <w:pStyle w:val="5"/>
        <w:rPr>
          <w:rFonts w:hint="eastAsia" w:ascii="宋体" w:hAnsi="宋体" w:eastAsia="宋体" w:cs="宋体"/>
          <w:sz w:val="28"/>
          <w:szCs w:val="28"/>
        </w:rPr>
      </w:pP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18"/>
        <w:gridCol w:w="1727"/>
        <w:gridCol w:w="1959"/>
        <w:gridCol w:w="2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518" w:type="dxa"/>
            <w:tcBorders>
              <w:top w:val="single" w:color="auto" w:sz="4" w:space="0"/>
              <w:bottom w:val="single" w:color="auto" w:sz="4" w:space="0"/>
              <w:right w:val="single" w:color="auto" w:sz="4" w:space="0"/>
            </w:tcBorders>
            <w:noWrap w:val="0"/>
            <w:vAlign w:val="top"/>
          </w:tcPr>
          <w:p>
            <w:pPr>
              <w:snapToGrid w:val="0"/>
              <w:spacing w:before="120" w:beforeLines="50"/>
              <w:jc w:val="center"/>
              <w:rPr>
                <w:rFonts w:ascii="宋体"/>
                <w:sz w:val="24"/>
                <w:szCs w:val="20"/>
              </w:rPr>
            </w:pPr>
            <w:r>
              <w:rPr>
                <w:rFonts w:hint="eastAsia" w:ascii="宋体"/>
                <w:sz w:val="24"/>
              </w:rPr>
              <w:t>项目</w:t>
            </w:r>
          </w:p>
        </w:tc>
        <w:tc>
          <w:tcPr>
            <w:tcW w:w="172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sz w:val="24"/>
                <w:szCs w:val="20"/>
              </w:rPr>
            </w:pPr>
            <w:r>
              <w:rPr>
                <w:rFonts w:hint="eastAsia" w:ascii="宋体"/>
                <w:sz w:val="24"/>
              </w:rPr>
              <w:t>招标文件要求</w:t>
            </w:r>
          </w:p>
        </w:tc>
        <w:tc>
          <w:tcPr>
            <w:tcW w:w="19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sz w:val="24"/>
                <w:szCs w:val="20"/>
              </w:rPr>
            </w:pPr>
            <w:r>
              <w:rPr>
                <w:rFonts w:hint="eastAsia" w:ascii="宋体"/>
                <w:sz w:val="24"/>
              </w:rPr>
              <w:t>响应及偏离情况</w:t>
            </w:r>
          </w:p>
        </w:tc>
        <w:tc>
          <w:tcPr>
            <w:tcW w:w="2409" w:type="dxa"/>
            <w:tcBorders>
              <w:top w:val="single" w:color="auto" w:sz="4" w:space="0"/>
              <w:left w:val="single" w:color="auto" w:sz="4" w:space="0"/>
              <w:bottom w:val="single" w:color="auto" w:sz="4" w:space="0"/>
            </w:tcBorders>
            <w:noWrap w:val="0"/>
            <w:vAlign w:val="top"/>
          </w:tcPr>
          <w:p>
            <w:pPr>
              <w:snapToGrid w:val="0"/>
              <w:spacing w:before="120" w:beforeLines="50"/>
              <w:jc w:val="center"/>
              <w:rPr>
                <w:rFonts w:ascii="宋体"/>
                <w:sz w:val="24"/>
                <w:szCs w:val="20"/>
              </w:rPr>
            </w:pPr>
            <w:r>
              <w:rPr>
                <w:rFonts w:hint="eastAsia" w:asci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518" w:type="dxa"/>
            <w:tcBorders>
              <w:top w:val="single" w:color="auto" w:sz="4" w:space="0"/>
              <w:bottom w:val="single" w:color="auto" w:sz="4" w:space="0"/>
              <w:right w:val="single" w:color="auto" w:sz="4" w:space="0"/>
            </w:tcBorders>
            <w:noWrap w:val="0"/>
            <w:vAlign w:val="center"/>
          </w:tcPr>
          <w:p>
            <w:pPr>
              <w:pStyle w:val="12"/>
              <w:snapToGrid w:val="0"/>
              <w:spacing w:beforeLines="0" w:afterLines="0" w:line="240" w:lineRule="auto"/>
              <w:outlineLvl w:val="0"/>
            </w:pPr>
            <w:bookmarkStart w:id="1" w:name="_Toc408477084"/>
            <w:bookmarkStart w:id="2" w:name="_Toc414870809"/>
            <w:r>
              <w:rPr>
                <w:rFonts w:hint="eastAsia"/>
              </w:rPr>
              <w:t>一、</w:t>
            </w:r>
            <w:bookmarkEnd w:id="1"/>
            <w:bookmarkEnd w:id="2"/>
            <w:r>
              <w:rPr>
                <w:rFonts w:hint="eastAsia"/>
              </w:rPr>
              <w:t>人员配备</w:t>
            </w:r>
          </w:p>
        </w:tc>
        <w:tc>
          <w:tcPr>
            <w:tcW w:w="172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sz w:val="24"/>
              </w:rPr>
            </w:pPr>
          </w:p>
        </w:tc>
        <w:tc>
          <w:tcPr>
            <w:tcW w:w="19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b/>
                <w:sz w:val="24"/>
                <w:u w:val="single"/>
              </w:rPr>
            </w:pPr>
          </w:p>
        </w:tc>
        <w:tc>
          <w:tcPr>
            <w:tcW w:w="2409" w:type="dxa"/>
            <w:tcBorders>
              <w:top w:val="single" w:color="auto" w:sz="4" w:space="0"/>
              <w:left w:val="single" w:color="auto" w:sz="4" w:space="0"/>
              <w:bottom w:val="single" w:color="auto" w:sz="4" w:space="0"/>
            </w:tcBorders>
            <w:noWrap w:val="0"/>
            <w:vAlign w:val="top"/>
          </w:tcPr>
          <w:p>
            <w:pPr>
              <w:snapToGrid w:val="0"/>
              <w:spacing w:before="120" w:beforeLines="50"/>
              <w:rPr>
                <w:rFonts w:ascii="宋体"/>
                <w:b/>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518" w:type="dxa"/>
            <w:tcBorders>
              <w:top w:val="single" w:color="auto" w:sz="4" w:space="0"/>
              <w:bottom w:val="single" w:color="auto" w:sz="4" w:space="0"/>
              <w:right w:val="single" w:color="auto" w:sz="4" w:space="0"/>
            </w:tcBorders>
            <w:noWrap w:val="0"/>
            <w:vAlign w:val="center"/>
          </w:tcPr>
          <w:p>
            <w:pPr>
              <w:pStyle w:val="12"/>
              <w:tabs>
                <w:tab w:val="right" w:pos="2302"/>
              </w:tabs>
              <w:snapToGrid w:val="0"/>
              <w:spacing w:beforeLines="0" w:afterLines="0" w:line="240" w:lineRule="auto"/>
              <w:outlineLvl w:val="0"/>
            </w:pPr>
            <w:bookmarkStart w:id="3" w:name="_Toc414870810"/>
            <w:bookmarkStart w:id="4" w:name="_Toc408477085"/>
            <w:r>
              <w:rPr>
                <w:rFonts w:hint="eastAsia"/>
              </w:rPr>
              <w:t>二、售后服务</w:t>
            </w:r>
            <w:bookmarkEnd w:id="3"/>
            <w:bookmarkEnd w:id="4"/>
          </w:p>
        </w:tc>
        <w:tc>
          <w:tcPr>
            <w:tcW w:w="172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sz w:val="24"/>
              </w:rPr>
            </w:pPr>
          </w:p>
        </w:tc>
        <w:tc>
          <w:tcPr>
            <w:tcW w:w="19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b/>
                <w:sz w:val="24"/>
                <w:u w:val="single"/>
              </w:rPr>
            </w:pPr>
          </w:p>
        </w:tc>
        <w:tc>
          <w:tcPr>
            <w:tcW w:w="2409" w:type="dxa"/>
            <w:tcBorders>
              <w:top w:val="single" w:color="auto" w:sz="4" w:space="0"/>
              <w:left w:val="single" w:color="auto" w:sz="4" w:space="0"/>
              <w:bottom w:val="single" w:color="auto" w:sz="4" w:space="0"/>
            </w:tcBorders>
            <w:noWrap w:val="0"/>
            <w:vAlign w:val="top"/>
          </w:tcPr>
          <w:p>
            <w:pPr>
              <w:snapToGrid w:val="0"/>
              <w:spacing w:before="120" w:beforeLines="50"/>
              <w:rPr>
                <w:rFonts w:ascii="宋体"/>
                <w:b/>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518" w:type="dxa"/>
            <w:tcBorders>
              <w:top w:val="single" w:color="auto" w:sz="4" w:space="0"/>
              <w:bottom w:val="single" w:color="auto" w:sz="4" w:space="0"/>
              <w:right w:val="single" w:color="auto" w:sz="4" w:space="0"/>
            </w:tcBorders>
            <w:noWrap w:val="0"/>
            <w:vAlign w:val="center"/>
          </w:tcPr>
          <w:p>
            <w:pPr>
              <w:pStyle w:val="12"/>
              <w:snapToGrid w:val="0"/>
              <w:spacing w:beforeLines="0" w:afterLines="0" w:line="240" w:lineRule="auto"/>
              <w:outlineLvl w:val="0"/>
            </w:pPr>
            <w:bookmarkStart w:id="5" w:name="_Toc414870811"/>
            <w:bookmarkStart w:id="6" w:name="_Toc408477086"/>
            <w:r>
              <w:rPr>
                <w:rFonts w:hint="eastAsia"/>
              </w:rPr>
              <w:t>三、</w:t>
            </w:r>
            <w:bookmarkEnd w:id="5"/>
            <w:bookmarkEnd w:id="6"/>
            <w:r>
              <w:rPr>
                <w:rFonts w:hint="eastAsia"/>
              </w:rPr>
              <w:t>服务期限</w:t>
            </w:r>
          </w:p>
        </w:tc>
        <w:tc>
          <w:tcPr>
            <w:tcW w:w="172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sz w:val="24"/>
              </w:rPr>
            </w:pPr>
          </w:p>
        </w:tc>
        <w:tc>
          <w:tcPr>
            <w:tcW w:w="19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b/>
                <w:sz w:val="24"/>
                <w:u w:val="single"/>
              </w:rPr>
            </w:pPr>
          </w:p>
        </w:tc>
        <w:tc>
          <w:tcPr>
            <w:tcW w:w="2409" w:type="dxa"/>
            <w:tcBorders>
              <w:top w:val="single" w:color="auto" w:sz="4" w:space="0"/>
              <w:left w:val="single" w:color="auto" w:sz="4" w:space="0"/>
              <w:bottom w:val="single" w:color="auto" w:sz="4" w:space="0"/>
            </w:tcBorders>
            <w:noWrap w:val="0"/>
            <w:vAlign w:val="top"/>
          </w:tcPr>
          <w:p>
            <w:pPr>
              <w:snapToGrid w:val="0"/>
              <w:spacing w:before="120" w:beforeLines="50"/>
              <w:rPr>
                <w:rFonts w:ascii="宋体"/>
                <w:b/>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518" w:type="dxa"/>
            <w:tcBorders>
              <w:top w:val="single" w:color="auto" w:sz="4" w:space="0"/>
              <w:bottom w:val="single" w:color="auto" w:sz="4" w:space="0"/>
              <w:right w:val="single" w:color="auto" w:sz="4" w:space="0"/>
            </w:tcBorders>
            <w:noWrap w:val="0"/>
            <w:vAlign w:val="center"/>
          </w:tcPr>
          <w:p>
            <w:pPr>
              <w:pStyle w:val="12"/>
              <w:snapToGrid w:val="0"/>
              <w:spacing w:beforeLines="0" w:afterLines="0" w:line="240" w:lineRule="auto"/>
              <w:outlineLvl w:val="0"/>
            </w:pPr>
            <w:bookmarkStart w:id="7" w:name="_Toc414870812"/>
            <w:bookmarkStart w:id="8" w:name="_Toc408477087"/>
            <w:r>
              <w:rPr>
                <w:rFonts w:hint="eastAsia"/>
              </w:rPr>
              <w:t>四、</w:t>
            </w:r>
            <w:bookmarkEnd w:id="7"/>
            <w:bookmarkEnd w:id="8"/>
            <w:r>
              <w:rPr>
                <w:rFonts w:hint="eastAsia"/>
              </w:rPr>
              <w:t>付款方式</w:t>
            </w:r>
          </w:p>
        </w:tc>
        <w:tc>
          <w:tcPr>
            <w:tcW w:w="172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sz w:val="24"/>
              </w:rPr>
            </w:pPr>
          </w:p>
        </w:tc>
        <w:tc>
          <w:tcPr>
            <w:tcW w:w="19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b/>
                <w:sz w:val="24"/>
                <w:u w:val="single"/>
              </w:rPr>
            </w:pPr>
          </w:p>
        </w:tc>
        <w:tc>
          <w:tcPr>
            <w:tcW w:w="2409" w:type="dxa"/>
            <w:tcBorders>
              <w:top w:val="single" w:color="auto" w:sz="4" w:space="0"/>
              <w:left w:val="single" w:color="auto" w:sz="4" w:space="0"/>
              <w:bottom w:val="single" w:color="auto" w:sz="4" w:space="0"/>
            </w:tcBorders>
            <w:noWrap w:val="0"/>
            <w:vAlign w:val="top"/>
          </w:tcPr>
          <w:p>
            <w:pPr>
              <w:snapToGrid w:val="0"/>
              <w:spacing w:before="120" w:beforeLines="50"/>
              <w:rPr>
                <w:rFonts w:ascii="宋体"/>
                <w:b/>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518" w:type="dxa"/>
            <w:tcBorders>
              <w:top w:val="single" w:color="auto" w:sz="4" w:space="0"/>
              <w:bottom w:val="single" w:color="auto" w:sz="4" w:space="0"/>
              <w:right w:val="single" w:color="auto" w:sz="4" w:space="0"/>
            </w:tcBorders>
            <w:noWrap w:val="0"/>
            <w:vAlign w:val="center"/>
          </w:tcPr>
          <w:p>
            <w:pPr>
              <w:pStyle w:val="12"/>
              <w:snapToGrid w:val="0"/>
              <w:spacing w:beforeLines="0" w:afterLines="0" w:line="240" w:lineRule="auto"/>
              <w:outlineLvl w:val="0"/>
            </w:pPr>
          </w:p>
        </w:tc>
        <w:tc>
          <w:tcPr>
            <w:tcW w:w="172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sz w:val="24"/>
              </w:rPr>
            </w:pPr>
          </w:p>
        </w:tc>
        <w:tc>
          <w:tcPr>
            <w:tcW w:w="19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b/>
                <w:sz w:val="24"/>
                <w:u w:val="single"/>
              </w:rPr>
            </w:pPr>
          </w:p>
        </w:tc>
        <w:tc>
          <w:tcPr>
            <w:tcW w:w="2409" w:type="dxa"/>
            <w:tcBorders>
              <w:top w:val="single" w:color="auto" w:sz="4" w:space="0"/>
              <w:left w:val="single" w:color="auto" w:sz="4" w:space="0"/>
              <w:bottom w:val="single" w:color="auto" w:sz="4" w:space="0"/>
            </w:tcBorders>
            <w:noWrap w:val="0"/>
            <w:vAlign w:val="top"/>
          </w:tcPr>
          <w:p>
            <w:pPr>
              <w:snapToGrid w:val="0"/>
              <w:spacing w:before="120" w:beforeLines="50"/>
              <w:rPr>
                <w:rFonts w:ascii="宋体"/>
                <w:b/>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518" w:type="dxa"/>
            <w:tcBorders>
              <w:top w:val="single" w:color="auto" w:sz="4" w:space="0"/>
              <w:bottom w:val="single" w:color="auto" w:sz="4" w:space="0"/>
              <w:right w:val="single" w:color="auto" w:sz="4" w:space="0"/>
            </w:tcBorders>
            <w:noWrap w:val="0"/>
            <w:vAlign w:val="center"/>
          </w:tcPr>
          <w:p>
            <w:pPr>
              <w:pStyle w:val="12"/>
              <w:snapToGrid w:val="0"/>
              <w:spacing w:beforeLines="0" w:afterLines="0" w:line="240" w:lineRule="auto"/>
              <w:outlineLvl w:val="0"/>
            </w:pPr>
            <w:bookmarkStart w:id="9" w:name="_Toc414870816"/>
            <w:r>
              <w:rPr>
                <w:rFonts w:hint="eastAsia"/>
              </w:rPr>
              <w:t>……</w:t>
            </w:r>
            <w:bookmarkEnd w:id="9"/>
          </w:p>
        </w:tc>
        <w:tc>
          <w:tcPr>
            <w:tcW w:w="172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sz w:val="24"/>
              </w:rPr>
            </w:pPr>
          </w:p>
        </w:tc>
        <w:tc>
          <w:tcPr>
            <w:tcW w:w="19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b/>
                <w:sz w:val="24"/>
                <w:u w:val="single"/>
              </w:rPr>
            </w:pPr>
          </w:p>
        </w:tc>
        <w:tc>
          <w:tcPr>
            <w:tcW w:w="2409" w:type="dxa"/>
            <w:tcBorders>
              <w:top w:val="single" w:color="auto" w:sz="4" w:space="0"/>
              <w:left w:val="single" w:color="auto" w:sz="4" w:space="0"/>
              <w:bottom w:val="single" w:color="auto" w:sz="4" w:space="0"/>
            </w:tcBorders>
            <w:noWrap w:val="0"/>
            <w:vAlign w:val="top"/>
          </w:tcPr>
          <w:p>
            <w:pPr>
              <w:snapToGrid w:val="0"/>
              <w:spacing w:before="120" w:beforeLines="50"/>
              <w:rPr>
                <w:rFonts w:ascii="宋体"/>
                <w:b/>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518" w:type="dxa"/>
            <w:tcBorders>
              <w:top w:val="single" w:color="auto" w:sz="4" w:space="0"/>
              <w:bottom w:val="single" w:color="auto" w:sz="4" w:space="0"/>
              <w:right w:val="single" w:color="auto" w:sz="4" w:space="0"/>
            </w:tcBorders>
            <w:noWrap w:val="0"/>
            <w:vAlign w:val="center"/>
          </w:tcPr>
          <w:p>
            <w:pPr>
              <w:pStyle w:val="12"/>
              <w:snapToGrid w:val="0"/>
              <w:spacing w:beforeLines="0" w:afterLines="0" w:line="240" w:lineRule="auto"/>
              <w:outlineLvl w:val="0"/>
            </w:pPr>
            <w:bookmarkStart w:id="10" w:name="_Toc408477092"/>
            <w:bookmarkStart w:id="11" w:name="_Toc414870817"/>
            <w:r>
              <w:rPr>
                <w:rFonts w:hint="eastAsia"/>
              </w:rPr>
              <w:t>……</w:t>
            </w:r>
            <w:bookmarkEnd w:id="10"/>
            <w:bookmarkEnd w:id="11"/>
          </w:p>
        </w:tc>
        <w:tc>
          <w:tcPr>
            <w:tcW w:w="172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sz w:val="24"/>
              </w:rPr>
            </w:pPr>
          </w:p>
        </w:tc>
        <w:tc>
          <w:tcPr>
            <w:tcW w:w="19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b/>
                <w:sz w:val="24"/>
                <w:u w:val="single"/>
              </w:rPr>
            </w:pPr>
          </w:p>
        </w:tc>
        <w:tc>
          <w:tcPr>
            <w:tcW w:w="2409" w:type="dxa"/>
            <w:tcBorders>
              <w:top w:val="single" w:color="auto" w:sz="4" w:space="0"/>
              <w:left w:val="single" w:color="auto" w:sz="4" w:space="0"/>
              <w:bottom w:val="single" w:color="auto" w:sz="4" w:space="0"/>
            </w:tcBorders>
            <w:noWrap w:val="0"/>
            <w:vAlign w:val="top"/>
          </w:tcPr>
          <w:p>
            <w:pPr>
              <w:snapToGrid w:val="0"/>
              <w:spacing w:before="120" w:beforeLines="50"/>
              <w:rPr>
                <w:rFonts w:ascii="宋体"/>
                <w:b/>
                <w:sz w:val="24"/>
                <w:u w:val="single"/>
              </w:rPr>
            </w:pPr>
          </w:p>
        </w:tc>
      </w:tr>
    </w:tbl>
    <w:p>
      <w:pPr>
        <w:snapToGrid w:val="0"/>
        <w:spacing w:before="120" w:beforeLines="50"/>
        <w:rPr>
          <w:rFonts w:ascii="宋体"/>
          <w:sz w:val="24"/>
          <w:szCs w:val="20"/>
        </w:rPr>
      </w:pPr>
    </w:p>
    <w:p>
      <w:pPr>
        <w:pStyle w:val="9"/>
        <w:snapToGrid w:val="0"/>
        <w:rPr>
          <w:rFonts w:ascii="宋体" w:hAnsi="宋体" w:eastAsia="宋体" w:cs="宋体"/>
          <w:sz w:val="24"/>
        </w:rPr>
      </w:pPr>
    </w:p>
    <w:p>
      <w:pPr>
        <w:pStyle w:val="9"/>
        <w:snapToGrid w:val="0"/>
        <w:rPr>
          <w:rFonts w:ascii="宋体" w:hAnsi="宋体" w:eastAsia="宋体" w:cs="宋体"/>
          <w:sz w:val="24"/>
        </w:rPr>
      </w:pP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before="50" w:after="120" w:afterLines="50"/>
        <w:jc w:val="left"/>
        <w:rPr>
          <w:rFonts w:hint="eastAsia" w:ascii="宋体" w:hAnsi="宋体" w:eastAsia="宋体" w:cs="宋体"/>
          <w:b/>
          <w:sz w:val="24"/>
        </w:rPr>
      </w:pPr>
    </w:p>
    <w:p>
      <w:pPr>
        <w:snapToGrid w:val="0"/>
        <w:spacing w:before="50" w:after="120" w:afterLines="50"/>
        <w:jc w:val="left"/>
        <w:rPr>
          <w:rFonts w:hint="eastAsia" w:ascii="宋体" w:hAnsi="宋体" w:eastAsia="宋体" w:cs="宋体"/>
          <w:b/>
          <w:sz w:val="24"/>
        </w:rPr>
      </w:pPr>
    </w:p>
    <w:p>
      <w:pPr>
        <w:snapToGrid w:val="0"/>
        <w:spacing w:before="50" w:after="120" w:afterLines="50"/>
        <w:jc w:val="left"/>
        <w:rPr>
          <w:rFonts w:hint="eastAsia" w:ascii="宋体" w:hAnsi="宋体" w:eastAsia="宋体" w:cs="宋体"/>
          <w:b/>
          <w:sz w:val="24"/>
        </w:rPr>
      </w:pPr>
    </w:p>
    <w:p>
      <w:pPr>
        <w:snapToGrid w:val="0"/>
        <w:spacing w:before="50" w:after="120" w:afterLines="50"/>
        <w:jc w:val="left"/>
        <w:rPr>
          <w:rFonts w:hint="eastAsia" w:ascii="宋体" w:hAnsi="宋体" w:eastAsia="宋体" w:cs="宋体"/>
          <w:b/>
          <w:sz w:val="24"/>
        </w:rPr>
      </w:pPr>
    </w:p>
    <w:p>
      <w:pPr>
        <w:snapToGrid w:val="0"/>
        <w:spacing w:before="50" w:after="120" w:afterLines="50"/>
        <w:jc w:val="left"/>
        <w:rPr>
          <w:rFonts w:hint="eastAsia" w:ascii="宋体" w:hAnsi="宋体" w:eastAsia="宋体" w:cs="宋体"/>
          <w:b/>
          <w:sz w:val="24"/>
        </w:rPr>
      </w:pPr>
    </w:p>
    <w:p>
      <w:pPr>
        <w:snapToGrid w:val="0"/>
        <w:spacing w:before="50" w:after="120" w:afterLines="50"/>
        <w:jc w:val="left"/>
        <w:rPr>
          <w:rFonts w:hint="eastAsia" w:ascii="宋体" w:hAnsi="宋体" w:eastAsia="宋体" w:cs="宋体"/>
          <w:b/>
          <w:sz w:val="24"/>
        </w:rPr>
      </w:pPr>
    </w:p>
    <w:p>
      <w:pPr>
        <w:snapToGrid w:val="0"/>
        <w:spacing w:before="50" w:after="120" w:afterLines="50"/>
        <w:jc w:val="left"/>
        <w:rPr>
          <w:rFonts w:hint="eastAsia" w:ascii="宋体" w:hAnsi="宋体" w:eastAsia="宋体" w:cs="宋体"/>
          <w:b/>
          <w:sz w:val="24"/>
        </w:rPr>
      </w:pPr>
    </w:p>
    <w:p>
      <w:pPr>
        <w:snapToGrid w:val="0"/>
        <w:spacing w:before="50" w:after="120" w:afterLines="50"/>
        <w:jc w:val="left"/>
        <w:rPr>
          <w:rFonts w:hint="eastAsia" w:ascii="宋体" w:hAnsi="宋体" w:eastAsia="宋体" w:cs="宋体"/>
          <w:b/>
          <w:sz w:val="24"/>
        </w:rPr>
      </w:pPr>
    </w:p>
    <w:p>
      <w:pPr>
        <w:pStyle w:val="2"/>
        <w:ind w:firstLine="466"/>
        <w:rPr>
          <w:rFonts w:hint="eastAsia"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r>
        <w:rPr>
          <w:rFonts w:hint="eastAsia" w:ascii="宋体" w:hAnsi="宋体" w:cs="宋体"/>
          <w:b/>
          <w:color w:val="auto"/>
          <w:sz w:val="24"/>
          <w:highlight w:val="none"/>
        </w:rPr>
        <w:t>同类业绩一览表：</w:t>
      </w:r>
    </w:p>
    <w:p>
      <w:pPr>
        <w:snapToGrid w:val="0"/>
        <w:spacing w:before="50" w:after="120" w:afterLines="50"/>
        <w:jc w:val="center"/>
        <w:rPr>
          <w:rFonts w:hint="eastAsia" w:ascii="宋体" w:hAnsi="宋体" w:cs="宋体"/>
          <w:b/>
          <w:color w:val="auto"/>
          <w:sz w:val="30"/>
          <w:szCs w:val="30"/>
          <w:highlight w:val="none"/>
        </w:rPr>
      </w:pPr>
    </w:p>
    <w:p>
      <w:pPr>
        <w:snapToGrid w:val="0"/>
        <w:spacing w:before="50" w:after="120" w:afterLines="50"/>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同类业绩一览表</w:t>
      </w:r>
    </w:p>
    <w:p>
      <w:pPr>
        <w:snapToGrid w:val="0"/>
        <w:spacing w:before="50" w:after="120" w:afterLines="50"/>
        <w:jc w:val="left"/>
        <w:rPr>
          <w:rFonts w:hint="eastAsia"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color w:val="auto"/>
          <w:sz w:val="24"/>
          <w:highlight w:val="none"/>
        </w:rPr>
        <w:t>招标编号：</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tbl>
      <w:tblPr>
        <w:tblStyle w:val="23"/>
        <w:tblW w:w="0" w:type="auto"/>
        <w:tblInd w:w="0" w:type="dxa"/>
        <w:tblLayout w:type="fixed"/>
        <w:tblCellMar>
          <w:top w:w="0" w:type="dxa"/>
          <w:left w:w="108" w:type="dxa"/>
          <w:bottom w:w="0" w:type="dxa"/>
          <w:right w:w="108" w:type="dxa"/>
        </w:tblCellMar>
      </w:tblPr>
      <w:tblGrid>
        <w:gridCol w:w="1741"/>
        <w:gridCol w:w="1797"/>
        <w:gridCol w:w="1825"/>
        <w:gridCol w:w="1614"/>
        <w:gridCol w:w="1438"/>
        <w:gridCol w:w="1437"/>
      </w:tblGrid>
      <w:tr>
        <w:tblPrEx>
          <w:tblCellMar>
            <w:top w:w="0" w:type="dxa"/>
            <w:left w:w="108" w:type="dxa"/>
            <w:bottom w:w="0" w:type="dxa"/>
            <w:right w:w="108" w:type="dxa"/>
          </w:tblCellMar>
        </w:tblPrEx>
        <w:trPr>
          <w:trHeight w:val="1431"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r>
              <w:rPr>
                <w:rFonts w:hint="eastAsia" w:ascii="宋体" w:hAnsi="宋体" w:cs="宋体"/>
                <w:color w:val="auto"/>
                <w:sz w:val="24"/>
                <w:highlight w:val="none"/>
              </w:rPr>
              <w:t>采购单位</w:t>
            </w:r>
          </w:p>
          <w:p>
            <w:pPr>
              <w:adjustRightInd w:val="0"/>
              <w:snapToGrid w:val="0"/>
              <w:spacing w:before="50" w:after="120" w:afterLines="50"/>
              <w:jc w:val="center"/>
              <w:rPr>
                <w:rFonts w:hint="eastAsia" w:ascii="宋体" w:hAnsi="宋体" w:cs="宋体"/>
                <w:color w:val="auto"/>
                <w:sz w:val="24"/>
                <w:highlight w:val="none"/>
              </w:rPr>
            </w:pPr>
            <w:r>
              <w:rPr>
                <w:rFonts w:hint="eastAsia" w:ascii="宋体" w:hAnsi="宋体" w:cs="宋体"/>
                <w:color w:val="auto"/>
                <w:sz w:val="24"/>
                <w:highlight w:val="none"/>
              </w:rPr>
              <w:t>名称</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r>
              <w:rPr>
                <w:rFonts w:hint="eastAsia" w:ascii="宋体" w:hAnsi="宋体" w:cs="宋体"/>
                <w:color w:val="auto"/>
                <w:sz w:val="24"/>
                <w:highlight w:val="none"/>
              </w:rPr>
              <w:t>项目名称</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r>
              <w:rPr>
                <w:rFonts w:hint="eastAsia" w:ascii="宋体" w:hAnsi="宋体" w:cs="宋体"/>
                <w:color w:val="auto"/>
                <w:sz w:val="24"/>
                <w:highlight w:val="none"/>
              </w:rPr>
              <w:t>合同金额</w:t>
            </w:r>
          </w:p>
          <w:p>
            <w:pPr>
              <w:adjustRightInd w:val="0"/>
              <w:snapToGrid w:val="0"/>
              <w:spacing w:before="50" w:after="120" w:afterLines="50"/>
              <w:jc w:val="center"/>
              <w:rPr>
                <w:rFonts w:hint="eastAsia" w:ascii="宋体" w:hAnsi="宋体" w:cs="宋体"/>
                <w:color w:val="auto"/>
                <w:sz w:val="24"/>
                <w:highlight w:val="none"/>
              </w:rPr>
            </w:pPr>
            <w:r>
              <w:rPr>
                <w:rFonts w:hint="eastAsia" w:ascii="宋体" w:hAnsi="宋体" w:cs="宋体"/>
                <w:color w:val="auto"/>
                <w:sz w:val="24"/>
                <w:highlight w:val="none"/>
              </w:rPr>
              <w:t>（万元）</w:t>
            </w:r>
          </w:p>
        </w:tc>
        <w:tc>
          <w:tcPr>
            <w:tcW w:w="1614" w:type="dxa"/>
            <w:tcBorders>
              <w:top w:val="single" w:color="auto" w:sz="4" w:space="0"/>
              <w:left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r>
              <w:rPr>
                <w:rFonts w:hint="eastAsia" w:ascii="宋体" w:hAnsi="宋体" w:cs="宋体"/>
                <w:color w:val="auto"/>
                <w:sz w:val="24"/>
                <w:highlight w:val="none"/>
              </w:rPr>
              <w:t>合同日期</w:t>
            </w:r>
          </w:p>
        </w:tc>
        <w:tc>
          <w:tcPr>
            <w:tcW w:w="1438" w:type="dxa"/>
            <w:tcBorders>
              <w:top w:val="single" w:color="auto" w:sz="4" w:space="0"/>
              <w:left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r>
              <w:rPr>
                <w:rFonts w:hint="eastAsia" w:ascii="宋体" w:hAnsi="宋体" w:cs="宋体"/>
                <w:color w:val="auto"/>
                <w:sz w:val="24"/>
                <w:highlight w:val="none"/>
              </w:rPr>
              <w:t>采购单位联系人及联系电话</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r>
              <w:rPr>
                <w:rFonts w:hint="eastAsia" w:ascii="宋体" w:hAnsi="宋体" w:cs="宋体"/>
                <w:color w:val="auto"/>
                <w:sz w:val="24"/>
                <w:highlight w:val="none"/>
              </w:rPr>
              <w:t>附件页码</w:t>
            </w:r>
          </w:p>
        </w:tc>
      </w:tr>
      <w:tr>
        <w:tblPrEx>
          <w:tblCellMar>
            <w:top w:w="0" w:type="dxa"/>
            <w:left w:w="108" w:type="dxa"/>
            <w:bottom w:w="0" w:type="dxa"/>
            <w:right w:w="108" w:type="dxa"/>
          </w:tblCellMar>
        </w:tblPrEx>
        <w:trPr>
          <w:trHeight w:val="77"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77"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77"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77"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77"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77"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77"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77"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77"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77"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77" w:hRule="atLeast"/>
        </w:trPr>
        <w:tc>
          <w:tcPr>
            <w:tcW w:w="1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50" w:after="120" w:afterLines="50"/>
              <w:jc w:val="center"/>
              <w:rPr>
                <w:rFonts w:hint="eastAsia" w:ascii="宋体" w:hAnsi="宋体" w:cs="宋体"/>
                <w:color w:val="auto"/>
                <w:sz w:val="24"/>
                <w:highlight w:val="none"/>
              </w:rPr>
            </w:pPr>
          </w:p>
        </w:tc>
      </w:tr>
    </w:tbl>
    <w:p>
      <w:pPr>
        <w:snapToGrid w:val="0"/>
        <w:spacing w:before="50" w:after="120" w:afterLines="50"/>
        <w:jc w:val="left"/>
        <w:rPr>
          <w:rFonts w:hint="eastAsia" w:ascii="宋体" w:hAnsi="宋体" w:cs="宋体"/>
          <w:b/>
          <w:bCs/>
          <w:color w:val="auto"/>
          <w:sz w:val="24"/>
          <w:highlight w:val="none"/>
        </w:rPr>
      </w:pPr>
      <w:r>
        <w:rPr>
          <w:rFonts w:hint="eastAsia" w:ascii="宋体" w:hAnsi="宋体" w:cs="宋体"/>
          <w:b/>
          <w:bCs/>
          <w:color w:val="auto"/>
          <w:sz w:val="24"/>
          <w:highlight w:val="none"/>
        </w:rPr>
        <w:t>注：需提供相关合同复印件，原件备查。</w:t>
      </w:r>
    </w:p>
    <w:p>
      <w:pPr>
        <w:snapToGrid w:val="0"/>
        <w:spacing w:before="50" w:after="120" w:afterLines="50"/>
        <w:jc w:val="left"/>
        <w:rPr>
          <w:rFonts w:hint="eastAsia" w:ascii="宋体" w:hAnsi="宋体" w:cs="宋体"/>
          <w:color w:val="auto"/>
          <w:sz w:val="28"/>
          <w:szCs w:val="28"/>
          <w:highlight w:val="none"/>
        </w:rPr>
      </w:pP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before="120" w:beforeLines="50" w:after="50"/>
        <w:ind w:firstLine="720" w:firstLineChars="300"/>
        <w:rPr>
          <w:rFonts w:hint="eastAsia" w:ascii="宋体" w:hAnsi="宋体" w:cs="宋体"/>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snapToGrid w:val="0"/>
        <w:spacing w:line="360" w:lineRule="auto"/>
        <w:ind w:firstLine="482" w:firstLineChars="200"/>
        <w:jc w:val="center"/>
        <w:rPr>
          <w:rFonts w:hint="eastAsia" w:ascii="宋体" w:hAnsi="宋体" w:cs="宋体"/>
          <w:b/>
          <w:bCs/>
          <w:color w:val="auto"/>
          <w:sz w:val="24"/>
          <w:highlight w:val="none"/>
        </w:rPr>
      </w:pPr>
    </w:p>
    <w:p>
      <w:pPr>
        <w:snapToGrid w:val="0"/>
        <w:spacing w:line="360" w:lineRule="auto"/>
        <w:ind w:firstLine="482" w:firstLineChars="200"/>
        <w:jc w:val="center"/>
        <w:rPr>
          <w:rFonts w:hint="eastAsia" w:ascii="宋体" w:hAnsi="宋体" w:cs="宋体"/>
          <w:b/>
          <w:bCs/>
          <w:color w:val="auto"/>
          <w:sz w:val="24"/>
          <w:highlight w:val="none"/>
        </w:rPr>
      </w:pPr>
    </w:p>
    <w:p>
      <w:pPr>
        <w:pStyle w:val="6"/>
        <w:keepNext w:val="0"/>
        <w:keepLines w:val="0"/>
        <w:pageBreakBefore/>
        <w:spacing w:line="415" w:lineRule="auto"/>
        <w:rPr>
          <w:rFonts w:hint="default" w:ascii="宋体" w:hAnsi="宋体" w:eastAsia="宋体" w:cs="宋体"/>
          <w:b/>
          <w:bCs w:val="0"/>
          <w:color w:val="auto"/>
          <w:kern w:val="2"/>
          <w:sz w:val="24"/>
          <w:szCs w:val="24"/>
          <w:highlight w:val="none"/>
          <w:lang w:val="en-US" w:eastAsia="zh-CN" w:bidi="ar-SA"/>
        </w:rPr>
      </w:pPr>
      <w:r>
        <w:rPr>
          <w:rFonts w:hint="eastAsia" w:ascii="宋体" w:hAnsi="宋体" w:eastAsia="宋体" w:cs="宋体"/>
          <w:b/>
          <w:bCs w:val="0"/>
          <w:color w:val="auto"/>
          <w:kern w:val="2"/>
          <w:sz w:val="24"/>
          <w:szCs w:val="24"/>
          <w:highlight w:val="none"/>
          <w:lang w:val="en-US" w:eastAsia="zh-CN" w:bidi="ar-SA"/>
        </w:rPr>
        <w:t>项目实施人员一览表:</w:t>
      </w:r>
    </w:p>
    <w:p>
      <w:pPr>
        <w:snapToGrid w:val="0"/>
        <w:spacing w:line="360" w:lineRule="auto"/>
        <w:jc w:val="center"/>
        <w:rPr>
          <w:rFonts w:hint="eastAsia"/>
          <w:color w:val="auto"/>
          <w:highlight w:val="none"/>
        </w:rPr>
      </w:pPr>
    </w:p>
    <w:p>
      <w:pPr>
        <w:snapToGrid w:val="0"/>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项目实施人员一览表</w:t>
      </w:r>
    </w:p>
    <w:p>
      <w:pPr>
        <w:snapToGrid w:val="0"/>
        <w:spacing w:line="360" w:lineRule="auto"/>
        <w:rPr>
          <w:rFonts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招标编号：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tbl>
      <w:tblPr>
        <w:tblStyle w:val="23"/>
        <w:tblW w:w="933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0"/>
        <w:gridCol w:w="1149"/>
        <w:gridCol w:w="1904"/>
        <w:gridCol w:w="1442"/>
        <w:gridCol w:w="36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11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24"/>
                <w:highlight w:val="none"/>
              </w:rPr>
            </w:pPr>
            <w:r>
              <w:rPr>
                <w:rFonts w:hint="eastAsia" w:ascii="宋体" w:hAnsi="宋体"/>
                <w:color w:val="auto"/>
                <w:sz w:val="24"/>
                <w:highlight w:val="none"/>
              </w:rPr>
              <w:t>姓名</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24"/>
                <w:highlight w:val="none"/>
              </w:rPr>
            </w:pPr>
            <w:r>
              <w:rPr>
                <w:rFonts w:hint="eastAsia" w:ascii="宋体" w:hAnsi="宋体"/>
                <w:color w:val="auto"/>
                <w:sz w:val="24"/>
                <w:highlight w:val="none"/>
              </w:rPr>
              <w:t>职务</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24"/>
                <w:highlight w:val="none"/>
              </w:rPr>
            </w:pPr>
            <w:r>
              <w:rPr>
                <w:rFonts w:hint="eastAsia" w:ascii="宋体" w:hAnsi="宋体"/>
                <w:color w:val="auto"/>
                <w:sz w:val="24"/>
                <w:highlight w:val="none"/>
              </w:rPr>
              <w:t>专业技术资格</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24"/>
                <w:highlight w:val="none"/>
              </w:rPr>
            </w:pPr>
            <w:r>
              <w:rPr>
                <w:rFonts w:hint="eastAsia" w:ascii="宋体" w:hAnsi="宋体"/>
                <w:color w:val="auto"/>
                <w:sz w:val="24"/>
                <w:highlight w:val="none"/>
              </w:rPr>
              <w:t>证书编号</w:t>
            </w:r>
          </w:p>
        </w:tc>
        <w:tc>
          <w:tcPr>
            <w:tcW w:w="36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Cs/>
                <w:color w:val="auto"/>
                <w:sz w:val="24"/>
                <w:highlight w:val="none"/>
              </w:rPr>
            </w:pPr>
            <w:r>
              <w:rPr>
                <w:rFonts w:hint="eastAsia" w:ascii="宋体" w:hAnsi="宋体"/>
                <w:bCs/>
                <w:color w:val="auto"/>
                <w:sz w:val="24"/>
                <w:highlight w:val="none"/>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368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368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5250" w:leftChars="2500"/>
              <w:rPr>
                <w:rFonts w:ascii="宋体" w:hAnsi="宋体" w:eastAsia="楷体_GB2312"/>
                <w:color w:val="auto"/>
                <w:sz w:val="24"/>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368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368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368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368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368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368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c>
          <w:tcPr>
            <w:tcW w:w="368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 w:val="24"/>
                <w:highlight w:val="none"/>
              </w:rPr>
            </w:pPr>
          </w:p>
        </w:tc>
      </w:tr>
    </w:tbl>
    <w:p>
      <w:pPr>
        <w:snapToGrid w:val="0"/>
        <w:spacing w:line="360" w:lineRule="auto"/>
        <w:rPr>
          <w:rFonts w:hint="eastAsia" w:ascii="宋体" w:hAnsi="宋体"/>
          <w:color w:val="auto"/>
          <w:sz w:val="24"/>
          <w:highlight w:val="none"/>
        </w:rPr>
      </w:pPr>
      <w:r>
        <w:rPr>
          <w:rFonts w:hint="eastAsia" w:ascii="宋体" w:hAnsi="宋体"/>
          <w:color w:val="auto"/>
          <w:sz w:val="24"/>
          <w:highlight w:val="none"/>
        </w:rPr>
        <w:t>注：此表后</w:t>
      </w:r>
      <w:r>
        <w:rPr>
          <w:rFonts w:hint="eastAsia" w:ascii="宋体" w:hAnsi="宋体"/>
          <w:color w:val="auto"/>
          <w:sz w:val="24"/>
          <w:highlight w:val="none"/>
          <w:lang w:eastAsia="zh-CN"/>
        </w:rPr>
        <w:t>附</w:t>
      </w:r>
      <w:r>
        <w:rPr>
          <w:rFonts w:hint="eastAsia" w:ascii="宋体" w:hAnsi="宋体"/>
          <w:color w:val="auto"/>
          <w:sz w:val="24"/>
          <w:highlight w:val="none"/>
        </w:rPr>
        <w:t>项目实施人员资格证书</w:t>
      </w:r>
      <w:r>
        <w:rPr>
          <w:rFonts w:hint="eastAsia" w:ascii="宋体" w:hAnsi="宋体"/>
          <w:color w:val="auto"/>
          <w:sz w:val="24"/>
          <w:highlight w:val="none"/>
          <w:lang w:eastAsia="zh-CN"/>
        </w:rPr>
        <w:t>等相关资料</w:t>
      </w:r>
      <w:r>
        <w:rPr>
          <w:rFonts w:hint="eastAsia" w:ascii="宋体" w:hAnsi="宋体"/>
          <w:color w:val="auto"/>
          <w:sz w:val="24"/>
          <w:highlight w:val="none"/>
        </w:rPr>
        <w:t>复印件。</w:t>
      </w:r>
    </w:p>
    <w:p>
      <w:pPr>
        <w:snapToGrid w:val="0"/>
        <w:spacing w:line="360" w:lineRule="auto"/>
        <w:rPr>
          <w:rFonts w:hint="eastAsia" w:ascii="宋体" w:hAnsi="宋体"/>
          <w:color w:val="auto"/>
          <w:sz w:val="24"/>
          <w:highlight w:val="none"/>
        </w:rPr>
      </w:pPr>
    </w:p>
    <w:p>
      <w:pPr>
        <w:snapToGrid w:val="0"/>
        <w:spacing w:line="360" w:lineRule="auto"/>
        <w:rPr>
          <w:rFonts w:hint="eastAsia" w:ascii="宋体" w:hAnsi="宋体"/>
          <w:color w:val="auto"/>
          <w:sz w:val="24"/>
          <w:highlight w:val="none"/>
        </w:rPr>
      </w:pP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2"/>
        <w:tabs>
          <w:tab w:val="left" w:pos="0"/>
          <w:tab w:val="left" w:pos="993"/>
          <w:tab w:val="left" w:pos="1134"/>
        </w:tabs>
        <w:rPr>
          <w:rFonts w:hint="eastAsia" w:hAnsi="宋体"/>
          <w:color w:val="auto"/>
          <w:sz w:val="24"/>
          <w:highlight w:val="none"/>
          <w:lang w:val="zh-CN"/>
        </w:rPr>
      </w:pPr>
    </w:p>
    <w:p>
      <w:pPr>
        <w:pStyle w:val="2"/>
        <w:tabs>
          <w:tab w:val="left" w:pos="0"/>
          <w:tab w:val="left" w:pos="993"/>
          <w:tab w:val="left" w:pos="1134"/>
        </w:tabs>
        <w:rPr>
          <w:rFonts w:hint="eastAsia" w:hAnsi="宋体"/>
          <w:color w:val="auto"/>
          <w:sz w:val="24"/>
          <w:highlight w:val="none"/>
          <w:lang w:val="zh-CN"/>
        </w:rPr>
      </w:pPr>
    </w:p>
    <w:p>
      <w:pPr>
        <w:snapToGrid w:val="0"/>
        <w:spacing w:line="360" w:lineRule="auto"/>
        <w:ind w:firstLine="482" w:firstLineChars="200"/>
        <w:jc w:val="center"/>
        <w:rPr>
          <w:rFonts w:hint="eastAsia" w:ascii="宋体" w:hAnsi="宋体" w:cs="宋体"/>
          <w:b/>
          <w:bCs/>
          <w:color w:val="auto"/>
          <w:sz w:val="24"/>
          <w:highlight w:val="none"/>
        </w:rPr>
      </w:pPr>
    </w:p>
    <w:p>
      <w:pPr>
        <w:pStyle w:val="6"/>
        <w:keepNext w:val="0"/>
        <w:keepLines w:val="0"/>
        <w:pageBreakBefore/>
        <w:spacing w:line="276" w:lineRule="auto"/>
        <w:rPr>
          <w:rFonts w:hint="eastAsia" w:ascii="宋体" w:hAnsi="宋体" w:eastAsia="宋体" w:cs="宋体"/>
          <w:b/>
          <w:bCs w:val="0"/>
          <w:color w:val="auto"/>
          <w:kern w:val="2"/>
          <w:sz w:val="28"/>
          <w:szCs w:val="28"/>
          <w:highlight w:val="none"/>
          <w:lang w:val="en-US" w:eastAsia="zh-CN" w:bidi="ar-SA"/>
        </w:rPr>
      </w:pPr>
      <w:bookmarkStart w:id="12" w:name="_Toc7495"/>
      <w:r>
        <w:rPr>
          <w:rFonts w:hint="eastAsia" w:ascii="宋体" w:hAnsi="宋体" w:eastAsia="宋体" w:cs="宋体"/>
          <w:b/>
          <w:bCs w:val="0"/>
          <w:color w:val="auto"/>
          <w:sz w:val="24"/>
          <w:szCs w:val="24"/>
          <w:highlight w:val="none"/>
          <w:lang w:val="en-US" w:eastAsia="zh-CN"/>
        </w:rPr>
        <w:t xml:space="preserve"> </w:t>
      </w:r>
      <w:r>
        <w:rPr>
          <w:rFonts w:hint="eastAsia" w:ascii="宋体" w:hAnsi="宋体" w:eastAsia="宋体" w:cs="宋体"/>
          <w:b/>
          <w:bCs w:val="0"/>
          <w:color w:val="auto"/>
          <w:kern w:val="2"/>
          <w:sz w:val="24"/>
          <w:szCs w:val="24"/>
          <w:highlight w:val="none"/>
          <w:lang w:val="en-US" w:eastAsia="zh-CN" w:bidi="ar-SA"/>
        </w:rPr>
        <w:t>联合体协议书（联合体投标时提供）</w:t>
      </w:r>
      <w:bookmarkEnd w:id="12"/>
      <w:r>
        <w:rPr>
          <w:rFonts w:hint="eastAsia" w:ascii="宋体" w:hAnsi="宋体" w:eastAsia="宋体" w:cs="宋体"/>
          <w:b/>
          <w:bCs w:val="0"/>
          <w:color w:val="auto"/>
          <w:kern w:val="2"/>
          <w:sz w:val="24"/>
          <w:szCs w:val="24"/>
          <w:highlight w:val="none"/>
          <w:lang w:val="en-US" w:eastAsia="zh-CN" w:bidi="ar-SA"/>
        </w:rPr>
        <w:t>：</w:t>
      </w:r>
    </w:p>
    <w:p>
      <w:pPr>
        <w:pStyle w:val="18"/>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联合体协议书（联合体投标时提供）</w:t>
      </w:r>
    </w:p>
    <w:p>
      <w:pPr>
        <w:rPr>
          <w:rFonts w:ascii="宋体" w:hAnsi="宋体" w:cs="宋体"/>
          <w:color w:val="auto"/>
          <w:kern w:val="1"/>
          <w:highlight w:val="none"/>
        </w:rPr>
      </w:pP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（所有成员单位名称）</w:t>
      </w:r>
      <w:r>
        <w:rPr>
          <w:rFonts w:hint="eastAsia" w:ascii="宋体" w:hAnsi="宋体" w:eastAsia="宋体" w:cs="宋体"/>
          <w:color w:val="auto"/>
          <w:sz w:val="24"/>
          <w:szCs w:val="24"/>
          <w:highlight w:val="none"/>
        </w:rPr>
        <w:t>自愿组成联合体，共同参加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（项目名称）</w:t>
      </w:r>
      <w:r>
        <w:rPr>
          <w:rFonts w:hint="eastAsia" w:ascii="宋体" w:hAnsi="宋体" w:eastAsia="宋体" w:cs="宋体"/>
          <w:color w:val="auto"/>
          <w:sz w:val="24"/>
          <w:szCs w:val="24"/>
          <w:highlight w:val="none"/>
        </w:rPr>
        <w:t>投标。现就联合体投标事宜订立如下协议。</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（某成员单位名称）</w:t>
      </w:r>
      <w:r>
        <w:rPr>
          <w:rFonts w:hint="eastAsia" w:ascii="宋体" w:hAnsi="宋体" w:eastAsia="宋体" w:cs="宋体"/>
          <w:color w:val="auto"/>
          <w:sz w:val="24"/>
          <w:szCs w:val="24"/>
          <w:highlight w:val="none"/>
        </w:rPr>
        <w:t>为牵头人。</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联合体牵头人合法代表联合体各成员负责本招标项目投标文件编制和合同谈判活动，代表联合体提交和接收相关的资料、信息及指示，处理与招标投标活动（包括投诉及处理）有关的一切事务，并负责合同实施阶段的主办、组织和协调工作。</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3.联合体将严格按照招标文件的各项要求，递交投标文件，履行合同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如果中标并签订合同，则联合投标各方将共同履行对招标方和采购人所负有的全部义务并就采购合同约定的事项对采购人承担连带责任。</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4.联合体牵头人应在取得联合体各成员同意后，代表联合体签署投标文件，联合体牵头人的所有承诺均认为代表了联合体各成员。</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5.联合体各成员单位内部的职责分工如下： （牵头人名称）承担</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（成员一名称）承担</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6.依据联合体内部分工安排，联合体收益按照</w:t>
      </w:r>
      <w:r>
        <w:rPr>
          <w:rFonts w:hint="eastAsia" w:ascii="宋体" w:hAnsi="宋体" w:eastAsia="宋体" w:cs="宋体"/>
          <w:color w:val="auto"/>
          <w:sz w:val="24"/>
          <w:szCs w:val="24"/>
          <w:highlight w:val="none"/>
          <w:u w:val="single"/>
        </w:rPr>
        <w:t>（牵头人名称）</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（成员名称）</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%分配。投标工作和联合体在中标后工程实施过程中的有关费用按各自承担的工作量分摊。</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、本协议提交招标方后，联合投标各方不得以任何形式对上述实质内容进行修改或撤销。</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.本协议书自签署之日起生效，合同履行完毕后自动失效。</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.本协议书一式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份，联合体成员和招标人各执一份。</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牵头人名称：                                  （盖单位章）</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（签字）</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成员一名称：                                  （盖单位章） </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（签字）</w:t>
      </w:r>
    </w:p>
    <w:p>
      <w:pPr>
        <w:snapToGrid w:val="0"/>
        <w:spacing w:before="120" w:beforeLines="50" w:after="50" w:line="276" w:lineRule="auto"/>
        <w:ind w:firstLine="720" w:firstLineChars="300"/>
        <w:rPr>
          <w:rFonts w:hint="eastAsia" w:ascii="宋体" w:hAnsi="宋体" w:eastAsia="宋体" w:cs="宋体"/>
          <w:color w:val="auto"/>
          <w:sz w:val="24"/>
          <w:szCs w:val="24"/>
          <w:highlight w:val="none"/>
        </w:rPr>
      </w:pPr>
    </w:p>
    <w:p>
      <w:pPr>
        <w:snapToGrid w:val="0"/>
        <w:spacing w:before="120" w:beforeLines="50" w:after="50" w:line="276" w:lineRule="auto"/>
        <w:ind w:firstLine="720" w:firstLineChars="300"/>
        <w:rPr>
          <w:rFonts w:hint="eastAsia"/>
          <w:color w:val="auto"/>
          <w:highlight w:val="none"/>
        </w:rPr>
      </w:pPr>
      <w:bookmarkStart w:id="13" w:name="_Toc533947637"/>
      <w:r>
        <w:rPr>
          <w:rFonts w:hint="eastAsia" w:ascii="宋体" w:hAnsi="宋体" w:eastAsia="宋体" w:cs="宋体"/>
          <w:color w:val="auto"/>
          <w:sz w:val="24"/>
          <w:szCs w:val="24"/>
          <w:highlight w:val="none"/>
        </w:rPr>
        <w:t>年    月    日</w:t>
      </w:r>
      <w:bookmarkEnd w:id="13"/>
    </w:p>
    <w:p>
      <w:pPr>
        <w:pStyle w:val="6"/>
        <w:keepNext w:val="0"/>
        <w:keepLines w:val="0"/>
        <w:pageBreakBefore/>
        <w:spacing w:line="276" w:lineRule="auto"/>
        <w:rPr>
          <w:rFonts w:hint="eastAsia" w:ascii="宋体" w:hAnsi="宋体" w:eastAsia="宋体" w:cs="宋体"/>
          <w:b w:val="0"/>
          <w:bCs/>
          <w:color w:val="auto"/>
          <w:kern w:val="2"/>
          <w:sz w:val="28"/>
          <w:szCs w:val="28"/>
          <w:highlight w:val="none"/>
          <w:lang w:val="en-US" w:eastAsia="zh-CN" w:bidi="ar-SA"/>
        </w:rPr>
      </w:pPr>
      <w:bookmarkStart w:id="14" w:name="_Toc15059"/>
      <w:r>
        <w:rPr>
          <w:rFonts w:hint="eastAsia" w:ascii="宋体" w:hAnsi="宋体" w:eastAsia="宋体" w:cs="宋体"/>
          <w:b/>
          <w:bCs w:val="0"/>
          <w:color w:val="auto"/>
          <w:sz w:val="24"/>
          <w:szCs w:val="24"/>
          <w:highlight w:val="none"/>
          <w:lang w:val="en-US" w:eastAsia="zh-CN"/>
        </w:rPr>
        <w:t xml:space="preserve"> </w:t>
      </w:r>
      <w:r>
        <w:rPr>
          <w:rFonts w:hint="eastAsia" w:ascii="宋体" w:hAnsi="宋体" w:eastAsia="宋体" w:cs="宋体"/>
          <w:b/>
          <w:bCs w:val="0"/>
          <w:color w:val="auto"/>
          <w:kern w:val="2"/>
          <w:sz w:val="24"/>
          <w:szCs w:val="24"/>
          <w:highlight w:val="none"/>
          <w:lang w:val="en-US" w:eastAsia="zh-CN" w:bidi="ar-SA"/>
        </w:rPr>
        <w:t>分包意向协议</w:t>
      </w:r>
      <w:bookmarkEnd w:id="14"/>
      <w:r>
        <w:rPr>
          <w:rFonts w:hint="eastAsia" w:ascii="宋体" w:hAnsi="宋体" w:eastAsia="宋体" w:cs="宋体"/>
          <w:b/>
          <w:bCs w:val="0"/>
          <w:color w:val="auto"/>
          <w:kern w:val="2"/>
          <w:sz w:val="24"/>
          <w:szCs w:val="24"/>
          <w:highlight w:val="none"/>
          <w:lang w:val="en-US" w:eastAsia="zh-CN" w:bidi="ar-SA"/>
        </w:rPr>
        <w:t>：</w:t>
      </w:r>
    </w:p>
    <w:p>
      <w:pPr>
        <w:snapToGrid w:val="0"/>
        <w:spacing w:line="360" w:lineRule="auto"/>
        <w:ind w:firstLine="3855" w:firstLineChars="12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snapToGrid w:val="0"/>
        <w:spacing w:line="360" w:lineRule="auto"/>
        <w:ind w:firstLine="576"/>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r>
        <w:rPr>
          <w:rFonts w:hint="eastAsia" w:ascii="宋体" w:hAnsi="宋体" w:eastAsia="宋体" w:cs="宋体"/>
          <w:color w:val="auto"/>
          <w:highlight w:val="none"/>
          <w:u w:val="single"/>
        </w:rPr>
        <w:t xml:space="preserve">                                                                              </w:t>
      </w:r>
    </w:p>
    <w:p>
      <w:pPr>
        <w:snapToGrid w:val="0"/>
        <w:spacing w:line="360" w:lineRule="auto"/>
        <w:rPr>
          <w:rFonts w:hint="eastAsia" w:ascii="宋体" w:hAnsi="宋体" w:eastAsia="宋体" w:cs="宋体"/>
          <w:color w:val="auto"/>
          <w:kern w:val="0"/>
          <w:sz w:val="24"/>
          <w:highlight w:val="none"/>
          <w:lang w:val="zh-CN"/>
        </w:rPr>
      </w:pP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分包合同</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zh-CN"/>
        </w:rPr>
        <w:t>合同金额达到</w:t>
      </w:r>
      <w:r>
        <w:rPr>
          <w:rFonts w:hint="eastAsia" w:ascii="宋体" w:hAnsi="宋体" w:eastAsia="宋体" w:cs="宋体"/>
          <w:color w:val="auto"/>
          <w:kern w:val="0"/>
          <w:sz w:val="24"/>
          <w:highlight w:val="none"/>
          <w:u w:val="single"/>
          <w:lang w:val="zh-CN"/>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zh-CN"/>
        </w:rPr>
        <w:t xml:space="preserve"> % 。                                                </w:t>
      </w:r>
    </w:p>
    <w:p>
      <w:pPr>
        <w:snapToGrid w:val="0"/>
        <w:spacing w:line="360" w:lineRule="auto"/>
        <w:ind w:firstLine="5760" w:firstLineChars="2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投标人名称(签名)：</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r>
        <w:rPr>
          <w:rFonts w:hint="eastAsia" w:ascii="宋体" w:hAnsi="宋体" w:eastAsia="宋体" w:cs="宋体"/>
          <w:color w:val="auto"/>
          <w:kern w:val="0"/>
          <w:sz w:val="24"/>
          <w:highlight w:val="none"/>
          <w:lang w:val="zh-CN"/>
        </w:rPr>
        <w:t xml:space="preserve"> 日期：  年  月   日</w:t>
      </w:r>
    </w:p>
    <w:p>
      <w:pPr>
        <w:snapToGrid w:val="0"/>
        <w:spacing w:line="360" w:lineRule="auto"/>
        <w:jc w:val="both"/>
        <w:rPr>
          <w:rFonts w:hint="eastAsia" w:ascii="宋体" w:hAnsi="宋体" w:cs="宋体"/>
          <w:b/>
          <w:bCs/>
          <w:color w:val="auto"/>
          <w:sz w:val="24"/>
          <w:highlight w:val="none"/>
        </w:rPr>
      </w:pPr>
    </w:p>
    <w:p>
      <w:pPr>
        <w:snapToGrid w:val="0"/>
        <w:spacing w:line="360" w:lineRule="auto"/>
        <w:ind w:firstLine="482" w:firstLineChars="200"/>
        <w:jc w:val="center"/>
        <w:rPr>
          <w:rFonts w:hint="eastAsia" w:ascii="宋体" w:hAnsi="宋体" w:cs="宋体"/>
          <w:b/>
          <w:bCs/>
          <w:color w:val="auto"/>
          <w:sz w:val="24"/>
          <w:highlight w:val="none"/>
        </w:rPr>
      </w:pPr>
    </w:p>
    <w:p>
      <w:pPr>
        <w:snapToGrid w:val="0"/>
        <w:spacing w:line="360" w:lineRule="auto"/>
        <w:ind w:firstLine="482" w:firstLineChars="200"/>
        <w:jc w:val="center"/>
        <w:rPr>
          <w:rFonts w:hint="eastAsia" w:ascii="宋体" w:hAnsi="宋体" w:cs="宋体"/>
          <w:b/>
          <w:bCs/>
          <w:color w:val="auto"/>
          <w:sz w:val="24"/>
          <w:highlight w:val="none"/>
        </w:rPr>
      </w:pPr>
    </w:p>
    <w:p>
      <w:pPr>
        <w:snapToGrid w:val="0"/>
        <w:spacing w:line="360" w:lineRule="auto"/>
        <w:ind w:firstLine="482" w:firstLineChars="200"/>
        <w:jc w:val="center"/>
        <w:rPr>
          <w:rFonts w:hint="eastAsia" w:ascii="宋体" w:hAnsi="宋体" w:cs="宋体"/>
          <w:b/>
          <w:bCs/>
          <w:color w:val="auto"/>
          <w:sz w:val="24"/>
          <w:highlight w:val="none"/>
        </w:rPr>
      </w:pPr>
      <w:r>
        <w:rPr>
          <w:rFonts w:hint="eastAsia" w:ascii="宋体" w:hAnsi="宋体" w:cs="宋体"/>
          <w:b/>
          <w:bCs/>
          <w:color w:val="auto"/>
          <w:sz w:val="24"/>
          <w:highlight w:val="none"/>
        </w:rPr>
        <w:t>技术方案（格式自拟）</w:t>
      </w:r>
    </w:p>
    <w:p>
      <w:pPr>
        <w:snapToGrid w:val="0"/>
        <w:spacing w:line="360" w:lineRule="auto"/>
        <w:ind w:firstLine="480" w:firstLineChars="200"/>
        <w:jc w:val="center"/>
        <w:rPr>
          <w:rFonts w:hint="eastAsia" w:ascii="宋体" w:hAnsi="宋体" w:cs="宋体"/>
          <w:color w:val="auto"/>
          <w:sz w:val="24"/>
          <w:highlight w:val="none"/>
        </w:rPr>
      </w:pPr>
      <w:r>
        <w:rPr>
          <w:rFonts w:hint="eastAsia" w:ascii="宋体" w:hAnsi="宋体" w:cs="宋体"/>
          <w:color w:val="auto"/>
          <w:sz w:val="24"/>
          <w:highlight w:val="none"/>
        </w:rPr>
        <w:t>至少包括</w:t>
      </w:r>
      <w:r>
        <w:rPr>
          <w:rFonts w:hint="eastAsia" w:ascii="宋体" w:hAnsi="宋体" w:cs="宋体"/>
          <w:color w:val="auto"/>
          <w:sz w:val="24"/>
          <w:highlight w:val="none"/>
          <w:lang w:eastAsia="zh-CN"/>
        </w:rPr>
        <w:t>技术方案、服务</w:t>
      </w:r>
      <w:r>
        <w:rPr>
          <w:rFonts w:hint="eastAsia" w:ascii="宋体" w:hAnsi="宋体" w:cs="宋体"/>
          <w:color w:val="auto"/>
          <w:sz w:val="24"/>
          <w:highlight w:val="none"/>
        </w:rPr>
        <w:t>方案、质量保障措施、</w:t>
      </w:r>
      <w:r>
        <w:rPr>
          <w:rFonts w:hint="eastAsia" w:ascii="宋体" w:hAnsi="宋体" w:cs="宋体"/>
          <w:color w:val="auto"/>
          <w:sz w:val="24"/>
          <w:highlight w:val="none"/>
          <w:lang w:eastAsia="zh-CN"/>
        </w:rPr>
        <w:t>售后服务</w:t>
      </w:r>
      <w:r>
        <w:rPr>
          <w:rFonts w:hint="eastAsia" w:ascii="宋体" w:hAnsi="宋体" w:cs="宋体"/>
          <w:color w:val="auto"/>
          <w:sz w:val="24"/>
          <w:highlight w:val="none"/>
        </w:rPr>
        <w:t>建议等内容</w:t>
      </w:r>
    </w:p>
    <w:p>
      <w:pPr>
        <w:pStyle w:val="2"/>
        <w:ind w:firstLine="466"/>
        <w:rPr>
          <w:rFonts w:hint="eastAsia" w:hAnsi="宋体" w:cs="宋体"/>
          <w:b/>
          <w:color w:val="auto"/>
          <w:sz w:val="24"/>
          <w:highlight w:val="none"/>
        </w:rPr>
      </w:pPr>
    </w:p>
    <w:p>
      <w:pPr>
        <w:pStyle w:val="2"/>
        <w:ind w:firstLine="464"/>
        <w:rPr>
          <w:rFonts w:hint="eastAsia" w:hAnsi="宋体" w:cs="宋体"/>
          <w:color w:val="auto"/>
          <w:sz w:val="24"/>
          <w:szCs w:val="24"/>
          <w:highlight w:val="none"/>
        </w:rPr>
      </w:pPr>
    </w:p>
    <w:p>
      <w:pPr>
        <w:pStyle w:val="2"/>
        <w:ind w:firstLine="464"/>
        <w:rPr>
          <w:rFonts w:hint="eastAsia" w:hAnsi="宋体" w:cs="宋体"/>
          <w:color w:val="auto"/>
          <w:sz w:val="24"/>
          <w:szCs w:val="24"/>
          <w:highlight w:val="none"/>
        </w:rPr>
      </w:pPr>
    </w:p>
    <w:p>
      <w:pPr>
        <w:pStyle w:val="2"/>
        <w:ind w:firstLine="464"/>
        <w:rPr>
          <w:rFonts w:hint="eastAsia" w:hAnsi="宋体" w:cs="宋体"/>
          <w:color w:val="auto"/>
          <w:sz w:val="24"/>
          <w:szCs w:val="24"/>
          <w:highlight w:val="none"/>
        </w:rPr>
      </w:pPr>
    </w:p>
    <w:p>
      <w:pPr>
        <w:pStyle w:val="2"/>
        <w:ind w:firstLine="464"/>
        <w:rPr>
          <w:rFonts w:hint="eastAsia" w:hAnsi="宋体" w:cs="宋体"/>
          <w:color w:val="auto"/>
          <w:sz w:val="24"/>
          <w:szCs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left="0" w:leftChars="0" w:firstLine="0" w:firstLineChars="0"/>
        <w:rPr>
          <w:rFonts w:hint="eastAsia" w:hAnsi="宋体" w:cs="宋体"/>
          <w:b/>
          <w:color w:val="auto"/>
          <w:sz w:val="24"/>
          <w:highlight w:val="none"/>
        </w:rPr>
      </w:pPr>
    </w:p>
    <w:p>
      <w:pPr>
        <w:pStyle w:val="2"/>
        <w:ind w:firstLine="0" w:firstLineChars="0"/>
        <w:rPr>
          <w:rFonts w:hint="eastAsia" w:hAnsi="宋体" w:cs="宋体"/>
          <w:b/>
          <w:color w:val="auto"/>
          <w:sz w:val="24"/>
          <w:highlight w:val="none"/>
        </w:rPr>
      </w:pPr>
    </w:p>
    <w:p>
      <w:pPr>
        <w:snapToGrid w:val="0"/>
        <w:spacing w:after="120" w:afterLines="50" w:line="420" w:lineRule="exact"/>
        <w:jc w:val="left"/>
        <w:rPr>
          <w:rFonts w:hint="eastAsia" w:ascii="宋体" w:hAnsi="宋体" w:cs="宋体"/>
          <w:b/>
          <w:color w:val="auto"/>
          <w:sz w:val="24"/>
          <w:highlight w:val="none"/>
        </w:rPr>
      </w:pPr>
      <w:r>
        <w:rPr>
          <w:rFonts w:hint="eastAsia" w:ascii="宋体" w:hAnsi="宋体" w:cs="宋体"/>
          <w:b/>
          <w:color w:val="auto"/>
          <w:sz w:val="24"/>
          <w:highlight w:val="none"/>
        </w:rPr>
        <w:t>6.报价文件目录</w:t>
      </w:r>
    </w:p>
    <w:p>
      <w:pPr>
        <w:tabs>
          <w:tab w:val="left" w:pos="3870"/>
          <w:tab w:val="left" w:pos="4085"/>
        </w:tabs>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（1）投标函（格式见附件）；</w:t>
      </w:r>
    </w:p>
    <w:p>
      <w:pPr>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（2）开标一览表（格式见附件）；</w:t>
      </w:r>
    </w:p>
    <w:p>
      <w:pPr>
        <w:pStyle w:val="13"/>
        <w:snapToGrid w:val="0"/>
        <w:spacing w:line="360" w:lineRule="auto"/>
        <w:ind w:leftChars="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（3）</w:t>
      </w:r>
      <w:r>
        <w:rPr>
          <w:rFonts w:hint="eastAsia" w:ascii="宋体" w:hAnsi="宋体" w:eastAsia="宋体" w:cs="宋体"/>
          <w:color w:val="auto"/>
          <w:sz w:val="24"/>
          <w:szCs w:val="24"/>
          <w:highlight w:val="none"/>
        </w:rPr>
        <w:t>投标人针对报价需要说明的其他文件和说明（不允许含报价）。</w:t>
      </w: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pStyle w:val="28"/>
        <w:rPr>
          <w:rFonts w:hint="eastAsia" w:ascii="宋体" w:hAnsi="宋体" w:cs="宋体"/>
          <w:b/>
          <w:color w:val="auto"/>
          <w:sz w:val="24"/>
          <w:highlight w:val="none"/>
        </w:rPr>
      </w:pPr>
    </w:p>
    <w:p>
      <w:pPr>
        <w:pStyle w:val="28"/>
        <w:rPr>
          <w:rFonts w:hint="eastAsia" w:ascii="宋体" w:hAnsi="宋体" w:cs="宋体"/>
          <w:b/>
          <w:color w:val="auto"/>
          <w:sz w:val="24"/>
          <w:highlight w:val="none"/>
        </w:rPr>
      </w:pPr>
    </w:p>
    <w:p>
      <w:pPr>
        <w:pStyle w:val="28"/>
        <w:rPr>
          <w:rFonts w:hint="eastAsia" w:ascii="宋体" w:hAnsi="宋体" w:cs="宋体"/>
          <w:b/>
          <w:color w:val="auto"/>
          <w:sz w:val="24"/>
          <w:highlight w:val="none"/>
        </w:rPr>
      </w:pPr>
    </w:p>
    <w:p>
      <w:pPr>
        <w:pStyle w:val="28"/>
        <w:rPr>
          <w:rFonts w:hint="eastAsia" w:ascii="宋体" w:hAnsi="宋体" w:cs="宋体"/>
          <w:b/>
          <w:color w:val="auto"/>
          <w:sz w:val="24"/>
          <w:highlight w:val="none"/>
        </w:rPr>
      </w:pPr>
    </w:p>
    <w:p>
      <w:pPr>
        <w:pStyle w:val="28"/>
        <w:rPr>
          <w:rFonts w:hint="eastAsia" w:ascii="宋体" w:hAnsi="宋体" w:cs="宋体"/>
          <w:b/>
          <w:color w:val="auto"/>
          <w:sz w:val="24"/>
          <w:highlight w:val="none"/>
        </w:rPr>
      </w:pPr>
    </w:p>
    <w:p>
      <w:pPr>
        <w:pStyle w:val="28"/>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pStyle w:val="2"/>
        <w:ind w:firstLine="344"/>
        <w:rPr>
          <w:rFonts w:hint="eastAsia" w:hAnsi="宋体" w:cs="宋体"/>
          <w:color w:val="auto"/>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r>
        <w:rPr>
          <w:rFonts w:hint="eastAsia" w:ascii="宋体" w:hAnsi="宋体" w:cs="宋体"/>
          <w:b/>
          <w:color w:val="auto"/>
          <w:sz w:val="24"/>
          <w:highlight w:val="none"/>
        </w:rPr>
        <w:t>投标函格式：</w:t>
      </w:r>
    </w:p>
    <w:p>
      <w:pPr>
        <w:snapToGrid w:val="0"/>
        <w:spacing w:before="120" w:beforeLines="50" w:after="50"/>
        <w:jc w:val="center"/>
        <w:rPr>
          <w:rFonts w:hint="eastAsia" w:ascii="宋体" w:hAnsi="宋体" w:cs="宋体"/>
          <w:b/>
          <w:color w:val="auto"/>
          <w:sz w:val="24"/>
          <w:szCs w:val="20"/>
          <w:highlight w:val="none"/>
        </w:rPr>
      </w:pPr>
      <w:r>
        <w:rPr>
          <w:rFonts w:hint="eastAsia" w:ascii="宋体" w:hAnsi="宋体" w:cs="宋体"/>
          <w:b/>
          <w:color w:val="auto"/>
          <w:sz w:val="24"/>
          <w:highlight w:val="none"/>
        </w:rPr>
        <w:t>投 标 函</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致：</w:t>
      </w:r>
      <w:r>
        <w:rPr>
          <w:rFonts w:hint="eastAsia" w:ascii="宋体" w:hAnsi="宋体" w:cs="宋体"/>
          <w:color w:val="auto"/>
          <w:kern w:val="0"/>
          <w:sz w:val="24"/>
          <w:highlight w:val="none"/>
          <w:u w:val="single"/>
        </w:rPr>
        <w:t>东阳耀辉工程咨询有限公司</w:t>
      </w:r>
    </w:p>
    <w:p>
      <w:pPr>
        <w:snapToGrid w:val="0"/>
        <w:spacing w:line="360" w:lineRule="auto"/>
        <w:ind w:firstLine="480"/>
        <w:rPr>
          <w:rFonts w:hint="eastAsia" w:ascii="宋体" w:hAnsi="宋体" w:cs="宋体"/>
          <w:color w:val="auto"/>
          <w:sz w:val="24"/>
          <w:szCs w:val="20"/>
          <w:highlight w:val="none"/>
        </w:rPr>
      </w:pPr>
      <w:r>
        <w:rPr>
          <w:rFonts w:hint="eastAsia" w:ascii="宋体" w:hAnsi="宋体" w:cs="宋体"/>
          <w:color w:val="auto"/>
          <w:sz w:val="24"/>
          <w:highlight w:val="none"/>
        </w:rPr>
        <w:t>根据贵方为</w:t>
      </w:r>
      <w:r>
        <w:rPr>
          <w:rFonts w:hint="eastAsia" w:ascii="宋体" w:hAnsi="宋体" w:cs="宋体"/>
          <w:color w:val="auto"/>
          <w:sz w:val="24"/>
          <w:highlight w:val="none"/>
          <w:u w:val="single"/>
          <w:lang w:eastAsia="zh-CN"/>
        </w:rPr>
        <w:t>东阳市吴宁街道未来社区一体化方案项目</w:t>
      </w:r>
      <w:r>
        <w:rPr>
          <w:rFonts w:hint="eastAsia" w:ascii="宋体" w:hAnsi="宋体" w:cs="宋体"/>
          <w:color w:val="auto"/>
          <w:sz w:val="24"/>
          <w:highlight w:val="none"/>
        </w:rPr>
        <w:t>的招标公告（项目编号：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），签字代表______（全名）经正式授权并代表投标人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（投标人名称）提交资格审查文件、资信商务技术文件、报价文件。</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据此函，签字代表宣布同意如下：</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3.本投标有效期自开标日起 ______天。</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5.投标人同意按照贵方要求提供与投标有关的一切数据或资料。</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6.与本投标有关的一切正式往来信函请寄：</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邮编：__________   电话：____________</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传真：______________投标人代表姓名 ___________  职务：____________</w:t>
      </w: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rPr>
          <w:rFonts w:hint="eastAsia" w:ascii="宋体" w:hAnsi="宋体" w:cs="宋体"/>
          <w:color w:val="auto"/>
          <w:sz w:val="30"/>
          <w:szCs w:val="20"/>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pStyle w:val="2"/>
        <w:ind w:firstLine="466"/>
        <w:rPr>
          <w:rFonts w:hint="eastAsia" w:hAnsi="宋体" w:cs="宋体"/>
          <w:b/>
          <w:color w:val="auto"/>
          <w:sz w:val="24"/>
          <w:highlight w:val="none"/>
        </w:rPr>
      </w:pPr>
    </w:p>
    <w:p>
      <w:pPr>
        <w:snapToGrid w:val="0"/>
        <w:spacing w:before="50" w:after="120" w:afterLines="50"/>
        <w:jc w:val="left"/>
        <w:rPr>
          <w:rFonts w:hint="eastAsia" w:ascii="宋体" w:hAnsi="宋体" w:cs="宋体"/>
          <w:b/>
          <w:color w:val="auto"/>
          <w:sz w:val="24"/>
          <w:highlight w:val="none"/>
        </w:rPr>
      </w:pPr>
    </w:p>
    <w:p>
      <w:pPr>
        <w:snapToGrid w:val="0"/>
        <w:spacing w:before="50" w:after="120" w:afterLines="50"/>
        <w:jc w:val="left"/>
        <w:rPr>
          <w:rFonts w:hint="eastAsia" w:ascii="宋体" w:hAnsi="宋体" w:cs="宋体"/>
          <w:b/>
          <w:color w:val="auto"/>
          <w:sz w:val="30"/>
          <w:highlight w:val="none"/>
        </w:rPr>
      </w:pPr>
      <w:r>
        <w:rPr>
          <w:rFonts w:hint="eastAsia" w:ascii="宋体" w:hAnsi="宋体" w:cs="宋体"/>
          <w:b/>
          <w:color w:val="auto"/>
          <w:sz w:val="24"/>
          <w:highlight w:val="none"/>
        </w:rPr>
        <w:t>开标一览表</w:t>
      </w:r>
    </w:p>
    <w:p>
      <w:pPr>
        <w:snapToGrid w:val="0"/>
        <w:spacing w:before="50" w:after="50"/>
        <w:jc w:val="center"/>
        <w:rPr>
          <w:rFonts w:hint="eastAsia" w:ascii="宋体" w:hAnsi="宋体" w:cs="宋体"/>
          <w:b/>
          <w:color w:val="auto"/>
          <w:sz w:val="30"/>
          <w:szCs w:val="20"/>
          <w:highlight w:val="none"/>
        </w:rPr>
      </w:pPr>
      <w:r>
        <w:rPr>
          <w:rFonts w:hint="eastAsia" w:ascii="宋体" w:hAnsi="宋体" w:cs="宋体"/>
          <w:b/>
          <w:color w:val="auto"/>
          <w:sz w:val="30"/>
          <w:highlight w:val="none"/>
        </w:rPr>
        <w:t>开标一览表</w:t>
      </w:r>
    </w:p>
    <w:p>
      <w:pPr>
        <w:snapToGrid w:val="0"/>
        <w:spacing w:before="50" w:after="50" w:line="340" w:lineRule="exact"/>
        <w:jc w:val="left"/>
        <w:rPr>
          <w:rFonts w:hint="eastAsia" w:ascii="宋体" w:hAnsi="宋体" w:cs="宋体"/>
          <w:color w:val="auto"/>
          <w:sz w:val="24"/>
          <w:highlight w:val="none"/>
          <w:u w:val="single"/>
        </w:rPr>
      </w:pPr>
      <w:r>
        <w:rPr>
          <w:rFonts w:hint="eastAsia" w:ascii="宋体" w:hAnsi="宋体" w:cs="宋体"/>
          <w:color w:val="auto"/>
          <w:sz w:val="24"/>
          <w:highlight w:val="none"/>
        </w:rPr>
        <w:t>招标项目名称：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招标编号：</w:t>
      </w:r>
      <w:r>
        <w:rPr>
          <w:rFonts w:hint="eastAsia" w:ascii="宋体" w:hAnsi="宋体" w:cs="宋体"/>
          <w:color w:val="auto"/>
          <w:sz w:val="24"/>
          <w:highlight w:val="none"/>
          <w:u w:val="single"/>
        </w:rPr>
        <w:t xml:space="preserve">                    </w:t>
      </w:r>
    </w:p>
    <w:p>
      <w:pPr>
        <w:pStyle w:val="2"/>
        <w:ind w:firstLine="0" w:firstLineChars="0"/>
        <w:rPr>
          <w:rFonts w:hint="eastAsia" w:hAnsi="宋体" w:cs="宋体"/>
          <w:color w:val="auto"/>
          <w:sz w:val="24"/>
          <w:highlight w:val="none"/>
          <w:u w:val="single"/>
        </w:rPr>
      </w:pPr>
    </w:p>
    <w:tbl>
      <w:tblPr>
        <w:tblStyle w:val="23"/>
        <w:tblW w:w="0" w:type="auto"/>
        <w:tblInd w:w="-15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23"/>
        <w:gridCol w:w="2577"/>
        <w:gridCol w:w="2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462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b/>
                <w:sz w:val="24"/>
              </w:rPr>
            </w:pPr>
            <w:r>
              <w:rPr>
                <w:rFonts w:hint="eastAsia" w:ascii="宋体" w:hAnsi="宋体" w:cs="宋体"/>
                <w:b/>
                <w:sz w:val="24"/>
              </w:rPr>
              <w:t>采购内容</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b/>
                <w:sz w:val="24"/>
              </w:rPr>
            </w:pPr>
            <w:r>
              <w:rPr>
                <w:rFonts w:hint="eastAsia" w:ascii="宋体" w:hAnsi="宋体" w:cs="宋体"/>
                <w:b/>
                <w:sz w:val="24"/>
              </w:rPr>
              <w:t>投标</w:t>
            </w:r>
            <w:r>
              <w:rPr>
                <w:rFonts w:hint="eastAsia" w:ascii="宋体" w:hAnsi="宋体" w:cs="宋体"/>
                <w:b/>
                <w:sz w:val="24"/>
                <w:lang w:eastAsia="zh-CN"/>
              </w:rPr>
              <w:t>单价</w:t>
            </w:r>
            <w:r>
              <w:rPr>
                <w:rFonts w:hint="eastAsia" w:ascii="宋体" w:hAnsi="宋体" w:cs="宋体"/>
                <w:b/>
                <w:sz w:val="24"/>
              </w:rPr>
              <w:t>（元</w:t>
            </w:r>
            <w:r>
              <w:rPr>
                <w:rFonts w:hint="eastAsia" w:ascii="宋体" w:hAnsi="宋体" w:cs="宋体"/>
                <w:b/>
                <w:sz w:val="24"/>
                <w:lang w:val="en-US" w:eastAsia="zh-CN"/>
              </w:rPr>
              <w:t>/个</w:t>
            </w:r>
            <w:r>
              <w:rPr>
                <w:rFonts w:hint="eastAsia" w:ascii="宋体" w:hAnsi="宋体" w:cs="宋体"/>
                <w:b/>
                <w:sz w:val="24"/>
              </w:rPr>
              <w:t>）</w:t>
            </w:r>
          </w:p>
        </w:tc>
        <w:tc>
          <w:tcPr>
            <w:tcW w:w="29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 w:val="24"/>
                <w:lang w:eastAsia="zh-CN"/>
              </w:rPr>
            </w:pPr>
            <w:r>
              <w:rPr>
                <w:rFonts w:hint="eastAsia" w:ascii="宋体" w:hAnsi="宋体" w:cs="宋体"/>
                <w:b/>
                <w:sz w:val="24"/>
                <w:lang w:eastAsia="zh-CN"/>
              </w:rPr>
              <w:t>投标报价合计（万元）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462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b w:val="0"/>
                <w:bCs/>
                <w:sz w:val="24"/>
              </w:rPr>
            </w:pPr>
            <w:r>
              <w:rPr>
                <w:rFonts w:hint="eastAsia" w:ascii="宋体" w:hAnsi="宋体" w:eastAsia="宋体" w:cs="宋体"/>
                <w:sz w:val="24"/>
                <w:lang w:eastAsia="zh-CN"/>
              </w:rPr>
              <w:t>东阳市吴宁街道未来社区一体化方案项目</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lang w:eastAsia="zh-CN"/>
              </w:rPr>
            </w:pPr>
          </w:p>
        </w:tc>
        <w:tc>
          <w:tcPr>
            <w:tcW w:w="2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both"/>
              <w:rPr>
                <w:rFonts w:hint="eastAsia" w:ascii="宋体" w:hAnsi="宋体" w:eastAsia="宋体" w:cs="宋体"/>
                <w:sz w:val="24"/>
              </w:rPr>
            </w:pPr>
            <w:r>
              <w:rPr>
                <w:rFonts w:hint="eastAsia" w:ascii="宋体" w:hAnsi="宋体" w:eastAsia="宋体" w:cs="宋体"/>
                <w:sz w:val="24"/>
              </w:rPr>
              <w:t>备注：</w:t>
            </w:r>
            <w:r>
              <w:rPr>
                <w:rFonts w:hint="eastAsia" w:ascii="宋体" w:hAnsi="宋体" w:eastAsia="宋体" w:cs="宋体"/>
                <w:sz w:val="24"/>
                <w:lang w:eastAsia="zh-CN"/>
              </w:rPr>
              <w:t>本项目</w:t>
            </w:r>
            <w:r>
              <w:rPr>
                <w:rFonts w:hint="eastAsia" w:ascii="宋体" w:hAnsi="宋体" w:cs="宋体"/>
                <w:sz w:val="24"/>
                <w:lang w:eastAsia="zh-CN"/>
              </w:rPr>
              <w:t>分东岘、西街、雍和、朝阳、迎晖、卢宅、西园七个社区，</w:t>
            </w:r>
            <w:r>
              <w:rPr>
                <w:rFonts w:hint="eastAsia" w:ascii="宋体" w:hAnsi="宋体" w:eastAsia="宋体" w:cs="宋体"/>
                <w:sz w:val="24"/>
                <w:lang w:eastAsia="zh-CN"/>
              </w:rPr>
              <w:t>每个社区最高限价</w:t>
            </w:r>
            <w:r>
              <w:rPr>
                <w:rFonts w:hint="eastAsia" w:ascii="宋体" w:hAnsi="宋体" w:cs="宋体"/>
                <w:sz w:val="24"/>
                <w:lang w:val="en-US" w:eastAsia="zh-CN"/>
              </w:rPr>
              <w:t>48</w:t>
            </w:r>
            <w:r>
              <w:rPr>
                <w:rFonts w:hint="eastAsia" w:ascii="宋体" w:hAnsi="宋体" w:eastAsia="宋体" w:cs="宋体"/>
                <w:sz w:val="24"/>
                <w:lang w:val="en-US" w:eastAsia="zh-CN"/>
              </w:rPr>
              <w:t>万元</w:t>
            </w:r>
            <w:r>
              <w:rPr>
                <w:rFonts w:hint="eastAsia" w:ascii="宋体" w:hAnsi="宋体" w:cs="宋体"/>
                <w:sz w:val="24"/>
                <w:lang w:val="en-US" w:eastAsia="zh-CN"/>
              </w:rPr>
              <w:t>，完成时间为2025年12月底前。</w:t>
            </w:r>
          </w:p>
        </w:tc>
      </w:tr>
    </w:tbl>
    <w:p>
      <w:pPr>
        <w:pStyle w:val="2"/>
        <w:ind w:firstLine="464"/>
        <w:rPr>
          <w:rFonts w:hint="eastAsia" w:hAnsi="宋体" w:cs="宋体"/>
          <w:color w:val="auto"/>
          <w:sz w:val="24"/>
          <w:highlight w:val="none"/>
          <w:u w:val="single"/>
        </w:rPr>
      </w:pPr>
    </w:p>
    <w:p>
      <w:pPr>
        <w:snapToGrid w:val="0"/>
        <w:spacing w:before="50" w:after="50" w:line="400" w:lineRule="exact"/>
        <w:jc w:val="left"/>
        <w:rPr>
          <w:rFonts w:hint="eastAsia" w:ascii="宋体" w:hAnsi="宋体" w:cs="宋体"/>
          <w:color w:val="auto"/>
          <w:sz w:val="24"/>
          <w:szCs w:val="20"/>
          <w:highlight w:val="none"/>
        </w:rPr>
      </w:pPr>
      <w:r>
        <w:rPr>
          <w:rFonts w:hint="eastAsia" w:ascii="宋体" w:hAnsi="宋体" w:cs="宋体"/>
          <w:color w:val="auto"/>
          <w:sz w:val="24"/>
          <w:highlight w:val="none"/>
        </w:rPr>
        <w:t>注: 1、报价一经涂改，应在涂改处加盖单位公章或者由法定代表人或授权委托人签字或盖章，否则其投标作无效标处理。</w:t>
      </w:r>
    </w:p>
    <w:p>
      <w:pPr>
        <w:pStyle w:val="12"/>
        <w:keepNext w:val="0"/>
        <w:keepLines w:val="0"/>
        <w:pageBreakBefore w:val="0"/>
        <w:kinsoku/>
        <w:wordWrap/>
        <w:overflowPunct/>
        <w:topLinePunct w:val="0"/>
        <w:bidi w:val="0"/>
        <w:snapToGrid w:val="0"/>
        <w:spacing w:beforeLines="0" w:afterLines="0" w:line="360" w:lineRule="auto"/>
        <w:ind w:firstLine="480" w:firstLineChars="200"/>
        <w:jc w:val="left"/>
        <w:rPr>
          <w:rFonts w:hint="eastAsia" w:hAnsi="宋体" w:cs="宋体"/>
          <w:color w:val="auto"/>
          <w:sz w:val="24"/>
          <w:szCs w:val="24"/>
          <w:highlight w:val="none"/>
        </w:rPr>
      </w:pPr>
      <w:r>
        <w:rPr>
          <w:rFonts w:hint="eastAsia" w:hAnsi="宋体" w:cs="宋体"/>
          <w:color w:val="auto"/>
          <w:sz w:val="24"/>
          <w:szCs w:val="24"/>
          <w:highlight w:val="none"/>
          <w:lang w:val="en-US" w:eastAsia="zh-CN"/>
        </w:rPr>
        <w:t>2、</w:t>
      </w:r>
      <w:r>
        <w:rPr>
          <w:rFonts w:hint="eastAsia" w:ascii="宋体" w:hAnsi="宋体" w:eastAsia="宋体" w:cs="宋体"/>
          <w:color w:val="auto"/>
          <w:sz w:val="24"/>
          <w:szCs w:val="22"/>
          <w:highlight w:val="none"/>
        </w:rPr>
        <w:t>投标报价是履行合同的最终价格，应为承包完成本次投标需完成全部工作所发生的所有费用，并承担一切风险责任，</w:t>
      </w:r>
      <w:r>
        <w:rPr>
          <w:rFonts w:hint="eastAsia" w:ascii="宋体" w:hAnsi="宋体" w:eastAsia="宋体" w:cs="宋体"/>
          <w:color w:val="auto"/>
          <w:sz w:val="24"/>
          <w:szCs w:val="24"/>
          <w:highlight w:val="none"/>
        </w:rPr>
        <w:t>报价包括因领取基础资料、现场踏勘等需要产生的食、宿、交通等费用，</w:t>
      </w:r>
      <w:r>
        <w:rPr>
          <w:rFonts w:hint="eastAsia" w:ascii="宋体" w:hAnsi="宋体" w:eastAsia="宋体" w:cs="宋体"/>
          <w:color w:val="auto"/>
          <w:sz w:val="24"/>
          <w:szCs w:val="24"/>
          <w:highlight w:val="none"/>
          <w:lang w:eastAsia="zh-CN"/>
        </w:rPr>
        <w:t>编制</w:t>
      </w:r>
      <w:r>
        <w:rPr>
          <w:rFonts w:hint="eastAsia" w:ascii="宋体" w:hAnsi="宋体" w:eastAsia="宋体" w:cs="宋体"/>
          <w:color w:val="auto"/>
          <w:sz w:val="24"/>
          <w:szCs w:val="24"/>
          <w:highlight w:val="none"/>
        </w:rPr>
        <w:t>服务费、服务成果打印、</w:t>
      </w:r>
      <w:r>
        <w:rPr>
          <w:rFonts w:hint="eastAsia" w:ascii="宋体" w:hAnsi="宋体" w:eastAsia="宋体" w:cs="宋体"/>
          <w:b w:val="0"/>
          <w:bCs w:val="0"/>
          <w:kern w:val="2"/>
          <w:sz w:val="24"/>
          <w:szCs w:val="24"/>
          <w:lang w:val="en-US" w:eastAsia="zh-CN" w:bidi="ar-SA"/>
        </w:rPr>
        <w:t>人员劳务费（含人身意外保险费）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专家评审费、</w:t>
      </w:r>
      <w:r>
        <w:rPr>
          <w:rFonts w:hint="eastAsia" w:ascii="宋体" w:hAnsi="宋体" w:cs="宋体"/>
          <w:color w:val="auto"/>
          <w:sz w:val="24"/>
          <w:szCs w:val="24"/>
          <w:highlight w:val="none"/>
          <w:lang w:eastAsia="zh-CN"/>
        </w:rPr>
        <w:t>代理服务费、</w:t>
      </w:r>
      <w:r>
        <w:rPr>
          <w:rFonts w:hint="eastAsia" w:ascii="宋体" w:hAnsi="宋体" w:eastAsia="宋体" w:cs="宋体"/>
          <w:color w:val="auto"/>
          <w:sz w:val="24"/>
          <w:szCs w:val="24"/>
          <w:highlight w:val="none"/>
        </w:rPr>
        <w:t>售后服务</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税金等一切</w:t>
      </w:r>
      <w:r>
        <w:rPr>
          <w:rFonts w:hint="eastAsia" w:ascii="宋体" w:hAnsi="宋体" w:cs="宋体"/>
          <w:color w:val="auto"/>
          <w:sz w:val="24"/>
          <w:szCs w:val="24"/>
          <w:highlight w:val="none"/>
          <w:lang w:eastAsia="zh-CN"/>
        </w:rPr>
        <w:t>与本项目相关的</w:t>
      </w:r>
      <w:r>
        <w:rPr>
          <w:rFonts w:hint="eastAsia" w:ascii="宋体" w:hAnsi="宋体" w:eastAsia="宋体" w:cs="宋体"/>
          <w:color w:val="auto"/>
          <w:sz w:val="24"/>
          <w:szCs w:val="24"/>
          <w:highlight w:val="none"/>
        </w:rPr>
        <w:t>费用</w:t>
      </w:r>
      <w:r>
        <w:rPr>
          <w:rFonts w:hint="eastAsia" w:ascii="宋体" w:hAnsi="宋体" w:eastAsia="宋体" w:cs="宋体"/>
          <w:color w:val="auto"/>
          <w:sz w:val="24"/>
          <w:szCs w:val="22"/>
          <w:highlight w:val="none"/>
        </w:rPr>
        <w:t>。投标人所投报的投标报价为投标人所能承受的整个项目的最终最低报价，如有漏项，视同已包含在其它项目中，合同价不作调整。</w:t>
      </w:r>
    </w:p>
    <w:p>
      <w:pPr>
        <w:snapToGrid w:val="0"/>
        <w:spacing w:before="50" w:after="50" w:line="40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、本表格式不允许修改，表格在格式不改的情况下可以作相应的增减，否则作无效标处理。</w:t>
      </w:r>
    </w:p>
    <w:p>
      <w:pPr>
        <w:snapToGrid w:val="0"/>
        <w:spacing w:before="50" w:after="50" w:line="360" w:lineRule="exact"/>
        <w:ind w:firstLine="480" w:firstLineChars="200"/>
        <w:jc w:val="left"/>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、超过最高限价按废标处理。</w:t>
      </w:r>
    </w:p>
    <w:p>
      <w:pPr>
        <w:snapToGrid w:val="0"/>
        <w:spacing w:before="50" w:after="50" w:line="340" w:lineRule="exact"/>
        <w:ind w:left="-3" w:leftChars="-72" w:right="-817" w:rightChars="-389" w:hanging="148" w:hangingChars="62"/>
        <w:rPr>
          <w:rFonts w:hint="eastAsia" w:ascii="宋体" w:hAnsi="宋体" w:cs="宋体"/>
          <w:color w:val="auto"/>
          <w:sz w:val="24"/>
          <w:highlight w:val="none"/>
        </w:rPr>
      </w:pPr>
    </w:p>
    <w:p>
      <w:pPr>
        <w:snapToGrid w:val="0"/>
        <w:spacing w:before="50" w:after="50" w:line="340" w:lineRule="exact"/>
        <w:ind w:left="-3" w:leftChars="-72" w:right="-817" w:rightChars="-389" w:hanging="148" w:hangingChars="62"/>
        <w:rPr>
          <w:rFonts w:hint="eastAsia" w:ascii="宋体" w:hAnsi="宋体" w:cs="宋体"/>
          <w:color w:val="auto"/>
          <w:sz w:val="24"/>
          <w:highlight w:val="none"/>
        </w:rPr>
      </w:pPr>
    </w:p>
    <w:p>
      <w:pPr>
        <w:snapToGrid w:val="0"/>
        <w:spacing w:line="360" w:lineRule="auto"/>
        <w:jc w:val="left"/>
        <w:rPr>
          <w:rFonts w:hint="eastAsia" w:ascii="宋体" w:hAnsi="宋体"/>
          <w:color w:val="auto"/>
          <w:spacing w:val="20"/>
          <w:sz w:val="24"/>
          <w:highlight w:val="none"/>
        </w:rPr>
      </w:pPr>
      <w:r>
        <w:rPr>
          <w:rFonts w:hint="eastAsia" w:ascii="宋体" w:hAnsi="宋体"/>
          <w:color w:val="auto"/>
          <w:spacing w:val="20"/>
          <w:sz w:val="24"/>
          <w:highlight w:val="none"/>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盖</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lang w:eastAsia="zh-CN"/>
        </w:rPr>
        <w:t>或电子签章）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line="360" w:lineRule="auto"/>
        <w:jc w:val="left"/>
        <w:rPr>
          <w:rFonts w:hint="eastAsia" w:ascii="宋体" w:hAnsi="宋体"/>
          <w:b/>
          <w:bCs/>
          <w:color w:val="auto"/>
          <w:sz w:val="24"/>
          <w:highlight w:val="none"/>
        </w:rPr>
      </w:pPr>
      <w:r>
        <w:rPr>
          <w:rFonts w:hint="eastAsia" w:ascii="宋体" w:hAnsi="宋体"/>
          <w:color w:val="auto"/>
          <w:spacing w:val="20"/>
          <w:sz w:val="24"/>
          <w:highlight w:val="none"/>
        </w:rPr>
        <w:t>日</w:t>
      </w:r>
      <w:r>
        <w:rPr>
          <w:rFonts w:ascii="宋体" w:hAnsi="宋体"/>
          <w:color w:val="auto"/>
          <w:spacing w:val="20"/>
          <w:sz w:val="24"/>
          <w:highlight w:val="none"/>
        </w:rPr>
        <w:t xml:space="preserve">  </w:t>
      </w:r>
      <w:r>
        <w:rPr>
          <w:rFonts w:hint="eastAsia" w:ascii="宋体" w:hAnsi="宋体"/>
          <w:color w:val="auto"/>
          <w:spacing w:val="20"/>
          <w:sz w:val="24"/>
          <w:highlight w:val="none"/>
        </w:rPr>
        <w:t>期：</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snapToGrid w:val="0"/>
        <w:spacing w:before="50" w:after="50" w:line="340" w:lineRule="exact"/>
        <w:ind w:left="-21" w:leftChars="-72" w:right="-817" w:rightChars="-389" w:hanging="130" w:hangingChars="62"/>
        <w:rPr>
          <w:rFonts w:hint="eastAsia" w:ascii="宋体" w:hAnsi="宋体" w:cs="宋体"/>
          <w:color w:val="auto"/>
          <w:highlight w:val="none"/>
        </w:rPr>
      </w:pPr>
    </w:p>
    <w:p>
      <w:pPr>
        <w:tabs>
          <w:tab w:val="left" w:pos="420"/>
        </w:tabs>
        <w:ind w:firstLine="723" w:firstLineChars="200"/>
        <w:jc w:val="center"/>
        <w:rPr>
          <w:rFonts w:hint="eastAsia" w:ascii="宋体" w:hAnsi="宋体" w:cs="宋体"/>
          <w:b/>
          <w:color w:val="auto"/>
          <w:sz w:val="36"/>
          <w:highlight w:val="none"/>
          <w:lang w:bidi="ar"/>
        </w:rPr>
      </w:pPr>
      <w:r>
        <w:rPr>
          <w:rFonts w:hint="eastAsia" w:ascii="宋体" w:hAnsi="宋体" w:cs="宋体"/>
          <w:b/>
          <w:color w:val="auto"/>
          <w:sz w:val="36"/>
          <w:highlight w:val="none"/>
          <w:lang w:bidi="ar"/>
        </w:rPr>
        <w:br w:type="page"/>
      </w:r>
      <w:r>
        <w:rPr>
          <w:rFonts w:hint="eastAsia" w:ascii="宋体" w:hAnsi="宋体" w:cs="宋体"/>
          <w:b/>
          <w:color w:val="auto"/>
          <w:sz w:val="36"/>
          <w:highlight w:val="none"/>
          <w:lang w:bidi="ar"/>
        </w:rPr>
        <w:t>中小企业声明函（服务）</w:t>
      </w:r>
    </w:p>
    <w:p>
      <w:pPr>
        <w:pStyle w:val="10"/>
        <w:jc w:val="center"/>
        <w:rPr>
          <w:rFonts w:hint="eastAsia" w:eastAsia="宋体"/>
          <w:lang w:eastAsia="zh-CN"/>
        </w:rPr>
      </w:pPr>
      <w:r>
        <w:rPr>
          <w:rFonts w:hint="eastAsia" w:ascii="宋体" w:hAnsi="宋体" w:eastAsia="宋体" w:cs="宋体"/>
          <w:b/>
          <w:bCs/>
          <w:color w:val="auto"/>
          <w:sz w:val="24"/>
          <w:highlight w:val="none"/>
          <w:lang w:eastAsia="zh-CN"/>
        </w:rPr>
        <w:t>【非</w:t>
      </w:r>
      <w:r>
        <w:rPr>
          <w:rFonts w:hint="eastAsia" w:ascii="宋体" w:hAnsi="宋体" w:eastAsia="宋体" w:cs="宋体"/>
          <w:b/>
          <w:bCs/>
          <w:color w:val="auto"/>
          <w:sz w:val="24"/>
          <w:highlight w:val="none"/>
        </w:rPr>
        <w:t>中小企业</w:t>
      </w:r>
      <w:r>
        <w:rPr>
          <w:rFonts w:hint="eastAsia" w:ascii="宋体" w:hAnsi="宋体" w:cs="宋体"/>
          <w:b/>
          <w:bCs/>
          <w:color w:val="auto"/>
          <w:sz w:val="24"/>
          <w:highlight w:val="none"/>
        </w:rPr>
        <w:t>不用提供</w:t>
      </w:r>
      <w:r>
        <w:rPr>
          <w:rFonts w:hint="eastAsia" w:ascii="宋体" w:hAnsi="宋体" w:cs="宋体"/>
          <w:b/>
          <w:color w:val="auto"/>
          <w:sz w:val="24"/>
          <w:highlight w:val="none"/>
        </w:rPr>
        <w:t>】</w:t>
      </w:r>
    </w:p>
    <w:p>
      <w:pPr>
        <w:pStyle w:val="2"/>
      </w:pPr>
    </w:p>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本公司郑重声明，根据《政府采购促进中小企业发展管理办法》（财库﹝2020﹞46 号）的规定，本公司参加__________________（单位名称） 的__________________（项目名称） 采购活动，服务全部由符合政策要求的中小企业承接。相关企业（含联合体中的中小企业、签订分包意向协议的中小企业）的具体情况如下：</w:t>
      </w:r>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u w:val="single"/>
        </w:rPr>
        <w:t xml:space="preserve">              </w:t>
      </w:r>
      <w:r>
        <w:rPr>
          <w:rFonts w:hint="eastAsia" w:ascii="宋体" w:hAnsi="宋体" w:cs="Arial"/>
          <w:bCs/>
          <w:kern w:val="0"/>
          <w:sz w:val="24"/>
        </w:rPr>
        <w:t>（标的名称），属于</w:t>
      </w:r>
      <w:r>
        <w:rPr>
          <w:rFonts w:hint="eastAsia" w:ascii="宋体" w:hAnsi="宋体" w:cs="Arial"/>
          <w:bCs/>
          <w:kern w:val="0"/>
          <w:sz w:val="24"/>
          <w:u w:val="single"/>
        </w:rPr>
        <w:t xml:space="preserve">              </w:t>
      </w:r>
      <w:r>
        <w:rPr>
          <w:rFonts w:hint="eastAsia" w:ascii="宋体" w:hAnsi="宋体" w:cs="Arial"/>
          <w:bCs/>
          <w:kern w:val="0"/>
          <w:sz w:val="24"/>
        </w:rPr>
        <w:t xml:space="preserve">（采购文件中明确的所属行业）行业；承接企业为 </w:t>
      </w:r>
      <w:r>
        <w:rPr>
          <w:rFonts w:hint="eastAsia" w:ascii="宋体" w:hAnsi="宋体" w:cs="Arial"/>
          <w:bCs/>
          <w:kern w:val="0"/>
          <w:sz w:val="24"/>
          <w:u w:val="single"/>
        </w:rPr>
        <w:t xml:space="preserve">                 </w:t>
      </w:r>
      <w:r>
        <w:rPr>
          <w:rFonts w:hint="eastAsia" w:ascii="宋体" w:hAnsi="宋体" w:cs="Arial"/>
          <w:bCs/>
          <w:kern w:val="0"/>
          <w:sz w:val="24"/>
        </w:rPr>
        <w:t>（企业名称），从业人员_____人，营业收入为_____万元，资产总额为_____万元，属于</w:t>
      </w:r>
      <w:r>
        <w:rPr>
          <w:rFonts w:hint="eastAsia" w:ascii="宋体" w:hAnsi="宋体" w:cs="Arial"/>
          <w:bCs/>
          <w:kern w:val="0"/>
          <w:sz w:val="24"/>
          <w:u w:val="single"/>
        </w:rPr>
        <w:t xml:space="preserve">             </w:t>
      </w:r>
      <w:r>
        <w:rPr>
          <w:rFonts w:hint="eastAsia" w:ascii="宋体" w:hAnsi="宋体" w:cs="Arial"/>
          <w:bCs/>
          <w:kern w:val="0"/>
          <w:sz w:val="24"/>
        </w:rPr>
        <w:t>（中型企业、小型企业、微型企业）；</w:t>
      </w:r>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本企业对上述声明内容的真实性负责。如有虚假，将依法承担相应责任。</w:t>
      </w:r>
    </w:p>
    <w:p>
      <w:pPr>
        <w:tabs>
          <w:tab w:val="left" w:pos="420"/>
        </w:tabs>
        <w:spacing w:line="360" w:lineRule="auto"/>
        <w:ind w:firstLine="480" w:firstLineChars="200"/>
        <w:jc w:val="left"/>
        <w:rPr>
          <w:rFonts w:ascii="宋体" w:hAnsi="宋体" w:cs="Arial"/>
          <w:bCs/>
          <w:kern w:val="0"/>
          <w:sz w:val="24"/>
        </w:rPr>
      </w:pPr>
    </w:p>
    <w:p>
      <w:pPr>
        <w:tabs>
          <w:tab w:val="left" w:pos="420"/>
        </w:tabs>
        <w:spacing w:line="360" w:lineRule="auto"/>
        <w:ind w:firstLine="480" w:firstLineChars="200"/>
        <w:jc w:val="right"/>
        <w:rPr>
          <w:rFonts w:ascii="宋体" w:hAnsi="宋体" w:cs="Arial"/>
          <w:bCs/>
          <w:kern w:val="0"/>
          <w:sz w:val="24"/>
        </w:rPr>
      </w:pPr>
      <w:r>
        <w:rPr>
          <w:rFonts w:hint="eastAsia" w:ascii="宋体" w:hAnsi="宋体" w:cs="Arial"/>
          <w:bCs/>
          <w:kern w:val="0"/>
          <w:sz w:val="24"/>
        </w:rPr>
        <w:t>企业名称（盖章）：</w:t>
      </w:r>
    </w:p>
    <w:p>
      <w:pPr>
        <w:tabs>
          <w:tab w:val="left" w:pos="420"/>
        </w:tabs>
        <w:spacing w:before="100" w:beforeAutospacing="1" w:after="100" w:afterAutospacing="1" w:line="360" w:lineRule="auto"/>
        <w:ind w:firstLine="480" w:firstLineChars="200"/>
        <w:jc w:val="center"/>
        <w:rPr>
          <w:rFonts w:ascii="宋体" w:hAnsi="宋体" w:cs="Arial"/>
          <w:bCs/>
          <w:kern w:val="0"/>
          <w:sz w:val="24"/>
        </w:rPr>
      </w:pPr>
      <w:r>
        <w:rPr>
          <w:rFonts w:hint="eastAsia" w:ascii="宋体" w:hAnsi="宋体" w:cs="Arial"/>
          <w:bCs/>
          <w:kern w:val="0"/>
          <w:sz w:val="24"/>
        </w:rPr>
        <w:t xml:space="preserve">                                                   日 期：</w:t>
      </w:r>
    </w:p>
    <w:p>
      <w:pPr>
        <w:tabs>
          <w:tab w:val="left" w:pos="420"/>
        </w:tabs>
        <w:spacing w:before="100" w:beforeAutospacing="1" w:after="100" w:afterAutospacing="1"/>
        <w:rPr>
          <w:rFonts w:ascii="宋体" w:hAnsi="宋体" w:cs="Arial"/>
          <w:b/>
          <w:bCs/>
          <w:kern w:val="0"/>
          <w:sz w:val="24"/>
        </w:rPr>
      </w:pPr>
      <w:r>
        <w:rPr>
          <w:rFonts w:hint="eastAsia" w:ascii="宋体" w:hAnsi="宋体" w:cs="Arial"/>
          <w:b/>
          <w:bCs/>
          <w:kern w:val="0"/>
          <w:sz w:val="24"/>
        </w:rPr>
        <w:t>注：</w:t>
      </w:r>
    </w:p>
    <w:p>
      <w:pPr>
        <w:tabs>
          <w:tab w:val="left" w:pos="420"/>
        </w:tabs>
        <w:spacing w:before="100" w:beforeAutospacing="1" w:after="100" w:afterAutospacing="1"/>
        <w:rPr>
          <w:rFonts w:ascii="宋体" w:hAnsi="宋体"/>
          <w:b/>
        </w:rPr>
      </w:pPr>
      <w:r>
        <w:rPr>
          <w:rFonts w:hint="eastAsia" w:ascii="宋体" w:hAnsi="宋体" w:cs="Arial"/>
          <w:b/>
          <w:bCs/>
          <w:kern w:val="0"/>
          <w:sz w:val="24"/>
        </w:rPr>
        <w:t>1、</w:t>
      </w:r>
      <w:r>
        <w:rPr>
          <w:rFonts w:hint="eastAsia" w:ascii="宋体" w:hAnsi="宋体"/>
          <w:b/>
        </w:rPr>
        <w:t>如承接单位为小微企业，则需提供中小企业声明函。</w:t>
      </w:r>
    </w:p>
    <w:p>
      <w:pPr>
        <w:rPr>
          <w:rFonts w:ascii="宋体"/>
          <w:b/>
          <w:sz w:val="24"/>
        </w:rPr>
      </w:pPr>
      <w:r>
        <w:rPr>
          <w:rFonts w:hint="eastAsia" w:ascii="宋体" w:hAnsi="宋体"/>
          <w:b/>
        </w:rPr>
        <w:t>2、如中标人声明为小微企业，本声明函将随中标结果同时公告，接受社会监督。</w:t>
      </w:r>
    </w:p>
    <w:p>
      <w:pPr>
        <w:pStyle w:val="6"/>
      </w:pPr>
    </w:p>
    <w:p>
      <w:pPr>
        <w:pStyle w:val="10"/>
        <w:rPr>
          <w:rFonts w:hint="eastAsia" w:ascii="宋体" w:hAnsi="宋体" w:eastAsia="宋体" w:cs="宋体"/>
          <w:b/>
          <w:bCs/>
          <w:color w:val="auto"/>
          <w:sz w:val="24"/>
          <w:highlight w:val="none"/>
        </w:rPr>
      </w:pPr>
    </w:p>
    <w:p>
      <w:pPr>
        <w:spacing w:after="120"/>
        <w:ind w:right="960"/>
        <w:jc w:val="center"/>
        <w:rPr>
          <w:rFonts w:hint="eastAsia" w:ascii="宋体" w:hAnsi="宋体" w:cs="宋体"/>
          <w:b/>
          <w:color w:val="auto"/>
          <w:sz w:val="36"/>
          <w:highlight w:val="none"/>
          <w:lang w:bidi="ar"/>
        </w:rPr>
      </w:pPr>
    </w:p>
    <w:p>
      <w:pPr>
        <w:pStyle w:val="2"/>
        <w:rPr>
          <w:rFonts w:hint="eastAsia" w:ascii="宋体" w:hAnsi="宋体" w:cs="宋体"/>
          <w:b/>
          <w:color w:val="auto"/>
          <w:sz w:val="36"/>
          <w:highlight w:val="none"/>
          <w:lang w:bidi="ar"/>
        </w:rPr>
      </w:pPr>
    </w:p>
    <w:p>
      <w:pPr>
        <w:rPr>
          <w:rFonts w:hint="eastAsia" w:ascii="宋体" w:hAnsi="宋体" w:cs="宋体"/>
          <w:b/>
          <w:color w:val="auto"/>
          <w:sz w:val="36"/>
          <w:highlight w:val="none"/>
          <w:lang w:bidi="ar"/>
        </w:rPr>
      </w:pPr>
    </w:p>
    <w:p>
      <w:pPr>
        <w:pStyle w:val="2"/>
        <w:rPr>
          <w:rFonts w:hint="eastAsia"/>
        </w:rPr>
      </w:pPr>
    </w:p>
    <w:p>
      <w:pPr>
        <w:spacing w:after="120"/>
        <w:ind w:right="960"/>
        <w:rPr>
          <w:rFonts w:hint="eastAsia" w:ascii="宋体" w:hAnsi="宋体" w:cs="宋体"/>
          <w:b/>
          <w:color w:val="auto"/>
          <w:sz w:val="36"/>
          <w:highlight w:val="none"/>
          <w:lang w:bidi="ar"/>
        </w:rPr>
      </w:pPr>
    </w:p>
    <w:p>
      <w:pPr>
        <w:spacing w:after="120"/>
        <w:ind w:right="960"/>
        <w:rPr>
          <w:rFonts w:hint="eastAsia" w:ascii="宋体" w:hAnsi="宋体" w:cs="宋体"/>
          <w:b/>
          <w:color w:val="auto"/>
          <w:sz w:val="36"/>
          <w:highlight w:val="none"/>
          <w:lang w:bidi="ar"/>
        </w:rPr>
      </w:pPr>
      <w:r>
        <w:rPr>
          <w:rFonts w:hint="eastAsia" w:ascii="宋体" w:hAnsi="宋体" w:cs="宋体"/>
          <w:b/>
          <w:color w:val="auto"/>
          <w:sz w:val="36"/>
          <w:highlight w:val="none"/>
          <w:lang w:bidi="ar"/>
        </w:rPr>
        <w:t xml:space="preserve"> </w:t>
      </w:r>
    </w:p>
    <w:p>
      <w:pPr>
        <w:spacing w:after="120"/>
        <w:ind w:right="960"/>
        <w:jc w:val="center"/>
        <w:rPr>
          <w:rFonts w:hint="eastAsia" w:ascii="宋体" w:hAnsi="宋体" w:cs="宋体"/>
          <w:b/>
          <w:color w:val="auto"/>
          <w:sz w:val="36"/>
          <w:highlight w:val="none"/>
          <w:lang w:bidi="ar"/>
        </w:rPr>
      </w:pPr>
    </w:p>
    <w:p>
      <w:pPr>
        <w:spacing w:after="120"/>
        <w:ind w:right="960"/>
        <w:jc w:val="both"/>
        <w:rPr>
          <w:rFonts w:hint="eastAsia" w:ascii="宋体" w:hAnsi="宋体" w:cs="宋体"/>
          <w:b/>
          <w:color w:val="auto"/>
          <w:sz w:val="36"/>
          <w:highlight w:val="none"/>
          <w:lang w:bidi="ar"/>
        </w:rPr>
      </w:pPr>
    </w:p>
    <w:p>
      <w:pPr>
        <w:spacing w:after="120"/>
        <w:ind w:right="960"/>
        <w:jc w:val="center"/>
        <w:rPr>
          <w:rFonts w:hint="eastAsia" w:ascii="宋体" w:hAnsi="宋体" w:cs="宋体"/>
          <w:b/>
          <w:color w:val="auto"/>
          <w:sz w:val="36"/>
          <w:highlight w:val="none"/>
          <w:lang w:bidi="ar"/>
        </w:rPr>
      </w:pPr>
      <w:r>
        <w:rPr>
          <w:rFonts w:hint="eastAsia" w:ascii="宋体" w:hAnsi="宋体" w:cs="宋体"/>
          <w:b/>
          <w:color w:val="auto"/>
          <w:sz w:val="36"/>
          <w:highlight w:val="none"/>
          <w:lang w:bidi="ar"/>
        </w:rPr>
        <w:t>残疾人福利性单位声明函</w:t>
      </w:r>
    </w:p>
    <w:p>
      <w:pPr>
        <w:widowControl/>
        <w:snapToGrid w:val="0"/>
        <w:spacing w:line="300" w:lineRule="auto"/>
        <w:ind w:firstLine="2409" w:firstLineChars="1000"/>
        <w:rPr>
          <w:rFonts w:hint="eastAsia" w:ascii="宋体" w:hAnsi="宋体" w:cs="宋体"/>
          <w:b/>
          <w:color w:val="auto"/>
          <w:sz w:val="36"/>
          <w:highlight w:val="none"/>
          <w:lang w:bidi="ar"/>
        </w:rPr>
      </w:pPr>
      <w:r>
        <w:rPr>
          <w:rFonts w:hint="eastAsia" w:ascii="宋体" w:hAnsi="宋体" w:cs="宋体"/>
          <w:b/>
          <w:color w:val="auto"/>
          <w:sz w:val="24"/>
          <w:highlight w:val="none"/>
        </w:rPr>
        <w:t>【</w:t>
      </w:r>
      <w:r>
        <w:rPr>
          <w:rFonts w:hint="eastAsia" w:ascii="宋体" w:hAnsi="宋体" w:cs="宋体"/>
          <w:b/>
          <w:bCs/>
          <w:color w:val="auto"/>
          <w:sz w:val="24"/>
          <w:highlight w:val="none"/>
        </w:rPr>
        <w:t>非残疾人福利性单位不用提供</w:t>
      </w:r>
      <w:r>
        <w:rPr>
          <w:rFonts w:hint="eastAsia" w:ascii="宋体" w:hAnsi="宋体" w:cs="宋体"/>
          <w:b/>
          <w:color w:val="auto"/>
          <w:sz w:val="24"/>
          <w:highlight w:val="none"/>
        </w:rPr>
        <w:t>】</w:t>
      </w:r>
    </w:p>
    <w:p>
      <w:pPr>
        <w:spacing w:line="480" w:lineRule="auto"/>
        <w:ind w:right="6" w:firstLine="480" w:firstLineChars="200"/>
        <w:rPr>
          <w:rFonts w:hint="eastAsia" w:ascii="宋体" w:hAnsi="宋体" w:cs="宋体"/>
          <w:color w:val="auto"/>
          <w:sz w:val="24"/>
          <w:highlight w:val="none"/>
          <w:lang w:bidi="ar"/>
        </w:rPr>
      </w:pPr>
      <w:r>
        <w:rPr>
          <w:rFonts w:hint="eastAsia" w:ascii="宋体" w:hAnsi="宋体" w:cs="宋体"/>
          <w:color w:val="auto"/>
          <w:sz w:val="24"/>
          <w:highlight w:val="none"/>
          <w:lang w:bidi="ar"/>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right="6" w:firstLine="480" w:firstLineChars="200"/>
        <w:rPr>
          <w:rFonts w:hint="eastAsia" w:ascii="宋体" w:hAnsi="宋体" w:cs="宋体"/>
          <w:color w:val="auto"/>
          <w:sz w:val="24"/>
          <w:highlight w:val="none"/>
          <w:lang w:bidi="ar"/>
        </w:rPr>
      </w:pPr>
      <w:r>
        <w:rPr>
          <w:rFonts w:hint="eastAsia" w:ascii="宋体" w:hAnsi="宋体" w:cs="宋体"/>
          <w:color w:val="auto"/>
          <w:sz w:val="24"/>
          <w:highlight w:val="none"/>
          <w:lang w:bidi="ar"/>
        </w:rPr>
        <w:t>本单位对上述声明的真实性负责。如有虚假，将依法承担相应责任。</w:t>
      </w:r>
    </w:p>
    <w:p>
      <w:pPr>
        <w:spacing w:after="120"/>
        <w:ind w:right="960"/>
        <w:jc w:val="left"/>
        <w:rPr>
          <w:rFonts w:hint="eastAsia" w:ascii="宋体" w:hAnsi="宋体" w:cs="宋体"/>
          <w:color w:val="auto"/>
          <w:sz w:val="28"/>
          <w:szCs w:val="28"/>
          <w:highlight w:val="none"/>
        </w:rPr>
      </w:pPr>
    </w:p>
    <w:p>
      <w:pPr>
        <w:spacing w:after="120"/>
        <w:ind w:right="960" w:firstLine="3600" w:firstLineChars="1500"/>
        <w:jc w:val="left"/>
        <w:rPr>
          <w:rFonts w:hint="eastAsia" w:ascii="宋体" w:hAnsi="宋体" w:cs="宋体"/>
          <w:color w:val="auto"/>
          <w:sz w:val="24"/>
          <w:highlight w:val="none"/>
        </w:rPr>
      </w:pPr>
      <w:r>
        <w:rPr>
          <w:rFonts w:hint="eastAsia" w:ascii="宋体" w:hAnsi="宋体" w:cs="宋体"/>
          <w:color w:val="auto"/>
          <w:sz w:val="24"/>
          <w:highlight w:val="none"/>
          <w:lang w:bidi="ar"/>
        </w:rPr>
        <w:t>单位名称（盖章）:</w:t>
      </w:r>
    </w:p>
    <w:p>
      <w:pPr>
        <w:widowControl/>
        <w:ind w:firstLine="3840" w:firstLineChars="1600"/>
        <w:jc w:val="left"/>
        <w:rPr>
          <w:rFonts w:hint="eastAsia" w:ascii="宋体" w:hAnsi="宋体" w:cs="宋体"/>
          <w:color w:val="auto"/>
          <w:sz w:val="24"/>
          <w:highlight w:val="none"/>
        </w:rPr>
      </w:pPr>
      <w:r>
        <w:rPr>
          <w:rFonts w:hint="eastAsia" w:ascii="宋体" w:hAnsi="宋体" w:cs="宋体"/>
          <w:color w:val="auto"/>
          <w:sz w:val="24"/>
          <w:highlight w:val="none"/>
          <w:lang w:bidi="ar"/>
        </w:rPr>
        <w:t>日  期：</w:t>
      </w:r>
    </w:p>
    <w:p>
      <w:pPr>
        <w:ind w:hanging="28"/>
        <w:rPr>
          <w:rFonts w:hint="eastAsia" w:ascii="宋体" w:hAnsi="宋体" w:cs="宋体"/>
          <w:b/>
          <w:color w:val="auto"/>
          <w:sz w:val="24"/>
          <w:highlight w:val="none"/>
        </w:rPr>
      </w:pPr>
    </w:p>
    <w:p>
      <w:pPr>
        <w:numPr>
          <w:ilvl w:val="0"/>
          <w:numId w:val="3"/>
        </w:numPr>
        <w:tabs>
          <w:tab w:val="left" w:pos="420"/>
        </w:tabs>
        <w:spacing w:before="100" w:beforeAutospacing="1" w:after="100" w:afterAutospacing="1" w:line="432" w:lineRule="auto"/>
        <w:ind w:hanging="1244"/>
        <w:rPr>
          <w:rFonts w:hint="eastAsia" w:ascii="宋体" w:hAnsi="宋体" w:cs="宋体"/>
          <w:b/>
          <w:color w:val="auto"/>
          <w:szCs w:val="21"/>
          <w:highlight w:val="none"/>
        </w:rPr>
      </w:pPr>
      <w:r>
        <w:rPr>
          <w:rFonts w:hint="eastAsia" w:ascii="宋体" w:hAnsi="宋体" w:cs="宋体"/>
          <w:b/>
          <w:color w:val="auto"/>
          <w:szCs w:val="21"/>
          <w:highlight w:val="none"/>
          <w:lang w:bidi="ar"/>
        </w:rPr>
        <w:t>残疾人福利性单位视同小型、微型企业，享受价格扣除。</w:t>
      </w:r>
    </w:p>
    <w:p>
      <w:pPr>
        <w:numPr>
          <w:ilvl w:val="0"/>
          <w:numId w:val="3"/>
        </w:numPr>
        <w:tabs>
          <w:tab w:val="left" w:pos="420"/>
        </w:tabs>
        <w:spacing w:before="100" w:beforeAutospacing="1" w:after="100" w:afterAutospacing="1" w:line="432" w:lineRule="auto"/>
        <w:ind w:hanging="1244"/>
        <w:rPr>
          <w:rFonts w:hint="eastAsia" w:ascii="宋体" w:hAnsi="宋体" w:cs="宋体"/>
          <w:b/>
          <w:color w:val="auto"/>
          <w:szCs w:val="21"/>
          <w:highlight w:val="none"/>
        </w:rPr>
      </w:pPr>
      <w:r>
        <w:rPr>
          <w:rFonts w:hint="eastAsia" w:ascii="宋体" w:hAnsi="宋体" w:cs="宋体"/>
          <w:b/>
          <w:color w:val="auto"/>
          <w:szCs w:val="21"/>
          <w:highlight w:val="none"/>
          <w:lang w:bidi="ar"/>
        </w:rPr>
        <w:t>残疾人福利性单位属于小型、微型企业的，不重复享受政策。</w:t>
      </w:r>
    </w:p>
    <w:p>
      <w:pPr>
        <w:numPr>
          <w:ilvl w:val="0"/>
          <w:numId w:val="3"/>
        </w:numPr>
        <w:tabs>
          <w:tab w:val="left" w:pos="420"/>
        </w:tabs>
        <w:spacing w:before="100" w:beforeAutospacing="1" w:after="100" w:afterAutospacing="1" w:line="432" w:lineRule="auto"/>
        <w:ind w:hanging="1244"/>
        <w:rPr>
          <w:rFonts w:hint="eastAsia" w:ascii="宋体" w:hAnsi="宋体" w:cs="宋体"/>
          <w:b/>
          <w:color w:val="auto"/>
          <w:szCs w:val="21"/>
          <w:highlight w:val="none"/>
          <w:lang w:bidi="ar"/>
        </w:rPr>
      </w:pPr>
      <w:r>
        <w:rPr>
          <w:rFonts w:hint="eastAsia" w:ascii="宋体" w:hAnsi="宋体" w:cs="宋体"/>
          <w:b/>
          <w:color w:val="auto"/>
          <w:szCs w:val="21"/>
          <w:highlight w:val="none"/>
          <w:lang w:bidi="ar"/>
        </w:rPr>
        <w:t>如中标人声明为残疾人福利性单位，本声明函将随中标结果同时公告，接受社会监督。</w:t>
      </w:r>
    </w:p>
    <w:p>
      <w:pPr>
        <w:numPr>
          <w:ilvl w:val="0"/>
          <w:numId w:val="3"/>
        </w:numPr>
        <w:tabs>
          <w:tab w:val="left" w:pos="420"/>
        </w:tabs>
        <w:spacing w:before="100" w:beforeAutospacing="1" w:after="100" w:afterAutospacing="1" w:line="432" w:lineRule="auto"/>
        <w:ind w:hanging="1244"/>
        <w:rPr>
          <w:rFonts w:hint="eastAsia" w:ascii="宋体" w:hAnsi="宋体" w:cs="宋体"/>
          <w:b/>
          <w:color w:val="auto"/>
          <w:szCs w:val="21"/>
          <w:highlight w:val="none"/>
          <w:lang w:bidi="ar"/>
        </w:rPr>
      </w:pPr>
      <w:r>
        <w:rPr>
          <w:rFonts w:hint="eastAsia" w:ascii="宋体" w:hAnsi="宋体" w:cs="宋体"/>
          <w:b/>
          <w:color w:val="auto"/>
          <w:szCs w:val="21"/>
          <w:highlight w:val="none"/>
          <w:lang w:bidi="ar"/>
        </w:rPr>
        <w:t>后附残疾人福利性单位残疾人聘用情况表</w:t>
      </w:r>
    </w:p>
    <w:p>
      <w:pPr>
        <w:snapToGrid w:val="0"/>
        <w:spacing w:before="120" w:beforeLines="50" w:after="50"/>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lang w:bidi="ar"/>
        </w:rPr>
        <w:t>残疾人福利性单位残疾人聘用情况表（格式可扩展）</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2752"/>
        <w:gridCol w:w="2589"/>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r>
              <w:rPr>
                <w:rFonts w:hint="eastAsia" w:ascii="宋体" w:hAnsi="宋体" w:cs="宋体"/>
                <w:b/>
                <w:color w:val="auto"/>
                <w:sz w:val="24"/>
                <w:highlight w:val="none"/>
                <w:lang w:bidi="ar"/>
              </w:rPr>
              <w:t>序号</w:t>
            </w:r>
          </w:p>
        </w:tc>
        <w:tc>
          <w:tcPr>
            <w:tcW w:w="27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r>
              <w:rPr>
                <w:rFonts w:hint="eastAsia" w:ascii="宋体" w:hAnsi="宋体" w:cs="宋体"/>
                <w:b/>
                <w:color w:val="auto"/>
                <w:sz w:val="24"/>
                <w:highlight w:val="none"/>
                <w:lang w:bidi="ar"/>
              </w:rPr>
              <w:t>姓名</w:t>
            </w:r>
          </w:p>
        </w:tc>
        <w:tc>
          <w:tcPr>
            <w:tcW w:w="258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r>
              <w:rPr>
                <w:rFonts w:hint="eastAsia" w:ascii="宋体" w:hAnsi="宋体" w:cs="宋体"/>
                <w:b/>
                <w:color w:val="auto"/>
                <w:sz w:val="24"/>
                <w:highlight w:val="none"/>
                <w:lang w:bidi="ar"/>
              </w:rPr>
              <w:t>残疾人证号</w:t>
            </w:r>
          </w:p>
        </w:tc>
        <w:tc>
          <w:tcPr>
            <w:tcW w:w="224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r>
              <w:rPr>
                <w:rFonts w:hint="eastAsia" w:ascii="宋体" w:hAnsi="宋体" w:cs="宋体"/>
                <w:b/>
                <w:color w:val="auto"/>
                <w:sz w:val="24"/>
                <w:highlight w:val="none"/>
                <w:lang w:bidi="ar"/>
              </w:rPr>
              <w:t>聘用时间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p>
        </w:tc>
        <w:tc>
          <w:tcPr>
            <w:tcW w:w="27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p>
        </w:tc>
        <w:tc>
          <w:tcPr>
            <w:tcW w:w="224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p>
        </w:tc>
        <w:tc>
          <w:tcPr>
            <w:tcW w:w="27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p>
        </w:tc>
        <w:tc>
          <w:tcPr>
            <w:tcW w:w="224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jc w:val="center"/>
              <w:rPr>
                <w:rFonts w:hint="eastAsia" w:ascii="宋体" w:hAnsi="宋体" w:cs="宋体"/>
                <w:b/>
                <w:color w:val="auto"/>
                <w:sz w:val="24"/>
                <w:highlight w:val="none"/>
              </w:rPr>
            </w:pPr>
          </w:p>
        </w:tc>
      </w:tr>
    </w:tbl>
    <w:p>
      <w:pPr>
        <w:widowControl/>
        <w:jc w:val="left"/>
        <w:rPr>
          <w:rFonts w:hint="eastAsia" w:ascii="宋体" w:hAnsi="宋体" w:cs="宋体"/>
          <w:color w:val="auto"/>
          <w:highlight w:val="none"/>
        </w:rPr>
      </w:pPr>
      <w:r>
        <w:rPr>
          <w:rFonts w:hint="eastAsia" w:ascii="宋体" w:hAnsi="宋体" w:cs="宋体"/>
          <w:b/>
          <w:color w:val="auto"/>
          <w:sz w:val="24"/>
          <w:highlight w:val="none"/>
          <w:lang w:bidi="ar"/>
        </w:rPr>
        <w:t>备注：本表后须附上所聘用残疾人员的残疾证、劳动合同、残疾人银行工资发放清单及足额缴纳的社会保险清单复印件，安置的残疾人比例不低于 25%（含 25%），且安置的残疾人人数不少于 10 人（含 10 人）；否则，视为非残疾人福利性单位不享受政策优惠。</w:t>
      </w:r>
    </w:p>
    <w:p>
      <w:pPr>
        <w:ind w:hanging="28"/>
        <w:rPr>
          <w:rFonts w:hint="eastAsia" w:ascii="宋体" w:hAnsi="宋体" w:cs="宋体"/>
          <w:b/>
          <w:color w:val="auto"/>
          <w:sz w:val="24"/>
          <w:highlight w:val="none"/>
        </w:rPr>
      </w:pPr>
    </w:p>
    <w:p>
      <w:pPr>
        <w:pStyle w:val="6"/>
        <w:rPr>
          <w:rFonts w:hint="eastAsia" w:ascii="宋体" w:hAnsi="宋体" w:eastAsia="宋体" w:cs="宋体"/>
          <w:color w:val="auto"/>
          <w:highlight w:val="none"/>
        </w:rPr>
      </w:pPr>
    </w:p>
    <w:p>
      <w:pPr>
        <w:rPr>
          <w:rFonts w:hint="eastAsia" w:ascii="宋体" w:hAnsi="宋体" w:cs="宋体"/>
          <w:color w:val="auto"/>
          <w:highlight w:val="none"/>
        </w:rPr>
      </w:pPr>
    </w:p>
    <w:p>
      <w:pPr>
        <w:pStyle w:val="2"/>
        <w:ind w:firstLine="344"/>
        <w:rPr>
          <w:rFonts w:hint="eastAsia" w:hAnsi="宋体" w:cs="宋体"/>
          <w:color w:val="auto"/>
          <w:highlight w:val="none"/>
        </w:rPr>
      </w:pPr>
    </w:p>
    <w:p>
      <w:pPr>
        <w:rPr>
          <w:rFonts w:hint="eastAsia" w:ascii="宋体" w:hAnsi="宋体" w:cs="宋体"/>
          <w:color w:val="auto"/>
          <w:highlight w:val="none"/>
        </w:rPr>
      </w:pPr>
    </w:p>
    <w:p>
      <w:pPr>
        <w:spacing w:line="300" w:lineRule="auto"/>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监狱企业声明函</w:t>
      </w:r>
    </w:p>
    <w:p>
      <w:pPr>
        <w:adjustRightInd w:val="0"/>
        <w:snapToGrid w:val="0"/>
        <w:spacing w:line="300" w:lineRule="auto"/>
        <w:jc w:val="center"/>
        <w:rPr>
          <w:rFonts w:hint="eastAsia" w:ascii="宋体" w:hAnsi="宋体" w:cs="宋体"/>
          <w:b/>
          <w:color w:val="auto"/>
          <w:sz w:val="24"/>
          <w:highlight w:val="none"/>
        </w:rPr>
      </w:pPr>
      <w:r>
        <w:rPr>
          <w:rFonts w:hint="eastAsia" w:ascii="宋体" w:hAnsi="宋体" w:cs="宋体"/>
          <w:b/>
          <w:color w:val="auto"/>
          <w:sz w:val="24"/>
          <w:highlight w:val="none"/>
        </w:rPr>
        <w:t>【</w:t>
      </w:r>
      <w:r>
        <w:rPr>
          <w:rFonts w:hint="eastAsia" w:ascii="宋体" w:hAnsi="宋体" w:cs="宋体"/>
          <w:b/>
          <w:bCs/>
          <w:color w:val="auto"/>
          <w:sz w:val="24"/>
          <w:highlight w:val="none"/>
        </w:rPr>
        <w:t>非监狱企业不用提供</w:t>
      </w:r>
      <w:r>
        <w:rPr>
          <w:rFonts w:hint="eastAsia" w:ascii="宋体" w:hAnsi="宋体" w:cs="宋体"/>
          <w:b/>
          <w:color w:val="auto"/>
          <w:sz w:val="24"/>
          <w:highlight w:val="none"/>
        </w:rPr>
        <w:t>】</w:t>
      </w:r>
    </w:p>
    <w:p>
      <w:pPr>
        <w:widowControl/>
        <w:adjustRightInd w:val="0"/>
        <w:snapToGrid w:val="0"/>
        <w:spacing w:line="300" w:lineRule="auto"/>
        <w:ind w:firstLine="480" w:firstLineChars="200"/>
        <w:rPr>
          <w:rFonts w:hint="eastAsia" w:ascii="宋体" w:hAnsi="宋体" w:cs="宋体"/>
          <w:color w:val="auto"/>
          <w:sz w:val="24"/>
          <w:highlight w:val="none"/>
        </w:rPr>
      </w:pPr>
    </w:p>
    <w:p>
      <w:pPr>
        <w:widowControl/>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本企业郑重声明，根据《关于政府采购支持监狱企业发展有关问题的通知》（财库[2014]68号）的规定，本企业为</w:t>
      </w:r>
      <w:r>
        <w:rPr>
          <w:rFonts w:hint="eastAsia" w:ascii="宋体" w:hAnsi="宋体" w:cs="宋体"/>
          <w:color w:val="auto"/>
          <w:sz w:val="24"/>
          <w:highlight w:val="none"/>
          <w:u w:val="single"/>
        </w:rPr>
        <w:t>监狱企业</w:t>
      </w:r>
      <w:r>
        <w:rPr>
          <w:rFonts w:hint="eastAsia" w:ascii="宋体" w:hAnsi="宋体" w:cs="宋体"/>
          <w:color w:val="auto"/>
          <w:sz w:val="24"/>
          <w:highlight w:val="none"/>
        </w:rPr>
        <w:t>。</w:t>
      </w:r>
    </w:p>
    <w:p>
      <w:pPr>
        <w:widowControl/>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根据上述标准，我企业属于</w:t>
      </w:r>
      <w:r>
        <w:rPr>
          <w:rFonts w:hint="eastAsia" w:ascii="宋体" w:hAnsi="宋体" w:cs="宋体"/>
          <w:color w:val="auto"/>
          <w:sz w:val="24"/>
          <w:highlight w:val="none"/>
          <w:u w:val="single"/>
        </w:rPr>
        <w:t>监狱企业</w:t>
      </w:r>
      <w:r>
        <w:rPr>
          <w:rFonts w:hint="eastAsia" w:ascii="宋体" w:hAnsi="宋体" w:cs="宋体"/>
          <w:color w:val="auto"/>
          <w:sz w:val="24"/>
          <w:highlight w:val="none"/>
        </w:rPr>
        <w:t>的理由为：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widowControl/>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本企业为参加（项目名称：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）采购活动提供本企业</w:t>
      </w:r>
      <w:r>
        <w:rPr>
          <w:rFonts w:hint="eastAsia" w:ascii="宋体" w:hAnsi="宋体" w:cs="宋体"/>
          <w:color w:val="auto"/>
          <w:sz w:val="24"/>
          <w:highlight w:val="none"/>
          <w:u w:val="single"/>
        </w:rPr>
        <w:t>的服务</w:t>
      </w:r>
      <w:r>
        <w:rPr>
          <w:rFonts w:hint="eastAsia" w:ascii="宋体" w:hAnsi="宋体" w:cs="宋体"/>
          <w:color w:val="auto"/>
          <w:sz w:val="24"/>
          <w:highlight w:val="none"/>
        </w:rPr>
        <w:t>。</w:t>
      </w:r>
    </w:p>
    <w:p>
      <w:pPr>
        <w:widowControl/>
        <w:adjustRightInd w:val="0"/>
        <w:snapToGrid w:val="0"/>
        <w:spacing w:line="360" w:lineRule="auto"/>
        <w:ind w:firstLine="482" w:firstLineChars="200"/>
        <w:rPr>
          <w:rFonts w:hint="eastAsia" w:ascii="宋体" w:hAnsi="宋体" w:cs="宋体"/>
          <w:color w:val="auto"/>
          <w:sz w:val="24"/>
          <w:highlight w:val="none"/>
        </w:rPr>
      </w:pPr>
      <w:r>
        <w:rPr>
          <w:rFonts w:hint="eastAsia" w:ascii="宋体" w:hAnsi="宋体" w:cs="宋体"/>
          <w:b/>
          <w:color w:val="auto"/>
          <w:sz w:val="24"/>
          <w:highlight w:val="none"/>
          <w:u w:val="single"/>
        </w:rPr>
        <w:t>本企业对上述声明的真实性负责。如有虚假，将依法承担相应责任</w:t>
      </w:r>
      <w:r>
        <w:rPr>
          <w:rFonts w:hint="eastAsia" w:ascii="宋体" w:hAnsi="宋体" w:cs="宋体"/>
          <w:color w:val="auto"/>
          <w:sz w:val="24"/>
          <w:highlight w:val="none"/>
        </w:rPr>
        <w:t>。</w:t>
      </w:r>
    </w:p>
    <w:p>
      <w:pPr>
        <w:adjustRightInd w:val="0"/>
        <w:snapToGrid w:val="0"/>
        <w:spacing w:line="360" w:lineRule="auto"/>
        <w:ind w:firstLine="480" w:firstLineChars="200"/>
        <w:jc w:val="center"/>
        <w:rPr>
          <w:rFonts w:hint="eastAsia" w:ascii="宋体" w:hAnsi="宋体" w:cs="宋体"/>
          <w:color w:val="auto"/>
          <w:sz w:val="24"/>
          <w:highlight w:val="none"/>
        </w:rPr>
      </w:pPr>
    </w:p>
    <w:p>
      <w:pPr>
        <w:adjustRightInd w:val="0"/>
        <w:snapToGrid w:val="0"/>
        <w:spacing w:line="36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供应商名称（盖章）：</w:t>
      </w:r>
      <w:r>
        <w:rPr>
          <w:rFonts w:hint="eastAsia" w:ascii="宋体" w:hAnsi="宋体" w:cs="宋体"/>
          <w:color w:val="auto"/>
          <w:sz w:val="24"/>
          <w:highlight w:val="none"/>
          <w:u w:val="single"/>
        </w:rPr>
        <w:t xml:space="preserve">            </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法定代表人（签字或盖章）：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日期：   年  月  日</w:t>
      </w:r>
    </w:p>
    <w:p>
      <w:pPr>
        <w:widowControl/>
        <w:snapToGrid w:val="0"/>
        <w:spacing w:line="360" w:lineRule="auto"/>
        <w:ind w:firstLine="480" w:firstLineChars="200"/>
        <w:rPr>
          <w:rFonts w:hint="eastAsia" w:ascii="宋体" w:hAnsi="宋体" w:cs="宋体"/>
          <w:color w:val="auto"/>
          <w:sz w:val="24"/>
          <w:highlight w:val="none"/>
        </w:rPr>
      </w:pPr>
    </w:p>
    <w:p>
      <w:pPr>
        <w:widowControl/>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监狱企业参加政府采购活动时，应当提供由省级以上监狱管理局、戒毒管理局（含新疆生产建设兵团）出具的属于监狱企业的证明文件。</w:t>
      </w:r>
    </w:p>
    <w:p>
      <w:pPr>
        <w:widowControl/>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2"/>
        <w:adjustRightInd w:val="0"/>
        <w:snapToGrid w:val="0"/>
        <w:spacing w:before="120" w:beforeLines="0" w:after="120" w:afterLines="0" w:line="300" w:lineRule="auto"/>
        <w:ind w:firstLine="480" w:firstLineChars="200"/>
        <w:rPr>
          <w:rFonts w:hint="eastAsia" w:hAnsi="宋体" w:cs="宋体"/>
          <w:color w:val="auto"/>
          <w:highlight w:val="none"/>
        </w:rPr>
      </w:pPr>
    </w:p>
    <w:p>
      <w:pPr>
        <w:ind w:hanging="28"/>
        <w:rPr>
          <w:rFonts w:hint="eastAsia" w:ascii="宋体" w:hAnsi="宋体" w:cs="宋体"/>
          <w:b/>
          <w:color w:val="auto"/>
          <w:sz w:val="24"/>
          <w:highlight w:val="none"/>
        </w:rPr>
      </w:pPr>
    </w:p>
    <w:p>
      <w:pPr>
        <w:rPr>
          <w:rFonts w:hint="eastAsia" w:ascii="宋体" w:hAnsi="宋体" w:cs="宋体"/>
          <w:color w:val="auto"/>
          <w:sz w:val="44"/>
          <w:szCs w:val="44"/>
          <w:highlight w:val="none"/>
        </w:rPr>
      </w:pPr>
    </w:p>
    <w:p>
      <w:pPr>
        <w:rPr>
          <w:rFonts w:hint="eastAsia" w:ascii="宋体" w:hAnsi="宋体" w:cs="宋体"/>
          <w:color w:val="auto"/>
          <w:sz w:val="44"/>
          <w:szCs w:val="44"/>
          <w:highlight w:val="none"/>
        </w:rPr>
      </w:pPr>
    </w:p>
    <w:p>
      <w:pPr>
        <w:rPr>
          <w:rFonts w:hint="eastAsia" w:ascii="宋体" w:hAnsi="宋体" w:cs="宋体"/>
          <w:color w:val="auto"/>
          <w:sz w:val="44"/>
          <w:szCs w:val="44"/>
          <w:highlight w:val="none"/>
        </w:rPr>
      </w:pPr>
    </w:p>
    <w:p>
      <w:pPr>
        <w:rPr>
          <w:rFonts w:hint="eastAsia" w:ascii="宋体" w:hAnsi="宋体" w:cs="宋体"/>
          <w:color w:val="auto"/>
          <w:sz w:val="44"/>
          <w:szCs w:val="44"/>
          <w:highlight w:val="none"/>
        </w:rPr>
      </w:pPr>
    </w:p>
    <w:p>
      <w:pPr>
        <w:rPr>
          <w:rFonts w:hint="eastAsia" w:ascii="宋体" w:hAnsi="宋体" w:cs="宋体"/>
          <w:color w:val="auto"/>
          <w:sz w:val="44"/>
          <w:szCs w:val="44"/>
          <w:highlight w:val="none"/>
        </w:rPr>
      </w:pPr>
    </w:p>
    <w:p>
      <w:pPr>
        <w:spacing w:after="120"/>
        <w:rPr>
          <w:rFonts w:hint="eastAsia" w:ascii="宋体" w:hAnsi="宋体" w:cs="宋体"/>
          <w:b/>
          <w:color w:val="auto"/>
          <w:sz w:val="36"/>
          <w:szCs w:val="36"/>
          <w:highlight w:val="none"/>
        </w:rPr>
      </w:pPr>
    </w:p>
    <w:p>
      <w:pPr>
        <w:pStyle w:val="2"/>
        <w:ind w:firstLine="707"/>
        <w:rPr>
          <w:rFonts w:hint="eastAsia" w:hAnsi="宋体" w:cs="宋体"/>
          <w:b/>
          <w:color w:val="auto"/>
          <w:sz w:val="36"/>
          <w:szCs w:val="36"/>
          <w:highlight w:val="none"/>
        </w:rPr>
      </w:pPr>
    </w:p>
    <w:p>
      <w:pPr>
        <w:spacing w:after="120"/>
        <w:rPr>
          <w:rFonts w:hint="eastAsia" w:ascii="宋体" w:hAnsi="宋体" w:cs="宋体"/>
          <w:b/>
          <w:color w:val="auto"/>
          <w:sz w:val="36"/>
          <w:szCs w:val="36"/>
          <w:highlight w:val="none"/>
        </w:rPr>
      </w:pPr>
    </w:p>
    <w:p>
      <w:pPr>
        <w:spacing w:after="120"/>
        <w:jc w:val="center"/>
        <w:rPr>
          <w:rFonts w:hint="eastAsia" w:ascii="宋体" w:hAnsi="宋体" w:eastAsia="宋体" w:cs="宋体"/>
          <w:b/>
          <w:color w:val="auto"/>
          <w:sz w:val="36"/>
          <w:szCs w:val="36"/>
          <w:highlight w:val="none"/>
          <w:lang w:eastAsia="zh-CN"/>
        </w:rPr>
      </w:pPr>
      <w:r>
        <w:rPr>
          <w:rFonts w:hint="eastAsia" w:ascii="宋体" w:hAnsi="宋体" w:cs="宋体"/>
          <w:b/>
          <w:color w:val="auto"/>
          <w:sz w:val="36"/>
          <w:szCs w:val="36"/>
          <w:highlight w:val="none"/>
        </w:rPr>
        <w:t>东阳市采购项目验收方案</w:t>
      </w:r>
      <w:r>
        <w:rPr>
          <w:rFonts w:hint="eastAsia" w:ascii="宋体" w:hAnsi="宋体" w:cs="宋体"/>
          <w:b/>
          <w:color w:val="auto"/>
          <w:sz w:val="36"/>
          <w:szCs w:val="36"/>
          <w:highlight w:val="none"/>
          <w:lang w:eastAsia="zh-CN"/>
        </w:rPr>
        <w:t>【本表格无需提供】</w:t>
      </w:r>
    </w:p>
    <w:p>
      <w:pPr>
        <w:spacing w:before="120" w:beforeLines="50" w:after="120" w:afterLines="50"/>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根据《政府采购法》及东阳市政府采购办东财预〔2009〕98号《关于加强政府采购管理工作的补充规定》等有关文件规定，为做好采购项目的验收管理工作，特制定本项目验收方案，具体如下。</w:t>
      </w:r>
    </w:p>
    <w:p>
      <w:pPr>
        <w:spacing w:after="120"/>
        <w:ind w:firstLine="472" w:firstLineChars="196"/>
        <w:rPr>
          <w:rFonts w:hint="eastAsia" w:ascii="宋体" w:hAnsi="宋体" w:cs="宋体"/>
          <w:b/>
          <w:color w:val="auto"/>
          <w:sz w:val="24"/>
          <w:highlight w:val="none"/>
        </w:rPr>
      </w:pPr>
      <w:r>
        <w:rPr>
          <w:rFonts w:hint="eastAsia" w:ascii="宋体" w:hAnsi="宋体" w:cs="宋体"/>
          <w:b/>
          <w:color w:val="auto"/>
          <w:sz w:val="24"/>
          <w:highlight w:val="none"/>
        </w:rPr>
        <w:t>一、验收项目说明</w:t>
      </w:r>
    </w:p>
    <w:p>
      <w:pPr>
        <w:spacing w:after="120"/>
        <w:ind w:firstLine="472" w:firstLineChars="196"/>
        <w:rPr>
          <w:rFonts w:hint="eastAsia" w:ascii="宋体" w:hAnsi="宋体" w:cs="宋体"/>
          <w:b/>
          <w:color w:val="auto"/>
          <w:sz w:val="24"/>
          <w:highlight w:val="none"/>
        </w:rPr>
      </w:pPr>
      <w:r>
        <w:rPr>
          <w:rFonts w:hint="eastAsia" w:ascii="宋体" w:hAnsi="宋体" w:cs="宋体"/>
          <w:b/>
          <w:color w:val="auto"/>
          <w:sz w:val="24"/>
          <w:highlight w:val="none"/>
        </w:rPr>
        <w:t>1、招标编号：</w:t>
      </w:r>
    </w:p>
    <w:p>
      <w:pPr>
        <w:spacing w:after="120"/>
        <w:ind w:firstLine="472" w:firstLineChars="196"/>
        <w:rPr>
          <w:rFonts w:hint="eastAsia" w:ascii="宋体" w:hAnsi="宋体" w:cs="宋体"/>
          <w:b/>
          <w:color w:val="auto"/>
          <w:sz w:val="24"/>
          <w:highlight w:val="none"/>
        </w:rPr>
      </w:pPr>
      <w:r>
        <w:rPr>
          <w:rFonts w:hint="eastAsia" w:ascii="宋体" w:hAnsi="宋体" w:cs="宋体"/>
          <w:b/>
          <w:color w:val="auto"/>
          <w:sz w:val="24"/>
          <w:highlight w:val="none"/>
        </w:rPr>
        <w:t>2、采购内容：</w:t>
      </w:r>
    </w:p>
    <w:p>
      <w:pPr>
        <w:spacing w:after="120"/>
        <w:rPr>
          <w:rFonts w:hint="eastAsia" w:ascii="宋体" w:hAnsi="宋体" w:cs="宋体"/>
          <w:b/>
          <w:color w:val="auto"/>
          <w:sz w:val="24"/>
          <w:highlight w:val="none"/>
        </w:rPr>
      </w:pPr>
    </w:p>
    <w:p>
      <w:pPr>
        <w:spacing w:after="120"/>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二、验收小组人员</w:t>
      </w:r>
    </w:p>
    <w:p>
      <w:pPr>
        <w:spacing w:after="120"/>
        <w:ind w:firstLine="472" w:firstLineChars="196"/>
        <w:rPr>
          <w:rFonts w:hint="eastAsia" w:ascii="宋体" w:hAnsi="宋体" w:cs="宋体"/>
          <w:b/>
          <w:color w:val="auto"/>
          <w:sz w:val="24"/>
          <w:highlight w:val="none"/>
        </w:rPr>
      </w:pPr>
      <w:r>
        <w:rPr>
          <w:rFonts w:hint="eastAsia" w:ascii="宋体" w:hAnsi="宋体" w:cs="宋体"/>
          <w:b/>
          <w:color w:val="auto"/>
          <w:sz w:val="24"/>
          <w:highlight w:val="none"/>
        </w:rPr>
        <w:t>1、本次验收由组织。</w:t>
      </w:r>
    </w:p>
    <w:p>
      <w:pPr>
        <w:spacing w:after="120"/>
        <w:ind w:firstLine="472" w:firstLineChars="196"/>
        <w:rPr>
          <w:rFonts w:hint="eastAsia" w:ascii="宋体" w:hAnsi="宋体" w:cs="宋体"/>
          <w:b/>
          <w:color w:val="auto"/>
          <w:sz w:val="24"/>
          <w:highlight w:val="none"/>
          <w:u w:val="single"/>
        </w:rPr>
      </w:pPr>
      <w:r>
        <w:rPr>
          <w:rFonts w:hint="eastAsia" w:ascii="宋体" w:hAnsi="宋体" w:cs="宋体"/>
          <w:b/>
          <w:color w:val="auto"/>
          <w:sz w:val="24"/>
          <w:highlight w:val="none"/>
        </w:rPr>
        <w:t>2、验收小组成员名单：</w:t>
      </w:r>
    </w:p>
    <w:p>
      <w:pPr>
        <w:spacing w:after="120"/>
        <w:ind w:firstLine="472" w:firstLineChars="196"/>
        <w:rPr>
          <w:rFonts w:hint="eastAsia" w:ascii="宋体" w:hAnsi="宋体" w:cs="宋体"/>
          <w:b/>
          <w:color w:val="auto"/>
          <w:sz w:val="24"/>
          <w:highlight w:val="none"/>
        </w:rPr>
      </w:pPr>
      <w:r>
        <w:rPr>
          <w:rFonts w:hint="eastAsia" w:ascii="宋体" w:hAnsi="宋体" w:cs="宋体"/>
          <w:b/>
          <w:color w:val="auto"/>
          <w:sz w:val="24"/>
          <w:highlight w:val="none"/>
        </w:rPr>
        <w:t>3、验收小组成员签名：</w:t>
      </w:r>
    </w:p>
    <w:p>
      <w:pPr>
        <w:spacing w:after="120"/>
        <w:ind w:firstLine="472" w:firstLineChars="196"/>
        <w:rPr>
          <w:rFonts w:hint="eastAsia" w:ascii="宋体" w:hAnsi="宋体" w:cs="宋体"/>
          <w:b/>
          <w:color w:val="auto"/>
          <w:sz w:val="24"/>
          <w:highlight w:val="none"/>
        </w:rPr>
      </w:pPr>
      <w:r>
        <w:rPr>
          <w:rFonts w:hint="eastAsia" w:ascii="宋体" w:hAnsi="宋体" w:cs="宋体"/>
          <w:b/>
          <w:color w:val="auto"/>
          <w:sz w:val="24"/>
          <w:highlight w:val="none"/>
        </w:rPr>
        <w:t>三、验收方法与内容</w:t>
      </w:r>
    </w:p>
    <w:p>
      <w:pPr>
        <w:spacing w:after="120"/>
        <w:rPr>
          <w:rFonts w:hint="eastAsia" w:ascii="宋体" w:hAnsi="宋体" w:cs="宋体"/>
          <w:b/>
          <w:color w:val="auto"/>
          <w:sz w:val="24"/>
          <w:highlight w:val="none"/>
        </w:rPr>
      </w:pPr>
    </w:p>
    <w:p>
      <w:pPr>
        <w:spacing w:after="120"/>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四、验收时间</w:t>
      </w:r>
    </w:p>
    <w:p>
      <w:pPr>
        <w:spacing w:after="120"/>
        <w:rPr>
          <w:rFonts w:hint="eastAsia" w:ascii="宋体" w:hAnsi="宋体" w:cs="宋体"/>
          <w:b/>
          <w:color w:val="auto"/>
          <w:sz w:val="24"/>
          <w:highlight w:val="none"/>
        </w:rPr>
      </w:pPr>
    </w:p>
    <w:p>
      <w:pPr>
        <w:spacing w:after="120"/>
        <w:ind w:firstLine="472" w:firstLineChars="196"/>
        <w:rPr>
          <w:rFonts w:hint="eastAsia" w:ascii="宋体" w:hAnsi="宋体" w:cs="宋体"/>
          <w:b/>
          <w:color w:val="auto"/>
          <w:sz w:val="24"/>
          <w:highlight w:val="none"/>
        </w:rPr>
      </w:pPr>
      <w:r>
        <w:rPr>
          <w:rFonts w:hint="eastAsia" w:ascii="宋体" w:hAnsi="宋体" w:cs="宋体"/>
          <w:b/>
          <w:color w:val="auto"/>
          <w:sz w:val="24"/>
          <w:highlight w:val="none"/>
        </w:rPr>
        <w:t>五、验收地点</w:t>
      </w:r>
    </w:p>
    <w:p>
      <w:pPr>
        <w:spacing w:after="120"/>
        <w:rPr>
          <w:rFonts w:hint="eastAsia" w:ascii="宋体" w:hAnsi="宋体" w:cs="宋体"/>
          <w:b/>
          <w:color w:val="auto"/>
          <w:sz w:val="24"/>
          <w:highlight w:val="none"/>
        </w:rPr>
      </w:pPr>
    </w:p>
    <w:p>
      <w:pPr>
        <w:spacing w:after="120"/>
        <w:ind w:firstLine="472" w:firstLineChars="196"/>
        <w:rPr>
          <w:rFonts w:hint="eastAsia" w:ascii="宋体" w:hAnsi="宋体" w:cs="宋体"/>
          <w:b/>
          <w:color w:val="auto"/>
          <w:sz w:val="24"/>
          <w:highlight w:val="none"/>
        </w:rPr>
      </w:pPr>
      <w:r>
        <w:rPr>
          <w:rFonts w:hint="eastAsia" w:ascii="宋体" w:hAnsi="宋体" w:cs="宋体"/>
          <w:b/>
          <w:color w:val="auto"/>
          <w:sz w:val="24"/>
          <w:highlight w:val="none"/>
        </w:rPr>
        <w:t>六、验收程序</w:t>
      </w:r>
    </w:p>
    <w:p>
      <w:pPr>
        <w:spacing w:after="120"/>
        <w:ind w:left="479" w:leftChars="228" w:firstLine="470" w:firstLineChars="195"/>
        <w:rPr>
          <w:rFonts w:hint="eastAsia" w:ascii="宋体" w:hAnsi="宋体" w:cs="宋体"/>
          <w:b/>
          <w:color w:val="auto"/>
          <w:sz w:val="24"/>
          <w:highlight w:val="none"/>
        </w:rPr>
      </w:pPr>
    </w:p>
    <w:p>
      <w:pPr>
        <w:spacing w:after="120"/>
        <w:ind w:right="-6"/>
        <w:rPr>
          <w:rFonts w:hint="eastAsia" w:ascii="宋体" w:hAnsi="宋体" w:cs="宋体"/>
          <w:b/>
          <w:color w:val="auto"/>
          <w:sz w:val="24"/>
          <w:highlight w:val="none"/>
        </w:rPr>
      </w:pPr>
      <w:r>
        <w:rPr>
          <w:rFonts w:hint="eastAsia" w:ascii="宋体" w:hAnsi="宋体" w:cs="宋体"/>
          <w:b/>
          <w:color w:val="auto"/>
          <w:sz w:val="24"/>
          <w:highlight w:val="none"/>
        </w:rPr>
        <w:t xml:space="preserve">                                            采购单位（盖章）：</w:t>
      </w:r>
    </w:p>
    <w:p>
      <w:pPr>
        <w:wordWrap w:val="0"/>
        <w:spacing w:after="120"/>
        <w:ind w:right="960" w:firstLine="548" w:firstLineChars="196"/>
        <w:jc w:val="right"/>
        <w:rPr>
          <w:rFonts w:hint="eastAsia" w:ascii="宋体" w:hAnsi="宋体" w:cs="宋体"/>
          <w:color w:val="auto"/>
          <w:sz w:val="28"/>
          <w:highlight w:val="none"/>
        </w:rPr>
      </w:pPr>
      <w:r>
        <w:rPr>
          <w:rFonts w:hint="eastAsia" w:ascii="宋体" w:hAnsi="宋体" w:cs="宋体"/>
          <w:color w:val="auto"/>
          <w:sz w:val="28"/>
          <w:highlight w:val="none"/>
        </w:rPr>
        <w:t>年  月  日</w:t>
      </w:r>
    </w:p>
    <w:p>
      <w:pPr>
        <w:rPr>
          <w:rFonts w:hint="eastAsia" w:ascii="宋体" w:hAnsi="宋体" w:cs="宋体"/>
          <w:b/>
          <w:color w:val="auto"/>
          <w:sz w:val="44"/>
          <w:highlight w:val="none"/>
        </w:rPr>
      </w:pPr>
    </w:p>
    <w:p>
      <w:pPr>
        <w:rPr>
          <w:rFonts w:hint="eastAsia" w:ascii="宋体" w:hAnsi="宋体" w:cs="宋体"/>
          <w:b/>
          <w:color w:val="auto"/>
          <w:sz w:val="44"/>
          <w:highlight w:val="none"/>
        </w:rPr>
      </w:pPr>
    </w:p>
    <w:p>
      <w:pPr>
        <w:rPr>
          <w:rFonts w:hint="eastAsia" w:ascii="宋体" w:hAnsi="宋体" w:cs="宋体"/>
          <w:b/>
          <w:color w:val="auto"/>
          <w:sz w:val="44"/>
          <w:highlight w:val="none"/>
        </w:rPr>
      </w:pPr>
    </w:p>
    <w:p>
      <w:pPr>
        <w:rPr>
          <w:rFonts w:hint="eastAsia" w:ascii="宋体" w:hAnsi="宋体" w:cs="宋体"/>
          <w:b/>
          <w:color w:val="auto"/>
          <w:sz w:val="44"/>
          <w:highlight w:val="none"/>
        </w:rPr>
      </w:pPr>
    </w:p>
    <w:p>
      <w:pPr>
        <w:rPr>
          <w:rFonts w:hint="eastAsia" w:ascii="宋体" w:hAnsi="宋体" w:cs="宋体"/>
          <w:color w:val="auto"/>
          <w:sz w:val="44"/>
          <w:szCs w:val="44"/>
          <w:highlight w:val="none"/>
        </w:rPr>
      </w:pPr>
    </w:p>
    <w:p>
      <w:pPr>
        <w:pStyle w:val="2"/>
        <w:ind w:firstLine="864"/>
        <w:rPr>
          <w:rFonts w:hint="eastAsia" w:hAnsi="宋体" w:cs="宋体"/>
          <w:color w:val="auto"/>
          <w:sz w:val="44"/>
          <w:szCs w:val="44"/>
          <w:highlight w:val="none"/>
        </w:rPr>
      </w:pPr>
    </w:p>
    <w:p>
      <w:pPr>
        <w:pStyle w:val="2"/>
        <w:ind w:firstLine="864"/>
        <w:rPr>
          <w:rFonts w:hint="eastAsia" w:hAnsi="宋体" w:cs="宋体"/>
          <w:color w:val="auto"/>
          <w:sz w:val="44"/>
          <w:szCs w:val="44"/>
          <w:highlight w:val="none"/>
        </w:rPr>
      </w:pPr>
    </w:p>
    <w:p>
      <w:pPr>
        <w:pStyle w:val="2"/>
        <w:ind w:firstLine="864"/>
        <w:rPr>
          <w:rFonts w:hint="eastAsia" w:hAnsi="宋体" w:cs="宋体"/>
          <w:color w:val="auto"/>
          <w:sz w:val="44"/>
          <w:szCs w:val="44"/>
          <w:highlight w:val="none"/>
        </w:rPr>
      </w:pPr>
    </w:p>
    <w:p>
      <w:pPr>
        <w:pStyle w:val="2"/>
        <w:ind w:firstLine="864"/>
        <w:rPr>
          <w:rFonts w:hint="eastAsia" w:hAnsi="宋体" w:cs="宋体"/>
          <w:color w:val="auto"/>
          <w:sz w:val="44"/>
          <w:szCs w:val="44"/>
          <w:highlight w:val="none"/>
        </w:rPr>
      </w:pPr>
    </w:p>
    <w:p>
      <w:pPr>
        <w:pStyle w:val="2"/>
        <w:ind w:firstLine="864"/>
        <w:rPr>
          <w:rFonts w:hint="eastAsia" w:hAnsi="宋体" w:cs="宋体"/>
          <w:color w:val="auto"/>
          <w:sz w:val="44"/>
          <w:szCs w:val="44"/>
          <w:highlight w:val="none"/>
        </w:rPr>
      </w:pPr>
    </w:p>
    <w:p>
      <w:pPr>
        <w:pStyle w:val="2"/>
        <w:ind w:firstLine="0" w:firstLineChars="0"/>
        <w:rPr>
          <w:rFonts w:hint="eastAsia" w:hAnsi="宋体" w:cs="宋体"/>
          <w:color w:val="auto"/>
          <w:sz w:val="44"/>
          <w:szCs w:val="44"/>
          <w:highlight w:val="none"/>
        </w:rPr>
      </w:pPr>
    </w:p>
    <w:p>
      <w:pPr>
        <w:pStyle w:val="6"/>
        <w:keepNext w:val="0"/>
        <w:keepLines w:val="0"/>
        <w:pageBreakBefore/>
        <w:spacing w:line="360" w:lineRule="auto"/>
        <w:rPr>
          <w:rFonts w:hint="eastAsia" w:ascii="宋体" w:hAnsi="宋体" w:eastAsia="宋体" w:cs="宋体"/>
          <w:bCs w:val="0"/>
          <w:color w:val="auto"/>
          <w:highlight w:val="none"/>
        </w:rPr>
      </w:pPr>
      <w:r>
        <w:rPr>
          <w:rFonts w:hint="eastAsia" w:ascii="宋体" w:hAnsi="宋体" w:eastAsia="宋体" w:cs="宋体"/>
          <w:bCs w:val="0"/>
          <w:color w:val="auto"/>
          <w:sz w:val="24"/>
          <w:szCs w:val="24"/>
          <w:highlight w:val="none"/>
        </w:rPr>
        <w:t>政府采购活动现场确认声明书</w:t>
      </w:r>
    </w:p>
    <w:p>
      <w:pPr>
        <w:pStyle w:val="35"/>
        <w:widowControl w:val="0"/>
        <w:snapToGrid w:val="0"/>
        <w:spacing w:line="500" w:lineRule="exact"/>
        <w:ind w:firstLine="2811" w:firstLineChars="1000"/>
        <w:jc w:val="both"/>
        <w:rPr>
          <w:rFonts w:hint="eastAsia" w:hAnsi="宋体" w:eastAsia="宋体"/>
          <w:b/>
          <w:color w:val="auto"/>
          <w:sz w:val="28"/>
          <w:szCs w:val="28"/>
          <w:highlight w:val="none"/>
        </w:rPr>
      </w:pPr>
      <w:r>
        <w:rPr>
          <w:rFonts w:hint="eastAsia" w:hAnsi="宋体" w:eastAsia="宋体"/>
          <w:b/>
          <w:color w:val="auto"/>
          <w:sz w:val="28"/>
          <w:szCs w:val="28"/>
          <w:highlight w:val="none"/>
        </w:rPr>
        <w:t>政府采购活动现场确认声明书</w:t>
      </w:r>
    </w:p>
    <w:p>
      <w:pPr>
        <w:pStyle w:val="35"/>
        <w:widowControl w:val="0"/>
        <w:snapToGrid w:val="0"/>
        <w:spacing w:line="440" w:lineRule="exact"/>
        <w:jc w:val="both"/>
        <w:rPr>
          <w:rFonts w:hint="eastAsia" w:hAnsi="宋体" w:eastAsia="宋体"/>
          <w:bCs/>
          <w:color w:val="auto"/>
          <w:szCs w:val="24"/>
          <w:highlight w:val="none"/>
        </w:rPr>
      </w:pPr>
      <w:r>
        <w:rPr>
          <w:rFonts w:hint="eastAsia" w:hAnsi="宋体" w:eastAsia="宋体"/>
          <w:color w:val="auto"/>
          <w:szCs w:val="24"/>
          <w:highlight w:val="none"/>
        </w:rPr>
        <w:t xml:space="preserve"> 东阳耀辉工程咨询有限公司：</w:t>
      </w:r>
    </w:p>
    <w:p>
      <w:pPr>
        <w:pStyle w:val="35"/>
        <w:widowControl w:val="0"/>
        <w:snapToGrid w:val="0"/>
        <w:spacing w:line="440" w:lineRule="exact"/>
        <w:ind w:firstLine="504"/>
        <w:jc w:val="both"/>
        <w:rPr>
          <w:rFonts w:hint="eastAsia" w:hAnsi="宋体" w:eastAsia="宋体"/>
          <w:color w:val="auto"/>
          <w:spacing w:val="6"/>
          <w:szCs w:val="24"/>
          <w:highlight w:val="none"/>
        </w:rPr>
      </w:pPr>
      <w:r>
        <w:rPr>
          <w:rFonts w:hint="eastAsia" w:hAnsi="宋体" w:eastAsia="宋体"/>
          <w:color w:val="auto"/>
          <w:spacing w:val="6"/>
          <w:szCs w:val="24"/>
          <w:highlight w:val="none"/>
        </w:rPr>
        <w:t>本人</w:t>
      </w:r>
      <w:r>
        <w:rPr>
          <w:rFonts w:hint="eastAsia" w:hAnsi="宋体" w:eastAsia="宋体"/>
          <w:color w:val="auto"/>
          <w:spacing w:val="6"/>
          <w:szCs w:val="24"/>
          <w:highlight w:val="none"/>
          <w:u w:val="single"/>
        </w:rPr>
        <w:t xml:space="preserve">        </w:t>
      </w:r>
      <w:r>
        <w:rPr>
          <w:rFonts w:hint="eastAsia" w:hAnsi="宋体" w:eastAsia="宋体"/>
          <w:color w:val="auto"/>
          <w:spacing w:val="6"/>
          <w:szCs w:val="24"/>
          <w:highlight w:val="none"/>
        </w:rPr>
        <w:t>（授权代表姓名），经由</w:t>
      </w:r>
      <w:r>
        <w:rPr>
          <w:rFonts w:hint="eastAsia" w:hAnsi="宋体" w:eastAsia="宋体"/>
          <w:color w:val="auto"/>
          <w:spacing w:val="6"/>
          <w:szCs w:val="24"/>
          <w:highlight w:val="none"/>
          <w:u w:val="single"/>
        </w:rPr>
        <w:t xml:space="preserve">                       </w:t>
      </w:r>
      <w:r>
        <w:rPr>
          <w:rFonts w:hint="eastAsia" w:hAnsi="宋体" w:eastAsia="宋体"/>
          <w:color w:val="auto"/>
          <w:spacing w:val="6"/>
          <w:szCs w:val="24"/>
          <w:highlight w:val="none"/>
        </w:rPr>
        <w:t>（单位）</w:t>
      </w:r>
    </w:p>
    <w:p>
      <w:pPr>
        <w:pStyle w:val="35"/>
        <w:widowControl w:val="0"/>
        <w:snapToGrid w:val="0"/>
        <w:spacing w:line="440" w:lineRule="exact"/>
        <w:ind w:firstLine="504"/>
        <w:jc w:val="both"/>
        <w:rPr>
          <w:rFonts w:hint="eastAsia" w:hAnsi="宋体" w:eastAsia="宋体"/>
          <w:color w:val="auto"/>
          <w:spacing w:val="6"/>
          <w:szCs w:val="24"/>
          <w:highlight w:val="none"/>
        </w:rPr>
      </w:pPr>
      <w:r>
        <w:rPr>
          <w:rFonts w:hint="eastAsia" w:hAnsi="宋体" w:eastAsia="宋体"/>
          <w:color w:val="auto"/>
          <w:spacing w:val="6"/>
          <w:szCs w:val="24"/>
          <w:highlight w:val="none"/>
          <w:u w:val="single"/>
        </w:rPr>
        <w:t xml:space="preserve">             </w:t>
      </w:r>
      <w:r>
        <w:rPr>
          <w:rFonts w:hint="eastAsia" w:hAnsi="宋体" w:eastAsia="宋体"/>
          <w:color w:val="auto"/>
          <w:spacing w:val="6"/>
          <w:szCs w:val="24"/>
          <w:highlight w:val="none"/>
        </w:rPr>
        <w:t>（法定代表人姓名）合法授权参加</w:t>
      </w:r>
      <w:r>
        <w:rPr>
          <w:rFonts w:hint="eastAsia" w:hAnsi="宋体" w:eastAsia="宋体"/>
          <w:color w:val="auto"/>
          <w:spacing w:val="6"/>
          <w:szCs w:val="24"/>
          <w:highlight w:val="none"/>
          <w:u w:val="single"/>
        </w:rPr>
        <w:t xml:space="preserve">       </w:t>
      </w:r>
      <w:r>
        <w:rPr>
          <w:rFonts w:hint="eastAsia" w:hAnsi="宋体" w:eastAsia="宋体"/>
          <w:color w:val="auto"/>
          <w:spacing w:val="6"/>
          <w:szCs w:val="24"/>
          <w:highlight w:val="none"/>
        </w:rPr>
        <w:t>（编号：</w:t>
      </w:r>
      <w:r>
        <w:rPr>
          <w:rFonts w:hint="eastAsia" w:hAnsi="宋体" w:eastAsia="宋体"/>
          <w:color w:val="auto"/>
          <w:szCs w:val="24"/>
          <w:highlight w:val="none"/>
          <w:u w:val="single"/>
        </w:rPr>
        <w:t xml:space="preserve">     </w:t>
      </w:r>
      <w:r>
        <w:rPr>
          <w:rFonts w:hint="eastAsia" w:hAnsi="宋体" w:eastAsia="宋体"/>
          <w:color w:val="auto"/>
          <w:spacing w:val="6"/>
          <w:szCs w:val="24"/>
          <w:highlight w:val="none"/>
          <w:u w:val="single"/>
        </w:rPr>
        <w:t>）</w:t>
      </w:r>
      <w:r>
        <w:rPr>
          <w:rFonts w:hint="eastAsia" w:hAnsi="宋体" w:eastAsia="宋体"/>
          <w:color w:val="auto"/>
          <w:spacing w:val="6"/>
          <w:szCs w:val="24"/>
          <w:highlight w:val="none"/>
        </w:rPr>
        <w:t xml:space="preserve">政府采购活动，经与本单位法人代表（负责人）联系确认，现就有关公平竞争事项郑重声明如下： </w:t>
      </w:r>
    </w:p>
    <w:p>
      <w:pPr>
        <w:pStyle w:val="36"/>
        <w:numPr>
          <w:ilvl w:val="0"/>
          <w:numId w:val="4"/>
        </w:numPr>
        <w:snapToGrid w:val="0"/>
        <w:spacing w:line="440" w:lineRule="exact"/>
        <w:ind w:firstLine="453" w:firstLineChars="189"/>
        <w:rPr>
          <w:rFonts w:hint="eastAsia" w:ascii="宋体" w:hAnsi="宋体" w:eastAsia="宋体"/>
          <w:color w:val="auto"/>
          <w:szCs w:val="24"/>
          <w:highlight w:val="none"/>
        </w:rPr>
      </w:pPr>
      <w:r>
        <w:rPr>
          <w:rFonts w:hint="eastAsia" w:ascii="宋体" w:hAnsi="宋体" w:eastAsia="宋体"/>
          <w:color w:val="auto"/>
          <w:szCs w:val="24"/>
          <w:highlight w:val="none"/>
        </w:rPr>
        <w:t>本单位与采购人之间 □不存在利害关系 □存在下列利害关系</w:t>
      </w:r>
      <w:r>
        <w:rPr>
          <w:rFonts w:hint="eastAsia" w:ascii="宋体" w:hAnsi="宋体" w:eastAsia="宋体"/>
          <w:color w:val="auto"/>
          <w:szCs w:val="24"/>
          <w:highlight w:val="none"/>
          <w:u w:val="single"/>
        </w:rPr>
        <w:t xml:space="preserve">           </w:t>
      </w:r>
      <w:r>
        <w:rPr>
          <w:rFonts w:hint="eastAsia" w:ascii="宋体" w:hAnsi="宋体" w:eastAsia="宋体"/>
          <w:color w:val="auto"/>
          <w:szCs w:val="24"/>
          <w:highlight w:val="none"/>
        </w:rPr>
        <w:t>：</w:t>
      </w:r>
    </w:p>
    <w:p>
      <w:pPr>
        <w:pStyle w:val="36"/>
        <w:snapToGrid w:val="0"/>
        <w:spacing w:line="440" w:lineRule="exact"/>
        <w:rPr>
          <w:rFonts w:hint="eastAsia" w:ascii="宋体" w:hAnsi="宋体" w:eastAsia="宋体"/>
          <w:color w:val="auto"/>
          <w:szCs w:val="24"/>
          <w:highlight w:val="none"/>
        </w:rPr>
      </w:pPr>
      <w:r>
        <w:rPr>
          <w:rFonts w:hint="eastAsia" w:ascii="宋体" w:hAnsi="宋体" w:eastAsia="宋体"/>
          <w:color w:val="auto"/>
          <w:szCs w:val="24"/>
          <w:highlight w:val="none"/>
        </w:rPr>
        <w:t xml:space="preserve">  A.投资关系    B.行政隶属关系    C.业务指导关系</w:t>
      </w:r>
    </w:p>
    <w:p>
      <w:pPr>
        <w:pStyle w:val="36"/>
        <w:snapToGrid w:val="0"/>
        <w:spacing w:line="440" w:lineRule="exact"/>
        <w:rPr>
          <w:rFonts w:hint="eastAsia" w:ascii="宋体" w:hAnsi="宋体" w:eastAsia="宋体"/>
          <w:color w:val="auto"/>
          <w:szCs w:val="24"/>
          <w:highlight w:val="none"/>
        </w:rPr>
      </w:pPr>
      <w:r>
        <w:rPr>
          <w:rFonts w:hint="eastAsia" w:ascii="宋体" w:hAnsi="宋体" w:eastAsia="宋体"/>
          <w:color w:val="auto"/>
          <w:szCs w:val="24"/>
          <w:highlight w:val="none"/>
        </w:rPr>
        <w:t xml:space="preserve">  D.其他可能影响采购公正的利害关系（如有，请如实说明） </w:t>
      </w:r>
      <w:r>
        <w:rPr>
          <w:rFonts w:hint="eastAsia" w:ascii="宋体" w:hAnsi="宋体" w:eastAsia="宋体"/>
          <w:color w:val="auto"/>
          <w:szCs w:val="24"/>
          <w:highlight w:val="none"/>
          <w:u w:val="single"/>
        </w:rPr>
        <w:t xml:space="preserve">                </w:t>
      </w:r>
      <w:r>
        <w:rPr>
          <w:rFonts w:hint="eastAsia" w:ascii="宋体" w:hAnsi="宋体" w:eastAsia="宋体"/>
          <w:color w:val="auto"/>
          <w:szCs w:val="24"/>
          <w:highlight w:val="none"/>
        </w:rPr>
        <w:t>。</w:t>
      </w:r>
    </w:p>
    <w:p>
      <w:pPr>
        <w:pStyle w:val="36"/>
        <w:numPr>
          <w:ilvl w:val="0"/>
          <w:numId w:val="4"/>
        </w:numPr>
        <w:snapToGrid w:val="0"/>
        <w:spacing w:line="440" w:lineRule="exact"/>
        <w:ind w:firstLine="453" w:firstLineChars="189"/>
        <w:rPr>
          <w:rFonts w:hint="eastAsia" w:ascii="宋体" w:hAnsi="宋体" w:eastAsia="宋体"/>
          <w:color w:val="auto"/>
          <w:szCs w:val="24"/>
          <w:highlight w:val="none"/>
        </w:rPr>
      </w:pPr>
      <w:r>
        <w:rPr>
          <w:rFonts w:hint="eastAsia" w:ascii="宋体" w:hAnsi="宋体" w:eastAsia="宋体"/>
          <w:color w:val="auto"/>
          <w:szCs w:val="24"/>
          <w:highlight w:val="none"/>
        </w:rPr>
        <w:t xml:space="preserve">现已清楚知道参加本项目采购活动的其他所有供应商名称，本单位 □与其他所有供应商之间均不存在利害关系 □与 </w:t>
      </w:r>
      <w:r>
        <w:rPr>
          <w:rFonts w:hint="eastAsia" w:ascii="宋体" w:hAnsi="宋体" w:eastAsia="宋体"/>
          <w:color w:val="auto"/>
          <w:szCs w:val="24"/>
          <w:highlight w:val="none"/>
          <w:u w:val="single"/>
        </w:rPr>
        <w:t xml:space="preserve">               </w:t>
      </w:r>
      <w:r>
        <w:rPr>
          <w:rFonts w:hint="eastAsia" w:ascii="宋体" w:hAnsi="宋体" w:eastAsia="宋体"/>
          <w:color w:val="auto"/>
          <w:szCs w:val="24"/>
          <w:highlight w:val="none"/>
        </w:rPr>
        <w:t>（供应商名称）之间存在下列利害关系</w:t>
      </w:r>
      <w:r>
        <w:rPr>
          <w:rFonts w:hint="eastAsia" w:ascii="宋体" w:hAnsi="宋体" w:eastAsia="宋体"/>
          <w:color w:val="auto"/>
          <w:szCs w:val="24"/>
          <w:highlight w:val="none"/>
          <w:u w:val="single"/>
        </w:rPr>
        <w:t xml:space="preserve">               </w:t>
      </w:r>
      <w:r>
        <w:rPr>
          <w:rFonts w:hint="eastAsia" w:ascii="宋体" w:hAnsi="宋体" w:eastAsia="宋体"/>
          <w:color w:val="auto"/>
          <w:szCs w:val="24"/>
          <w:highlight w:val="none"/>
        </w:rPr>
        <w:t>：</w:t>
      </w:r>
    </w:p>
    <w:p>
      <w:pPr>
        <w:pStyle w:val="35"/>
        <w:widowControl w:val="0"/>
        <w:snapToGrid w:val="0"/>
        <w:spacing w:line="440" w:lineRule="exact"/>
        <w:jc w:val="both"/>
        <w:rPr>
          <w:rFonts w:hint="eastAsia" w:hAnsi="宋体" w:eastAsia="宋体"/>
          <w:color w:val="auto"/>
          <w:szCs w:val="24"/>
          <w:highlight w:val="none"/>
        </w:rPr>
      </w:pPr>
      <w:r>
        <w:rPr>
          <w:rFonts w:hint="eastAsia" w:hAnsi="宋体" w:eastAsia="宋体"/>
          <w:color w:val="auto"/>
          <w:szCs w:val="24"/>
          <w:highlight w:val="none"/>
        </w:rPr>
        <w:t xml:space="preserve">  A.法定代表人或负责人或实际控制人是同一人</w:t>
      </w:r>
    </w:p>
    <w:p>
      <w:pPr>
        <w:pStyle w:val="35"/>
        <w:widowControl w:val="0"/>
        <w:snapToGrid w:val="0"/>
        <w:spacing w:line="440" w:lineRule="exact"/>
        <w:jc w:val="both"/>
        <w:rPr>
          <w:rFonts w:hint="eastAsia" w:hAnsi="宋体" w:eastAsia="宋体"/>
          <w:color w:val="auto"/>
          <w:spacing w:val="6"/>
          <w:szCs w:val="24"/>
          <w:highlight w:val="none"/>
        </w:rPr>
      </w:pPr>
      <w:r>
        <w:rPr>
          <w:rFonts w:hint="eastAsia" w:hAnsi="宋体" w:eastAsia="宋体"/>
          <w:color w:val="auto"/>
          <w:szCs w:val="24"/>
          <w:highlight w:val="none"/>
        </w:rPr>
        <w:t xml:space="preserve">  B.法定代表人或负责人或实际控制人是夫妻关系</w:t>
      </w:r>
    </w:p>
    <w:p>
      <w:pPr>
        <w:pStyle w:val="35"/>
        <w:widowControl w:val="0"/>
        <w:snapToGrid w:val="0"/>
        <w:spacing w:line="440" w:lineRule="exact"/>
        <w:jc w:val="both"/>
        <w:rPr>
          <w:rFonts w:hint="eastAsia" w:hAnsi="宋体" w:eastAsia="宋体"/>
          <w:color w:val="auto"/>
          <w:spacing w:val="6"/>
          <w:szCs w:val="24"/>
          <w:highlight w:val="none"/>
        </w:rPr>
      </w:pPr>
      <w:r>
        <w:rPr>
          <w:rFonts w:hint="eastAsia" w:hAnsi="宋体" w:eastAsia="宋体"/>
          <w:color w:val="auto"/>
          <w:szCs w:val="24"/>
          <w:highlight w:val="none"/>
        </w:rPr>
        <w:t xml:space="preserve">  C.法定代表人或负责人或实际控制人是直系血亲关系</w:t>
      </w:r>
    </w:p>
    <w:p>
      <w:pPr>
        <w:pStyle w:val="35"/>
        <w:widowControl w:val="0"/>
        <w:snapToGrid w:val="0"/>
        <w:spacing w:line="440" w:lineRule="exact"/>
        <w:jc w:val="both"/>
        <w:rPr>
          <w:rFonts w:hint="eastAsia" w:hAnsi="宋体" w:eastAsia="宋体"/>
          <w:color w:val="auto"/>
          <w:spacing w:val="6"/>
          <w:szCs w:val="24"/>
          <w:highlight w:val="none"/>
        </w:rPr>
      </w:pPr>
      <w:r>
        <w:rPr>
          <w:rFonts w:hint="eastAsia" w:hAnsi="宋体" w:eastAsia="宋体"/>
          <w:color w:val="auto"/>
          <w:szCs w:val="24"/>
          <w:highlight w:val="none"/>
        </w:rPr>
        <w:t xml:space="preserve">  D.法定代表人或负责人或实际控制人存在三代以内旁系血亲关系</w:t>
      </w:r>
    </w:p>
    <w:p>
      <w:pPr>
        <w:pStyle w:val="35"/>
        <w:widowControl w:val="0"/>
        <w:snapToGrid w:val="0"/>
        <w:spacing w:line="440" w:lineRule="exact"/>
        <w:jc w:val="both"/>
        <w:rPr>
          <w:rFonts w:hint="eastAsia" w:hAnsi="宋体" w:eastAsia="宋体"/>
          <w:color w:val="auto"/>
          <w:szCs w:val="24"/>
          <w:highlight w:val="none"/>
        </w:rPr>
      </w:pPr>
      <w:r>
        <w:rPr>
          <w:rFonts w:hint="eastAsia" w:hAnsi="宋体" w:eastAsia="宋体"/>
          <w:color w:val="auto"/>
          <w:szCs w:val="24"/>
          <w:highlight w:val="none"/>
        </w:rPr>
        <w:t xml:space="preserve">  E.法定代表人或负责人或实际控制人存在近姻亲关系</w:t>
      </w:r>
    </w:p>
    <w:p>
      <w:pPr>
        <w:pStyle w:val="35"/>
        <w:widowControl w:val="0"/>
        <w:snapToGrid w:val="0"/>
        <w:spacing w:line="440" w:lineRule="exact"/>
        <w:jc w:val="both"/>
        <w:rPr>
          <w:rFonts w:hint="eastAsia" w:hAnsi="宋体" w:eastAsia="宋体"/>
          <w:color w:val="auto"/>
          <w:szCs w:val="24"/>
          <w:highlight w:val="none"/>
        </w:rPr>
      </w:pPr>
      <w:r>
        <w:rPr>
          <w:rFonts w:hint="eastAsia" w:hAnsi="宋体" w:eastAsia="宋体"/>
          <w:color w:val="auto"/>
          <w:szCs w:val="24"/>
          <w:highlight w:val="none"/>
        </w:rPr>
        <w:t xml:space="preserve">  F.法定代表人或负责人或实际控制人存在股份控制或实际控制关系</w:t>
      </w:r>
    </w:p>
    <w:p>
      <w:pPr>
        <w:pStyle w:val="35"/>
        <w:widowControl w:val="0"/>
        <w:snapToGrid w:val="0"/>
        <w:spacing w:line="440" w:lineRule="exact"/>
        <w:jc w:val="both"/>
        <w:rPr>
          <w:rFonts w:hint="eastAsia" w:hAnsi="宋体" w:eastAsia="宋体"/>
          <w:color w:val="auto"/>
          <w:szCs w:val="24"/>
          <w:highlight w:val="none"/>
        </w:rPr>
      </w:pPr>
      <w:r>
        <w:rPr>
          <w:rFonts w:hint="eastAsia" w:hAnsi="宋体" w:eastAsia="宋体"/>
          <w:color w:val="auto"/>
          <w:szCs w:val="24"/>
          <w:highlight w:val="none"/>
        </w:rPr>
        <w:t xml:space="preserve">  G.存在共同直接或间接投资设立子公司、联营企业和合营企业情况</w:t>
      </w:r>
    </w:p>
    <w:p>
      <w:pPr>
        <w:pStyle w:val="35"/>
        <w:widowControl w:val="0"/>
        <w:snapToGrid w:val="0"/>
        <w:spacing w:line="440" w:lineRule="exact"/>
        <w:jc w:val="both"/>
        <w:rPr>
          <w:rFonts w:hint="eastAsia" w:hAnsi="宋体" w:eastAsia="宋体"/>
          <w:color w:val="auto"/>
          <w:szCs w:val="24"/>
          <w:highlight w:val="none"/>
        </w:rPr>
      </w:pPr>
      <w:r>
        <w:rPr>
          <w:rFonts w:hint="eastAsia" w:hAnsi="宋体" w:eastAsia="宋体"/>
          <w:color w:val="auto"/>
          <w:szCs w:val="24"/>
          <w:highlight w:val="none"/>
        </w:rPr>
        <w:t xml:space="preserve">  H.存在分级代理或代销关系、同一生产制造商关系、管理关系、重要业务（占主营业务收入50%以上）或重要财务往来关系（如融资）等其他实质性控制关系</w:t>
      </w:r>
    </w:p>
    <w:p>
      <w:pPr>
        <w:pStyle w:val="35"/>
        <w:widowControl w:val="0"/>
        <w:snapToGrid w:val="0"/>
        <w:spacing w:line="440" w:lineRule="exact"/>
        <w:jc w:val="both"/>
        <w:rPr>
          <w:rFonts w:hint="eastAsia" w:hAnsi="宋体" w:eastAsia="宋体"/>
          <w:color w:val="auto"/>
          <w:spacing w:val="6"/>
          <w:szCs w:val="24"/>
          <w:highlight w:val="none"/>
        </w:rPr>
      </w:pPr>
      <w:r>
        <w:rPr>
          <w:rFonts w:hint="eastAsia" w:hAnsi="宋体" w:eastAsia="宋体"/>
          <w:color w:val="auto"/>
          <w:szCs w:val="24"/>
          <w:highlight w:val="none"/>
        </w:rPr>
        <w:t xml:space="preserve">  I.其他利害关系情况</w:t>
      </w:r>
      <w:r>
        <w:rPr>
          <w:rFonts w:hint="eastAsia" w:hAnsi="宋体" w:eastAsia="宋体"/>
          <w:color w:val="auto"/>
          <w:szCs w:val="24"/>
          <w:highlight w:val="none"/>
          <w:u w:val="single"/>
        </w:rPr>
        <w:t xml:space="preserve">                              </w:t>
      </w:r>
      <w:r>
        <w:rPr>
          <w:rFonts w:hint="eastAsia" w:hAnsi="宋体" w:eastAsia="宋体"/>
          <w:color w:val="auto"/>
          <w:szCs w:val="24"/>
          <w:highlight w:val="none"/>
        </w:rPr>
        <w:t>。</w:t>
      </w:r>
    </w:p>
    <w:p>
      <w:pPr>
        <w:pStyle w:val="36"/>
        <w:numPr>
          <w:ilvl w:val="0"/>
          <w:numId w:val="5"/>
        </w:numPr>
        <w:snapToGrid w:val="0"/>
        <w:spacing w:line="440" w:lineRule="exact"/>
        <w:ind w:firstLine="453" w:firstLineChars="189"/>
        <w:rPr>
          <w:rFonts w:hint="eastAsia" w:ascii="宋体" w:hAnsi="宋体" w:eastAsia="宋体"/>
          <w:color w:val="auto"/>
          <w:szCs w:val="24"/>
          <w:highlight w:val="none"/>
        </w:rPr>
      </w:pPr>
      <w:r>
        <w:rPr>
          <w:rFonts w:hint="eastAsia" w:ascii="宋体" w:hAnsi="宋体" w:eastAsia="宋体"/>
          <w:color w:val="auto"/>
          <w:szCs w:val="24"/>
          <w:highlight w:val="none"/>
        </w:rPr>
        <w:t>现已清楚知道并严格遵守政府采购法律法规和现场纪律。</w:t>
      </w:r>
    </w:p>
    <w:p>
      <w:pPr>
        <w:pStyle w:val="36"/>
        <w:numPr>
          <w:ilvl w:val="0"/>
          <w:numId w:val="5"/>
        </w:numPr>
        <w:snapToGrid w:val="0"/>
        <w:spacing w:line="440" w:lineRule="exact"/>
        <w:ind w:firstLine="453" w:firstLineChars="189"/>
        <w:rPr>
          <w:rFonts w:hint="eastAsia" w:ascii="宋体" w:hAnsi="宋体" w:eastAsia="宋体"/>
          <w:color w:val="auto"/>
          <w:szCs w:val="24"/>
          <w:highlight w:val="none"/>
        </w:rPr>
      </w:pPr>
      <w:r>
        <w:rPr>
          <w:rFonts w:hint="eastAsia" w:ascii="宋体" w:hAnsi="宋体" w:eastAsia="宋体"/>
          <w:color w:val="auto"/>
          <w:szCs w:val="24"/>
          <w:highlight w:val="none"/>
        </w:rPr>
        <w:t>我发现</w:t>
      </w:r>
      <w:r>
        <w:rPr>
          <w:rFonts w:hint="eastAsia" w:ascii="宋体" w:hAnsi="宋体" w:eastAsia="宋体"/>
          <w:color w:val="auto"/>
          <w:szCs w:val="24"/>
          <w:highlight w:val="none"/>
          <w:u w:val="single"/>
        </w:rPr>
        <w:t xml:space="preserve">                    </w:t>
      </w:r>
      <w:r>
        <w:rPr>
          <w:rFonts w:hint="eastAsia" w:ascii="宋体" w:hAnsi="宋体" w:eastAsia="宋体"/>
          <w:color w:val="auto"/>
          <w:szCs w:val="24"/>
          <w:highlight w:val="none"/>
        </w:rPr>
        <w:t>供应商之间存在或可能存在上述第二条第</w:t>
      </w:r>
      <w:r>
        <w:rPr>
          <w:rFonts w:hint="eastAsia" w:ascii="宋体" w:hAnsi="宋体" w:eastAsia="宋体"/>
          <w:color w:val="auto"/>
          <w:szCs w:val="24"/>
          <w:highlight w:val="none"/>
          <w:u w:val="single"/>
        </w:rPr>
        <w:t xml:space="preserve">        </w:t>
      </w:r>
      <w:r>
        <w:rPr>
          <w:rFonts w:hint="eastAsia" w:ascii="宋体" w:hAnsi="宋体" w:eastAsia="宋体"/>
          <w:color w:val="auto"/>
          <w:szCs w:val="24"/>
          <w:highlight w:val="none"/>
        </w:rPr>
        <w:t>项利害关系。</w:t>
      </w:r>
    </w:p>
    <w:p>
      <w:pPr>
        <w:pStyle w:val="35"/>
        <w:widowControl w:val="0"/>
        <w:snapToGrid w:val="0"/>
        <w:spacing w:line="440" w:lineRule="exact"/>
        <w:jc w:val="both"/>
        <w:rPr>
          <w:rFonts w:hint="eastAsia" w:hAnsi="宋体" w:eastAsia="宋体"/>
          <w:color w:val="auto"/>
          <w:szCs w:val="24"/>
          <w:highlight w:val="none"/>
        </w:rPr>
      </w:pPr>
    </w:p>
    <w:p>
      <w:pPr>
        <w:pStyle w:val="35"/>
        <w:widowControl w:val="0"/>
        <w:snapToGrid w:val="0"/>
        <w:spacing w:line="440" w:lineRule="exact"/>
        <w:jc w:val="both"/>
        <w:rPr>
          <w:rFonts w:hint="eastAsia" w:hAnsi="宋体" w:eastAsia="宋体"/>
          <w:color w:val="auto"/>
          <w:szCs w:val="24"/>
          <w:highlight w:val="none"/>
        </w:rPr>
      </w:pPr>
    </w:p>
    <w:p>
      <w:pPr>
        <w:pStyle w:val="35"/>
        <w:widowControl w:val="0"/>
        <w:snapToGrid w:val="0"/>
        <w:spacing w:line="440" w:lineRule="exact"/>
        <w:jc w:val="both"/>
        <w:rPr>
          <w:rFonts w:hint="eastAsia" w:hAnsi="宋体" w:eastAsia="宋体"/>
          <w:color w:val="auto"/>
          <w:szCs w:val="24"/>
          <w:highlight w:val="none"/>
        </w:rPr>
      </w:pPr>
      <w:r>
        <w:rPr>
          <w:rFonts w:hint="eastAsia" w:hAnsi="宋体" w:eastAsia="宋体"/>
          <w:color w:val="auto"/>
          <w:szCs w:val="24"/>
          <w:highlight w:val="none"/>
        </w:rPr>
        <w:t xml:space="preserve">（供应商代表签名）：                </w:t>
      </w:r>
      <w:r>
        <w:rPr>
          <w:rFonts w:hint="eastAsia" w:hAnsi="宋体" w:eastAsia="宋体"/>
          <w:color w:val="auto"/>
          <w:szCs w:val="24"/>
          <w:highlight w:val="none"/>
          <w:lang w:eastAsia="zh-CN"/>
        </w:rPr>
        <w:t>202</w:t>
      </w:r>
      <w:r>
        <w:rPr>
          <w:rFonts w:hint="eastAsia" w:hAnsi="宋体" w:eastAsia="宋体"/>
          <w:color w:val="auto"/>
          <w:szCs w:val="24"/>
          <w:highlight w:val="none"/>
          <w:lang w:val="en-US" w:eastAsia="zh-CN"/>
        </w:rPr>
        <w:t>4</w:t>
      </w:r>
      <w:r>
        <w:rPr>
          <w:rFonts w:hint="eastAsia" w:hAnsi="宋体" w:eastAsia="宋体"/>
          <w:color w:val="auto"/>
          <w:szCs w:val="24"/>
          <w:highlight w:val="none"/>
        </w:rPr>
        <w:t>年  月   日</w:t>
      </w:r>
    </w:p>
    <w:p>
      <w:pPr>
        <w:pStyle w:val="35"/>
        <w:widowControl w:val="0"/>
        <w:snapToGrid w:val="0"/>
        <w:spacing w:line="440" w:lineRule="exact"/>
        <w:jc w:val="both"/>
        <w:rPr>
          <w:rFonts w:hint="eastAsia" w:hAnsi="宋体" w:eastAsia="宋体"/>
          <w:color w:val="auto"/>
          <w:szCs w:val="24"/>
          <w:highlight w:val="none"/>
        </w:rPr>
      </w:pPr>
    </w:p>
    <w:p>
      <w:pPr>
        <w:ind w:firstLine="880" w:firstLineChars="200"/>
        <w:rPr>
          <w:rFonts w:hint="eastAsia" w:ascii="宋体" w:hAnsi="宋体" w:cs="宋体"/>
          <w:color w:val="auto"/>
          <w:sz w:val="44"/>
          <w:szCs w:val="44"/>
          <w:highlight w:val="none"/>
        </w:rPr>
      </w:pPr>
    </w:p>
    <w:p>
      <w:pPr>
        <w:jc w:val="center"/>
        <w:rPr>
          <w:rFonts w:hint="eastAsia" w:ascii="宋体" w:hAnsi="宋体" w:cs="宋体"/>
          <w:color w:val="auto"/>
          <w:sz w:val="44"/>
          <w:szCs w:val="44"/>
          <w:highlight w:val="none"/>
        </w:rPr>
      </w:pPr>
      <w:r>
        <w:rPr>
          <w:rFonts w:hint="eastAsia" w:ascii="宋体" w:hAnsi="宋体" w:cs="宋体"/>
          <w:color w:val="auto"/>
          <w:sz w:val="44"/>
          <w:szCs w:val="44"/>
          <w:highlight w:val="none"/>
        </w:rPr>
        <w:t>东阳市政府采购代理机构社会评价表</w:t>
      </w:r>
    </w:p>
    <w:p>
      <w:pPr>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代理机构名称：东阳耀辉工程咨询有限公司 </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70"/>
        <w:gridCol w:w="696"/>
        <w:gridCol w:w="1068"/>
        <w:gridCol w:w="132"/>
        <w:gridCol w:w="900"/>
        <w:gridCol w:w="787"/>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填表人类别</w:t>
            </w:r>
          </w:p>
        </w:tc>
        <w:tc>
          <w:tcPr>
            <w:tcW w:w="7938" w:type="dxa"/>
            <w:gridSpan w:val="7"/>
            <w:tcBorders>
              <w:top w:val="single" w:color="auto" w:sz="4" w:space="0"/>
              <w:left w:val="nil"/>
              <w:bottom w:val="single" w:color="auto" w:sz="4" w:space="0"/>
              <w:right w:val="single" w:color="auto" w:sz="4" w:space="0"/>
            </w:tcBorders>
            <w:noWrap w:val="0"/>
            <w:vAlign w:val="center"/>
          </w:tcPr>
          <w:p>
            <w:pPr>
              <w:ind w:firstLine="480" w:firstLineChars="200"/>
              <w:jc w:val="center"/>
              <w:rPr>
                <w:rFonts w:hint="eastAsia" w:ascii="宋体" w:hAnsi="宋体" w:cs="宋体"/>
                <w:color w:val="auto"/>
                <w:sz w:val="24"/>
                <w:highlight w:val="none"/>
              </w:rPr>
            </w:pPr>
            <w:r>
              <w:rPr>
                <w:rFonts w:hint="eastAsia" w:ascii="宋体" w:hAnsi="宋体" w:cs="宋体"/>
                <w:color w:val="auto"/>
                <w:sz w:val="24"/>
                <w:highlight w:val="none"/>
              </w:rPr>
              <w:t xml:space="preserve">□采购单位      □供应商      □专家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填表人名称或姓名</w:t>
            </w:r>
          </w:p>
        </w:tc>
        <w:tc>
          <w:tcPr>
            <w:tcW w:w="336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地址</w:t>
            </w:r>
          </w:p>
        </w:tc>
        <w:tc>
          <w:tcPr>
            <w:tcW w:w="367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联系人</w:t>
            </w:r>
          </w:p>
        </w:tc>
        <w:tc>
          <w:tcPr>
            <w:tcW w:w="147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p>
        </w:tc>
        <w:tc>
          <w:tcPr>
            <w:tcW w:w="69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电话</w:t>
            </w:r>
          </w:p>
        </w:tc>
        <w:tc>
          <w:tcPr>
            <w:tcW w:w="2100"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p>
        </w:tc>
        <w:tc>
          <w:tcPr>
            <w:tcW w:w="78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传真</w:t>
            </w:r>
          </w:p>
        </w:tc>
        <w:tc>
          <w:tcPr>
            <w:tcW w:w="28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对代理机构的评价</w:t>
            </w:r>
          </w:p>
        </w:tc>
        <w:tc>
          <w:tcPr>
            <w:tcW w:w="3234" w:type="dxa"/>
            <w:gridSpan w:val="3"/>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项目</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kern w:val="0"/>
                <w:sz w:val="24"/>
                <w:highlight w:val="none"/>
              </w:rPr>
            </w:pPr>
            <w:r>
              <w:rPr>
                <w:rFonts w:hint="eastAsia" w:ascii="宋体" w:hAnsi="宋体" w:cs="宋体"/>
                <w:color w:val="auto"/>
                <w:sz w:val="24"/>
                <w:highlight w:val="none"/>
              </w:rPr>
              <w:t>是否严格执行政府采购纪律、法规和规章制度等（2分）。</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kern w:val="0"/>
                <w:sz w:val="24"/>
                <w:highlight w:val="none"/>
              </w:rPr>
            </w:pPr>
            <w:r>
              <w:rPr>
                <w:rFonts w:hint="eastAsia" w:ascii="宋体" w:hAnsi="宋体" w:cs="宋体"/>
                <w:color w:val="auto"/>
                <w:sz w:val="24"/>
                <w:highlight w:val="none"/>
              </w:rPr>
              <w:t>操作程序是否规范，采购行为、过程、结果是否公开、公平、公正，采购组织管理是否规范严谨（2分）</w:t>
            </w:r>
            <w:r>
              <w:rPr>
                <w:rFonts w:hint="eastAsia" w:ascii="宋体" w:hAnsi="宋体" w:cs="宋体"/>
                <w:color w:val="auto"/>
                <w:kern w:val="0"/>
                <w:sz w:val="24"/>
                <w:highlight w:val="none"/>
              </w:rPr>
              <w:t>。</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kern w:val="0"/>
                <w:sz w:val="24"/>
                <w:highlight w:val="none"/>
              </w:rPr>
            </w:pPr>
            <w:r>
              <w:rPr>
                <w:rFonts w:hint="eastAsia" w:ascii="宋体" w:hAnsi="宋体" w:cs="宋体"/>
                <w:color w:val="auto"/>
                <w:sz w:val="24"/>
                <w:highlight w:val="none"/>
              </w:rPr>
              <w:t>是否及时组织采购，是否有承诺办事时间并能限时办结（2分）</w:t>
            </w:r>
            <w:r>
              <w:rPr>
                <w:rFonts w:hint="eastAsia" w:ascii="宋体" w:hAnsi="宋体" w:cs="宋体"/>
                <w:color w:val="auto"/>
                <w:kern w:val="0"/>
                <w:sz w:val="24"/>
                <w:highlight w:val="none"/>
              </w:rPr>
              <w:t>。</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是否能积极</w:t>
            </w:r>
            <w:r>
              <w:rPr>
                <w:rFonts w:hint="eastAsia" w:ascii="宋体" w:hAnsi="宋体" w:cs="宋体"/>
                <w:color w:val="auto"/>
                <w:kern w:val="0"/>
                <w:sz w:val="24"/>
                <w:highlight w:val="none"/>
              </w:rPr>
              <w:t>主动</w:t>
            </w:r>
            <w:r>
              <w:rPr>
                <w:rFonts w:hint="eastAsia" w:ascii="宋体" w:hAnsi="宋体" w:cs="宋体"/>
                <w:color w:val="auto"/>
                <w:sz w:val="24"/>
                <w:highlight w:val="none"/>
              </w:rPr>
              <w:t>与当事人沟通</w:t>
            </w:r>
            <w:r>
              <w:rPr>
                <w:rFonts w:hint="eastAsia" w:ascii="宋体" w:hAnsi="宋体" w:cs="宋体"/>
                <w:color w:val="auto"/>
                <w:kern w:val="0"/>
                <w:sz w:val="24"/>
                <w:highlight w:val="none"/>
              </w:rPr>
              <w:t>对接；对采购政策进行详细解读；</w:t>
            </w:r>
            <w:r>
              <w:rPr>
                <w:rFonts w:hint="eastAsia" w:ascii="宋体" w:hAnsi="宋体" w:cs="宋体"/>
                <w:color w:val="auto"/>
                <w:sz w:val="24"/>
                <w:highlight w:val="none"/>
              </w:rPr>
              <w:t>咨询答复是否热情周到、耐心细致（2分）</w:t>
            </w:r>
            <w:r>
              <w:rPr>
                <w:rFonts w:hint="eastAsia" w:ascii="宋体" w:hAnsi="宋体" w:cs="宋体"/>
                <w:color w:val="auto"/>
                <w:kern w:val="0"/>
                <w:sz w:val="24"/>
                <w:highlight w:val="none"/>
              </w:rPr>
              <w:t>。</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采购的质量、服务是否满意（2分）。</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合计</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对代理机构的意见和建议</w:t>
            </w:r>
          </w:p>
        </w:tc>
        <w:tc>
          <w:tcPr>
            <w:tcW w:w="7938" w:type="dxa"/>
            <w:gridSpan w:val="7"/>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备注</w:t>
            </w:r>
          </w:p>
        </w:tc>
        <w:tc>
          <w:tcPr>
            <w:tcW w:w="7938" w:type="dxa"/>
            <w:gridSpan w:val="7"/>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 w:val="24"/>
                <w:highlight w:val="none"/>
              </w:rPr>
            </w:pPr>
          </w:p>
        </w:tc>
      </w:tr>
    </w:tbl>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填表人签字盖章：                    日期</w:t>
      </w:r>
    </w:p>
    <w:p>
      <w:pPr>
        <w:spacing w:before="100" w:beforeAutospacing="1" w:after="120"/>
        <w:ind w:right="-154" w:firstLine="4760" w:firstLineChars="1700"/>
        <w:rPr>
          <w:rFonts w:hint="eastAsia" w:ascii="宋体" w:hAnsi="宋体" w:cs="宋体"/>
          <w:color w:val="auto"/>
          <w:sz w:val="28"/>
          <w:szCs w:val="28"/>
          <w:highlight w:val="none"/>
        </w:rPr>
      </w:pPr>
      <w:r>
        <w:rPr>
          <w:rFonts w:hint="eastAsia" w:ascii="宋体" w:hAnsi="宋体" w:cs="宋体"/>
          <w:color w:val="auto"/>
          <w:sz w:val="28"/>
          <w:szCs w:val="28"/>
          <w:highlight w:val="none"/>
        </w:rPr>
        <w:t>注：此表须盖投标单位公章</w:t>
      </w:r>
    </w:p>
    <w:p>
      <w:pPr>
        <w:spacing w:line="360" w:lineRule="auto"/>
        <w:rPr>
          <w:rFonts w:hint="eastAsia" w:ascii="宋体" w:hAnsi="宋体" w:cs="宋体"/>
          <w:b/>
          <w:color w:val="auto"/>
          <w:sz w:val="28"/>
          <w:szCs w:val="28"/>
          <w:highlight w:val="none"/>
        </w:rPr>
      </w:pPr>
    </w:p>
    <w:p>
      <w:pPr>
        <w:spacing w:line="360" w:lineRule="auto"/>
        <w:rPr>
          <w:rFonts w:hint="eastAsia" w:ascii="宋体" w:hAnsi="宋体" w:cs="宋体"/>
          <w:b/>
          <w:color w:val="auto"/>
          <w:sz w:val="28"/>
          <w:szCs w:val="28"/>
          <w:highlight w:val="none"/>
        </w:rPr>
      </w:pPr>
    </w:p>
    <w:p>
      <w:pPr>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政府采购支持中小企业信用融资相关事项通知</w:t>
      </w:r>
    </w:p>
    <w:p>
      <w:pPr>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为支持和促进中小企业发展，进一步发挥政府采购政策功能，现将相关事项通知如下：</w:t>
      </w:r>
    </w:p>
    <w:p>
      <w:pPr>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一、适用对象</w:t>
      </w:r>
    </w:p>
    <w:p>
      <w:pPr>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在浙江政府采购网注册入库，并取得东阳市政府采购合同的中小企业供应商。</w:t>
      </w:r>
    </w:p>
    <w:p>
      <w:pPr>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二、相关信息获取方式</w:t>
      </w:r>
    </w:p>
    <w:p>
      <w:pPr>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请登</w:t>
      </w:r>
      <w:r>
        <w:rPr>
          <w:rFonts w:hint="eastAsia" w:ascii="宋体" w:hAnsi="宋体" w:cs="宋体"/>
          <w:color w:val="auto"/>
          <w:sz w:val="24"/>
          <w:highlight w:val="none"/>
          <w:lang w:eastAsia="zh-CN"/>
        </w:rPr>
        <w:t>录</w:t>
      </w:r>
      <w:r>
        <w:rPr>
          <w:rFonts w:hint="eastAsia" w:ascii="宋体" w:hAnsi="宋体" w:cs="宋体"/>
          <w:color w:val="auto"/>
          <w:sz w:val="24"/>
          <w:highlight w:val="none"/>
        </w:rPr>
        <w:t>浙江省政府采购网“融资贷款”模块，查看信用融资政策文件及各相关银行服务方案。</w:t>
      </w:r>
    </w:p>
    <w:p>
      <w:pPr>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三、申请方式和步骤</w:t>
      </w:r>
    </w:p>
    <w:p>
      <w:pPr>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（一）采购合同贷</w:t>
      </w:r>
    </w:p>
    <w:p>
      <w:pPr>
        <w:spacing w:line="3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1、采购单位在政采云完成中标通知书及公告发布后，政采云根据该供应商资信向供应商发送推介合适的融资产品方案(展示多家银行---满足贷款银行条件的银行产品,对供应商进行展示)；</w:t>
      </w:r>
    </w:p>
    <w:p>
      <w:pPr>
        <w:spacing w:line="3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2、供应商在收到中标通知的同时会收到可申请融资服务邀请，有意向的供应商选择满足条件的银行产品,并补充填写相关资料,向满足条件的融资产品发起申请；</w:t>
      </w:r>
    </w:p>
    <w:p>
      <w:pPr>
        <w:spacing w:line="3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3、政采云将供应商的申请传递给银行,并将供应商相关信息给银行:供应商信息、订单(合同)信息、融资申请等数据用于贷款审批；</w:t>
      </w:r>
    </w:p>
    <w:p>
      <w:pPr>
        <w:spacing w:line="3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4、银行进行融资审批并返回审批结果至政采云（审批通过的等待政采云放款通知，订单合同签署生效后通知）,政采云将银行反馈信息同步展示给对应供应商；</w:t>
      </w:r>
    </w:p>
    <w:p>
      <w:pPr>
        <w:spacing w:line="3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5、采购单位与供应商在线下签订完成合同签署后（将贷款银行的</w:t>
      </w:r>
      <w:r>
        <w:rPr>
          <w:rFonts w:hint="eastAsia" w:ascii="宋体" w:hAnsi="宋体" w:cs="宋体"/>
          <w:color w:val="auto"/>
          <w:sz w:val="24"/>
          <w:highlight w:val="none"/>
          <w:lang w:eastAsia="zh-CN"/>
        </w:rPr>
        <w:t>账</w:t>
      </w:r>
      <w:r>
        <w:rPr>
          <w:rFonts w:hint="eastAsia" w:ascii="宋体" w:hAnsi="宋体" w:cs="宋体"/>
          <w:color w:val="auto"/>
          <w:sz w:val="24"/>
          <w:highlight w:val="none"/>
        </w:rPr>
        <w:t>号协调采购合同中去,贷款</w:t>
      </w:r>
      <w:r>
        <w:rPr>
          <w:rFonts w:hint="eastAsia" w:ascii="宋体" w:hAnsi="宋体" w:cs="宋体"/>
          <w:color w:val="auto"/>
          <w:sz w:val="24"/>
          <w:highlight w:val="none"/>
          <w:lang w:eastAsia="zh-CN"/>
        </w:rPr>
        <w:t>账</w:t>
      </w:r>
      <w:r>
        <w:rPr>
          <w:rFonts w:hint="eastAsia" w:ascii="宋体" w:hAnsi="宋体" w:cs="宋体"/>
          <w:color w:val="auto"/>
          <w:sz w:val="24"/>
          <w:highlight w:val="none"/>
        </w:rPr>
        <w:t>号作为采购合同的收款账户），政采云向银行发送确认指令；</w:t>
      </w:r>
    </w:p>
    <w:p>
      <w:pPr>
        <w:spacing w:line="3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6、项目履约完成，采购单位完成验收后发起结算，国库完成支付；</w:t>
      </w:r>
    </w:p>
    <w:p>
      <w:pPr>
        <w:spacing w:line="3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7、银行对其本行借款账户进行资金监控，有入账即可进行本金提前还款操作，银行返回还款信息“提前还款本金、更新还款计划”。</w:t>
      </w:r>
    </w:p>
    <w:p>
      <w:pPr>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（二）流水贷流程</w:t>
      </w:r>
    </w:p>
    <w:p>
      <w:pPr>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1、政采云通过规则向符合该产品的供应商发出邀约；</w:t>
      </w:r>
    </w:p>
    <w:p>
      <w:pPr>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2、供应商授权后向银行发送历史流水数据进行授信；</w:t>
      </w:r>
    </w:p>
    <w:p>
      <w:pPr>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3、银行根据风控模型出具最终授信结果并通知政采云；</w:t>
      </w:r>
    </w:p>
    <w:p>
      <w:pPr>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4、供应商用款时进行在线提款签约；</w:t>
      </w:r>
    </w:p>
    <w:p>
      <w:pPr>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5、银行放款并返回放款结果，流程完成。</w:t>
      </w:r>
    </w:p>
    <w:p>
      <w:pPr>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四、注意事项</w:t>
      </w:r>
    </w:p>
    <w:p>
      <w:pPr>
        <w:spacing w:line="3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1、供应商需确保政府采购合同的收款银行与融资银行一致。</w:t>
      </w:r>
    </w:p>
    <w:p>
      <w:pPr>
        <w:spacing w:line="3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2、请各采购单位积极支持和配合政府采购信用融资工作，在合同备案环节仔细核对收款银行、账号信息等内容，一旦录入将无法修改。</w:t>
      </w:r>
    </w:p>
    <w:p>
      <w:pPr>
        <w:spacing w:line="3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为扩大政府采购金融服务面，除政采云网上金融服务合作银行外，东阳市范围内增加浙商银行金华分行东阳支行作为线下合作银行。   浙商银行金华东阳支行联系人：倪姚波  联系电话：13750943108   0579-86222987</w:t>
      </w:r>
    </w:p>
    <w:p>
      <w:pPr>
        <w:pStyle w:val="8"/>
        <w:ind w:left="0" w:leftChars="0" w:firstLine="0" w:firstLineChars="0"/>
        <w:rPr>
          <w:color w:val="auto"/>
          <w:highlight w:val="none"/>
        </w:rPr>
      </w:pPr>
    </w:p>
    <w:p>
      <w:pPr>
        <w:snapToGrid w:val="0"/>
        <w:spacing w:before="50" w:after="50"/>
        <w:ind w:right="-817" w:rightChars="-38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质疑函范本</w:t>
      </w: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质疑函范本</w:t>
      </w:r>
    </w:p>
    <w:p>
      <w:pPr>
        <w:keepNext w:val="0"/>
        <w:keepLines w:val="0"/>
        <w:pageBreakBefore w:val="0"/>
        <w:kinsoku/>
        <w:wordWrap/>
        <w:overflowPunct/>
        <w:topLinePunct w:val="0"/>
        <w:autoSpaceDE/>
        <w:autoSpaceDN/>
        <w:bidi w:val="0"/>
        <w:adjustRightInd w:val="0"/>
        <w:snapToGrid w:val="0"/>
        <w:spacing w:before="312" w:beforeLines="100" w:line="320" w:lineRule="exact"/>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一、质疑供应商基本信息</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质疑供应商：</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授权代表：</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二、质疑项目基本情况</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质疑项目的名称：</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质疑项目的编号：</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包号：</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采购人名称：</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采购文件获取日期：</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三、质疑事项具体内容</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质疑事项1：</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事实依据：</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法律依据：</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质疑事项2</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四、与质疑事项相关的质疑请求</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请求：</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签字(签章)：                   公章：                      </w:t>
      </w:r>
    </w:p>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auto"/>
          <w:sz w:val="28"/>
          <w:szCs w:val="28"/>
          <w:highlight w:val="none"/>
        </w:rPr>
      </w:pPr>
    </w:p>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
          <w:color w:val="auto"/>
          <w:sz w:val="28"/>
          <w:szCs w:val="28"/>
          <w:highlight w:val="none"/>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质疑函制作说明：</w:t>
      </w:r>
    </w:p>
    <w:p>
      <w:pPr>
        <w:keepNext w:val="0"/>
        <w:keepLines w:val="0"/>
        <w:pageBreakBefore w:val="0"/>
        <w:widowControl/>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1.供应商提出质疑时，应提交质疑函和必要的证明材料。</w:t>
      </w:r>
    </w:p>
    <w:p>
      <w:pPr>
        <w:keepNext w:val="0"/>
        <w:keepLines w:val="0"/>
        <w:pageBreakBefore w:val="0"/>
        <w:widowControl/>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8"/>
          <w:szCs w:val="28"/>
          <w:highlight w:val="none"/>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5.质疑函的质疑请求应与质疑事项相关。</w:t>
      </w:r>
    </w:p>
    <w:p>
      <w:pPr>
        <w:keepNext w:val="0"/>
        <w:keepLines w:val="0"/>
        <w:pageBreakBefore w:val="0"/>
        <w:widowControl/>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6.质疑供应商为自然人的，质疑函应由本人签字；质疑供应商为法人或者其他组织的，质疑函应由法定代表人、主要负责人，或者其授权代表签字或者盖章，并加盖公章。</w:t>
      </w:r>
    </w:p>
    <w:p>
      <w:pPr>
        <w:snapToGrid w:val="0"/>
        <w:spacing w:before="50" w:after="50"/>
        <w:ind w:right="-817" w:rightChars="-389"/>
        <w:rPr>
          <w:rFonts w:hint="eastAsia" w:ascii="宋体" w:hAnsi="宋体" w:eastAsia="宋体" w:cs="宋体"/>
          <w:b/>
          <w:color w:val="auto"/>
          <w:sz w:val="28"/>
          <w:szCs w:val="28"/>
          <w:highlight w:val="none"/>
        </w:rPr>
      </w:pPr>
    </w:p>
    <w:p>
      <w:pPr>
        <w:snapToGrid w:val="0"/>
        <w:spacing w:before="50" w:after="50"/>
        <w:ind w:right="-817" w:rightChars="-389"/>
        <w:rPr>
          <w:rFonts w:hint="eastAsia" w:ascii="宋体" w:hAnsi="宋体" w:eastAsia="宋体" w:cs="宋体"/>
          <w:b/>
          <w:color w:val="auto"/>
          <w:sz w:val="28"/>
          <w:szCs w:val="28"/>
          <w:highlight w:val="none"/>
        </w:rPr>
      </w:pPr>
    </w:p>
    <w:p>
      <w:pPr>
        <w:snapToGrid w:val="0"/>
        <w:spacing w:before="50" w:after="50"/>
        <w:ind w:right="-817" w:rightChars="-389"/>
        <w:rPr>
          <w:rFonts w:hint="eastAsia" w:ascii="宋体" w:hAnsi="宋体" w:eastAsia="宋体" w:cs="宋体"/>
          <w:b/>
          <w:color w:val="auto"/>
          <w:sz w:val="28"/>
          <w:szCs w:val="28"/>
          <w:highlight w:val="none"/>
        </w:rPr>
      </w:pPr>
    </w:p>
    <w:p>
      <w:pPr>
        <w:snapToGrid w:val="0"/>
        <w:spacing w:before="50" w:after="50"/>
        <w:ind w:right="-817" w:rightChars="-38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投诉书范本</w:t>
      </w: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投诉书范本</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一、投诉相关主体基本情况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投诉人：</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keepNext w:val="0"/>
        <w:keepLines w:val="0"/>
        <w:pageBreakBefore w:val="0"/>
        <w:tabs>
          <w:tab w:val="left" w:pos="6510"/>
        </w:tabs>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法定代表人/主要负责人：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keepNext w:val="0"/>
        <w:keepLines w:val="0"/>
        <w:pageBreakBefore w:val="0"/>
        <w:tabs>
          <w:tab w:val="left" w:pos="6510"/>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授权代表：</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dotted"/>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被投诉人1：</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被投诉人2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相关供应商：</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二、投诉项目基本情况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采购项目名称：</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采购项目编号：</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包号：</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采购人名称：</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代理机构名称：</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采购文件公告:</w:t>
      </w:r>
      <w:r>
        <w:rPr>
          <w:rFonts w:hint="eastAsia" w:ascii="宋体" w:hAnsi="宋体" w:eastAsia="宋体" w:cs="宋体"/>
          <w:color w:val="auto"/>
          <w:sz w:val="28"/>
          <w:szCs w:val="28"/>
          <w:highlight w:val="none"/>
          <w:u w:val="dotted"/>
        </w:rPr>
        <w:t xml:space="preserve">是/否 </w:t>
      </w:r>
      <w:r>
        <w:rPr>
          <w:rFonts w:hint="eastAsia" w:ascii="宋体" w:hAnsi="宋体" w:eastAsia="宋体" w:cs="宋体"/>
          <w:color w:val="auto"/>
          <w:sz w:val="28"/>
          <w:szCs w:val="28"/>
          <w:highlight w:val="none"/>
        </w:rPr>
        <w:t>公告期限：</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采购结果公告:</w:t>
      </w:r>
      <w:r>
        <w:rPr>
          <w:rFonts w:hint="eastAsia" w:ascii="宋体" w:hAnsi="宋体" w:eastAsia="宋体" w:cs="宋体"/>
          <w:color w:val="auto"/>
          <w:sz w:val="28"/>
          <w:szCs w:val="28"/>
          <w:highlight w:val="none"/>
          <w:u w:val="dotted"/>
        </w:rPr>
        <w:t xml:space="preserve">是/否 </w:t>
      </w:r>
      <w:r>
        <w:rPr>
          <w:rFonts w:hint="eastAsia" w:ascii="宋体" w:hAnsi="宋体" w:eastAsia="宋体" w:cs="宋体"/>
          <w:color w:val="auto"/>
          <w:sz w:val="28"/>
          <w:szCs w:val="28"/>
          <w:highlight w:val="none"/>
        </w:rPr>
        <w:t>公告期限：</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三、质疑基本情况</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投诉人于</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日,向</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提出质疑，质疑事项为：</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3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dotted"/>
        </w:rPr>
        <w:t>采购人/代理机构</w:t>
      </w:r>
      <w:r>
        <w:rPr>
          <w:rFonts w:hint="eastAsia" w:ascii="宋体" w:hAnsi="宋体" w:eastAsia="宋体" w:cs="宋体"/>
          <w:color w:val="auto"/>
          <w:sz w:val="28"/>
          <w:szCs w:val="28"/>
          <w:highlight w:val="none"/>
        </w:rPr>
        <w:t>于</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日,就质疑事项作出了答复/没有在法定期限内作出答复。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四、投诉事项具体内容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投诉事项 1：</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事实依据：</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法律依据：</w:t>
      </w: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投诉事项2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五、与投诉事项相关的投诉请求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请求：</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签字(签章)：                   公章：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color w:val="auto"/>
          <w:sz w:val="28"/>
          <w:szCs w:val="28"/>
          <w:highlight w:val="none"/>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投诉书制作说明：</w:t>
      </w:r>
    </w:p>
    <w:p>
      <w:pPr>
        <w:keepNext w:val="0"/>
        <w:keepLines w:val="0"/>
        <w:pageBreakBefore w:val="0"/>
        <w:widowControl/>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1.投诉人提起投诉时，应当提交投诉书和必要的证明材料，并按照被投诉人和与投诉事项有关的供应商数量提供投诉书副本。</w:t>
      </w:r>
    </w:p>
    <w:p>
      <w:pPr>
        <w:keepNext w:val="0"/>
        <w:keepLines w:val="0"/>
        <w:pageBreakBefore w:val="0"/>
        <w:widowControl/>
        <w:kinsoku/>
        <w:wordWrap/>
        <w:overflowPunct/>
        <w:topLinePunct w:val="0"/>
        <w:autoSpaceDE/>
        <w:autoSpaceDN/>
        <w:bidi w:val="0"/>
        <w:adjustRightInd/>
        <w:snapToGrid/>
        <w:spacing w:line="380" w:lineRule="exact"/>
        <w:ind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2.投诉人若委托代理人进行投诉的，投诉书应按照要求列明“授权代表”的有关内容，并在附件中提交由</w:t>
      </w:r>
      <w:r>
        <w:rPr>
          <w:rFonts w:hint="eastAsia" w:ascii="宋体" w:hAnsi="宋体" w:eastAsia="宋体" w:cs="宋体"/>
          <w:color w:val="auto"/>
          <w:kern w:val="0"/>
          <w:sz w:val="28"/>
          <w:szCs w:val="28"/>
          <w:highlight w:val="none"/>
        </w:rPr>
        <w:t>投诉人签署的授权委托书。授权委托书应当载明代理人的姓名或者名称、代理事项、具体权限、期限和相关事项。</w:t>
      </w:r>
    </w:p>
    <w:p>
      <w:pPr>
        <w:keepNext w:val="0"/>
        <w:keepLines w:val="0"/>
        <w:pageBreakBefore w:val="0"/>
        <w:widowControl/>
        <w:kinsoku/>
        <w:wordWrap/>
        <w:overflowPunct/>
        <w:topLinePunct w:val="0"/>
        <w:autoSpaceDE/>
        <w:autoSpaceDN/>
        <w:bidi w:val="0"/>
        <w:adjustRightInd/>
        <w:snapToGrid/>
        <w:spacing w:line="38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3.投诉人若对项目的某一分包进行投诉，投诉书应列明具体分包号。</w:t>
      </w:r>
    </w:p>
    <w:p>
      <w:pPr>
        <w:keepNext w:val="0"/>
        <w:keepLines w:val="0"/>
        <w:pageBreakBefore w:val="0"/>
        <w:widowControl/>
        <w:kinsoku/>
        <w:wordWrap/>
        <w:overflowPunct/>
        <w:topLinePunct w:val="0"/>
        <w:autoSpaceDE/>
        <w:autoSpaceDN/>
        <w:bidi w:val="0"/>
        <w:adjustRightInd/>
        <w:snapToGrid/>
        <w:spacing w:line="38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4.投诉书应简要列明质疑事项，质疑函、质疑答复等作为附件材料提供。</w:t>
      </w:r>
    </w:p>
    <w:p>
      <w:pPr>
        <w:keepNext w:val="0"/>
        <w:keepLines w:val="0"/>
        <w:pageBreakBefore w:val="0"/>
        <w:widowControl/>
        <w:kinsoku/>
        <w:wordWrap/>
        <w:overflowPunct/>
        <w:topLinePunct w:val="0"/>
        <w:autoSpaceDE/>
        <w:autoSpaceDN/>
        <w:bidi w:val="0"/>
        <w:adjustRightInd/>
        <w:snapToGrid/>
        <w:spacing w:line="38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5.投诉书的投诉事项应具体、明确，并有必要的事实依据和法律依据。</w:t>
      </w:r>
    </w:p>
    <w:p>
      <w:pPr>
        <w:keepNext w:val="0"/>
        <w:keepLines w:val="0"/>
        <w:pageBreakBefore w:val="0"/>
        <w:widowControl/>
        <w:kinsoku/>
        <w:wordWrap/>
        <w:overflowPunct/>
        <w:topLinePunct w:val="0"/>
        <w:autoSpaceDE/>
        <w:autoSpaceDN/>
        <w:bidi w:val="0"/>
        <w:adjustRightInd/>
        <w:snapToGrid/>
        <w:spacing w:line="38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6.投诉书的投诉请求应与投诉事项相关。</w:t>
      </w:r>
    </w:p>
    <w:p>
      <w:pPr>
        <w:keepNext w:val="0"/>
        <w:keepLines w:val="0"/>
        <w:pageBreakBefore w:val="0"/>
        <w:widowControl/>
        <w:kinsoku/>
        <w:wordWrap/>
        <w:overflowPunct/>
        <w:topLinePunct w:val="0"/>
        <w:autoSpaceDE/>
        <w:autoSpaceDN/>
        <w:bidi w:val="0"/>
        <w:adjustRightInd/>
        <w:snapToGrid/>
        <w:spacing w:line="380" w:lineRule="exact"/>
        <w:ind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7.投诉人为自然人的，投诉书应当由本人签字；投诉人为法人或者其他组织的，投诉书应当由法定代表人、主要负责人，或者其授权代表签字或者盖章，并加盖公章。</w:t>
      </w:r>
    </w:p>
    <w:p>
      <w:pPr>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b/>
          <w:color w:val="auto"/>
          <w:sz w:val="28"/>
          <w:szCs w:val="28"/>
          <w:highlight w:val="none"/>
        </w:rPr>
        <w:t xml:space="preserve"> </w:t>
      </w:r>
    </w:p>
    <w:p>
      <w:pPr>
        <w:pStyle w:val="2"/>
        <w:rPr>
          <w:rFonts w:hint="eastAsia" w:ascii="宋体" w:hAnsi="宋体" w:eastAsia="宋体" w:cs="宋体"/>
          <w:color w:val="auto"/>
          <w:sz w:val="28"/>
          <w:szCs w:val="28"/>
          <w:highlight w:val="none"/>
        </w:rPr>
      </w:pPr>
    </w:p>
    <w:p>
      <w:pPr>
        <w:pStyle w:val="2"/>
        <w:rPr>
          <w:rFonts w:hint="eastAsia"/>
          <w:color w:val="auto"/>
          <w:highlight w:val="none"/>
        </w:rPr>
      </w:pPr>
    </w:p>
    <w:p>
      <w:pPr>
        <w:pStyle w:val="8"/>
        <w:rPr>
          <w:color w:val="auto"/>
          <w:highlight w:val="none"/>
        </w:rPr>
      </w:pPr>
    </w:p>
    <w:sectPr>
      <w:headerReference r:id="rId7" w:type="first"/>
      <w:footerReference r:id="rId10" w:type="first"/>
      <w:headerReference r:id="rId6" w:type="default"/>
      <w:footerReference r:id="rId8" w:type="default"/>
      <w:footerReference r:id="rId9" w:type="even"/>
      <w:pgSz w:w="11906" w:h="16838"/>
      <w:pgMar w:top="1440" w:right="1080" w:bottom="1276" w:left="1080"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720"/>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3</w:t>
    </w:r>
    <w:r>
      <w:fldChar w:fldCharType="end"/>
    </w:r>
  </w:p>
  <w:p>
    <w:pP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720"/>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u w:val="single"/>
      </w:rPr>
    </w:pPr>
  </w:p>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F6BE14"/>
    <w:multiLevelType w:val="singleLevel"/>
    <w:tmpl w:val="A3F6BE14"/>
    <w:lvl w:ilvl="0" w:tentative="0">
      <w:start w:val="6"/>
      <w:numFmt w:val="chineseCounting"/>
      <w:suff w:val="nothing"/>
      <w:lvlText w:val="%1、"/>
      <w:lvlJc w:val="left"/>
      <w:rPr>
        <w:rFonts w:hint="eastAsia"/>
      </w:rPr>
    </w:lvl>
  </w:abstractNum>
  <w:abstractNum w:abstractNumId="1">
    <w:nsid w:val="D3EF05D8"/>
    <w:multiLevelType w:val="multilevel"/>
    <w:tmpl w:val="D3EF05D8"/>
    <w:lvl w:ilvl="0" w:tentative="0">
      <w:start w:val="1"/>
      <w:numFmt w:val="decimal"/>
      <w:lvlText w:val="%1."/>
      <w:lvlJc w:val="left"/>
      <w:pPr>
        <w:tabs>
          <w:tab w:val="left" w:pos="1244"/>
        </w:tabs>
        <w:ind w:left="1244" w:hanging="420"/>
      </w:p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2">
    <w:nsid w:val="2CF939AA"/>
    <w:multiLevelType w:val="singleLevel"/>
    <w:tmpl w:val="2CF939AA"/>
    <w:lvl w:ilvl="0" w:tentative="0">
      <w:start w:val="10"/>
      <w:numFmt w:val="decimal"/>
      <w:suff w:val="nothing"/>
      <w:lvlText w:val="%1、"/>
      <w:lvlJc w:val="left"/>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114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zNGU1MTVmZjJiY2RkZjNlNDk5N2Q0OWNlMDg2MjAifQ=="/>
    <w:docVar w:name="KSO_WPS_MARK_KEY" w:val="c9f9a4fd-0152-4c77-81d0-031cda43b75b"/>
  </w:docVars>
  <w:rsids>
    <w:rsidRoot w:val="00000000"/>
    <w:rsid w:val="00BB3C10"/>
    <w:rsid w:val="019B6D8B"/>
    <w:rsid w:val="03032B7A"/>
    <w:rsid w:val="030E1788"/>
    <w:rsid w:val="03916DD0"/>
    <w:rsid w:val="03DB141E"/>
    <w:rsid w:val="03FA3F76"/>
    <w:rsid w:val="041318FB"/>
    <w:rsid w:val="042C0F82"/>
    <w:rsid w:val="043E4837"/>
    <w:rsid w:val="04600F0D"/>
    <w:rsid w:val="048935D8"/>
    <w:rsid w:val="049D3B67"/>
    <w:rsid w:val="059A1C99"/>
    <w:rsid w:val="05F11B6D"/>
    <w:rsid w:val="060776D3"/>
    <w:rsid w:val="06206932"/>
    <w:rsid w:val="064C7E1C"/>
    <w:rsid w:val="06B241C6"/>
    <w:rsid w:val="0716125B"/>
    <w:rsid w:val="0795423F"/>
    <w:rsid w:val="07EF0236"/>
    <w:rsid w:val="083E6C17"/>
    <w:rsid w:val="08493DEA"/>
    <w:rsid w:val="08DF1EE9"/>
    <w:rsid w:val="09092403"/>
    <w:rsid w:val="09205EC7"/>
    <w:rsid w:val="09516F98"/>
    <w:rsid w:val="097C0E7B"/>
    <w:rsid w:val="09930116"/>
    <w:rsid w:val="09B6176E"/>
    <w:rsid w:val="0A7A12CA"/>
    <w:rsid w:val="0ABC41CC"/>
    <w:rsid w:val="0B477944"/>
    <w:rsid w:val="0BE04F3A"/>
    <w:rsid w:val="0BE66757"/>
    <w:rsid w:val="0BF978D5"/>
    <w:rsid w:val="0C257E8A"/>
    <w:rsid w:val="0C497085"/>
    <w:rsid w:val="0C7A40C1"/>
    <w:rsid w:val="0D51466C"/>
    <w:rsid w:val="0D810FC2"/>
    <w:rsid w:val="0DD334E1"/>
    <w:rsid w:val="0E2C6F15"/>
    <w:rsid w:val="0EAA633E"/>
    <w:rsid w:val="0ED5460A"/>
    <w:rsid w:val="0F0274E4"/>
    <w:rsid w:val="100E22EE"/>
    <w:rsid w:val="101E076F"/>
    <w:rsid w:val="10857989"/>
    <w:rsid w:val="11AB2B90"/>
    <w:rsid w:val="12146661"/>
    <w:rsid w:val="12335555"/>
    <w:rsid w:val="12435D4E"/>
    <w:rsid w:val="126161D4"/>
    <w:rsid w:val="13487972"/>
    <w:rsid w:val="134D74D4"/>
    <w:rsid w:val="135E2352"/>
    <w:rsid w:val="13607206"/>
    <w:rsid w:val="140C5755"/>
    <w:rsid w:val="14184F5A"/>
    <w:rsid w:val="14300689"/>
    <w:rsid w:val="14540400"/>
    <w:rsid w:val="15846D77"/>
    <w:rsid w:val="158B1599"/>
    <w:rsid w:val="15CA22E2"/>
    <w:rsid w:val="15CD4529"/>
    <w:rsid w:val="16154FCB"/>
    <w:rsid w:val="1687051F"/>
    <w:rsid w:val="17B02800"/>
    <w:rsid w:val="17C95EF6"/>
    <w:rsid w:val="18060934"/>
    <w:rsid w:val="1872328B"/>
    <w:rsid w:val="18F51424"/>
    <w:rsid w:val="1A396A4E"/>
    <w:rsid w:val="1A582929"/>
    <w:rsid w:val="1AE14356"/>
    <w:rsid w:val="1B311218"/>
    <w:rsid w:val="1B4B51B0"/>
    <w:rsid w:val="1B7C6DFE"/>
    <w:rsid w:val="1BD6342B"/>
    <w:rsid w:val="1BF144F4"/>
    <w:rsid w:val="1C080649"/>
    <w:rsid w:val="1C3D5FE4"/>
    <w:rsid w:val="1D3679E0"/>
    <w:rsid w:val="1D48246B"/>
    <w:rsid w:val="1D6C612A"/>
    <w:rsid w:val="1D835ABE"/>
    <w:rsid w:val="1DA80110"/>
    <w:rsid w:val="1E7D3692"/>
    <w:rsid w:val="1EDD24CE"/>
    <w:rsid w:val="1F05089E"/>
    <w:rsid w:val="1F7C373E"/>
    <w:rsid w:val="1FFA0AFD"/>
    <w:rsid w:val="20360100"/>
    <w:rsid w:val="20912804"/>
    <w:rsid w:val="20BF581D"/>
    <w:rsid w:val="213B4094"/>
    <w:rsid w:val="217B3CC2"/>
    <w:rsid w:val="21B96836"/>
    <w:rsid w:val="22332E51"/>
    <w:rsid w:val="227C4396"/>
    <w:rsid w:val="23C75E58"/>
    <w:rsid w:val="241C214F"/>
    <w:rsid w:val="242F47ED"/>
    <w:rsid w:val="243D18E9"/>
    <w:rsid w:val="248F6252"/>
    <w:rsid w:val="24F74539"/>
    <w:rsid w:val="253908EB"/>
    <w:rsid w:val="25AF6016"/>
    <w:rsid w:val="25E42F4C"/>
    <w:rsid w:val="263D4DA0"/>
    <w:rsid w:val="269E37F0"/>
    <w:rsid w:val="26FD18BE"/>
    <w:rsid w:val="271A1136"/>
    <w:rsid w:val="273F6230"/>
    <w:rsid w:val="2750198D"/>
    <w:rsid w:val="27661DCE"/>
    <w:rsid w:val="276E3A7D"/>
    <w:rsid w:val="2778477A"/>
    <w:rsid w:val="28812CD5"/>
    <w:rsid w:val="28C3509B"/>
    <w:rsid w:val="2987431B"/>
    <w:rsid w:val="29D06D38"/>
    <w:rsid w:val="2A24600D"/>
    <w:rsid w:val="2A646C7F"/>
    <w:rsid w:val="2A8343FF"/>
    <w:rsid w:val="2A8E7E79"/>
    <w:rsid w:val="2AB07C5A"/>
    <w:rsid w:val="2AB97A5B"/>
    <w:rsid w:val="2ACB4670"/>
    <w:rsid w:val="2B1F0321"/>
    <w:rsid w:val="2B642686"/>
    <w:rsid w:val="2BED5FB9"/>
    <w:rsid w:val="2C114D76"/>
    <w:rsid w:val="2D141AD4"/>
    <w:rsid w:val="2D665941"/>
    <w:rsid w:val="2DA200BD"/>
    <w:rsid w:val="2DDC019D"/>
    <w:rsid w:val="2DFE269A"/>
    <w:rsid w:val="2E4B21AA"/>
    <w:rsid w:val="2E561F69"/>
    <w:rsid w:val="2E581DFF"/>
    <w:rsid w:val="2EAC496F"/>
    <w:rsid w:val="2EDD1304"/>
    <w:rsid w:val="2FAC12B5"/>
    <w:rsid w:val="2FE30285"/>
    <w:rsid w:val="300566A1"/>
    <w:rsid w:val="30087DB9"/>
    <w:rsid w:val="30241CE1"/>
    <w:rsid w:val="30373356"/>
    <w:rsid w:val="303F2F96"/>
    <w:rsid w:val="304D175C"/>
    <w:rsid w:val="311A3303"/>
    <w:rsid w:val="317A00B8"/>
    <w:rsid w:val="3193030E"/>
    <w:rsid w:val="319C7755"/>
    <w:rsid w:val="31D32994"/>
    <w:rsid w:val="31F04A12"/>
    <w:rsid w:val="32195D2C"/>
    <w:rsid w:val="333948D8"/>
    <w:rsid w:val="339B1EE2"/>
    <w:rsid w:val="33B318A1"/>
    <w:rsid w:val="340D366E"/>
    <w:rsid w:val="34332FC6"/>
    <w:rsid w:val="346A5636"/>
    <w:rsid w:val="348214A9"/>
    <w:rsid w:val="34F31669"/>
    <w:rsid w:val="3590384B"/>
    <w:rsid w:val="3687250F"/>
    <w:rsid w:val="36CA1CC0"/>
    <w:rsid w:val="36CD5B2A"/>
    <w:rsid w:val="36FA3F8A"/>
    <w:rsid w:val="370C34F9"/>
    <w:rsid w:val="3712644B"/>
    <w:rsid w:val="374A26FF"/>
    <w:rsid w:val="37516216"/>
    <w:rsid w:val="37611CB8"/>
    <w:rsid w:val="37F6496C"/>
    <w:rsid w:val="37FD7805"/>
    <w:rsid w:val="38184F51"/>
    <w:rsid w:val="3838397B"/>
    <w:rsid w:val="390C64F2"/>
    <w:rsid w:val="390D4C7D"/>
    <w:rsid w:val="39132E42"/>
    <w:rsid w:val="396A2B55"/>
    <w:rsid w:val="39902D77"/>
    <w:rsid w:val="3A4B11DD"/>
    <w:rsid w:val="3A4E46A8"/>
    <w:rsid w:val="3A872C19"/>
    <w:rsid w:val="3B485EE0"/>
    <w:rsid w:val="3B857F39"/>
    <w:rsid w:val="3C0812EB"/>
    <w:rsid w:val="3C5F777A"/>
    <w:rsid w:val="3C84443D"/>
    <w:rsid w:val="3CE67422"/>
    <w:rsid w:val="3CE974E1"/>
    <w:rsid w:val="3CF120F2"/>
    <w:rsid w:val="3D1D0AEF"/>
    <w:rsid w:val="3E045DA4"/>
    <w:rsid w:val="3E8D647F"/>
    <w:rsid w:val="3E9055C8"/>
    <w:rsid w:val="3EEC6E47"/>
    <w:rsid w:val="3EF15665"/>
    <w:rsid w:val="4027133C"/>
    <w:rsid w:val="40791582"/>
    <w:rsid w:val="40E60A77"/>
    <w:rsid w:val="413900AD"/>
    <w:rsid w:val="415C577B"/>
    <w:rsid w:val="416401CE"/>
    <w:rsid w:val="418A4550"/>
    <w:rsid w:val="41CC74A6"/>
    <w:rsid w:val="42193ECF"/>
    <w:rsid w:val="422C5FC8"/>
    <w:rsid w:val="4242142F"/>
    <w:rsid w:val="42580FE6"/>
    <w:rsid w:val="42752198"/>
    <w:rsid w:val="42892443"/>
    <w:rsid w:val="432A3E4D"/>
    <w:rsid w:val="432A6C49"/>
    <w:rsid w:val="432D3D0B"/>
    <w:rsid w:val="43921709"/>
    <w:rsid w:val="43DE2931"/>
    <w:rsid w:val="451A5BF4"/>
    <w:rsid w:val="45A36974"/>
    <w:rsid w:val="45EC1C63"/>
    <w:rsid w:val="45FB6FA0"/>
    <w:rsid w:val="461637E8"/>
    <w:rsid w:val="463F05A3"/>
    <w:rsid w:val="471F71C7"/>
    <w:rsid w:val="476A597F"/>
    <w:rsid w:val="47783926"/>
    <w:rsid w:val="47B01CE2"/>
    <w:rsid w:val="47FE1787"/>
    <w:rsid w:val="48C50FA4"/>
    <w:rsid w:val="49356D39"/>
    <w:rsid w:val="493A5478"/>
    <w:rsid w:val="494618A9"/>
    <w:rsid w:val="49A613D1"/>
    <w:rsid w:val="4A355F6D"/>
    <w:rsid w:val="4A680ECE"/>
    <w:rsid w:val="4A716D7A"/>
    <w:rsid w:val="4AFD7A3E"/>
    <w:rsid w:val="4B1B446B"/>
    <w:rsid w:val="4BFF6B17"/>
    <w:rsid w:val="4C027856"/>
    <w:rsid w:val="4C0569BE"/>
    <w:rsid w:val="4D283B3A"/>
    <w:rsid w:val="4D7D0540"/>
    <w:rsid w:val="4D827C24"/>
    <w:rsid w:val="4DC61B7E"/>
    <w:rsid w:val="4E224547"/>
    <w:rsid w:val="4E3D6F1E"/>
    <w:rsid w:val="4EDB0250"/>
    <w:rsid w:val="4F3E275B"/>
    <w:rsid w:val="4FF73E0F"/>
    <w:rsid w:val="50483BED"/>
    <w:rsid w:val="511B3417"/>
    <w:rsid w:val="512C2F2E"/>
    <w:rsid w:val="515E1DC1"/>
    <w:rsid w:val="516B1EB5"/>
    <w:rsid w:val="516D2736"/>
    <w:rsid w:val="51804470"/>
    <w:rsid w:val="518D70DF"/>
    <w:rsid w:val="51B86882"/>
    <w:rsid w:val="51C329D0"/>
    <w:rsid w:val="51D027F3"/>
    <w:rsid w:val="51F9664C"/>
    <w:rsid w:val="52B826AC"/>
    <w:rsid w:val="52C91D86"/>
    <w:rsid w:val="52D77EFC"/>
    <w:rsid w:val="52DD0CCB"/>
    <w:rsid w:val="52EE7713"/>
    <w:rsid w:val="5449333E"/>
    <w:rsid w:val="547C5F7A"/>
    <w:rsid w:val="559C03CB"/>
    <w:rsid w:val="55CE63D3"/>
    <w:rsid w:val="57870900"/>
    <w:rsid w:val="57D112A0"/>
    <w:rsid w:val="57D440A7"/>
    <w:rsid w:val="57D779E3"/>
    <w:rsid w:val="58490B56"/>
    <w:rsid w:val="58603ED0"/>
    <w:rsid w:val="58BA3515"/>
    <w:rsid w:val="59C12C44"/>
    <w:rsid w:val="5A3640E2"/>
    <w:rsid w:val="5AC46702"/>
    <w:rsid w:val="5B052140"/>
    <w:rsid w:val="5B2267D9"/>
    <w:rsid w:val="5B9333DB"/>
    <w:rsid w:val="5BD17243"/>
    <w:rsid w:val="5CB5204E"/>
    <w:rsid w:val="5CCB5D4A"/>
    <w:rsid w:val="5CD534DB"/>
    <w:rsid w:val="5D060FB5"/>
    <w:rsid w:val="5D663C84"/>
    <w:rsid w:val="5D8060AB"/>
    <w:rsid w:val="5E64502A"/>
    <w:rsid w:val="5EA031AD"/>
    <w:rsid w:val="5EBF08B8"/>
    <w:rsid w:val="5EC02125"/>
    <w:rsid w:val="5EC97216"/>
    <w:rsid w:val="5EDA046D"/>
    <w:rsid w:val="5F49002B"/>
    <w:rsid w:val="5F826D54"/>
    <w:rsid w:val="5F8D54E0"/>
    <w:rsid w:val="5F9A5E4E"/>
    <w:rsid w:val="600B0107"/>
    <w:rsid w:val="61354081"/>
    <w:rsid w:val="6237471A"/>
    <w:rsid w:val="6249419E"/>
    <w:rsid w:val="62614A02"/>
    <w:rsid w:val="62DD2053"/>
    <w:rsid w:val="63044891"/>
    <w:rsid w:val="634520A2"/>
    <w:rsid w:val="638F3720"/>
    <w:rsid w:val="63AF0B99"/>
    <w:rsid w:val="640518EE"/>
    <w:rsid w:val="646332EF"/>
    <w:rsid w:val="658362A1"/>
    <w:rsid w:val="65AA14C9"/>
    <w:rsid w:val="65B02555"/>
    <w:rsid w:val="65FA7647"/>
    <w:rsid w:val="66401736"/>
    <w:rsid w:val="66564551"/>
    <w:rsid w:val="681E6493"/>
    <w:rsid w:val="68211CB0"/>
    <w:rsid w:val="68960FC3"/>
    <w:rsid w:val="68E57FB7"/>
    <w:rsid w:val="69640752"/>
    <w:rsid w:val="69AF50D8"/>
    <w:rsid w:val="69BE5210"/>
    <w:rsid w:val="6A184540"/>
    <w:rsid w:val="6A3A7FD0"/>
    <w:rsid w:val="6AA75244"/>
    <w:rsid w:val="6B1A35C7"/>
    <w:rsid w:val="6B750D95"/>
    <w:rsid w:val="6BAC51E5"/>
    <w:rsid w:val="6BD4393C"/>
    <w:rsid w:val="6BF93477"/>
    <w:rsid w:val="6C201975"/>
    <w:rsid w:val="6C283C40"/>
    <w:rsid w:val="6C8A38DA"/>
    <w:rsid w:val="6CC13AC1"/>
    <w:rsid w:val="6DBD639D"/>
    <w:rsid w:val="6E2B712E"/>
    <w:rsid w:val="6EAA3DB3"/>
    <w:rsid w:val="6F0A40EE"/>
    <w:rsid w:val="6F1F2E2D"/>
    <w:rsid w:val="6F2A4AF9"/>
    <w:rsid w:val="700E3165"/>
    <w:rsid w:val="70125AFF"/>
    <w:rsid w:val="703F45D4"/>
    <w:rsid w:val="70590731"/>
    <w:rsid w:val="70FD2A20"/>
    <w:rsid w:val="716A0D13"/>
    <w:rsid w:val="7195364F"/>
    <w:rsid w:val="71F576F5"/>
    <w:rsid w:val="72581134"/>
    <w:rsid w:val="72D137AD"/>
    <w:rsid w:val="730D7EC7"/>
    <w:rsid w:val="730F0F45"/>
    <w:rsid w:val="73225512"/>
    <w:rsid w:val="735B3E4F"/>
    <w:rsid w:val="73A30837"/>
    <w:rsid w:val="749E1661"/>
    <w:rsid w:val="74AB1B77"/>
    <w:rsid w:val="751A43B7"/>
    <w:rsid w:val="759025D7"/>
    <w:rsid w:val="75DC637B"/>
    <w:rsid w:val="761C112D"/>
    <w:rsid w:val="769503F0"/>
    <w:rsid w:val="77514BED"/>
    <w:rsid w:val="77D47489"/>
    <w:rsid w:val="789D17CE"/>
    <w:rsid w:val="78FB73F4"/>
    <w:rsid w:val="79234DFF"/>
    <w:rsid w:val="793547C6"/>
    <w:rsid w:val="79690914"/>
    <w:rsid w:val="7969171C"/>
    <w:rsid w:val="7975098B"/>
    <w:rsid w:val="79B94BC0"/>
    <w:rsid w:val="7A2875E2"/>
    <w:rsid w:val="7AA323D9"/>
    <w:rsid w:val="7AC24458"/>
    <w:rsid w:val="7ACF6E08"/>
    <w:rsid w:val="7AE9204D"/>
    <w:rsid w:val="7B736775"/>
    <w:rsid w:val="7BA07EF1"/>
    <w:rsid w:val="7BE11DDC"/>
    <w:rsid w:val="7C922486"/>
    <w:rsid w:val="7CD05934"/>
    <w:rsid w:val="7D0A4FF8"/>
    <w:rsid w:val="7D50104A"/>
    <w:rsid w:val="7D7D2BE0"/>
    <w:rsid w:val="7DFA57CB"/>
    <w:rsid w:val="7E292420"/>
    <w:rsid w:val="7E533C08"/>
    <w:rsid w:val="7EC1784E"/>
    <w:rsid w:val="7EF55F93"/>
    <w:rsid w:val="7F04385E"/>
    <w:rsid w:val="7F0E2CCF"/>
    <w:rsid w:val="7F8D3BD6"/>
    <w:rsid w:val="7FB779A9"/>
    <w:rsid w:val="7FD36E8E"/>
    <w:rsid w:val="7FDD1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312" w:lineRule="auto"/>
      <w:outlineLvl w:val="2"/>
    </w:pPr>
    <w:rPr>
      <w:rFonts w:ascii="Calibri" w:hAnsi="Calibri"/>
      <w:b/>
      <w:bCs/>
      <w:sz w:val="30"/>
      <w:szCs w:val="32"/>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2"/>
    <w:qFormat/>
    <w:uiPriority w:val="0"/>
    <w:pPr>
      <w:spacing w:line="200" w:lineRule="exact"/>
      <w:ind w:firstLine="301"/>
    </w:pPr>
    <w:rPr>
      <w:rFonts w:ascii="宋体" w:hAnsi="Courier New"/>
      <w:spacing w:val="-4"/>
      <w:sz w:val="18"/>
      <w:szCs w:val="20"/>
    </w:rPr>
  </w:style>
  <w:style w:type="paragraph" w:customStyle="1" w:styleId="4">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styleId="8">
    <w:name w:val="Normal Indent"/>
    <w:basedOn w:val="1"/>
    <w:next w:val="3"/>
    <w:qFormat/>
    <w:uiPriority w:val="0"/>
    <w:pPr>
      <w:ind w:firstLine="420"/>
    </w:pPr>
    <w:rPr>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Body Text"/>
    <w:basedOn w:val="1"/>
    <w:next w:val="1"/>
    <w:qFormat/>
    <w:uiPriority w:val="0"/>
    <w:pPr>
      <w:spacing w:after="120"/>
    </w:pPr>
    <w:rPr>
      <w:sz w:val="28"/>
    </w:rPr>
  </w:style>
  <w:style w:type="paragraph" w:styleId="11">
    <w:name w:val="List 2"/>
    <w:basedOn w:val="1"/>
    <w:qFormat/>
    <w:uiPriority w:val="0"/>
    <w:pPr>
      <w:ind w:left="100" w:leftChars="200" w:hanging="200" w:hangingChars="200"/>
    </w:pPr>
    <w:rPr>
      <w:sz w:val="28"/>
    </w:rPr>
  </w:style>
  <w:style w:type="paragraph" w:styleId="12">
    <w:name w:val="Plain Text"/>
    <w:basedOn w:val="1"/>
    <w:next w:val="1"/>
    <w:qFormat/>
    <w:uiPriority w:val="0"/>
    <w:pPr>
      <w:spacing w:before="156" w:beforeLines="50" w:after="156" w:afterLines="50" w:line="400" w:lineRule="exact"/>
    </w:pPr>
    <w:rPr>
      <w:rFonts w:ascii="宋体" w:hAnsi="Courier New"/>
      <w:sz w:val="24"/>
    </w:rPr>
  </w:style>
  <w:style w:type="paragraph" w:styleId="13">
    <w:name w:val="Date"/>
    <w:basedOn w:val="1"/>
    <w:next w:val="1"/>
    <w:qFormat/>
    <w:uiPriority w:val="0"/>
    <w:pPr>
      <w:ind w:leftChars="2500"/>
    </w:pPr>
    <w:rPr>
      <w:rFonts w:eastAsia="楷体_GB2312"/>
      <w:sz w:val="32"/>
      <w:szCs w:val="20"/>
    </w:rPr>
  </w:style>
  <w:style w:type="paragraph" w:styleId="14">
    <w:name w:val="Body Text Indent 2"/>
    <w:basedOn w:val="1"/>
    <w:qFormat/>
    <w:uiPriority w:val="0"/>
    <w:pPr>
      <w:snapToGrid w:val="0"/>
      <w:ind w:firstLine="542" w:firstLineChars="225"/>
    </w:pPr>
    <w:rPr>
      <w:rFonts w:ascii="仿宋_GB2312" w:hAnsi="宋体" w:cs="Arial"/>
      <w:b/>
      <w:bCs/>
      <w:color w:val="000000"/>
      <w:sz w:val="24"/>
    </w:rPr>
  </w:style>
  <w:style w:type="paragraph" w:styleId="15">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16">
    <w:name w:val="List"/>
    <w:basedOn w:val="1"/>
    <w:qFormat/>
    <w:uiPriority w:val="0"/>
    <w:pPr>
      <w:ind w:left="200" w:hanging="200" w:hangingChars="200"/>
    </w:pPr>
    <w:rPr>
      <w:sz w:val="28"/>
    </w:rPr>
  </w:style>
  <w:style w:type="paragraph" w:styleId="17">
    <w:name w:val="toc 6"/>
    <w:basedOn w:val="1"/>
    <w:next w:val="1"/>
    <w:qFormat/>
    <w:uiPriority w:val="99"/>
    <w:pPr>
      <w:ind w:left="2100" w:leftChars="1000"/>
    </w:pPr>
  </w:style>
  <w:style w:type="paragraph" w:styleId="18">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19">
    <w:name w:val="toc 2"/>
    <w:basedOn w:val="1"/>
    <w:next w:val="1"/>
    <w:qFormat/>
    <w:uiPriority w:val="0"/>
    <w:pPr>
      <w:ind w:left="420" w:leftChars="200"/>
    </w:pPr>
  </w:style>
  <w:style w:type="paragraph" w:styleId="20">
    <w:name w:val="Normal (Web)"/>
    <w:basedOn w:val="1"/>
    <w:next w:val="1"/>
    <w:qFormat/>
    <w:uiPriority w:val="99"/>
    <w:pPr>
      <w:widowControl/>
      <w:spacing w:before="100" w:beforeAutospacing="1" w:after="100" w:afterAutospacing="1"/>
      <w:jc w:val="left"/>
    </w:pPr>
    <w:rPr>
      <w:rFonts w:ascii="宋体" w:hAnsi="宋体"/>
      <w:color w:val="000000"/>
      <w:kern w:val="0"/>
      <w:sz w:val="24"/>
    </w:rPr>
  </w:style>
  <w:style w:type="paragraph" w:styleId="21">
    <w:name w:val="Title"/>
    <w:basedOn w:val="1"/>
    <w:next w:val="1"/>
    <w:qFormat/>
    <w:uiPriority w:val="99"/>
    <w:pPr>
      <w:autoSpaceDE w:val="0"/>
      <w:autoSpaceDN w:val="0"/>
      <w:adjustRightInd w:val="0"/>
      <w:spacing w:before="240" w:after="60"/>
      <w:jc w:val="center"/>
      <w:outlineLvl w:val="0"/>
    </w:pPr>
    <w:rPr>
      <w:rFonts w:ascii="Cambria" w:hAnsi="Cambria"/>
      <w:b/>
      <w:color w:val="000000"/>
      <w:kern w:val="0"/>
      <w:sz w:val="32"/>
      <w:szCs w:val="32"/>
    </w:rPr>
  </w:style>
  <w:style w:type="paragraph" w:styleId="22">
    <w:name w:val="Body Text First Indent"/>
    <w:basedOn w:val="10"/>
    <w:next w:val="1"/>
    <w:qFormat/>
    <w:uiPriority w:val="0"/>
    <w:pPr>
      <w:tabs>
        <w:tab w:val="left" w:pos="208"/>
      </w:tabs>
      <w:spacing w:after="120" w:line="240" w:lineRule="auto"/>
      <w:ind w:firstLine="420"/>
    </w:pPr>
    <w:rPr>
      <w:rFonts w:ascii="Calibri" w:hAnsi="Calibri" w:eastAsia="宋体" w:cs="Times New Roman"/>
      <w:sz w:val="24"/>
      <w:szCs w:val="24"/>
      <w:lang w:val="zh-CN"/>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qFormat/>
    <w:uiPriority w:val="0"/>
    <w:rPr>
      <w:color w:val="0000FF"/>
      <w:szCs w:val="20"/>
      <w:u w:val="single"/>
    </w:rPr>
  </w:style>
  <w:style w:type="paragraph" w:customStyle="1" w:styleId="27">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28">
    <w:name w:val="BodyText1I2"/>
    <w:basedOn w:val="29"/>
    <w:qFormat/>
    <w:uiPriority w:val="0"/>
    <w:pPr>
      <w:spacing w:line="200" w:lineRule="exact"/>
      <w:ind w:firstLine="420" w:firstLineChars="200"/>
      <w:jc w:val="both"/>
      <w:textAlignment w:val="baseline"/>
    </w:pPr>
  </w:style>
  <w:style w:type="paragraph" w:customStyle="1" w:styleId="29">
    <w:name w:val="BodyTextIndent"/>
    <w:basedOn w:val="1"/>
    <w:next w:val="30"/>
    <w:qFormat/>
    <w:uiPriority w:val="0"/>
    <w:pPr>
      <w:spacing w:line="200" w:lineRule="exact"/>
      <w:ind w:firstLine="301"/>
      <w:jc w:val="both"/>
      <w:textAlignment w:val="baseline"/>
    </w:pPr>
    <w:rPr>
      <w:rFonts w:ascii="宋体" w:hAnsi="Courier New"/>
      <w:spacing w:val="-4"/>
      <w:kern w:val="2"/>
      <w:sz w:val="18"/>
      <w:szCs w:val="20"/>
      <w:lang w:val="en-US" w:eastAsia="zh-CN" w:bidi="ar-SA"/>
    </w:rPr>
  </w:style>
  <w:style w:type="paragraph" w:customStyle="1" w:styleId="30">
    <w:name w:val="NormalIndent"/>
    <w:basedOn w:val="1"/>
    <w:next w:val="29"/>
    <w:qFormat/>
    <w:uiPriority w:val="0"/>
    <w:pPr>
      <w:ind w:firstLine="420"/>
      <w:jc w:val="both"/>
      <w:textAlignment w:val="baseline"/>
    </w:pPr>
    <w:rPr>
      <w:kern w:val="2"/>
      <w:sz w:val="21"/>
      <w:szCs w:val="20"/>
      <w:lang w:val="en-US" w:eastAsia="zh-CN" w:bidi="ar-SA"/>
    </w:rPr>
  </w:style>
  <w:style w:type="paragraph" w:customStyle="1" w:styleId="31">
    <w:name w:val="章正文"/>
    <w:basedOn w:val="1"/>
    <w:qFormat/>
    <w:uiPriority w:val="99"/>
    <w:pPr>
      <w:spacing w:beforeLines="50" w:after="120" w:line="300" w:lineRule="auto"/>
      <w:ind w:firstLine="480"/>
    </w:pPr>
    <w:rPr>
      <w:rFonts w:ascii="Helvetica" w:hAnsi="Helvetica"/>
      <w:kern w:val="0"/>
      <w:sz w:val="24"/>
    </w:rPr>
  </w:style>
  <w:style w:type="paragraph" w:customStyle="1" w:styleId="32">
    <w:name w:val="图"/>
    <w:basedOn w:val="1"/>
    <w:qFormat/>
    <w:uiPriority w:val="0"/>
    <w:pPr>
      <w:keepNext/>
      <w:adjustRightInd w:val="0"/>
      <w:snapToGrid w:val="0"/>
      <w:spacing w:before="60" w:after="60" w:line="300" w:lineRule="auto"/>
      <w:jc w:val="center"/>
    </w:pPr>
    <w:rPr>
      <w:spacing w:val="20"/>
      <w:kern w:val="0"/>
      <w:sz w:val="24"/>
      <w:szCs w:val="20"/>
    </w:rPr>
  </w:style>
  <w:style w:type="character" w:customStyle="1" w:styleId="33">
    <w:name w:val="无"/>
    <w:qFormat/>
    <w:uiPriority w:val="99"/>
  </w:style>
  <w:style w:type="paragraph" w:customStyle="1" w:styleId="34">
    <w:name w:val="默认段落字体 Para Char Char Char Char Char Char Char Char Char1 Char Char Char Char"/>
    <w:basedOn w:val="1"/>
    <w:qFormat/>
    <w:uiPriority w:val="0"/>
    <w:rPr>
      <w:rFonts w:ascii="Tahoma" w:hAnsi="Tahoma"/>
      <w:sz w:val="24"/>
      <w:szCs w:val="20"/>
    </w:rPr>
  </w:style>
  <w:style w:type="paragraph" w:customStyle="1" w:styleId="35">
    <w:name w:val="纯文本1"/>
    <w:basedOn w:val="36"/>
    <w:qFormat/>
    <w:uiPriority w:val="99"/>
    <w:pPr>
      <w:widowControl/>
      <w:jc w:val="left"/>
    </w:pPr>
    <w:rPr>
      <w:rFonts w:ascii="宋体" w:hAnsi="Courier New"/>
    </w:rPr>
  </w:style>
  <w:style w:type="paragraph" w:customStyle="1" w:styleId="36">
    <w:name w:val="正文1"/>
    <w:basedOn w:val="1"/>
    <w:qFormat/>
    <w:uiPriority w:val="0"/>
    <w:pPr>
      <w:spacing w:line="360" w:lineRule="auto"/>
      <w:ind w:firstLine="480" w:firstLineChars="200"/>
    </w:pPr>
    <w:rPr>
      <w:rFonts w:ascii="等线" w:hAnsi="等线" w:eastAsia="等线" w:cs="宋体"/>
      <w:kern w:val="2"/>
      <w:sz w:val="24"/>
      <w:szCs w:val="22"/>
    </w:rPr>
  </w:style>
  <w:style w:type="paragraph" w:styleId="37">
    <w:name w:val="No Spacing"/>
    <w:qFormat/>
    <w:uiPriority w:val="1"/>
    <w:pPr>
      <w:widowControl w:val="0"/>
      <w:jc w:val="both"/>
    </w:pPr>
    <w:rPr>
      <w:rFonts w:ascii="等线" w:hAnsi="等线" w:eastAsia="等线" w:cs="Times New Roman"/>
      <w:kern w:val="2"/>
      <w:sz w:val="21"/>
      <w:szCs w:val="22"/>
      <w:lang w:val="en-US" w:eastAsia="zh-CN" w:bidi="ar-SA"/>
    </w:rPr>
  </w:style>
  <w:style w:type="paragraph" w:customStyle="1" w:styleId="38">
    <w:name w:val="列出段落1"/>
    <w:basedOn w:val="1"/>
    <w:qFormat/>
    <w:uiPriority w:val="34"/>
    <w:pPr>
      <w:ind w:firstLine="420" w:firstLineChars="200"/>
    </w:pPr>
    <w:rPr>
      <w:rFonts w:ascii="Calibri" w:hAnsi="Calibri"/>
      <w:kern w:val="2"/>
      <w:sz w:val="21"/>
      <w:szCs w:val="22"/>
    </w:rPr>
  </w:style>
  <w:style w:type="paragraph" w:customStyle="1" w:styleId="39">
    <w:name w:val="样式 标题 31.1.1标题 333rd levelBOD 0Bold HeadCTH3H31Heading ...1"/>
    <w:basedOn w:val="7"/>
    <w:qFormat/>
    <w:uiPriority w:val="0"/>
    <w:pPr>
      <w:spacing w:before="0" w:after="0"/>
    </w:pPr>
    <w:rPr>
      <w:rFonts w:hAnsi="宋体" w:cs="宋体"/>
      <w:sz w:val="24"/>
    </w:rPr>
  </w:style>
  <w:style w:type="paragraph" w:styleId="40">
    <w:name w:val="List Paragraph"/>
    <w:basedOn w:val="1"/>
    <w:qFormat/>
    <w:uiPriority w:val="0"/>
    <w:pPr>
      <w:ind w:firstLine="420" w:firstLineChars="200"/>
    </w:pPr>
  </w:style>
  <w:style w:type="paragraph" w:customStyle="1" w:styleId="41">
    <w:name w:val="BodyText1I"/>
    <w:basedOn w:val="42"/>
    <w:next w:val="1"/>
    <w:qFormat/>
    <w:uiPriority w:val="0"/>
    <w:pPr>
      <w:ind w:firstLine="420" w:firstLineChars="100"/>
    </w:pPr>
  </w:style>
  <w:style w:type="paragraph" w:customStyle="1" w:styleId="42">
    <w:name w:val="BodyText"/>
    <w:basedOn w:val="1"/>
    <w:next w:val="43"/>
    <w:qFormat/>
    <w:uiPriority w:val="0"/>
    <w:pPr>
      <w:textAlignment w:val="baseline"/>
    </w:pPr>
    <w:rPr>
      <w:rFonts w:ascii="宋体" w:hAnsi="宋体"/>
      <w:szCs w:val="21"/>
      <w:lang w:val="zh-CN" w:bidi="zh-CN"/>
    </w:rPr>
  </w:style>
  <w:style w:type="paragraph" w:customStyle="1" w:styleId="43">
    <w:name w:val="TOC2"/>
    <w:basedOn w:val="1"/>
    <w:next w:val="1"/>
    <w:qFormat/>
    <w:uiPriority w:val="0"/>
    <w:pPr>
      <w:ind w:left="420" w:leftChars="200"/>
      <w:textAlignment w:val="baseline"/>
    </w:pPr>
  </w:style>
  <w:style w:type="paragraph" w:customStyle="1" w:styleId="44">
    <w:name w:val="正文_1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
    <w:name w:val="正文_5"/>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39872</Words>
  <Characters>42400</Characters>
  <Lines>0</Lines>
  <Paragraphs>0</Paragraphs>
  <TotalTime>288</TotalTime>
  <ScaleCrop>false</ScaleCrop>
  <LinksUpToDate>false</LinksUpToDate>
  <CharactersWithSpaces>48243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2021-08-16T02:07:00Z</dcterms:created>
  <dc:creator>许文辉</dc:creator>
  <cp:lastModifiedBy>WPS_1602242861</cp:lastModifiedBy>
  <cp:lastPrinted>2024-04-22T00:56:00Z</cp:lastPrinted>
  <dcterms:modified xsi:type="dcterms:W3CDTF">2024-04-23T05:53:41Z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A51F08305CC94302A25BBFA976C9999F</vt:lpwstr>
  </property>
</Properties>
</file>